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A738B4" w:rsidRPr="00193BFE" w:rsidTr="00B24974">
        <w:trPr>
          <w:cantSplit/>
          <w:trHeight w:val="1276"/>
        </w:trPr>
        <w:tc>
          <w:tcPr>
            <w:tcW w:w="6629" w:type="dxa"/>
          </w:tcPr>
          <w:p w:rsidR="00A738B4" w:rsidRPr="00671B8E" w:rsidRDefault="00A738B4" w:rsidP="00C5296F">
            <w:pPr>
              <w:pStyle w:val="BodyText"/>
              <w:jc w:val="left"/>
              <w:rPr>
                <w:rFonts w:ascii="Arial" w:hAnsi="Arial" w:cs="Arial"/>
              </w:rPr>
            </w:pPr>
            <w:r w:rsidRPr="00671B8E">
              <w:rPr>
                <w:rFonts w:ascii="Arial" w:hAnsi="Arial" w:cs="Arial"/>
              </w:rPr>
              <w:t xml:space="preserve">HIGH LIFE HIGHLAND </w:t>
            </w:r>
          </w:p>
          <w:p w:rsidR="00B24974" w:rsidRDefault="00B24974" w:rsidP="00C5296F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TO BOARD OF DIRECTORS</w:t>
            </w:r>
          </w:p>
          <w:p w:rsidR="00A738B4" w:rsidRPr="00671B8E" w:rsidRDefault="006F3559" w:rsidP="00C5296F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September 2012</w:t>
            </w:r>
            <w:r w:rsidR="00A738B4">
              <w:fldChar w:fldCharType="begin"/>
            </w:r>
            <w:r w:rsidR="00A738B4">
              <w:fldChar w:fldCharType="end"/>
            </w:r>
          </w:p>
        </w:tc>
        <w:tc>
          <w:tcPr>
            <w:tcW w:w="2835" w:type="dxa"/>
          </w:tcPr>
          <w:p w:rsidR="00A738B4" w:rsidRPr="005377BB" w:rsidRDefault="009C32FB" w:rsidP="005377B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377BB">
              <w:rPr>
                <w:rFonts w:ascii="Arial" w:hAnsi="Arial" w:cs="Arial"/>
                <w:bCs/>
                <w:sz w:val="24"/>
                <w:szCs w:val="24"/>
              </w:rPr>
              <w:t>AGENDA ITEM</w:t>
            </w:r>
            <w:r w:rsidR="005377BB">
              <w:rPr>
                <w:rFonts w:ascii="Arial" w:hAnsi="Arial" w:cs="Arial"/>
                <w:bCs/>
                <w:sz w:val="24"/>
                <w:szCs w:val="24"/>
              </w:rPr>
              <w:t xml:space="preserve"> 10</w:t>
            </w:r>
            <w:r w:rsidRPr="005377B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38B4" w:rsidRPr="005377BB">
              <w:rPr>
                <w:rFonts w:ascii="Arial" w:hAnsi="Arial" w:cs="Arial"/>
                <w:bCs/>
                <w:sz w:val="24"/>
                <w:szCs w:val="24"/>
              </w:rPr>
              <w:t xml:space="preserve">  REPORT No HLH </w:t>
            </w:r>
            <w:r w:rsidR="005377BB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Pr="005377BB">
              <w:rPr>
                <w:rFonts w:ascii="Arial" w:hAnsi="Arial" w:cs="Arial"/>
                <w:bCs/>
                <w:sz w:val="24"/>
                <w:szCs w:val="24"/>
              </w:rPr>
              <w:t>/12</w:t>
            </w:r>
          </w:p>
        </w:tc>
      </w:tr>
    </w:tbl>
    <w:p w:rsidR="00A738B4" w:rsidRDefault="009C32FB" w:rsidP="009C32FB">
      <w:pPr>
        <w:pStyle w:val="Heading20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 xml:space="preserve">BOARD WORK PLAN AND 2013 MEETING DATES - </w:t>
      </w:r>
      <w:r w:rsidR="00A738B4" w:rsidRPr="00671B8E">
        <w:rPr>
          <w:rFonts w:ascii="Arial" w:hAnsi="Arial" w:cs="Arial"/>
          <w:b/>
          <w:bCs/>
          <w:u w:val="none"/>
        </w:rPr>
        <w:t>Report by Chief Executive</w:t>
      </w:r>
    </w:p>
    <w:p w:rsidR="00A738B4" w:rsidRPr="00714880" w:rsidRDefault="00A738B4" w:rsidP="00C5296F">
      <w:pPr>
        <w:spacing w:after="0" w:line="240" w:lineRule="auto"/>
        <w:rPr>
          <w:lang w:eastAsia="en-GB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738B4" w:rsidRPr="00193BFE">
        <w:trPr>
          <w:cantSplit/>
        </w:trPr>
        <w:tc>
          <w:tcPr>
            <w:tcW w:w="9464" w:type="dxa"/>
          </w:tcPr>
          <w:p w:rsidR="00A738B4" w:rsidRDefault="00A738B4" w:rsidP="00C5296F">
            <w:pPr>
              <w:pStyle w:val="Heading20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Summary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This report sets out the </w:t>
            </w:r>
            <w:r w:rsidR="006F3559">
              <w:rPr>
                <w:rFonts w:ascii="Arial" w:hAnsi="Arial" w:cs="Arial"/>
                <w:sz w:val="24"/>
                <w:szCs w:val="24"/>
              </w:rPr>
              <w:t xml:space="preserve">Board Work Plan for High Life Highland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C32FB">
              <w:rPr>
                <w:rFonts w:ascii="Arial" w:hAnsi="Arial" w:cs="Arial"/>
                <w:sz w:val="24"/>
                <w:szCs w:val="24"/>
              </w:rPr>
              <w:t>2013</w:t>
            </w:r>
            <w:r w:rsidRPr="00193BFE">
              <w:rPr>
                <w:rFonts w:ascii="Arial" w:hAnsi="Arial" w:cs="Arial"/>
                <w:sz w:val="24"/>
                <w:szCs w:val="24"/>
              </w:rPr>
              <w:t>. 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</w:t>
            </w:r>
            <w:r w:rsidR="006F355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8B4" w:rsidRPr="00193BFE" w:rsidRDefault="00A738B4" w:rsidP="00C5296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omment on and agree 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 w:rsidR="009401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38B4" w:rsidRPr="00193BFE" w:rsidRDefault="00A738B4" w:rsidP="00C5296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3BFE">
              <w:rPr>
                <w:rFonts w:ascii="Arial" w:hAnsi="Arial" w:cs="Arial"/>
                <w:sz w:val="24"/>
                <w:szCs w:val="24"/>
              </w:rPr>
              <w:t>gree meeting dates for the main company (</w:t>
            </w:r>
            <w:r w:rsidR="00B24974">
              <w:rPr>
                <w:rFonts w:ascii="Arial" w:hAnsi="Arial" w:cs="Arial"/>
                <w:sz w:val="24"/>
                <w:szCs w:val="24"/>
              </w:rPr>
              <w:t xml:space="preserve">meetings commence </w:t>
            </w:r>
            <w:r w:rsidRPr="00193BFE">
              <w:rPr>
                <w:rFonts w:ascii="Arial" w:hAnsi="Arial" w:cs="Arial"/>
                <w:sz w:val="24"/>
                <w:szCs w:val="24"/>
              </w:rPr>
              <w:t>2pm</w:t>
            </w:r>
            <w:r w:rsidR="00B24974">
              <w:rPr>
                <w:rFonts w:ascii="Arial" w:hAnsi="Arial" w:cs="Arial"/>
                <w:sz w:val="24"/>
                <w:szCs w:val="24"/>
              </w:rPr>
              <w:t>) and note that t</w:t>
            </w:r>
            <w:r w:rsidR="009C32FB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 trading </w:t>
            </w:r>
            <w:r w:rsidR="009C32FB">
              <w:rPr>
                <w:rFonts w:ascii="Arial" w:hAnsi="Arial" w:cs="Arial"/>
                <w:sz w:val="24"/>
                <w:szCs w:val="24"/>
              </w:rPr>
              <w:t>company will be considering meeting on the same dates</w:t>
            </w:r>
            <w:r w:rsidR="006F355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24974">
              <w:rPr>
                <w:rFonts w:ascii="Arial" w:hAnsi="Arial" w:cs="Arial"/>
                <w:sz w:val="24"/>
                <w:szCs w:val="24"/>
              </w:rPr>
              <w:t xml:space="preserve">meetings commence </w:t>
            </w:r>
            <w:r w:rsidR="006F3559">
              <w:rPr>
                <w:rFonts w:ascii="Arial" w:hAnsi="Arial" w:cs="Arial"/>
                <w:sz w:val="24"/>
                <w:szCs w:val="24"/>
              </w:rPr>
              <w:t>10a</w:t>
            </w:r>
            <w:r w:rsidR="00EA4D24">
              <w:rPr>
                <w:rFonts w:ascii="Arial" w:hAnsi="Arial" w:cs="Arial"/>
                <w:sz w:val="24"/>
                <w:szCs w:val="24"/>
              </w:rPr>
              <w:t>m) as detailed in paragraph 3.1;</w:t>
            </w:r>
          </w:p>
          <w:p w:rsidR="009401C5" w:rsidRDefault="00A738B4" w:rsidP="009401C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gree </w:t>
            </w:r>
            <w:r w:rsidR="006F3559">
              <w:rPr>
                <w:rFonts w:ascii="Arial" w:hAnsi="Arial" w:cs="Arial"/>
                <w:sz w:val="24"/>
                <w:szCs w:val="24"/>
              </w:rPr>
              <w:t>dates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6F3559">
              <w:rPr>
                <w:rFonts w:ascii="Arial" w:hAnsi="Arial" w:cs="Arial"/>
                <w:sz w:val="24"/>
                <w:szCs w:val="24"/>
              </w:rPr>
              <w:t xml:space="preserve"> facilities / programme visits a</w:t>
            </w:r>
            <w:r w:rsidR="00EA4D24">
              <w:rPr>
                <w:rFonts w:ascii="Arial" w:hAnsi="Arial" w:cs="Arial"/>
                <w:sz w:val="24"/>
                <w:szCs w:val="24"/>
              </w:rPr>
              <w:t>s detailed in paragraph 3.2;</w:t>
            </w:r>
          </w:p>
          <w:p w:rsidR="009401C5" w:rsidRDefault="009401C5" w:rsidP="009401C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meeting dates for the Finance and Audit Committee as </w:t>
            </w:r>
            <w:r w:rsidR="006F3559">
              <w:rPr>
                <w:rFonts w:ascii="Arial" w:hAnsi="Arial" w:cs="Arial"/>
                <w:sz w:val="24"/>
                <w:szCs w:val="24"/>
              </w:rPr>
              <w:t>detailed in paragraph 3.3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401C5" w:rsidRPr="009401C5" w:rsidRDefault="009401C5" w:rsidP="009401C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01C5">
              <w:rPr>
                <w:rFonts w:ascii="Arial" w:hAnsi="Arial" w:cs="Arial"/>
                <w:sz w:val="24"/>
                <w:szCs w:val="24"/>
              </w:rPr>
              <w:t>agree</w:t>
            </w:r>
            <w:proofErr w:type="gramEnd"/>
            <w:r w:rsidRPr="009401C5">
              <w:rPr>
                <w:rFonts w:ascii="Arial" w:hAnsi="Arial" w:cs="Arial"/>
                <w:sz w:val="24"/>
                <w:szCs w:val="24"/>
              </w:rPr>
              <w:t xml:space="preserve"> meeting dates for the Funding and Sponsorship Committee as </w:t>
            </w:r>
            <w:r w:rsidR="001C1F89">
              <w:rPr>
                <w:rFonts w:ascii="Arial" w:hAnsi="Arial" w:cs="Arial"/>
                <w:sz w:val="24"/>
                <w:szCs w:val="24"/>
              </w:rPr>
              <w:t>detailed in paragraph 3.4.</w:t>
            </w:r>
          </w:p>
          <w:p w:rsidR="00A738B4" w:rsidRPr="009401C5" w:rsidRDefault="00A738B4" w:rsidP="009401C5">
            <w:pPr>
              <w:spacing w:after="0" w:line="240" w:lineRule="auto"/>
              <w:ind w:left="81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:rsidR="00A738B4" w:rsidRPr="00671B8E" w:rsidRDefault="00A738B4" w:rsidP="00C52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738B4" w:rsidRPr="00193BFE">
        <w:tc>
          <w:tcPr>
            <w:tcW w:w="817" w:type="dxa"/>
          </w:tcPr>
          <w:p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Background</w:t>
            </w:r>
          </w:p>
          <w:p w:rsidR="00A738B4" w:rsidRPr="00C5296F" w:rsidRDefault="00A738B4" w:rsidP="00C5296F">
            <w:pPr>
              <w:spacing w:after="0" w:line="240" w:lineRule="auto"/>
            </w:pPr>
          </w:p>
        </w:tc>
      </w:tr>
      <w:tr w:rsidR="00A738B4" w:rsidRPr="00193BFE">
        <w:tc>
          <w:tcPr>
            <w:tcW w:w="817" w:type="dxa"/>
          </w:tcPr>
          <w:p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1.1 </w:t>
            </w:r>
          </w:p>
        </w:tc>
        <w:tc>
          <w:tcPr>
            <w:tcW w:w="8647" w:type="dxa"/>
          </w:tcPr>
          <w:p w:rsidR="00A738B4" w:rsidRDefault="009C32FB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24974">
              <w:rPr>
                <w:rFonts w:ascii="Arial" w:hAnsi="Arial" w:cs="Arial"/>
                <w:sz w:val="24"/>
                <w:szCs w:val="24"/>
              </w:rPr>
              <w:t xml:space="preserve">current Board </w:t>
            </w:r>
            <w:r>
              <w:rPr>
                <w:rFonts w:ascii="Arial" w:hAnsi="Arial" w:cs="Arial"/>
                <w:sz w:val="24"/>
                <w:szCs w:val="24"/>
              </w:rPr>
              <w:t xml:space="preserve">Work Plan agreed at </w:t>
            </w:r>
            <w:r w:rsidR="00B2497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20 October 2011 meeting has been updated for the coming year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 to the end of 2013.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>
        <w:tc>
          <w:tcPr>
            <w:tcW w:w="817" w:type="dxa"/>
          </w:tcPr>
          <w:p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Work Plan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>
        <w:tc>
          <w:tcPr>
            <w:tcW w:w="817" w:type="dxa"/>
          </w:tcPr>
          <w:p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647" w:type="dxa"/>
          </w:tcPr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Appendix A </w:t>
            </w:r>
            <w:r w:rsidRPr="00193BFE">
              <w:rPr>
                <w:rFonts w:ascii="Arial" w:hAnsi="Arial" w:cs="Arial"/>
                <w:sz w:val="24"/>
                <w:szCs w:val="24"/>
              </w:rPr>
              <w:t>has been compiled taking account of The “Guidance Notes on Administrative Requirements” document supplied 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3BFE">
              <w:rPr>
                <w:rFonts w:ascii="Arial" w:hAnsi="Arial" w:cs="Arial"/>
                <w:sz w:val="24"/>
                <w:szCs w:val="24"/>
              </w:rPr>
              <w:t>Burness</w:t>
            </w:r>
            <w:proofErr w:type="spellEnd"/>
            <w:r w:rsidRPr="00193BFE">
              <w:rPr>
                <w:rFonts w:ascii="Arial" w:hAnsi="Arial" w:cs="Arial"/>
                <w:sz w:val="24"/>
                <w:szCs w:val="24"/>
              </w:rPr>
              <w:t xml:space="preserve"> LLP as part of the Transfer process</w:t>
            </w:r>
            <w:r w:rsidR="00B24974">
              <w:rPr>
                <w:rFonts w:ascii="Arial" w:hAnsi="Arial" w:cs="Arial"/>
                <w:sz w:val="24"/>
                <w:szCs w:val="24"/>
              </w:rPr>
              <w:t>;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FE">
              <w:rPr>
                <w:rFonts w:ascii="Arial" w:hAnsi="Arial" w:cs="Arial"/>
                <w:sz w:val="24"/>
                <w:szCs w:val="24"/>
              </w:rPr>
              <w:t>the reporting requirements of The Highland Council; and the operational needs of High Life Highland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 (HLH)</w:t>
            </w:r>
            <w:r w:rsidRPr="00193B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>
        <w:tc>
          <w:tcPr>
            <w:tcW w:w="817" w:type="dxa"/>
          </w:tcPr>
          <w:p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br w:type="page"/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Meeting Dates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>
        <w:tc>
          <w:tcPr>
            <w:tcW w:w="817" w:type="dxa"/>
          </w:tcPr>
          <w:p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647" w:type="dxa"/>
          </w:tcPr>
          <w:p w:rsidR="00A738B4" w:rsidRPr="00193BFE" w:rsidRDefault="00B2497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HLH </w:t>
            </w:r>
            <w:r w:rsidR="006F3559">
              <w:rPr>
                <w:rFonts w:ascii="Arial" w:hAnsi="Arial" w:cs="Arial"/>
                <w:sz w:val="24"/>
                <w:szCs w:val="24"/>
              </w:rPr>
              <w:t>Board meeting dates for 2013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 are proposed</w:t>
            </w:r>
            <w:r w:rsidR="00800F95">
              <w:rPr>
                <w:rFonts w:ascii="Arial" w:hAnsi="Arial" w:cs="Arial"/>
                <w:sz w:val="24"/>
                <w:szCs w:val="24"/>
              </w:rPr>
              <w:t>, with meetings commencing at 2 pm</w:t>
            </w:r>
            <w:r>
              <w:rPr>
                <w:rFonts w:ascii="Arial" w:hAnsi="Arial" w:cs="Arial"/>
                <w:sz w:val="24"/>
                <w:szCs w:val="24"/>
              </w:rPr>
              <w:t>.  T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he trading company will </w:t>
            </w:r>
            <w:r w:rsidR="00404BE2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800F95">
              <w:rPr>
                <w:rFonts w:ascii="Arial" w:hAnsi="Arial" w:cs="Arial"/>
                <w:sz w:val="24"/>
                <w:szCs w:val="24"/>
              </w:rPr>
              <w:t>be considering these dates with a 10 am start time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00F95" w:rsidRPr="00800F95" w:rsidRDefault="00800F95" w:rsidP="00800F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F95">
              <w:rPr>
                <w:rFonts w:ascii="Arial" w:hAnsi="Arial" w:cs="Arial"/>
                <w:sz w:val="24"/>
                <w:szCs w:val="24"/>
              </w:rPr>
              <w:t>28 March 2013</w:t>
            </w:r>
          </w:p>
          <w:p w:rsidR="00800F95" w:rsidRPr="00800F95" w:rsidRDefault="00800F95" w:rsidP="00800F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F95">
              <w:rPr>
                <w:rFonts w:ascii="Arial" w:hAnsi="Arial" w:cs="Arial"/>
                <w:sz w:val="24"/>
                <w:szCs w:val="24"/>
              </w:rPr>
              <w:t>20 June 2013</w:t>
            </w:r>
          </w:p>
          <w:p w:rsidR="00800F95" w:rsidRPr="00800F95" w:rsidRDefault="00800F95" w:rsidP="00800F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F95">
              <w:rPr>
                <w:rFonts w:ascii="Arial" w:hAnsi="Arial" w:cs="Arial"/>
                <w:sz w:val="24"/>
                <w:szCs w:val="24"/>
              </w:rPr>
              <w:t>26 September 2013</w:t>
            </w:r>
          </w:p>
          <w:p w:rsidR="00A738B4" w:rsidRDefault="00800F95" w:rsidP="006F35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F95">
              <w:rPr>
                <w:rFonts w:ascii="Arial" w:hAnsi="Arial" w:cs="Arial"/>
                <w:sz w:val="24"/>
                <w:szCs w:val="24"/>
              </w:rPr>
              <w:t>05 December 2013</w:t>
            </w:r>
          </w:p>
          <w:p w:rsidR="001C1F89" w:rsidRPr="00193BFE" w:rsidRDefault="001C1F89" w:rsidP="00D31A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BE2" w:rsidRPr="00193BFE">
        <w:tc>
          <w:tcPr>
            <w:tcW w:w="817" w:type="dxa"/>
          </w:tcPr>
          <w:p w:rsidR="00404BE2" w:rsidRPr="00193BFE" w:rsidRDefault="00404BE2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647" w:type="dxa"/>
          </w:tcPr>
          <w:p w:rsidR="00404BE2" w:rsidRDefault="00404BE2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Facility/programme visits are proposed </w:t>
            </w:r>
            <w:r w:rsidR="00D31AFA">
              <w:rPr>
                <w:rFonts w:ascii="Arial" w:hAnsi="Arial" w:cs="Arial"/>
                <w:sz w:val="24"/>
                <w:szCs w:val="24"/>
              </w:rPr>
              <w:t xml:space="preserve">for both HLH Boards </w:t>
            </w:r>
            <w:r>
              <w:rPr>
                <w:rFonts w:ascii="Arial" w:hAnsi="Arial" w:cs="Arial"/>
                <w:sz w:val="24"/>
                <w:szCs w:val="24"/>
              </w:rPr>
              <w:t>as follows, scheduled to take place one month following</w:t>
            </w:r>
            <w:r w:rsidR="00D31AF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meetings:-</w:t>
            </w:r>
          </w:p>
          <w:p w:rsidR="00404BE2" w:rsidRPr="00800F95" w:rsidRDefault="00404BE2" w:rsidP="00404B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April</w:t>
            </w:r>
            <w:r w:rsidRPr="00800F95">
              <w:rPr>
                <w:rFonts w:ascii="Arial" w:hAnsi="Arial" w:cs="Arial"/>
                <w:sz w:val="24"/>
                <w:szCs w:val="24"/>
              </w:rPr>
              <w:t xml:space="preserve"> 2013</w:t>
            </w:r>
          </w:p>
          <w:p w:rsidR="00404BE2" w:rsidRPr="00800F95" w:rsidRDefault="00404BE2" w:rsidP="00404B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July</w:t>
            </w:r>
            <w:r w:rsidRPr="00800F95">
              <w:rPr>
                <w:rFonts w:ascii="Arial" w:hAnsi="Arial" w:cs="Arial"/>
                <w:sz w:val="24"/>
                <w:szCs w:val="24"/>
              </w:rPr>
              <w:t xml:space="preserve"> 2013</w:t>
            </w:r>
          </w:p>
          <w:p w:rsidR="00404BE2" w:rsidRPr="00800F95" w:rsidRDefault="00404BE2" w:rsidP="00404B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October </w:t>
            </w:r>
            <w:r w:rsidRPr="00800F95">
              <w:rPr>
                <w:rFonts w:ascii="Arial" w:hAnsi="Arial" w:cs="Arial"/>
                <w:sz w:val="24"/>
                <w:szCs w:val="24"/>
              </w:rPr>
              <w:t>2013</w:t>
            </w:r>
          </w:p>
          <w:p w:rsidR="00404BE2" w:rsidRDefault="00404BE2" w:rsidP="00404B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January 2014</w:t>
            </w:r>
          </w:p>
          <w:p w:rsidR="001C1F89" w:rsidRDefault="001C1F89" w:rsidP="001C1F8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It is proposed</w:t>
            </w:r>
            <w:r w:rsidR="00D31AFA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2013</w:t>
            </w:r>
            <w:r w:rsidR="00D31AF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separate </w:t>
            </w:r>
            <w:r w:rsidR="00D31AFA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days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set aside for these visits which were previously scheduled for the afternoon following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each Finance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Audit Committee meeting, as next year’s visits will be further afield.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 It is recognised that Directors diaries will not allow all to attend these days, but the provision of proposed itineraries in advance will enable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3BFE">
              <w:rPr>
                <w:rFonts w:ascii="Arial" w:hAnsi="Arial" w:cs="Arial"/>
                <w:sz w:val="24"/>
                <w:szCs w:val="24"/>
              </w:rPr>
              <w:t>irectors to prioritise those visits of particular interest to them.</w:t>
            </w:r>
          </w:p>
          <w:p w:rsidR="001C1F89" w:rsidRDefault="001C1F89" w:rsidP="001C1F8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559" w:rsidRPr="00193BFE">
        <w:tc>
          <w:tcPr>
            <w:tcW w:w="817" w:type="dxa"/>
          </w:tcPr>
          <w:p w:rsidR="006F3559" w:rsidRPr="00193BFE" w:rsidRDefault="00404BE2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8647" w:type="dxa"/>
          </w:tcPr>
          <w:p w:rsidR="006F3559" w:rsidRDefault="006F3559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Audit Committee meeting dates for 2013 are proposed as follows</w:t>
            </w:r>
            <w:r w:rsidR="00404BE2">
              <w:rPr>
                <w:rFonts w:ascii="Arial" w:hAnsi="Arial" w:cs="Arial"/>
                <w:sz w:val="24"/>
                <w:szCs w:val="24"/>
              </w:rPr>
              <w:t>, scheduled to take place one month in advance of main Board meetings</w:t>
            </w:r>
            <w:r>
              <w:rPr>
                <w:rFonts w:ascii="Arial" w:hAnsi="Arial" w:cs="Arial"/>
                <w:sz w:val="24"/>
                <w:szCs w:val="24"/>
              </w:rPr>
              <w:t>:-</w:t>
            </w:r>
          </w:p>
          <w:p w:rsidR="006F3559" w:rsidRDefault="006F3559" w:rsidP="006F3559">
            <w:pPr>
              <w:pStyle w:val="ListParagraph"/>
              <w:spacing w:after="0" w:line="240" w:lineRule="auto"/>
              <w:ind w:lef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February 2013</w:t>
            </w:r>
          </w:p>
          <w:p w:rsidR="006F3559" w:rsidRDefault="006F3559" w:rsidP="006F3559">
            <w:pPr>
              <w:pStyle w:val="ListParagraph"/>
              <w:spacing w:after="0" w:line="240" w:lineRule="auto"/>
              <w:ind w:lef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May 2013</w:t>
            </w:r>
          </w:p>
          <w:p w:rsidR="006F3559" w:rsidRDefault="006F3559" w:rsidP="006F3559">
            <w:pPr>
              <w:pStyle w:val="ListParagraph"/>
              <w:spacing w:after="0" w:line="240" w:lineRule="auto"/>
              <w:ind w:lef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August 2013</w:t>
            </w:r>
          </w:p>
          <w:p w:rsidR="006F3559" w:rsidRDefault="006F3559" w:rsidP="00404BE2">
            <w:pPr>
              <w:pStyle w:val="ListParagraph"/>
              <w:spacing w:after="0" w:line="240" w:lineRule="auto"/>
              <w:ind w:lef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November 2013</w:t>
            </w:r>
          </w:p>
          <w:p w:rsidR="00B24974" w:rsidRDefault="00B24974" w:rsidP="00404BE2">
            <w:pPr>
              <w:pStyle w:val="ListParagraph"/>
              <w:spacing w:after="0" w:line="240" w:lineRule="auto"/>
              <w:ind w:lef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membership </w:t>
            </w:r>
            <w:r w:rsidR="00BF732F">
              <w:rPr>
                <w:rFonts w:ascii="Arial" w:hAnsi="Arial" w:cs="Arial"/>
                <w:sz w:val="24"/>
                <w:szCs w:val="24"/>
              </w:rPr>
              <w:t>of this Committee is currently Linda Kirkland and Laurence Young.</w:t>
            </w:r>
          </w:p>
          <w:p w:rsidR="00404BE2" w:rsidRDefault="00404BE2" w:rsidP="00404BE2">
            <w:pPr>
              <w:pStyle w:val="ListParagraph"/>
              <w:spacing w:after="0" w:line="240" w:lineRule="auto"/>
              <w:ind w:lef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BE2" w:rsidRPr="00193BFE">
        <w:tc>
          <w:tcPr>
            <w:tcW w:w="817" w:type="dxa"/>
          </w:tcPr>
          <w:p w:rsidR="00404BE2" w:rsidRDefault="00404BE2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8647" w:type="dxa"/>
          </w:tcPr>
          <w:p w:rsidR="00404BE2" w:rsidRDefault="00404BE2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and Sponsorship Committee dates for 2013 are proposed as follows, scheduled to take place one week following main Board meetings:-</w:t>
            </w:r>
          </w:p>
          <w:p w:rsidR="00404BE2" w:rsidRDefault="00404BE2" w:rsidP="00404BE2">
            <w:pPr>
              <w:spacing w:after="0" w:line="240" w:lineRule="auto"/>
              <w:ind w:lef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April 2013</w:t>
            </w:r>
          </w:p>
          <w:p w:rsidR="00404BE2" w:rsidRDefault="00404BE2" w:rsidP="00404BE2">
            <w:pPr>
              <w:spacing w:after="0" w:line="240" w:lineRule="auto"/>
              <w:ind w:lef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June 2013</w:t>
            </w:r>
          </w:p>
          <w:p w:rsidR="00404BE2" w:rsidRDefault="00404BE2" w:rsidP="00404BE2">
            <w:pPr>
              <w:spacing w:after="0" w:line="240" w:lineRule="auto"/>
              <w:ind w:lef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October 2013</w:t>
            </w:r>
          </w:p>
          <w:p w:rsidR="00404BE2" w:rsidRDefault="00404BE2" w:rsidP="00404B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December 2013</w:t>
            </w:r>
          </w:p>
          <w:p w:rsidR="00B24974" w:rsidRDefault="00B24974" w:rsidP="00404B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membership </w:t>
            </w:r>
            <w:r w:rsidR="00BF732F">
              <w:rPr>
                <w:rFonts w:ascii="Arial" w:hAnsi="Arial" w:cs="Arial"/>
                <w:sz w:val="24"/>
                <w:szCs w:val="24"/>
              </w:rPr>
              <w:t>of this Committee is currently Craig Ewan, Ken Nicol and John Watt.</w:t>
            </w:r>
          </w:p>
          <w:p w:rsidR="001C1F89" w:rsidRDefault="001C1F89" w:rsidP="00404B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>
        <w:tc>
          <w:tcPr>
            <w:tcW w:w="817" w:type="dxa"/>
            <w:tcBorders>
              <w:bottom w:val="single" w:sz="4" w:space="0" w:color="auto"/>
            </w:tcBorders>
          </w:tcPr>
          <w:p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738B4" w:rsidRPr="00193BFE" w:rsidRDefault="00A738B4" w:rsidP="001C1F8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Recommendation</w:t>
            </w:r>
          </w:p>
          <w:p w:rsidR="00A738B4" w:rsidRPr="00C5296F" w:rsidRDefault="00A738B4" w:rsidP="00C5296F">
            <w:pPr>
              <w:spacing w:after="0" w:line="240" w:lineRule="auto"/>
            </w:pPr>
          </w:p>
          <w:p w:rsidR="001C1F89" w:rsidRDefault="001C1F89" w:rsidP="001C1F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Directors:-</w:t>
            </w:r>
          </w:p>
          <w:p w:rsidR="001C1F89" w:rsidRPr="00193BFE" w:rsidRDefault="001C1F89" w:rsidP="001C1F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4974" w:rsidRPr="00193BFE" w:rsidRDefault="00B24974" w:rsidP="00B2497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omment on and agree 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24974" w:rsidRPr="00193BFE" w:rsidRDefault="00B24974" w:rsidP="00B2497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3BFE">
              <w:rPr>
                <w:rFonts w:ascii="Arial" w:hAnsi="Arial" w:cs="Arial"/>
                <w:sz w:val="24"/>
                <w:szCs w:val="24"/>
              </w:rPr>
              <w:t>gree meeting dates for the main company (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meetings commence </w:t>
            </w:r>
            <w:r w:rsidRPr="00193BFE">
              <w:rPr>
                <w:rFonts w:ascii="Arial" w:hAnsi="Arial" w:cs="Arial"/>
                <w:sz w:val="24"/>
                <w:szCs w:val="24"/>
              </w:rPr>
              <w:t>2pm</w:t>
            </w:r>
            <w:r>
              <w:rPr>
                <w:rFonts w:ascii="Arial" w:hAnsi="Arial" w:cs="Arial"/>
                <w:sz w:val="24"/>
                <w:szCs w:val="24"/>
              </w:rPr>
              <w:t xml:space="preserve">) and note that the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 trading </w:t>
            </w:r>
            <w:r>
              <w:rPr>
                <w:rFonts w:ascii="Arial" w:hAnsi="Arial" w:cs="Arial"/>
                <w:sz w:val="24"/>
                <w:szCs w:val="24"/>
              </w:rPr>
              <w:t>company will be considering meeting on the same dates (meetings commence 10am) as detailed in paragraph 3.1;</w:t>
            </w:r>
          </w:p>
          <w:p w:rsidR="00B24974" w:rsidRDefault="00B24974" w:rsidP="00B2497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gree </w:t>
            </w:r>
            <w:r>
              <w:rPr>
                <w:rFonts w:ascii="Arial" w:hAnsi="Arial" w:cs="Arial"/>
                <w:sz w:val="24"/>
                <w:szCs w:val="24"/>
              </w:rPr>
              <w:t>dates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 for</w:t>
            </w:r>
            <w:r>
              <w:rPr>
                <w:rFonts w:ascii="Arial" w:hAnsi="Arial" w:cs="Arial"/>
                <w:sz w:val="24"/>
                <w:szCs w:val="24"/>
              </w:rPr>
              <w:t xml:space="preserve"> facilities / programme visits as detailed in paragraph 3.2;</w:t>
            </w:r>
          </w:p>
          <w:p w:rsidR="00B24974" w:rsidRDefault="00B24974" w:rsidP="00B2497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meeting dates for the Finance and Audit Committee as detailed in paragraph 3.3;</w:t>
            </w:r>
          </w:p>
          <w:p w:rsidR="00B24974" w:rsidRPr="009401C5" w:rsidRDefault="00B24974" w:rsidP="00B2497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01C5">
              <w:rPr>
                <w:rFonts w:ascii="Arial" w:hAnsi="Arial" w:cs="Arial"/>
                <w:sz w:val="24"/>
                <w:szCs w:val="24"/>
              </w:rPr>
              <w:t>agree</w:t>
            </w:r>
            <w:proofErr w:type="gramEnd"/>
            <w:r w:rsidRPr="009401C5">
              <w:rPr>
                <w:rFonts w:ascii="Arial" w:hAnsi="Arial" w:cs="Arial"/>
                <w:sz w:val="24"/>
                <w:szCs w:val="24"/>
              </w:rPr>
              <w:t xml:space="preserve"> meeting dates for the Funding and Sponsorship Committee as </w:t>
            </w:r>
            <w:r>
              <w:rPr>
                <w:rFonts w:ascii="Arial" w:hAnsi="Arial" w:cs="Arial"/>
                <w:sz w:val="24"/>
                <w:szCs w:val="24"/>
              </w:rPr>
              <w:t>detailed in paragraph 3.4.</w:t>
            </w:r>
          </w:p>
          <w:p w:rsidR="00A738B4" w:rsidRPr="001C1F89" w:rsidRDefault="00A738B4" w:rsidP="001C1F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Signature:</w:t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Designation:</w:t>
      </w:r>
      <w:r w:rsidRPr="00671B8E">
        <w:rPr>
          <w:rFonts w:ascii="Arial" w:hAnsi="Arial" w:cs="Arial"/>
          <w:sz w:val="24"/>
          <w:szCs w:val="24"/>
        </w:rPr>
        <w:tab/>
        <w:t>Chief Executive</w:t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Date:</w:t>
      </w:r>
      <w:r w:rsidRPr="00671B8E">
        <w:rPr>
          <w:rFonts w:ascii="Arial" w:hAnsi="Arial" w:cs="Arial"/>
          <w:sz w:val="24"/>
          <w:szCs w:val="24"/>
        </w:rPr>
        <w:tab/>
      </w:r>
      <w:r w:rsidRPr="00671B8E">
        <w:rPr>
          <w:rFonts w:ascii="Arial" w:hAnsi="Arial" w:cs="Arial"/>
          <w:sz w:val="24"/>
          <w:szCs w:val="24"/>
        </w:rPr>
        <w:tab/>
      </w:r>
      <w:r w:rsidR="00B24974">
        <w:rPr>
          <w:rFonts w:ascii="Arial" w:hAnsi="Arial" w:cs="Arial"/>
          <w:sz w:val="24"/>
          <w:szCs w:val="24"/>
        </w:rPr>
        <w:t>13 September 2012</w:t>
      </w:r>
      <w:r>
        <w:fldChar w:fldCharType="begin"/>
      </w:r>
      <w:r>
        <w:fldChar w:fldCharType="end"/>
      </w:r>
      <w:r w:rsidRPr="00671B8E">
        <w:rPr>
          <w:rFonts w:ascii="Arial" w:hAnsi="Arial" w:cs="Arial"/>
          <w:b/>
          <w:bCs/>
          <w:sz w:val="24"/>
          <w:szCs w:val="24"/>
        </w:rPr>
        <w:br w:type="page"/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A738B4" w:rsidRPr="00671B8E" w:rsidSect="00BF732F"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:rsidR="00B24974" w:rsidRDefault="00A738B4" w:rsidP="0037680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671B8E">
        <w:rPr>
          <w:rFonts w:ascii="Arial" w:hAnsi="Arial" w:cs="Arial"/>
          <w:b/>
          <w:bCs/>
          <w:sz w:val="24"/>
          <w:szCs w:val="24"/>
        </w:rPr>
        <w:lastRenderedPageBreak/>
        <w:t>Appendix A</w:t>
      </w:r>
    </w:p>
    <w:p w:rsidR="00376805" w:rsidRDefault="0077120E" w:rsidP="00C529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HIGH LIFE HIGHLAND BOARD ANNUAL WORK PLAN CALENDAR</w:t>
      </w: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5"/>
        <w:gridCol w:w="1739"/>
        <w:gridCol w:w="1677"/>
        <w:gridCol w:w="1807"/>
        <w:gridCol w:w="2870"/>
        <w:gridCol w:w="1700"/>
        <w:gridCol w:w="1407"/>
      </w:tblGrid>
      <w:tr w:rsidR="00376805" w:rsidRPr="00193BFE" w:rsidTr="00FE083B">
        <w:tc>
          <w:tcPr>
            <w:tcW w:w="1027" w:type="pct"/>
          </w:tcPr>
          <w:p w:rsidR="00376805" w:rsidRPr="00193BFE" w:rsidRDefault="00376805" w:rsidP="00FE08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617" w:type="pct"/>
          </w:tcPr>
          <w:p w:rsidR="00376805" w:rsidRPr="00193BFE" w:rsidRDefault="00376805" w:rsidP="00FE08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5" w:type="pct"/>
          </w:tcPr>
          <w:p w:rsidR="00376805" w:rsidRPr="00193BFE" w:rsidRDefault="00376805" w:rsidP="00FE08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Board Meeting Date(s)</w:t>
            </w:r>
          </w:p>
        </w:tc>
        <w:tc>
          <w:tcPr>
            <w:tcW w:w="641" w:type="pct"/>
          </w:tcPr>
          <w:p w:rsidR="00376805" w:rsidRPr="00193BFE" w:rsidRDefault="00376805" w:rsidP="00FE08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18" w:type="pct"/>
          </w:tcPr>
          <w:p w:rsidR="00376805" w:rsidRPr="00193BFE" w:rsidRDefault="00376805" w:rsidP="00FE08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603" w:type="pct"/>
          </w:tcPr>
          <w:p w:rsidR="00376805" w:rsidRPr="00193BFE" w:rsidRDefault="00376805" w:rsidP="00FE08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  <w:p w:rsidR="00376805" w:rsidRPr="00193BFE" w:rsidRDefault="00376805" w:rsidP="00FE08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9" w:type="pct"/>
          </w:tcPr>
          <w:p w:rsidR="00376805" w:rsidRPr="00193BFE" w:rsidRDefault="00376805" w:rsidP="00FE08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Cultural and Leisure Scrutiny Sub-Committee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6 monthly report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26 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Cultural and Leisure Scrutiny Sub-Committee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Meeting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 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 Meeting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 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Meeting and Trading Company Directors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Submission of detailed budget and service delivery plans and associated performance targets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Service Delivery Contract Part 3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The Highland Council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Appoint Chair and Vice Chair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Normally every two years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 September 2012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Articles of Association and Board decision to make one year appointments initially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*Annual Return (to be prepared by Company Secretary)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27September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October 2012 (Within 28 days of the anniversary of Incorporation)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Companies House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*Annual Accounts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27September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31 January (within ten months after the accounting reference date)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Companies House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lastRenderedPageBreak/>
              <w:t>*Annual Return and Supplementary Monitoring Return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27September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End December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6805">
              <w:rPr>
                <w:rFonts w:ascii="Arial" w:hAnsi="Arial" w:cs="Arial"/>
                <w:bCs/>
                <w:sz w:val="24"/>
                <w:szCs w:val="24"/>
              </w:rPr>
              <w:t>OSCR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Performance Report April to June 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 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 September 2012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HLH Board. The Highland Council 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 September 2012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Human Resources April to June 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 September 2012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ECS Committee Report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Twice per year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 September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December 2012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ECS Committee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04 October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 between Boards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Mid October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5377BB">
        <w:tc>
          <w:tcPr>
            <w:tcW w:w="1027" w:type="pct"/>
            <w:shd w:val="clear" w:color="auto" w:fill="auto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Chief Executive’s Performance Review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shd w:val="clear" w:color="auto" w:fill="auto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Proposed 5 and 9 November </w:t>
            </w:r>
            <w:proofErr w:type="spellStart"/>
            <w:r w:rsidRPr="00376805">
              <w:rPr>
                <w:rFonts w:ascii="Arial" w:hAnsi="Arial" w:cs="Arial"/>
                <w:sz w:val="24"/>
                <w:szCs w:val="24"/>
              </w:rPr>
              <w:t>tbc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  <w:shd w:val="clear" w:color="auto" w:fill="auto"/>
          </w:tcPr>
          <w:p w:rsidR="00376805" w:rsidRPr="00376805" w:rsidRDefault="00376805" w:rsidP="005377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  <w:r w:rsidR="005558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77BB">
              <w:rPr>
                <w:rFonts w:ascii="Arial" w:hAnsi="Arial" w:cs="Arial"/>
                <w:sz w:val="24"/>
                <w:szCs w:val="24"/>
              </w:rPr>
              <w:t>CE Performance Review Sub-Committee</w:t>
            </w:r>
          </w:p>
        </w:tc>
        <w:tc>
          <w:tcPr>
            <w:tcW w:w="499" w:type="pct"/>
            <w:shd w:val="clear" w:color="auto" w:fill="auto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6 November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6 November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  <w:p w:rsid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lastRenderedPageBreak/>
              <w:t>Facility visits</w:t>
            </w:r>
            <w:r w:rsidR="00E63F59">
              <w:rPr>
                <w:rFonts w:ascii="Arial" w:hAnsi="Arial" w:cs="Arial"/>
                <w:sz w:val="24"/>
                <w:szCs w:val="24"/>
              </w:rPr>
              <w:t xml:space="preserve"> (North)</w:t>
            </w:r>
            <w:bookmarkStart w:id="0" w:name="_GoBack"/>
            <w:bookmarkEnd w:id="0"/>
            <w:r w:rsidRPr="00376805">
              <w:rPr>
                <w:rFonts w:ascii="Arial" w:hAnsi="Arial" w:cs="Arial"/>
                <w:sz w:val="24"/>
                <w:szCs w:val="24"/>
              </w:rPr>
              <w:t xml:space="preserve"> – venues to be confirmed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A66271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76805" w:rsidRPr="00376805">
              <w:rPr>
                <w:rFonts w:ascii="Arial" w:hAnsi="Arial" w:cs="Arial"/>
                <w:sz w:val="24"/>
                <w:szCs w:val="24"/>
              </w:rPr>
              <w:t>6 November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and HLH Trading Company Directors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 General Meeting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6 December  2012 (after 8 September) 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First AGM must be within 18 months of incorporation (20 September 2012)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Articles of Association paragraphs 20-34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06 December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HLH Trading Company 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06 December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Review Directors’ Register of Interests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06 December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06 December 2012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Performance Report July to September 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06 December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06 December 2012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06 December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06 December 2012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Human Resources July to September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06 December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06 December 2012</w:t>
            </w: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13 December 2012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 (C.I.C.) Directors Review and Assessment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January 2013 - </w:t>
            </w:r>
            <w:proofErr w:type="spellStart"/>
            <w:r w:rsidRPr="00376805">
              <w:rPr>
                <w:rFonts w:ascii="Arial" w:hAnsi="Arial" w:cs="Arial"/>
                <w:sz w:val="24"/>
                <w:szCs w:val="24"/>
              </w:rPr>
              <w:t>tba</w:t>
            </w:r>
            <w:proofErr w:type="spellEnd"/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  <w:p w:rsid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lastRenderedPageBreak/>
              <w:t>Nominations Committee</w:t>
            </w:r>
          </w:p>
        </w:tc>
        <w:tc>
          <w:tcPr>
            <w:tcW w:w="617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January 2013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(exact date </w:t>
            </w:r>
            <w:proofErr w:type="spellStart"/>
            <w:r w:rsidRPr="00376805">
              <w:rPr>
                <w:rFonts w:ascii="Arial" w:hAnsi="Arial" w:cs="Arial"/>
                <w:sz w:val="24"/>
                <w:szCs w:val="24"/>
              </w:rPr>
              <w:t>tbc</w:t>
            </w:r>
            <w:proofErr w:type="spellEnd"/>
            <w:r w:rsidRPr="003768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1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Nominations Committee</w:t>
            </w:r>
          </w:p>
        </w:tc>
        <w:tc>
          <w:tcPr>
            <w:tcW w:w="499" w:type="pct"/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 between Boards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Early February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 February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 February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 (10 am)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 March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(2pm)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 March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Approval of Budget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 March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01 April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 Review of Financial Regulations and Standing Orders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 March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 March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Finance and Audit Committee and 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Report on Risk Management and updates on substantial changes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 March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 March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Health and Safety Report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28 March 2013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 March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Review Insurance Cover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28March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28 April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Governance-</w:t>
            </w:r>
            <w:r w:rsidRPr="00376805">
              <w:rPr>
                <w:rFonts w:ascii="Arial" w:hAnsi="Arial" w:cs="Arial"/>
                <w:i/>
                <w:sz w:val="24"/>
                <w:szCs w:val="24"/>
              </w:rPr>
              <w:t>delayed to 1 April 2013 at earliest when THC contract reviewed (see Minute F&amp;A Committee 27.02.12)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lastRenderedPageBreak/>
              <w:t xml:space="preserve">Performance Report October - December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28March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28March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28March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28March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Human Resources October - December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28March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28March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4 April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Facility visits (Skye) – venues to be confirmed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25 April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and HLH Trading Company Directors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Cultural and Leisure Scrutiny Sub-Committee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6 monthly report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26 September 2012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Cultural and Leisure Scrutiny Sub-Committee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 between Boards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Mid May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30 May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30 May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  (10 am)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20 June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(2pm)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20 June 2013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lastRenderedPageBreak/>
              <w:t xml:space="preserve">Performance Report 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January – March and annual report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Quarterly/ 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 xml:space="preserve">20 June 2013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 xml:space="preserve">20 June 2013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Financial Performance –annual report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Quarterly/ 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 xml:space="preserve">20 June 2013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 xml:space="preserve">20 June 2013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Human Resources 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January – March and annual report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Quarterly/ 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 xml:space="preserve">20 June 2013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 xml:space="preserve">20 June 2013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 Review of Business Plan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20 June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20 June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and HLH Trading Company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27 June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Facility visits (Lochaber)– venues to be confirmed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18 July 2014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and HLH Trading Company Directors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Facility visits – venues to be confirmed</w:t>
            </w: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 between Boards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805">
              <w:rPr>
                <w:rFonts w:ascii="Arial" w:hAnsi="Arial" w:cs="Arial"/>
                <w:sz w:val="24"/>
                <w:szCs w:val="24"/>
              </w:rPr>
              <w:t>Mid August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29 August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29 August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Directors Review and Assessment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805">
              <w:rPr>
                <w:rFonts w:ascii="Arial" w:hAnsi="Arial" w:cs="Arial"/>
                <w:sz w:val="24"/>
                <w:szCs w:val="24"/>
              </w:rPr>
              <w:t>tbc</w:t>
            </w:r>
            <w:proofErr w:type="spellEnd"/>
            <w:r w:rsidRPr="00376805">
              <w:rPr>
                <w:rFonts w:ascii="Arial" w:hAnsi="Arial" w:cs="Arial"/>
                <w:sz w:val="24"/>
                <w:szCs w:val="24"/>
              </w:rPr>
              <w:t xml:space="preserve"> August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lastRenderedPageBreak/>
              <w:t>HLH Trading Company (10 am)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26 September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(2pm)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26 September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Performance Report 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April – June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26 September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26 September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26 September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26 September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Human Resources 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April - June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26 September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26 September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03 October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 between Boards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Mid October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Facility visits – venues to be confirmed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24 October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and HLH Trading Company Directors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Facility visits – venues to be confirmed</w:t>
            </w: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Chief Executive’s Performance Review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Due November date </w:t>
            </w:r>
            <w:proofErr w:type="spellStart"/>
            <w:r w:rsidRPr="00376805">
              <w:rPr>
                <w:rFonts w:ascii="Arial" w:hAnsi="Arial" w:cs="Arial"/>
                <w:sz w:val="24"/>
                <w:szCs w:val="24"/>
              </w:rPr>
              <w:t>tbc</w:t>
            </w:r>
            <w:proofErr w:type="spellEnd"/>
          </w:p>
          <w:p w:rsid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lastRenderedPageBreak/>
              <w:t>HLH Finance and Audit 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7 November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7 November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HLH Trading Company (10 am)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05 December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 General Meeting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05 December 2013 (to be confirmed)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Articles of Association paragraphs 20-34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(2pm)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05 December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Performance Report 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July – September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05 December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05 December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05 December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05 December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Human Resources 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July - September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05 December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r w:rsidRPr="00376805">
              <w:rPr>
                <w:rFonts w:ascii="Arial" w:hAnsi="Arial" w:cs="Arial"/>
                <w:sz w:val="24"/>
                <w:szCs w:val="24"/>
              </w:rPr>
              <w:t>05 December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Review Directors’ Register of Interests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05 December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05 December 2013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12 December 2012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Funding and Sponsorship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 (C.I.C.) Directors Review and Assessment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 xml:space="preserve">January 2014 - </w:t>
            </w:r>
            <w:proofErr w:type="spellStart"/>
            <w:r w:rsidRPr="00376805">
              <w:rPr>
                <w:rFonts w:ascii="Arial" w:hAnsi="Arial" w:cs="Arial"/>
                <w:sz w:val="24"/>
                <w:szCs w:val="24"/>
              </w:rPr>
              <w:t>tba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Facility visits – venues to be confirmed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16 January 2014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 and HLH Trading Company Directors</w:t>
            </w:r>
          </w:p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lastRenderedPageBreak/>
              <w:t>Committees-member re-election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2 year cycle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October 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rPr>
          <w:trHeight w:val="1273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Appoint Chair and Vice Chair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Normally every two years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September 2014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September 2014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Articles of Association and Board decision to make one year appointments initially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805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805" w:rsidRPr="00376805" w:rsidTr="00FE083B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5" w:rsidRPr="00376805" w:rsidRDefault="00376805" w:rsidP="003768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6805" w:rsidRPr="00376805" w:rsidRDefault="00376805" w:rsidP="00376805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376805">
        <w:rPr>
          <w:rFonts w:ascii="Arial" w:hAnsi="Arial" w:cs="Arial"/>
          <w:sz w:val="24"/>
          <w:szCs w:val="24"/>
        </w:rPr>
        <w:t>* Legal Requirement</w:t>
      </w:r>
    </w:p>
    <w:p w:rsidR="00A738B4" w:rsidRDefault="00A738B4" w:rsidP="00C5296F">
      <w:pPr>
        <w:spacing w:after="0" w:line="240" w:lineRule="auto"/>
      </w:pPr>
      <w:r>
        <w:br w:type="page"/>
      </w:r>
    </w:p>
    <w:sectPr w:rsidR="00A738B4" w:rsidSect="00376805">
      <w:pgSz w:w="16838" w:h="11906" w:orient="landscape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AromaLF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24D"/>
    <w:multiLevelType w:val="multilevel"/>
    <w:tmpl w:val="6AC694B2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bCs w:val="0"/>
        <w:i w:val="0"/>
        <w:iCs w:val="0"/>
        <w:vanish w:val="0"/>
        <w:sz w:val="22"/>
        <w:szCs w:val="22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TextLevel5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pStyle w:val="TextLevel6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pStyle w:val="TextLevel7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pStyle w:val="TextLevel8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261FFE"/>
    <w:multiLevelType w:val="hybridMultilevel"/>
    <w:tmpl w:val="B40E236E"/>
    <w:lvl w:ilvl="0" w:tplc="D206D8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7F5764"/>
    <w:multiLevelType w:val="singleLevel"/>
    <w:tmpl w:val="3F52C196"/>
    <w:lvl w:ilvl="0">
      <w:start w:val="1"/>
      <w:numFmt w:val="lowerLetter"/>
      <w:pStyle w:val="heading2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3">
    <w:nsid w:val="11DE25F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01069"/>
    <w:multiLevelType w:val="multilevel"/>
    <w:tmpl w:val="C9BA6B92"/>
    <w:name w:val="Norma"/>
    <w:lvl w:ilvl="0">
      <w:start w:val="1"/>
      <w:numFmt w:val="decimal"/>
      <w:lvlRestart w:val="0"/>
      <w:pStyle w:val="Norma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Norma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Norma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Norma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5">
    <w:nsid w:val="1B610774"/>
    <w:multiLevelType w:val="hybridMultilevel"/>
    <w:tmpl w:val="243424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04A49"/>
    <w:multiLevelType w:val="hybridMultilevel"/>
    <w:tmpl w:val="705E47EE"/>
    <w:lvl w:ilvl="0" w:tplc="B1A210A2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F9D76B0"/>
    <w:multiLevelType w:val="hybridMultilevel"/>
    <w:tmpl w:val="73888E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A77FA"/>
    <w:multiLevelType w:val="multilevel"/>
    <w:tmpl w:val="ADDA1E3C"/>
    <w:name w:val="Body Text Inden"/>
    <w:lvl w:ilvl="0">
      <w:start w:val="1"/>
      <w:numFmt w:val="decimal"/>
      <w:lvlRestart w:val="0"/>
      <w:pStyle w:val="BodyTextInden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BodyTextInden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BodyTextInden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BodyTextInden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9">
    <w:nsid w:val="21B37FB7"/>
    <w:multiLevelType w:val="multilevel"/>
    <w:tmpl w:val="9E8AAC54"/>
    <w:name w:val="Normal3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0">
    <w:nsid w:val="28C71E77"/>
    <w:multiLevelType w:val="hybridMultilevel"/>
    <w:tmpl w:val="2C2E37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36395"/>
    <w:multiLevelType w:val="hybridMultilevel"/>
    <w:tmpl w:val="D7D0F7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AB72AE"/>
    <w:multiLevelType w:val="multilevel"/>
    <w:tmpl w:val="032E6C5E"/>
    <w:lvl w:ilvl="0">
      <w:start w:val="1"/>
      <w:numFmt w:val="decimal"/>
      <w:pStyle w:val="SUBPARA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7B4268D"/>
    <w:multiLevelType w:val="multilevel"/>
    <w:tmpl w:val="E612EE88"/>
    <w:name w:val="BurnessNumbering"/>
    <w:lvl w:ilvl="0">
      <w:start w:val="1"/>
      <w:numFmt w:val="decimal"/>
      <w:lvlRestart w:val="0"/>
      <w:pStyle w:val="BurnessNumbering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pStyle w:val="BurnessNumber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</w:rPr>
    </w:lvl>
    <w:lvl w:ilvl="2">
      <w:start w:val="1"/>
      <w:numFmt w:val="decimal"/>
      <w:pStyle w:val="BurnessNumbering3"/>
      <w:lvlText w:val="%1.%2.%3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BurnessNumbering4"/>
      <w:lvlText w:val="%1.%2.%3.%4"/>
      <w:lvlJc w:val="left"/>
      <w:pPr>
        <w:tabs>
          <w:tab w:val="num" w:pos="2268"/>
        </w:tabs>
        <w:ind w:left="2268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4">
    <w:nsid w:val="387A5DC0"/>
    <w:multiLevelType w:val="hybridMultilevel"/>
    <w:tmpl w:val="1B5AA5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20D93"/>
    <w:multiLevelType w:val="hybridMultilevel"/>
    <w:tmpl w:val="8A4851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0E6250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E44D2"/>
    <w:multiLevelType w:val="hybridMultilevel"/>
    <w:tmpl w:val="8B70F3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893031"/>
    <w:multiLevelType w:val="multilevel"/>
    <w:tmpl w:val="1234B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49E2E23"/>
    <w:multiLevelType w:val="hybridMultilevel"/>
    <w:tmpl w:val="4224E2FA"/>
    <w:lvl w:ilvl="0" w:tplc="8670D9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3528BE"/>
    <w:multiLevelType w:val="hybridMultilevel"/>
    <w:tmpl w:val="38F431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917DC"/>
    <w:multiLevelType w:val="hybridMultilevel"/>
    <w:tmpl w:val="8E56E1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005AB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50380"/>
    <w:multiLevelType w:val="hybridMultilevel"/>
    <w:tmpl w:val="E5826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DE73A5"/>
    <w:multiLevelType w:val="hybridMultilevel"/>
    <w:tmpl w:val="EE4A20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0A454F"/>
    <w:multiLevelType w:val="hybridMultilevel"/>
    <w:tmpl w:val="ACCA62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2E638B"/>
    <w:multiLevelType w:val="singleLevel"/>
    <w:tmpl w:val="BE8A3F08"/>
    <w:lvl w:ilvl="0">
      <w:start w:val="1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7">
    <w:nsid w:val="54D06CEE"/>
    <w:multiLevelType w:val="hybridMultilevel"/>
    <w:tmpl w:val="FA60D9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0C4E30"/>
    <w:multiLevelType w:val="hybridMultilevel"/>
    <w:tmpl w:val="AD0084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A76B4"/>
    <w:multiLevelType w:val="hybridMultilevel"/>
    <w:tmpl w:val="B36A72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9E3A00"/>
    <w:multiLevelType w:val="multilevel"/>
    <w:tmpl w:val="1AD47870"/>
    <w:lvl w:ilvl="0">
      <w:start w:val="1"/>
      <w:numFmt w:val="decimal"/>
      <w:pStyle w:val="HEAD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5A542097"/>
    <w:multiLevelType w:val="hybridMultilevel"/>
    <w:tmpl w:val="B6E873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3A0517"/>
    <w:multiLevelType w:val="hybridMultilevel"/>
    <w:tmpl w:val="BAEA4EBC"/>
    <w:lvl w:ilvl="0" w:tplc="7C3EC72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C7C0D4D"/>
    <w:multiLevelType w:val="hybridMultilevel"/>
    <w:tmpl w:val="69F07B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07D3A"/>
    <w:multiLevelType w:val="hybridMultilevel"/>
    <w:tmpl w:val="C7409FD2"/>
    <w:lvl w:ilvl="0" w:tplc="7E120A2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E910C12"/>
    <w:multiLevelType w:val="multilevel"/>
    <w:tmpl w:val="36B64A36"/>
    <w:lvl w:ilvl="0">
      <w:start w:val="1"/>
      <w:numFmt w:val="decimal"/>
      <w:pStyle w:val="TextLevel1"/>
      <w:isLgl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F0277B2"/>
    <w:multiLevelType w:val="hybridMultilevel"/>
    <w:tmpl w:val="15326A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F0426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D3B23"/>
    <w:multiLevelType w:val="hybridMultilevel"/>
    <w:tmpl w:val="87B6E7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00005"/>
    <w:multiLevelType w:val="hybridMultilevel"/>
    <w:tmpl w:val="C576E8CE"/>
    <w:lvl w:ilvl="0" w:tplc="8448648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4A662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D908B6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3234C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347DD"/>
    <w:multiLevelType w:val="hybridMultilevel"/>
    <w:tmpl w:val="67F47E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3F0B92"/>
    <w:multiLevelType w:val="multilevel"/>
    <w:tmpl w:val="D54087B4"/>
    <w:lvl w:ilvl="0">
      <w:start w:val="1"/>
      <w:numFmt w:val="bullet"/>
      <w:pStyle w:val="Burness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pStyle w:val="BurnessBullet2"/>
      <w:lvlText w:val="-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3">
    <w:nsid w:val="7FC20B94"/>
    <w:multiLevelType w:val="hybridMultilevel"/>
    <w:tmpl w:val="7010B5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9"/>
  </w:num>
  <w:num w:numId="3">
    <w:abstractNumId w:val="13"/>
  </w:num>
  <w:num w:numId="4">
    <w:abstractNumId w:val="0"/>
  </w:num>
  <w:num w:numId="5">
    <w:abstractNumId w:val="8"/>
  </w:num>
  <w:num w:numId="6">
    <w:abstractNumId w:val="4"/>
  </w:num>
  <w:num w:numId="7">
    <w:abstractNumId w:val="30"/>
  </w:num>
  <w:num w:numId="8">
    <w:abstractNumId w:val="12"/>
  </w:num>
  <w:num w:numId="9">
    <w:abstractNumId w:val="2"/>
  </w:num>
  <w:num w:numId="10">
    <w:abstractNumId w:val="26"/>
  </w:num>
  <w:num w:numId="11">
    <w:abstractNumId w:val="35"/>
  </w:num>
  <w:num w:numId="12">
    <w:abstractNumId w:val="31"/>
  </w:num>
  <w:num w:numId="13">
    <w:abstractNumId w:val="38"/>
  </w:num>
  <w:num w:numId="14">
    <w:abstractNumId w:val="36"/>
  </w:num>
  <w:num w:numId="15">
    <w:abstractNumId w:val="43"/>
  </w:num>
  <w:num w:numId="16">
    <w:abstractNumId w:val="41"/>
  </w:num>
  <w:num w:numId="17">
    <w:abstractNumId w:val="21"/>
  </w:num>
  <w:num w:numId="18">
    <w:abstractNumId w:val="33"/>
  </w:num>
  <w:num w:numId="19">
    <w:abstractNumId w:val="20"/>
  </w:num>
  <w:num w:numId="20">
    <w:abstractNumId w:val="23"/>
  </w:num>
  <w:num w:numId="21">
    <w:abstractNumId w:val="19"/>
  </w:num>
  <w:num w:numId="22">
    <w:abstractNumId w:val="39"/>
  </w:num>
  <w:num w:numId="23">
    <w:abstractNumId w:val="18"/>
  </w:num>
  <w:num w:numId="24">
    <w:abstractNumId w:val="6"/>
  </w:num>
  <w:num w:numId="25">
    <w:abstractNumId w:val="29"/>
  </w:num>
  <w:num w:numId="26">
    <w:abstractNumId w:val="7"/>
  </w:num>
  <w:num w:numId="27">
    <w:abstractNumId w:val="17"/>
  </w:num>
  <w:num w:numId="28">
    <w:abstractNumId w:val="24"/>
  </w:num>
  <w:num w:numId="29">
    <w:abstractNumId w:val="27"/>
  </w:num>
  <w:num w:numId="30">
    <w:abstractNumId w:val="15"/>
  </w:num>
  <w:num w:numId="31">
    <w:abstractNumId w:val="25"/>
  </w:num>
  <w:num w:numId="32">
    <w:abstractNumId w:val="10"/>
  </w:num>
  <w:num w:numId="33">
    <w:abstractNumId w:val="11"/>
  </w:num>
  <w:num w:numId="34">
    <w:abstractNumId w:val="3"/>
  </w:num>
  <w:num w:numId="35">
    <w:abstractNumId w:val="5"/>
  </w:num>
  <w:num w:numId="36">
    <w:abstractNumId w:val="14"/>
  </w:num>
  <w:num w:numId="37">
    <w:abstractNumId w:val="28"/>
  </w:num>
  <w:num w:numId="38">
    <w:abstractNumId w:val="34"/>
  </w:num>
  <w:num w:numId="39">
    <w:abstractNumId w:val="32"/>
  </w:num>
  <w:num w:numId="40">
    <w:abstractNumId w:val="1"/>
  </w:num>
  <w:num w:numId="41">
    <w:abstractNumId w:val="37"/>
  </w:num>
  <w:num w:numId="42">
    <w:abstractNumId w:val="40"/>
  </w:num>
  <w:num w:numId="43">
    <w:abstractNumId w:val="16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E2"/>
    <w:rsid w:val="00007310"/>
    <w:rsid w:val="0001148B"/>
    <w:rsid w:val="00011A95"/>
    <w:rsid w:val="00016316"/>
    <w:rsid w:val="000323A4"/>
    <w:rsid w:val="000447CB"/>
    <w:rsid w:val="00073942"/>
    <w:rsid w:val="000743C9"/>
    <w:rsid w:val="00087E81"/>
    <w:rsid w:val="000D66F6"/>
    <w:rsid w:val="001075C8"/>
    <w:rsid w:val="00111FF1"/>
    <w:rsid w:val="00113FAD"/>
    <w:rsid w:val="00125383"/>
    <w:rsid w:val="00136D6C"/>
    <w:rsid w:val="001409A9"/>
    <w:rsid w:val="00170063"/>
    <w:rsid w:val="00193BFE"/>
    <w:rsid w:val="00194D64"/>
    <w:rsid w:val="001A76F5"/>
    <w:rsid w:val="001B3CD1"/>
    <w:rsid w:val="001C1F89"/>
    <w:rsid w:val="001C3B89"/>
    <w:rsid w:val="001D4E44"/>
    <w:rsid w:val="001D7396"/>
    <w:rsid w:val="001E1854"/>
    <w:rsid w:val="001E2BAB"/>
    <w:rsid w:val="001E310F"/>
    <w:rsid w:val="001E60F7"/>
    <w:rsid w:val="001F0223"/>
    <w:rsid w:val="00206303"/>
    <w:rsid w:val="00216100"/>
    <w:rsid w:val="002663B4"/>
    <w:rsid w:val="00266A7A"/>
    <w:rsid w:val="00266B00"/>
    <w:rsid w:val="002A2C39"/>
    <w:rsid w:val="002B5677"/>
    <w:rsid w:val="002D3BA7"/>
    <w:rsid w:val="00300E63"/>
    <w:rsid w:val="00302B3A"/>
    <w:rsid w:val="00333A7D"/>
    <w:rsid w:val="0036376B"/>
    <w:rsid w:val="00376805"/>
    <w:rsid w:val="0038624F"/>
    <w:rsid w:val="00386FF8"/>
    <w:rsid w:val="003A7059"/>
    <w:rsid w:val="003C1303"/>
    <w:rsid w:val="003E4682"/>
    <w:rsid w:val="00404BE2"/>
    <w:rsid w:val="00423C58"/>
    <w:rsid w:val="00460C95"/>
    <w:rsid w:val="00465670"/>
    <w:rsid w:val="0047278C"/>
    <w:rsid w:val="004810B8"/>
    <w:rsid w:val="00492775"/>
    <w:rsid w:val="005232DB"/>
    <w:rsid w:val="00526968"/>
    <w:rsid w:val="005377BB"/>
    <w:rsid w:val="00544D27"/>
    <w:rsid w:val="00555828"/>
    <w:rsid w:val="00580F1C"/>
    <w:rsid w:val="005879D4"/>
    <w:rsid w:val="005975CD"/>
    <w:rsid w:val="005B1CB8"/>
    <w:rsid w:val="005D72EA"/>
    <w:rsid w:val="005E0434"/>
    <w:rsid w:val="005E1941"/>
    <w:rsid w:val="00614CC3"/>
    <w:rsid w:val="0061658F"/>
    <w:rsid w:val="00626DCF"/>
    <w:rsid w:val="00670138"/>
    <w:rsid w:val="00670D2C"/>
    <w:rsid w:val="00671B8E"/>
    <w:rsid w:val="006A5524"/>
    <w:rsid w:val="006C1C4B"/>
    <w:rsid w:val="006C662F"/>
    <w:rsid w:val="006E31FD"/>
    <w:rsid w:val="006E39A8"/>
    <w:rsid w:val="006F3559"/>
    <w:rsid w:val="00714880"/>
    <w:rsid w:val="00722D2D"/>
    <w:rsid w:val="00762AF7"/>
    <w:rsid w:val="0076745E"/>
    <w:rsid w:val="007674AE"/>
    <w:rsid w:val="0077120E"/>
    <w:rsid w:val="00787B5B"/>
    <w:rsid w:val="00792288"/>
    <w:rsid w:val="0079497E"/>
    <w:rsid w:val="007A16BF"/>
    <w:rsid w:val="007B4327"/>
    <w:rsid w:val="007B59C4"/>
    <w:rsid w:val="007E01C0"/>
    <w:rsid w:val="007F5A20"/>
    <w:rsid w:val="00800F95"/>
    <w:rsid w:val="00804B10"/>
    <w:rsid w:val="0080686A"/>
    <w:rsid w:val="00850F0E"/>
    <w:rsid w:val="00866458"/>
    <w:rsid w:val="008664AE"/>
    <w:rsid w:val="0088561B"/>
    <w:rsid w:val="008B25DC"/>
    <w:rsid w:val="008C44D8"/>
    <w:rsid w:val="008D4273"/>
    <w:rsid w:val="008F1E3F"/>
    <w:rsid w:val="00912C07"/>
    <w:rsid w:val="00915A2D"/>
    <w:rsid w:val="00926BE9"/>
    <w:rsid w:val="00933114"/>
    <w:rsid w:val="00937D0F"/>
    <w:rsid w:val="009401C5"/>
    <w:rsid w:val="00957C5A"/>
    <w:rsid w:val="00981384"/>
    <w:rsid w:val="00984C98"/>
    <w:rsid w:val="00993B9D"/>
    <w:rsid w:val="009B1753"/>
    <w:rsid w:val="009C1737"/>
    <w:rsid w:val="009C32FB"/>
    <w:rsid w:val="009D5AC0"/>
    <w:rsid w:val="009D6F0D"/>
    <w:rsid w:val="00A05A82"/>
    <w:rsid w:val="00A41B41"/>
    <w:rsid w:val="00A66271"/>
    <w:rsid w:val="00A738B4"/>
    <w:rsid w:val="00A74DE2"/>
    <w:rsid w:val="00AA0798"/>
    <w:rsid w:val="00AF0F09"/>
    <w:rsid w:val="00B03A8C"/>
    <w:rsid w:val="00B24974"/>
    <w:rsid w:val="00B279C2"/>
    <w:rsid w:val="00B4309C"/>
    <w:rsid w:val="00B4458D"/>
    <w:rsid w:val="00B71571"/>
    <w:rsid w:val="00B850A6"/>
    <w:rsid w:val="00BB5B19"/>
    <w:rsid w:val="00BE004B"/>
    <w:rsid w:val="00BE3086"/>
    <w:rsid w:val="00BE3C46"/>
    <w:rsid w:val="00BF732F"/>
    <w:rsid w:val="00C02D21"/>
    <w:rsid w:val="00C26A27"/>
    <w:rsid w:val="00C366A3"/>
    <w:rsid w:val="00C5296F"/>
    <w:rsid w:val="00C5391B"/>
    <w:rsid w:val="00C565E2"/>
    <w:rsid w:val="00C66C07"/>
    <w:rsid w:val="00C72503"/>
    <w:rsid w:val="00C730ED"/>
    <w:rsid w:val="00C76E67"/>
    <w:rsid w:val="00C77F61"/>
    <w:rsid w:val="00CB5F8C"/>
    <w:rsid w:val="00D04B36"/>
    <w:rsid w:val="00D12A61"/>
    <w:rsid w:val="00D16FD0"/>
    <w:rsid w:val="00D319ED"/>
    <w:rsid w:val="00D31AFA"/>
    <w:rsid w:val="00D327EF"/>
    <w:rsid w:val="00D52A5A"/>
    <w:rsid w:val="00D83AF6"/>
    <w:rsid w:val="00D96769"/>
    <w:rsid w:val="00DA23A1"/>
    <w:rsid w:val="00DA6EFA"/>
    <w:rsid w:val="00DB7939"/>
    <w:rsid w:val="00DE60B6"/>
    <w:rsid w:val="00DF0AB7"/>
    <w:rsid w:val="00E27A76"/>
    <w:rsid w:val="00E35014"/>
    <w:rsid w:val="00E400F2"/>
    <w:rsid w:val="00E45A74"/>
    <w:rsid w:val="00E63F59"/>
    <w:rsid w:val="00E744D7"/>
    <w:rsid w:val="00E93CAD"/>
    <w:rsid w:val="00EA4D24"/>
    <w:rsid w:val="00EA5D3E"/>
    <w:rsid w:val="00EA7630"/>
    <w:rsid w:val="00EE204E"/>
    <w:rsid w:val="00F03400"/>
    <w:rsid w:val="00F231B6"/>
    <w:rsid w:val="00F26838"/>
    <w:rsid w:val="00F449C3"/>
    <w:rsid w:val="00F550F2"/>
    <w:rsid w:val="00F66B7C"/>
    <w:rsid w:val="00F856F3"/>
    <w:rsid w:val="00F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hAnsi="Times New Roman" w:cs="Times New Roman"/>
      <w:b/>
      <w:bCs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hAnsi="Times New Roman" w:cs="Times New Roman"/>
      <w:b/>
      <w:bCs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hAnsi="Times New Roman" w:cs="Times New Roman"/>
      <w:b/>
      <w:bCs/>
      <w:snapToGrid w:val="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hAnsi="Arial" w:cs="Arial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D04B3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hAnsi="Times New Roman" w:cs="Times New Roman"/>
      <w:b/>
      <w:bCs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hAnsi="Times New Roman" w:cs="Times New Roman"/>
      <w:b/>
      <w:bCs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hAnsi="Times New Roman" w:cs="Times New Roman"/>
      <w:b/>
      <w:bCs/>
      <w:snapToGrid w:val="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hAnsi="Arial" w:cs="Arial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D04B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1903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Wilby</dc:creator>
  <cp:lastModifiedBy>Jackie MacKenzie - ECS</cp:lastModifiedBy>
  <cp:revision>18</cp:revision>
  <cp:lastPrinted>2012-09-17T09:49:00Z</cp:lastPrinted>
  <dcterms:created xsi:type="dcterms:W3CDTF">2012-09-04T08:34:00Z</dcterms:created>
  <dcterms:modified xsi:type="dcterms:W3CDTF">2012-09-17T09:49:00Z</dcterms:modified>
</cp:coreProperties>
</file>