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0757C8" w:rsidP="002B7DC4">
            <w:pPr>
              <w:pStyle w:val="BodyText"/>
              <w:jc w:val="left"/>
              <w:rPr>
                <w:rFonts w:ascii="Arial" w:hAnsi="Arial" w:cs="Arial"/>
                <w:szCs w:val="24"/>
              </w:rPr>
            </w:pPr>
            <w:r>
              <w:rPr>
                <w:rFonts w:ascii="Arial" w:hAnsi="Arial" w:cs="Arial"/>
                <w:szCs w:val="24"/>
              </w:rPr>
              <w:t>16 June</w:t>
            </w:r>
            <w:r w:rsidR="00BC1EA8">
              <w:rPr>
                <w:rFonts w:ascii="Arial" w:hAnsi="Arial" w:cs="Arial"/>
                <w:szCs w:val="24"/>
              </w:rPr>
              <w:t xml:space="preserve"> 2016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716DD2">
              <w:rPr>
                <w:rFonts w:ascii="Arial" w:hAnsi="Arial" w:cs="Arial"/>
                <w:szCs w:val="24"/>
              </w:rPr>
              <w:t xml:space="preserve"> </w:t>
            </w:r>
            <w:r>
              <w:rPr>
                <w:rFonts w:ascii="Arial" w:hAnsi="Arial" w:cs="Arial"/>
                <w:szCs w:val="24"/>
              </w:rPr>
              <w:t xml:space="preserve"> </w:t>
            </w:r>
          </w:p>
          <w:p w:rsidR="00B84929" w:rsidRPr="0089449E" w:rsidRDefault="00B84929" w:rsidP="00716DD2">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716DD2">
              <w:rPr>
                <w:rFonts w:ascii="Arial" w:hAnsi="Arial" w:cs="Arial"/>
                <w:szCs w:val="24"/>
              </w:rPr>
              <w:t xml:space="preserve">   </w:t>
            </w:r>
            <w:r w:rsidR="001D5EE7">
              <w:rPr>
                <w:rFonts w:ascii="Arial" w:hAnsi="Arial" w:cs="Arial"/>
                <w:szCs w:val="24"/>
              </w:rPr>
              <w:t>/1</w:t>
            </w:r>
            <w:r w:rsidR="008C5158">
              <w:rPr>
                <w:rFonts w:ascii="Arial" w:hAnsi="Arial" w:cs="Arial"/>
                <w:szCs w:val="24"/>
              </w:rPr>
              <w:t>6</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contextualSpacing/>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w:t>
            </w:r>
            <w:r w:rsidR="000757C8" w:rsidRPr="000757C8">
              <w:rPr>
                <w:rFonts w:ascii="Arial" w:eastAsia="Calibri" w:hAnsi="Arial" w:cs="Arial"/>
                <w:szCs w:val="24"/>
                <w:lang w:eastAsia="en-US"/>
              </w:rPr>
              <w:t xml:space="preserve"> for the financial year 2015/16</w:t>
            </w:r>
            <w:r w:rsidR="00716DD2">
              <w:rPr>
                <w:rFonts w:ascii="Arial" w:hAnsi="Arial" w:cs="Arial"/>
              </w:rPr>
              <w:t>.</w:t>
            </w:r>
            <w:r w:rsidR="005A3624">
              <w:rPr>
                <w:rFonts w:ascii="Arial" w:hAnsi="Arial" w:cs="Arial"/>
              </w:rPr>
              <w:t xml:space="preserve"> </w:t>
            </w:r>
          </w:p>
          <w:p w:rsidR="00023E37" w:rsidRDefault="00023E37" w:rsidP="00472040">
            <w:pPr>
              <w:jc w:val="both"/>
              <w:rPr>
                <w:rFonts w:ascii="Arial" w:hAnsi="Arial" w:cs="Arial"/>
              </w:rPr>
            </w:pPr>
          </w:p>
          <w:p w:rsidR="00C92F7F" w:rsidRPr="000F2276" w:rsidRDefault="00C92F7F" w:rsidP="00C92F7F">
            <w:pPr>
              <w:jc w:val="both"/>
              <w:rPr>
                <w:rFonts w:ascii="Arial" w:hAnsi="Arial" w:cs="Arial"/>
              </w:rPr>
            </w:pPr>
            <w:r w:rsidRPr="000F2276">
              <w:rPr>
                <w:rFonts w:ascii="Arial" w:hAnsi="Arial" w:cs="Arial"/>
              </w:rPr>
              <w:t>I</w:t>
            </w:r>
            <w:r>
              <w:rPr>
                <w:rFonts w:ascii="Arial" w:hAnsi="Arial" w:cs="Arial"/>
              </w:rPr>
              <w:t>t is recommended that Directors</w:t>
            </w:r>
            <w:r w:rsidR="00CB63C6">
              <w:rPr>
                <w:rFonts w:ascii="Arial" w:hAnsi="Arial" w:cs="Arial"/>
              </w:rPr>
              <w:t xml:space="preserve"> note</w:t>
            </w:r>
            <w:r w:rsidRPr="000F2276">
              <w:rPr>
                <w:rFonts w:ascii="Arial" w:hAnsi="Arial" w:cs="Arial"/>
              </w:rPr>
              <w:t>:</w:t>
            </w:r>
          </w:p>
          <w:p w:rsidR="00C92F7F" w:rsidRPr="000F2276" w:rsidRDefault="00C92F7F" w:rsidP="00C92F7F">
            <w:pPr>
              <w:jc w:val="both"/>
              <w:rPr>
                <w:rFonts w:ascii="Arial" w:hAnsi="Arial" w:cs="Arial"/>
              </w:rPr>
            </w:pPr>
          </w:p>
          <w:p w:rsidR="000757C8" w:rsidRPr="000757C8" w:rsidRDefault="00C92F7F" w:rsidP="00CB63C6">
            <w:pPr>
              <w:numPr>
                <w:ilvl w:val="0"/>
                <w:numId w:val="33"/>
              </w:numPr>
              <w:contextualSpacing/>
              <w:jc w:val="both"/>
              <w:rPr>
                <w:rFonts w:ascii="Arial" w:eastAsia="Calibri" w:hAnsi="Arial" w:cs="Arial"/>
                <w:szCs w:val="24"/>
                <w:lang w:eastAsia="en-US"/>
              </w:rPr>
            </w:pPr>
            <w:bookmarkStart w:id="0" w:name="OLE_LINK1"/>
            <w:bookmarkStart w:id="1" w:name="OLE_LINK2"/>
            <w:r w:rsidRPr="00CB55D1">
              <w:rPr>
                <w:rFonts w:ascii="Arial" w:hAnsi="Arial" w:cs="Arial"/>
                <w:szCs w:val="24"/>
              </w:rPr>
              <w:t>the</w:t>
            </w:r>
            <w:r w:rsidR="00FC5923">
              <w:rPr>
                <w:rFonts w:ascii="Arial" w:eastAsia="Calibri" w:hAnsi="Arial" w:cs="Arial"/>
                <w:szCs w:val="24"/>
                <w:lang w:eastAsia="en-US"/>
              </w:rPr>
              <w:t xml:space="preserve"> draft year end out-</w:t>
            </w:r>
            <w:r w:rsidR="000757C8" w:rsidRPr="000757C8">
              <w:rPr>
                <w:rFonts w:ascii="Arial" w:eastAsia="Calibri" w:hAnsi="Arial" w:cs="Arial"/>
                <w:szCs w:val="24"/>
                <w:lang w:eastAsia="en-US"/>
              </w:rPr>
              <w:t xml:space="preserve">turn, subject to Audit, for 2015/16 for High Life Highland as detailed in </w:t>
            </w:r>
            <w:r w:rsidR="000757C8" w:rsidRPr="000757C8">
              <w:rPr>
                <w:rFonts w:ascii="Arial" w:eastAsia="Calibri" w:hAnsi="Arial" w:cs="Arial"/>
                <w:b/>
                <w:szCs w:val="24"/>
                <w:lang w:eastAsia="en-US"/>
              </w:rPr>
              <w:t>Appendix A</w:t>
            </w:r>
            <w:r w:rsidR="000757C8" w:rsidRPr="000757C8">
              <w:rPr>
                <w:rFonts w:ascii="Arial" w:eastAsia="Calibri" w:hAnsi="Arial" w:cs="Arial"/>
                <w:szCs w:val="24"/>
                <w:lang w:eastAsia="en-US"/>
              </w:rPr>
              <w:t xml:space="preserve"> reports a surplus of £</w:t>
            </w:r>
            <w:r w:rsidR="000757C8">
              <w:rPr>
                <w:rFonts w:ascii="Arial" w:eastAsia="Calibri" w:hAnsi="Arial" w:cs="Arial"/>
                <w:szCs w:val="24"/>
                <w:lang w:eastAsia="en-US"/>
              </w:rPr>
              <w:t>247,714</w:t>
            </w:r>
            <w:r w:rsidR="000757C8" w:rsidRPr="000757C8">
              <w:rPr>
                <w:rFonts w:ascii="Arial" w:eastAsia="Calibri" w:hAnsi="Arial" w:cs="Arial"/>
                <w:color w:val="FF0000"/>
                <w:szCs w:val="24"/>
                <w:lang w:eastAsia="en-US"/>
              </w:rPr>
              <w:t xml:space="preserve"> </w:t>
            </w:r>
            <w:r w:rsidR="000757C8" w:rsidRPr="000757C8">
              <w:rPr>
                <w:rFonts w:ascii="Arial" w:eastAsia="Calibri" w:hAnsi="Arial" w:cs="Arial"/>
                <w:szCs w:val="24"/>
                <w:lang w:eastAsia="en-US"/>
              </w:rPr>
              <w:t>to Unrestricted Reserves and a transfer to Restricted Reserves of £60,202 in respect of grant income;</w:t>
            </w:r>
          </w:p>
          <w:p w:rsidR="00137D7A" w:rsidRPr="00137D7A" w:rsidRDefault="00AE62F7" w:rsidP="00CB63C6">
            <w:pPr>
              <w:pStyle w:val="ListParagraph"/>
              <w:numPr>
                <w:ilvl w:val="0"/>
                <w:numId w:val="33"/>
              </w:numPr>
              <w:spacing w:after="0"/>
              <w:jc w:val="both"/>
              <w:rPr>
                <w:rFonts w:ascii="Arial" w:hAnsi="Arial" w:cs="Arial"/>
                <w:sz w:val="24"/>
                <w:szCs w:val="24"/>
              </w:rPr>
            </w:pPr>
            <w:r>
              <w:rPr>
                <w:rFonts w:ascii="Arial" w:hAnsi="Arial" w:cs="Arial"/>
                <w:sz w:val="24"/>
                <w:szCs w:val="24"/>
              </w:rPr>
              <w:t xml:space="preserve">the changes to the approved </w:t>
            </w:r>
            <w:r w:rsidR="00137D7A" w:rsidRPr="00137D7A">
              <w:rPr>
                <w:rFonts w:ascii="Arial" w:hAnsi="Arial" w:cs="Arial"/>
                <w:sz w:val="24"/>
                <w:szCs w:val="24"/>
              </w:rPr>
              <w:t>budget for 2016/17;</w:t>
            </w:r>
          </w:p>
          <w:p w:rsidR="00DE661F" w:rsidRPr="00846D14" w:rsidRDefault="00DE661F" w:rsidP="00CB63C6">
            <w:pPr>
              <w:pStyle w:val="ListParagraph"/>
              <w:numPr>
                <w:ilvl w:val="0"/>
                <w:numId w:val="33"/>
              </w:numPr>
              <w:spacing w:after="0"/>
              <w:jc w:val="both"/>
              <w:rPr>
                <w:rFonts w:ascii="Arial" w:hAnsi="Arial" w:cs="Arial"/>
                <w:sz w:val="24"/>
                <w:szCs w:val="24"/>
              </w:rPr>
            </w:pPr>
            <w:r>
              <w:rPr>
                <w:rFonts w:ascii="Arial" w:hAnsi="Arial" w:cs="Arial"/>
                <w:sz w:val="24"/>
                <w:szCs w:val="24"/>
              </w:rPr>
              <w:t>the update on the ongoing VAT investigations;</w:t>
            </w:r>
            <w:r w:rsidR="00846D14">
              <w:rPr>
                <w:rFonts w:ascii="Arial" w:hAnsi="Arial" w:cs="Arial"/>
                <w:sz w:val="24"/>
                <w:szCs w:val="24"/>
              </w:rPr>
              <w:t xml:space="preserve"> </w:t>
            </w:r>
            <w:r w:rsidR="00A57DCC" w:rsidRPr="00846D14">
              <w:rPr>
                <w:rFonts w:ascii="Arial" w:hAnsi="Arial" w:cs="Arial"/>
                <w:sz w:val="24"/>
                <w:szCs w:val="24"/>
              </w:rPr>
              <w:t>and</w:t>
            </w:r>
          </w:p>
          <w:p w:rsidR="00137D7A" w:rsidRPr="00562EB1" w:rsidRDefault="008C5158" w:rsidP="00FC5923">
            <w:pPr>
              <w:pStyle w:val="ListParagraph"/>
              <w:numPr>
                <w:ilvl w:val="0"/>
                <w:numId w:val="33"/>
              </w:numPr>
              <w:jc w:val="both"/>
              <w:rPr>
                <w:rFonts w:ascii="Arial" w:hAnsi="Arial" w:cs="Arial"/>
                <w:sz w:val="24"/>
                <w:szCs w:val="24"/>
              </w:rPr>
            </w:pPr>
            <w:proofErr w:type="gramStart"/>
            <w:r w:rsidRPr="00137D7A">
              <w:rPr>
                <w:rFonts w:ascii="Arial" w:hAnsi="Arial" w:cs="Arial"/>
                <w:sz w:val="24"/>
                <w:szCs w:val="24"/>
              </w:rPr>
              <w:t>the</w:t>
            </w:r>
            <w:proofErr w:type="gramEnd"/>
            <w:r w:rsidRPr="00137D7A">
              <w:rPr>
                <w:rFonts w:ascii="Arial" w:hAnsi="Arial" w:cs="Arial"/>
                <w:sz w:val="24"/>
                <w:szCs w:val="24"/>
              </w:rPr>
              <w:t xml:space="preserve"> </w:t>
            </w:r>
            <w:r w:rsidR="00C92F7F" w:rsidRPr="00137D7A">
              <w:rPr>
                <w:rFonts w:ascii="Arial" w:hAnsi="Arial" w:cs="Arial"/>
                <w:sz w:val="24"/>
                <w:szCs w:val="24"/>
              </w:rPr>
              <w:t xml:space="preserve">award of contracts </w:t>
            </w:r>
            <w:r w:rsidR="004749D1" w:rsidRPr="00137D7A">
              <w:rPr>
                <w:rFonts w:ascii="Arial" w:hAnsi="Arial" w:cs="Arial"/>
                <w:sz w:val="24"/>
                <w:szCs w:val="24"/>
              </w:rPr>
              <w:t xml:space="preserve">as detailed in </w:t>
            </w:r>
            <w:r w:rsidR="00CB63C6" w:rsidRPr="00CB63C6">
              <w:rPr>
                <w:rFonts w:ascii="Arial" w:hAnsi="Arial" w:cs="Arial"/>
                <w:b/>
                <w:sz w:val="24"/>
                <w:szCs w:val="24"/>
              </w:rPr>
              <w:t>paragraph</w:t>
            </w:r>
            <w:r w:rsidR="004749D1" w:rsidRPr="00137D7A">
              <w:rPr>
                <w:rFonts w:ascii="Arial" w:hAnsi="Arial" w:cs="Arial"/>
                <w:b/>
                <w:sz w:val="24"/>
                <w:szCs w:val="24"/>
              </w:rPr>
              <w:t xml:space="preserve"> </w:t>
            </w:r>
            <w:r w:rsidR="00CB63C6">
              <w:rPr>
                <w:rFonts w:ascii="Arial" w:hAnsi="Arial" w:cs="Arial"/>
                <w:b/>
                <w:sz w:val="24"/>
                <w:szCs w:val="24"/>
              </w:rPr>
              <w:t>8</w:t>
            </w:r>
            <w:r w:rsidR="00A57DCC">
              <w:rPr>
                <w:rFonts w:ascii="Arial" w:hAnsi="Arial" w:cs="Arial"/>
                <w:sz w:val="24"/>
                <w:szCs w:val="24"/>
              </w:rPr>
              <w:t xml:space="preserve"> of th</w:t>
            </w:r>
            <w:r w:rsidR="00FC5923">
              <w:rPr>
                <w:rFonts w:ascii="Arial" w:hAnsi="Arial" w:cs="Arial"/>
                <w:sz w:val="24"/>
                <w:szCs w:val="24"/>
              </w:rPr>
              <w:t xml:space="preserve">is </w:t>
            </w:r>
            <w:r w:rsidR="00A57DCC">
              <w:rPr>
                <w:rFonts w:ascii="Arial" w:hAnsi="Arial" w:cs="Arial"/>
                <w:sz w:val="24"/>
                <w:szCs w:val="24"/>
              </w:rPr>
              <w:t>report.</w:t>
            </w:r>
            <w:bookmarkEnd w:id="0"/>
            <w:bookmarkEnd w:id="1"/>
          </w:p>
        </w:tc>
      </w:tr>
    </w:tbl>
    <w:p w:rsidR="0097099E" w:rsidRPr="0089449E" w:rsidRDefault="0097099E" w:rsidP="00472040">
      <w:pPr>
        <w:jc w:val="both"/>
        <w:rPr>
          <w:rFonts w:ascii="Arial" w:hAnsi="Arial" w:cs="Arial"/>
          <w:szCs w:val="24"/>
        </w:rPr>
      </w:pPr>
    </w:p>
    <w:tbl>
      <w:tblPr>
        <w:tblW w:w="9606" w:type="dxa"/>
        <w:tblLayout w:type="fixed"/>
        <w:tblLook w:val="0000" w:firstRow="0" w:lastRow="0" w:firstColumn="0" w:lastColumn="0" w:noHBand="0" w:noVBand="0"/>
      </w:tblPr>
      <w:tblGrid>
        <w:gridCol w:w="817"/>
        <w:gridCol w:w="8789"/>
      </w:tblGrid>
      <w:tr w:rsidR="00A53534" w:rsidRPr="0089449E" w:rsidTr="00350BC6">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789"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rsidTr="00350BC6">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789"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w:t>
            </w:r>
            <w:r w:rsidR="00542E12">
              <w:rPr>
                <w:rFonts w:ascii="Arial" w:hAnsi="Arial" w:cs="Arial"/>
              </w:rPr>
              <w:t>s</w:t>
            </w:r>
            <w:r w:rsidRPr="00B0145D">
              <w:rPr>
                <w:rFonts w:ascii="Arial" w:hAnsi="Arial" w:cs="Arial"/>
              </w:rPr>
              <w:t xml:space="preserve"> from the High Life Highland (HLH) Business Plan:</w:t>
            </w:r>
          </w:p>
          <w:p w:rsidR="00B0145D" w:rsidRPr="00B0145D" w:rsidRDefault="00B0145D" w:rsidP="00B0145D">
            <w:pPr>
              <w:jc w:val="both"/>
              <w:rPr>
                <w:rFonts w:ascii="Arial" w:hAnsi="Arial" w:cs="Arial"/>
              </w:rPr>
            </w:pPr>
          </w:p>
          <w:p w:rsidR="0031751B" w:rsidRPr="00542E12" w:rsidRDefault="0031751B" w:rsidP="0031751B">
            <w:pPr>
              <w:pStyle w:val="ListParagraph"/>
              <w:numPr>
                <w:ilvl w:val="0"/>
                <w:numId w:val="6"/>
              </w:numPr>
              <w:spacing w:after="0" w:line="240" w:lineRule="auto"/>
              <w:jc w:val="both"/>
              <w:rPr>
                <w:rFonts w:ascii="Arial" w:hAnsi="Arial" w:cs="Arial"/>
                <w:b/>
                <w:sz w:val="24"/>
                <w:szCs w:val="24"/>
              </w:rPr>
            </w:pPr>
            <w:r w:rsidRPr="00542E12">
              <w:rPr>
                <w:rFonts w:ascii="Arial" w:hAnsi="Arial" w:cs="Arial"/>
                <w:b/>
                <w:sz w:val="24"/>
                <w:szCs w:val="24"/>
              </w:rPr>
              <w:t>To advance sustainable growth and financial sustainability</w:t>
            </w:r>
          </w:p>
          <w:p w:rsidR="0031751B" w:rsidRPr="00050D22" w:rsidRDefault="0031751B" w:rsidP="0031751B">
            <w:pPr>
              <w:pStyle w:val="ListParagraph"/>
              <w:numPr>
                <w:ilvl w:val="0"/>
                <w:numId w:val="6"/>
              </w:numPr>
              <w:spacing w:after="0" w:line="240" w:lineRule="auto"/>
              <w:jc w:val="both"/>
              <w:rPr>
                <w:rFonts w:ascii="Arial" w:hAnsi="Arial" w:cs="Arial"/>
                <w:b/>
                <w:sz w:val="24"/>
                <w:szCs w:val="24"/>
              </w:rPr>
            </w:pPr>
            <w:r w:rsidRPr="00050D22">
              <w:rPr>
                <w:rFonts w:ascii="Arial" w:hAnsi="Arial" w:cs="Arial"/>
                <w:b/>
                <w:sz w:val="24"/>
                <w:szCs w:val="24"/>
              </w:rPr>
              <w:t>Deliver the Service Delivery Contract with THC</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Improving staff satisfaction</w:t>
            </w:r>
          </w:p>
          <w:p w:rsidR="0031751B" w:rsidRPr="004749D1" w:rsidRDefault="0031751B" w:rsidP="0031751B">
            <w:pPr>
              <w:pStyle w:val="ListParagraph"/>
              <w:numPr>
                <w:ilvl w:val="0"/>
                <w:numId w:val="6"/>
              </w:numPr>
              <w:spacing w:after="0" w:line="240" w:lineRule="auto"/>
              <w:jc w:val="both"/>
              <w:rPr>
                <w:rFonts w:ascii="Arial" w:hAnsi="Arial" w:cs="Arial"/>
                <w:sz w:val="24"/>
                <w:szCs w:val="24"/>
              </w:rPr>
            </w:pPr>
            <w:r w:rsidRPr="004749D1">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rsidTr="00350BC6">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789"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rsidTr="00350BC6">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789" w:type="dxa"/>
          </w:tcPr>
          <w:p w:rsidR="008C5158" w:rsidRDefault="004A13CB" w:rsidP="00472040">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organisation and its subsidiaries.</w:t>
            </w:r>
          </w:p>
          <w:p w:rsidR="008C5158" w:rsidRPr="006909C6" w:rsidRDefault="008C5158" w:rsidP="00472040">
            <w:pPr>
              <w:jc w:val="both"/>
              <w:rPr>
                <w:rFonts w:ascii="Arial" w:hAnsi="Arial" w:cs="Arial"/>
                <w:szCs w:val="24"/>
              </w:rPr>
            </w:pPr>
          </w:p>
        </w:tc>
      </w:tr>
      <w:tr w:rsidR="004A13CB" w:rsidRPr="0089449E" w:rsidTr="00350BC6">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789"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w:t>
            </w:r>
            <w:r w:rsidR="000757C8">
              <w:rPr>
                <w:rFonts w:ascii="Arial" w:hAnsi="Arial" w:cs="Arial"/>
                <w:b/>
                <w:szCs w:val="24"/>
              </w:rPr>
              <w:t>for the year 2015/16</w:t>
            </w:r>
          </w:p>
          <w:p w:rsidR="004A13CB" w:rsidRDefault="004A13CB" w:rsidP="004A13CB">
            <w:pPr>
              <w:jc w:val="both"/>
              <w:rPr>
                <w:rFonts w:ascii="Arial" w:hAnsi="Arial" w:cs="Arial"/>
                <w:szCs w:val="24"/>
              </w:rPr>
            </w:pPr>
          </w:p>
        </w:tc>
      </w:tr>
      <w:tr w:rsidR="00A53534" w:rsidRPr="0089449E" w:rsidTr="00350BC6">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0757C8" w:rsidRDefault="000757C8"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t>3.2</w:t>
            </w: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r>
              <w:rPr>
                <w:rFonts w:ascii="Arial" w:hAnsi="Arial" w:cs="Arial"/>
                <w:szCs w:val="24"/>
              </w:rPr>
              <w:lastRenderedPageBreak/>
              <w:t>3.3</w:t>
            </w:r>
          </w:p>
          <w:p w:rsidR="007273AE" w:rsidRDefault="007273AE" w:rsidP="00472040">
            <w:pPr>
              <w:jc w:val="both"/>
              <w:rPr>
                <w:rFonts w:ascii="Arial" w:hAnsi="Arial" w:cs="Arial"/>
                <w:szCs w:val="24"/>
              </w:rPr>
            </w:pPr>
          </w:p>
          <w:p w:rsidR="000757C8" w:rsidRDefault="000757C8" w:rsidP="00414B67">
            <w:pPr>
              <w:jc w:val="both"/>
              <w:rPr>
                <w:rFonts w:ascii="Arial" w:hAnsi="Arial" w:cs="Arial"/>
                <w:szCs w:val="24"/>
              </w:rPr>
            </w:pPr>
          </w:p>
          <w:p w:rsidR="00EC352D" w:rsidRPr="00CD28C3" w:rsidRDefault="00EC352D" w:rsidP="000757C8">
            <w:pPr>
              <w:jc w:val="both"/>
              <w:rPr>
                <w:rFonts w:ascii="Arial" w:hAnsi="Arial" w:cs="Arial"/>
                <w:szCs w:val="24"/>
              </w:rPr>
            </w:pPr>
          </w:p>
        </w:tc>
        <w:tc>
          <w:tcPr>
            <w:tcW w:w="8789" w:type="dxa"/>
          </w:tcPr>
          <w:p w:rsidR="000757C8" w:rsidRPr="000757C8" w:rsidRDefault="00635750" w:rsidP="000757C8">
            <w:pPr>
              <w:contextualSpacing/>
              <w:jc w:val="both"/>
              <w:rPr>
                <w:rFonts w:ascii="Arial" w:eastAsia="Calibri" w:hAnsi="Arial" w:cs="Arial"/>
                <w:b/>
                <w:szCs w:val="24"/>
                <w:lang w:eastAsia="en-US"/>
              </w:rPr>
            </w:pPr>
            <w:r>
              <w:rPr>
                <w:rFonts w:ascii="Arial" w:hAnsi="Arial" w:cs="Arial"/>
                <w:szCs w:val="24"/>
              </w:rPr>
              <w:lastRenderedPageBreak/>
              <w:t xml:space="preserve">The </w:t>
            </w:r>
            <w:r w:rsidR="000757C8" w:rsidRPr="000757C8">
              <w:rPr>
                <w:rFonts w:ascii="Arial" w:eastAsia="Calibri" w:hAnsi="Arial" w:cs="Arial"/>
                <w:szCs w:val="24"/>
                <w:lang w:eastAsia="en-US"/>
              </w:rPr>
              <w:t xml:space="preserve">Management Accounts, subject to Audit, for the financial year 2015/16 have been prepared. HLH’s consolidated financial performance for the year is summarised in </w:t>
            </w:r>
            <w:r w:rsidR="000757C8" w:rsidRPr="000757C8">
              <w:rPr>
                <w:rFonts w:ascii="Arial" w:eastAsia="Calibri" w:hAnsi="Arial" w:cs="Arial"/>
                <w:b/>
                <w:szCs w:val="24"/>
                <w:lang w:eastAsia="en-US"/>
              </w:rPr>
              <w:t xml:space="preserve">Appendix A. </w:t>
            </w:r>
            <w:r w:rsidR="000757C8" w:rsidRPr="000757C8">
              <w:rPr>
                <w:rFonts w:ascii="Arial" w:eastAsia="Calibri" w:hAnsi="Arial" w:cs="Arial"/>
                <w:szCs w:val="24"/>
                <w:lang w:eastAsia="en-US"/>
              </w:rPr>
              <w:t xml:space="preserve">The results for the year are further split by cost category (revenues, staff costs, </w:t>
            </w:r>
            <w:proofErr w:type="gramStart"/>
            <w:r w:rsidR="000757C8" w:rsidRPr="000757C8">
              <w:rPr>
                <w:rFonts w:ascii="Arial" w:eastAsia="Calibri" w:hAnsi="Arial" w:cs="Arial"/>
                <w:szCs w:val="24"/>
                <w:lang w:eastAsia="en-US"/>
              </w:rPr>
              <w:t>other</w:t>
            </w:r>
            <w:proofErr w:type="gramEnd"/>
            <w:r w:rsidR="000757C8" w:rsidRPr="000757C8">
              <w:rPr>
                <w:rFonts w:ascii="Arial" w:eastAsia="Calibri" w:hAnsi="Arial" w:cs="Arial"/>
                <w:szCs w:val="24"/>
                <w:lang w:eastAsia="en-US"/>
              </w:rPr>
              <w:t xml:space="preserve"> costs) and the 9 business areas in </w:t>
            </w:r>
            <w:r w:rsidR="000757C8" w:rsidRPr="000757C8">
              <w:rPr>
                <w:rFonts w:ascii="Arial" w:eastAsia="Calibri" w:hAnsi="Arial" w:cs="Arial"/>
                <w:b/>
                <w:szCs w:val="24"/>
                <w:lang w:eastAsia="en-US"/>
              </w:rPr>
              <w:t>Appendix B</w:t>
            </w:r>
            <w:r w:rsidR="00A57DCC">
              <w:rPr>
                <w:rFonts w:ascii="Arial" w:eastAsia="Calibri" w:hAnsi="Arial" w:cs="Arial"/>
                <w:szCs w:val="24"/>
                <w:lang w:eastAsia="en-US"/>
              </w:rPr>
              <w:t>.</w:t>
            </w:r>
          </w:p>
          <w:p w:rsidR="00B0145D" w:rsidRDefault="00635750" w:rsidP="00635750">
            <w:pPr>
              <w:jc w:val="both"/>
              <w:rPr>
                <w:rFonts w:ascii="Arial" w:hAnsi="Arial" w:cs="Arial"/>
                <w:szCs w:val="24"/>
              </w:rPr>
            </w:pPr>
            <w:r>
              <w:rPr>
                <w:rFonts w:ascii="Arial" w:hAnsi="Arial" w:cs="Arial"/>
                <w:szCs w:val="24"/>
              </w:rPr>
              <w:t xml:space="preserve">  </w:t>
            </w:r>
          </w:p>
          <w:p w:rsidR="000757C8" w:rsidRPr="000757C8" w:rsidRDefault="000757C8" w:rsidP="000757C8">
            <w:pPr>
              <w:contextualSpacing/>
              <w:jc w:val="both"/>
              <w:rPr>
                <w:rFonts w:ascii="Arial" w:eastAsia="Calibri" w:hAnsi="Arial" w:cs="Arial"/>
                <w:b/>
                <w:szCs w:val="24"/>
                <w:lang w:eastAsia="en-US"/>
              </w:rPr>
            </w:pPr>
            <w:r w:rsidRPr="000757C8">
              <w:rPr>
                <w:rFonts w:ascii="Arial" w:eastAsia="Calibri" w:hAnsi="Arial" w:cs="Arial"/>
                <w:szCs w:val="24"/>
                <w:lang w:eastAsia="en-US"/>
              </w:rPr>
              <w:t>The net position is £</w:t>
            </w:r>
            <w:r>
              <w:rPr>
                <w:rFonts w:ascii="Arial" w:eastAsia="Calibri" w:hAnsi="Arial" w:cs="Arial"/>
                <w:szCs w:val="24"/>
                <w:lang w:eastAsia="en-US"/>
              </w:rPr>
              <w:t>247,714</w:t>
            </w:r>
            <w:r w:rsidRPr="000757C8">
              <w:rPr>
                <w:rFonts w:ascii="Arial" w:eastAsia="Calibri" w:hAnsi="Arial" w:cs="Arial"/>
                <w:szCs w:val="24"/>
                <w:lang w:eastAsia="en-US"/>
              </w:rPr>
              <w:t xml:space="preserve"> positive to budget with a commentary on the major variances (over £5K) provide</w:t>
            </w:r>
            <w:r w:rsidR="00A57DCC">
              <w:rPr>
                <w:rFonts w:ascii="Arial" w:eastAsia="Calibri" w:hAnsi="Arial" w:cs="Arial"/>
                <w:szCs w:val="24"/>
                <w:lang w:eastAsia="en-US"/>
              </w:rPr>
              <w:t>d</w:t>
            </w:r>
            <w:r w:rsidRPr="000757C8">
              <w:rPr>
                <w:rFonts w:ascii="Arial" w:eastAsia="Calibri" w:hAnsi="Arial" w:cs="Arial"/>
                <w:szCs w:val="24"/>
                <w:lang w:eastAsia="en-US"/>
              </w:rPr>
              <w:t xml:space="preserve"> in </w:t>
            </w:r>
            <w:r w:rsidRPr="000757C8">
              <w:rPr>
                <w:rFonts w:ascii="Arial" w:eastAsia="Calibri" w:hAnsi="Arial" w:cs="Arial"/>
                <w:b/>
                <w:szCs w:val="24"/>
                <w:lang w:eastAsia="en-US"/>
              </w:rPr>
              <w:t xml:space="preserve">Appendix C. </w:t>
            </w:r>
          </w:p>
          <w:p w:rsidR="00E61075" w:rsidRPr="002D76CB" w:rsidRDefault="000D0878" w:rsidP="003D776A">
            <w:pPr>
              <w:jc w:val="both"/>
              <w:rPr>
                <w:rFonts w:ascii="Arial" w:hAnsi="Arial" w:cs="Arial"/>
                <w:szCs w:val="24"/>
              </w:rPr>
            </w:pPr>
            <w:r>
              <w:rPr>
                <w:rFonts w:ascii="Arial" w:hAnsi="Arial" w:cs="Arial"/>
                <w:szCs w:val="24"/>
              </w:rPr>
              <w:lastRenderedPageBreak/>
              <w:t>The £</w:t>
            </w:r>
            <w:r w:rsidR="000757C8">
              <w:rPr>
                <w:rFonts w:ascii="Arial" w:hAnsi="Arial" w:cs="Arial"/>
                <w:szCs w:val="24"/>
              </w:rPr>
              <w:t>247,714</w:t>
            </w:r>
            <w:r>
              <w:rPr>
                <w:rFonts w:ascii="Arial" w:hAnsi="Arial" w:cs="Arial"/>
                <w:szCs w:val="24"/>
              </w:rPr>
              <w:t xml:space="preserve"> </w:t>
            </w:r>
            <w:r w:rsidR="003D776A">
              <w:rPr>
                <w:rFonts w:ascii="Arial" w:hAnsi="Arial" w:cs="Arial"/>
                <w:szCs w:val="24"/>
              </w:rPr>
              <w:t>positive</w:t>
            </w:r>
            <w:r>
              <w:rPr>
                <w:rFonts w:ascii="Arial" w:hAnsi="Arial" w:cs="Arial"/>
                <w:szCs w:val="24"/>
              </w:rPr>
              <w:t xml:space="preserve"> budget is made up of</w:t>
            </w:r>
            <w:r w:rsidR="001C4B5C" w:rsidRPr="00CB4EE8">
              <w:rPr>
                <w:rFonts w:ascii="Arial" w:hAnsi="Arial" w:cs="Arial"/>
                <w:szCs w:val="24"/>
              </w:rPr>
              <w:t xml:space="preserve"> </w:t>
            </w:r>
            <w:r w:rsidR="00542E12">
              <w:rPr>
                <w:rFonts w:ascii="Arial" w:hAnsi="Arial" w:cs="Arial"/>
                <w:szCs w:val="24"/>
              </w:rPr>
              <w:t>income</w:t>
            </w:r>
            <w:r w:rsidR="001C4B5C" w:rsidRPr="00CB4EE8">
              <w:rPr>
                <w:rFonts w:ascii="Arial" w:hAnsi="Arial" w:cs="Arial"/>
                <w:szCs w:val="24"/>
              </w:rPr>
              <w:t xml:space="preserve"> in excess of budget by £</w:t>
            </w:r>
            <w:r w:rsidR="000757C8">
              <w:rPr>
                <w:rFonts w:ascii="Arial" w:hAnsi="Arial" w:cs="Arial"/>
                <w:szCs w:val="24"/>
              </w:rPr>
              <w:t>315</w:t>
            </w:r>
            <w:r w:rsidR="00E61075">
              <w:rPr>
                <w:rFonts w:ascii="Arial" w:hAnsi="Arial" w:cs="Arial"/>
                <w:szCs w:val="24"/>
              </w:rPr>
              <w:t>K</w:t>
            </w:r>
            <w:r w:rsidR="00116476">
              <w:rPr>
                <w:rFonts w:ascii="Arial" w:hAnsi="Arial" w:cs="Arial"/>
                <w:szCs w:val="24"/>
              </w:rPr>
              <w:t xml:space="preserve"> (</w:t>
            </w:r>
            <w:r w:rsidR="00E61075">
              <w:rPr>
                <w:rFonts w:ascii="Arial" w:hAnsi="Arial" w:cs="Arial"/>
                <w:szCs w:val="24"/>
              </w:rPr>
              <w:t>1.</w:t>
            </w:r>
            <w:r w:rsidR="000757C8">
              <w:rPr>
                <w:rFonts w:ascii="Arial" w:hAnsi="Arial" w:cs="Arial"/>
                <w:szCs w:val="24"/>
              </w:rPr>
              <w:t>42</w:t>
            </w:r>
            <w:r w:rsidR="00116476">
              <w:rPr>
                <w:rFonts w:ascii="Arial" w:hAnsi="Arial" w:cs="Arial"/>
                <w:szCs w:val="24"/>
              </w:rPr>
              <w:t>%)</w:t>
            </w:r>
            <w:r w:rsidR="0010458D">
              <w:rPr>
                <w:rFonts w:ascii="Arial" w:hAnsi="Arial" w:cs="Arial"/>
                <w:szCs w:val="24"/>
              </w:rPr>
              <w:t xml:space="preserve">, </w:t>
            </w:r>
            <w:r w:rsidR="00346D32">
              <w:rPr>
                <w:rFonts w:ascii="Arial" w:hAnsi="Arial" w:cs="Arial"/>
                <w:szCs w:val="24"/>
              </w:rPr>
              <w:t>s</w:t>
            </w:r>
            <w:r w:rsidR="0010458D">
              <w:rPr>
                <w:rFonts w:ascii="Arial" w:hAnsi="Arial" w:cs="Arial"/>
                <w:szCs w:val="24"/>
              </w:rPr>
              <w:t>t</w:t>
            </w:r>
            <w:r w:rsidR="001C4B5C" w:rsidRPr="00CB4EE8">
              <w:rPr>
                <w:rFonts w:ascii="Arial" w:hAnsi="Arial" w:cs="Arial"/>
                <w:szCs w:val="24"/>
              </w:rPr>
              <w:t xml:space="preserve">aff costs </w:t>
            </w:r>
            <w:r w:rsidR="00420554">
              <w:rPr>
                <w:rFonts w:ascii="Arial" w:hAnsi="Arial" w:cs="Arial"/>
                <w:szCs w:val="24"/>
              </w:rPr>
              <w:t>under budget</w:t>
            </w:r>
            <w:r w:rsidR="001C4B5C" w:rsidRPr="00CB4EE8">
              <w:rPr>
                <w:rFonts w:ascii="Arial" w:hAnsi="Arial" w:cs="Arial"/>
                <w:szCs w:val="24"/>
              </w:rPr>
              <w:t xml:space="preserve"> by £</w:t>
            </w:r>
            <w:r w:rsidR="000757C8">
              <w:rPr>
                <w:rFonts w:ascii="Arial" w:hAnsi="Arial" w:cs="Arial"/>
                <w:szCs w:val="24"/>
              </w:rPr>
              <w:t>263</w:t>
            </w:r>
            <w:r w:rsidR="00CF250B">
              <w:rPr>
                <w:rFonts w:ascii="Arial" w:hAnsi="Arial" w:cs="Arial"/>
                <w:szCs w:val="24"/>
              </w:rPr>
              <w:t>K</w:t>
            </w:r>
            <w:r w:rsidR="00116476">
              <w:rPr>
                <w:rFonts w:ascii="Arial" w:hAnsi="Arial" w:cs="Arial"/>
                <w:szCs w:val="24"/>
              </w:rPr>
              <w:t xml:space="preserve"> (</w:t>
            </w:r>
            <w:r w:rsidR="000757C8">
              <w:rPr>
                <w:rFonts w:ascii="Arial" w:hAnsi="Arial" w:cs="Arial"/>
                <w:szCs w:val="24"/>
              </w:rPr>
              <w:t>1.6</w:t>
            </w:r>
            <w:r w:rsidR="00116476">
              <w:rPr>
                <w:rFonts w:ascii="Arial" w:hAnsi="Arial" w:cs="Arial"/>
                <w:szCs w:val="24"/>
              </w:rPr>
              <w:t>%)</w:t>
            </w:r>
            <w:r w:rsidR="008A3353">
              <w:rPr>
                <w:rFonts w:ascii="Arial" w:hAnsi="Arial" w:cs="Arial"/>
                <w:szCs w:val="24"/>
              </w:rPr>
              <w:t xml:space="preserve"> </w:t>
            </w:r>
            <w:r w:rsidR="0029314E">
              <w:rPr>
                <w:rFonts w:ascii="Arial" w:hAnsi="Arial" w:cs="Arial"/>
                <w:szCs w:val="24"/>
              </w:rPr>
              <w:t xml:space="preserve">and </w:t>
            </w:r>
            <w:r w:rsidR="001C4B5C" w:rsidRPr="00CB4EE8">
              <w:rPr>
                <w:rFonts w:ascii="Arial" w:hAnsi="Arial" w:cs="Arial"/>
                <w:szCs w:val="24"/>
              </w:rPr>
              <w:t>other costs over budget by £</w:t>
            </w:r>
            <w:r w:rsidR="000757C8">
              <w:rPr>
                <w:rFonts w:ascii="Arial" w:hAnsi="Arial" w:cs="Arial"/>
                <w:szCs w:val="24"/>
              </w:rPr>
              <w:t>331</w:t>
            </w:r>
            <w:r w:rsidR="00CF250B">
              <w:rPr>
                <w:rFonts w:ascii="Arial" w:hAnsi="Arial" w:cs="Arial"/>
                <w:szCs w:val="24"/>
              </w:rPr>
              <w:t>K</w:t>
            </w:r>
            <w:r w:rsidR="00116476">
              <w:rPr>
                <w:rFonts w:ascii="Arial" w:hAnsi="Arial" w:cs="Arial"/>
                <w:szCs w:val="24"/>
              </w:rPr>
              <w:t xml:space="preserve"> (</w:t>
            </w:r>
            <w:r w:rsidR="000757C8">
              <w:rPr>
                <w:rFonts w:ascii="Arial" w:hAnsi="Arial" w:cs="Arial"/>
                <w:szCs w:val="24"/>
              </w:rPr>
              <w:t>5.6</w:t>
            </w:r>
            <w:r w:rsidR="00116476">
              <w:rPr>
                <w:rFonts w:ascii="Arial" w:hAnsi="Arial" w:cs="Arial"/>
                <w:szCs w:val="24"/>
              </w:rPr>
              <w:t>%)</w:t>
            </w:r>
            <w:r w:rsidR="0010458D">
              <w:rPr>
                <w:rFonts w:ascii="Arial" w:hAnsi="Arial" w:cs="Arial"/>
                <w:szCs w:val="24"/>
              </w:rPr>
              <w:t>.</w:t>
            </w:r>
            <w:r w:rsidR="0029314E">
              <w:rPr>
                <w:rFonts w:ascii="Arial" w:hAnsi="Arial" w:cs="Arial"/>
                <w:szCs w:val="24"/>
              </w:rPr>
              <w:t xml:space="preserve"> </w:t>
            </w:r>
            <w:r w:rsidR="00686F9F">
              <w:rPr>
                <w:rFonts w:ascii="Arial" w:hAnsi="Arial" w:cs="Arial"/>
                <w:szCs w:val="24"/>
              </w:rPr>
              <w:t xml:space="preserve"> </w:t>
            </w:r>
          </w:p>
        </w:tc>
      </w:tr>
      <w:tr w:rsidR="006909C6" w:rsidRPr="0089449E" w:rsidTr="00350BC6">
        <w:tc>
          <w:tcPr>
            <w:tcW w:w="817" w:type="dxa"/>
          </w:tcPr>
          <w:p w:rsidR="006909C6" w:rsidRDefault="006909C6" w:rsidP="006909C6">
            <w:pPr>
              <w:jc w:val="both"/>
              <w:rPr>
                <w:rFonts w:ascii="Arial" w:hAnsi="Arial" w:cs="Arial"/>
                <w:b/>
                <w:szCs w:val="24"/>
              </w:rPr>
            </w:pPr>
            <w:r>
              <w:rPr>
                <w:rFonts w:ascii="Arial" w:hAnsi="Arial" w:cs="Arial"/>
                <w:b/>
                <w:szCs w:val="24"/>
              </w:rPr>
              <w:lastRenderedPageBreak/>
              <w:t>4.</w:t>
            </w:r>
          </w:p>
          <w:p w:rsidR="006909C6" w:rsidRDefault="006909C6" w:rsidP="007152A1">
            <w:pPr>
              <w:jc w:val="both"/>
              <w:rPr>
                <w:rFonts w:ascii="Arial" w:hAnsi="Arial" w:cs="Arial"/>
                <w:b/>
                <w:szCs w:val="24"/>
              </w:rPr>
            </w:pPr>
          </w:p>
        </w:tc>
        <w:tc>
          <w:tcPr>
            <w:tcW w:w="8789" w:type="dxa"/>
          </w:tcPr>
          <w:p w:rsidR="006909C6" w:rsidRDefault="00EF19DA" w:rsidP="006909C6">
            <w:pPr>
              <w:contextualSpacing/>
              <w:rPr>
                <w:rFonts w:ascii="Arial" w:hAnsi="Arial" w:cs="Arial"/>
                <w:b/>
              </w:rPr>
            </w:pPr>
            <w:r>
              <w:rPr>
                <w:rFonts w:ascii="Arial" w:hAnsi="Arial" w:cs="Arial"/>
                <w:b/>
              </w:rPr>
              <w:t>Changes to Approved budget</w:t>
            </w:r>
          </w:p>
          <w:p w:rsidR="006909C6" w:rsidRDefault="006909C6" w:rsidP="00B410B3">
            <w:pPr>
              <w:contextualSpacing/>
              <w:rPr>
                <w:rFonts w:ascii="Arial" w:hAnsi="Arial" w:cs="Arial"/>
                <w:b/>
              </w:rPr>
            </w:pPr>
          </w:p>
        </w:tc>
      </w:tr>
      <w:tr w:rsidR="006909C6" w:rsidRPr="0089449E" w:rsidTr="00350BC6">
        <w:tc>
          <w:tcPr>
            <w:tcW w:w="817" w:type="dxa"/>
          </w:tcPr>
          <w:p w:rsidR="006909C6" w:rsidRDefault="006909C6" w:rsidP="007152A1">
            <w:pPr>
              <w:jc w:val="both"/>
              <w:rPr>
                <w:rFonts w:ascii="Arial" w:hAnsi="Arial" w:cs="Arial"/>
                <w:szCs w:val="24"/>
              </w:rPr>
            </w:pPr>
            <w:r w:rsidRPr="006909C6">
              <w:rPr>
                <w:rFonts w:ascii="Arial" w:hAnsi="Arial" w:cs="Arial"/>
                <w:szCs w:val="24"/>
              </w:rPr>
              <w:t>4.1</w:t>
            </w:r>
          </w:p>
          <w:p w:rsidR="00EF19DA" w:rsidRDefault="00EF19DA" w:rsidP="007152A1">
            <w:pPr>
              <w:jc w:val="both"/>
              <w:rPr>
                <w:rFonts w:ascii="Arial" w:hAnsi="Arial" w:cs="Arial"/>
                <w:szCs w:val="24"/>
              </w:rPr>
            </w:pPr>
          </w:p>
          <w:p w:rsidR="00EF19DA" w:rsidRDefault="00EF19DA" w:rsidP="007152A1">
            <w:pPr>
              <w:jc w:val="both"/>
              <w:rPr>
                <w:rFonts w:ascii="Arial" w:hAnsi="Arial" w:cs="Arial"/>
                <w:szCs w:val="24"/>
              </w:rPr>
            </w:pPr>
          </w:p>
          <w:p w:rsidR="00EF19DA" w:rsidRPr="006909C6" w:rsidRDefault="00EF19DA" w:rsidP="007152A1">
            <w:pPr>
              <w:jc w:val="both"/>
              <w:rPr>
                <w:rFonts w:ascii="Arial" w:hAnsi="Arial" w:cs="Arial"/>
                <w:szCs w:val="24"/>
              </w:rPr>
            </w:pPr>
            <w:r>
              <w:rPr>
                <w:rFonts w:ascii="Arial" w:hAnsi="Arial" w:cs="Arial"/>
                <w:szCs w:val="24"/>
              </w:rPr>
              <w:t>4.2</w:t>
            </w:r>
          </w:p>
        </w:tc>
        <w:tc>
          <w:tcPr>
            <w:tcW w:w="8789" w:type="dxa"/>
          </w:tcPr>
          <w:p w:rsidR="00542E12" w:rsidRDefault="00EF19DA" w:rsidP="00EF19DA">
            <w:pPr>
              <w:jc w:val="both"/>
              <w:rPr>
                <w:rFonts w:ascii="Arial" w:hAnsi="Arial" w:cs="Arial"/>
                <w:szCs w:val="24"/>
              </w:rPr>
            </w:pPr>
            <w:r>
              <w:rPr>
                <w:rFonts w:ascii="Arial" w:hAnsi="Arial" w:cs="Arial"/>
                <w:b/>
                <w:szCs w:val="24"/>
              </w:rPr>
              <w:t xml:space="preserve">Appendix D </w:t>
            </w:r>
            <w:r w:rsidR="00A57DCC" w:rsidRPr="00A57DCC">
              <w:rPr>
                <w:rFonts w:ascii="Arial" w:hAnsi="Arial" w:cs="Arial"/>
                <w:szCs w:val="24"/>
              </w:rPr>
              <w:t>d</w:t>
            </w:r>
            <w:r w:rsidRPr="00A57DCC">
              <w:rPr>
                <w:rFonts w:ascii="Arial" w:hAnsi="Arial" w:cs="Arial"/>
                <w:szCs w:val="24"/>
              </w:rPr>
              <w:t>et</w:t>
            </w:r>
            <w:r>
              <w:rPr>
                <w:rFonts w:ascii="Arial" w:hAnsi="Arial" w:cs="Arial"/>
                <w:szCs w:val="24"/>
              </w:rPr>
              <w:t xml:space="preserve">ails the changes to the </w:t>
            </w:r>
            <w:r w:rsidR="00A57DCC">
              <w:rPr>
                <w:rFonts w:ascii="Arial" w:hAnsi="Arial" w:cs="Arial"/>
                <w:szCs w:val="24"/>
              </w:rPr>
              <w:t>b</w:t>
            </w:r>
            <w:r>
              <w:rPr>
                <w:rFonts w:ascii="Arial" w:hAnsi="Arial" w:cs="Arial"/>
                <w:szCs w:val="24"/>
              </w:rPr>
              <w:t>udget 2016/17</w:t>
            </w:r>
            <w:r w:rsidR="00CB21D1">
              <w:rPr>
                <w:rFonts w:ascii="Arial" w:hAnsi="Arial" w:cs="Arial"/>
                <w:szCs w:val="24"/>
              </w:rPr>
              <w:t>, which was approved subject to changes in March 2016,</w:t>
            </w:r>
            <w:r>
              <w:rPr>
                <w:rFonts w:ascii="Arial" w:hAnsi="Arial" w:cs="Arial"/>
                <w:szCs w:val="24"/>
              </w:rPr>
              <w:t xml:space="preserve"> together with explanations</w:t>
            </w:r>
            <w:r w:rsidR="00A57DCC">
              <w:rPr>
                <w:rFonts w:ascii="Arial" w:hAnsi="Arial" w:cs="Arial"/>
                <w:szCs w:val="24"/>
              </w:rPr>
              <w:t>.</w:t>
            </w:r>
          </w:p>
          <w:p w:rsidR="00EF19DA" w:rsidRDefault="00EF19DA" w:rsidP="00EF19DA">
            <w:pPr>
              <w:jc w:val="both"/>
              <w:rPr>
                <w:rFonts w:ascii="Arial" w:hAnsi="Arial" w:cs="Arial"/>
                <w:szCs w:val="24"/>
              </w:rPr>
            </w:pPr>
          </w:p>
          <w:p w:rsidR="00EF19DA" w:rsidRDefault="00A57DCC" w:rsidP="00EF19DA">
            <w:pPr>
              <w:jc w:val="both"/>
              <w:rPr>
                <w:rFonts w:ascii="Arial" w:hAnsi="Arial" w:cs="Arial"/>
                <w:szCs w:val="24"/>
              </w:rPr>
            </w:pPr>
            <w:r>
              <w:rPr>
                <w:rFonts w:ascii="Arial" w:hAnsi="Arial" w:cs="Arial"/>
                <w:szCs w:val="24"/>
              </w:rPr>
              <w:t>New additions to the services f</w:t>
            </w:r>
            <w:r w:rsidR="00EF19DA">
              <w:rPr>
                <w:rFonts w:ascii="Arial" w:hAnsi="Arial" w:cs="Arial"/>
                <w:szCs w:val="24"/>
              </w:rPr>
              <w:t xml:space="preserve">ee are still to be finalised for the </w:t>
            </w:r>
            <w:r w:rsidR="00CB21D1">
              <w:rPr>
                <w:rFonts w:ascii="Arial" w:hAnsi="Arial" w:cs="Arial"/>
                <w:szCs w:val="24"/>
              </w:rPr>
              <w:t>IRA and Wick community campuses.</w:t>
            </w:r>
          </w:p>
          <w:p w:rsidR="00EF19DA" w:rsidRPr="00EF19DA" w:rsidRDefault="00EF19DA" w:rsidP="00EF19DA">
            <w:pPr>
              <w:jc w:val="both"/>
              <w:rPr>
                <w:rFonts w:ascii="Arial" w:hAnsi="Arial" w:cs="Arial"/>
                <w:szCs w:val="24"/>
              </w:rPr>
            </w:pPr>
          </w:p>
        </w:tc>
      </w:tr>
      <w:tr w:rsidR="006909C6" w:rsidRPr="0089449E" w:rsidTr="00350BC6">
        <w:tc>
          <w:tcPr>
            <w:tcW w:w="817" w:type="dxa"/>
          </w:tcPr>
          <w:p w:rsidR="006909C6" w:rsidRPr="00774ABC" w:rsidRDefault="00216B0B" w:rsidP="007152A1">
            <w:pPr>
              <w:jc w:val="both"/>
              <w:rPr>
                <w:rFonts w:ascii="Arial" w:hAnsi="Arial" w:cs="Arial"/>
                <w:b/>
                <w:szCs w:val="24"/>
              </w:rPr>
            </w:pPr>
            <w:r w:rsidRPr="00774ABC">
              <w:rPr>
                <w:rFonts w:ascii="Arial" w:hAnsi="Arial" w:cs="Arial"/>
                <w:b/>
                <w:szCs w:val="24"/>
              </w:rPr>
              <w:t>5.</w:t>
            </w:r>
          </w:p>
          <w:p w:rsidR="00937BFB" w:rsidRDefault="00937BFB" w:rsidP="007152A1">
            <w:pPr>
              <w:jc w:val="both"/>
              <w:rPr>
                <w:rFonts w:ascii="Arial" w:hAnsi="Arial" w:cs="Arial"/>
                <w:szCs w:val="24"/>
              </w:rPr>
            </w:pPr>
          </w:p>
          <w:p w:rsidR="00937BFB" w:rsidRDefault="00937BFB" w:rsidP="007152A1">
            <w:pPr>
              <w:jc w:val="both"/>
              <w:rPr>
                <w:rFonts w:ascii="Arial" w:hAnsi="Arial" w:cs="Arial"/>
                <w:szCs w:val="24"/>
              </w:rPr>
            </w:pPr>
            <w:r>
              <w:rPr>
                <w:rFonts w:ascii="Arial" w:hAnsi="Arial" w:cs="Arial"/>
                <w:szCs w:val="24"/>
              </w:rPr>
              <w:t>5.1</w:t>
            </w:r>
          </w:p>
          <w:p w:rsidR="00937BFB" w:rsidRDefault="00937BFB" w:rsidP="007152A1">
            <w:pPr>
              <w:jc w:val="both"/>
              <w:rPr>
                <w:rFonts w:ascii="Arial" w:hAnsi="Arial" w:cs="Arial"/>
                <w:szCs w:val="24"/>
              </w:rPr>
            </w:pPr>
          </w:p>
          <w:p w:rsidR="00937BFB" w:rsidRDefault="00937BFB" w:rsidP="007152A1">
            <w:pPr>
              <w:jc w:val="both"/>
              <w:rPr>
                <w:rFonts w:ascii="Arial" w:hAnsi="Arial" w:cs="Arial"/>
                <w:szCs w:val="24"/>
              </w:rPr>
            </w:pPr>
          </w:p>
          <w:p w:rsidR="00937BFB" w:rsidRDefault="00937BFB" w:rsidP="007152A1">
            <w:pPr>
              <w:jc w:val="both"/>
              <w:rPr>
                <w:rFonts w:ascii="Arial" w:hAnsi="Arial" w:cs="Arial"/>
                <w:szCs w:val="24"/>
              </w:rPr>
            </w:pPr>
          </w:p>
          <w:p w:rsidR="00937BFB" w:rsidRDefault="00937BFB" w:rsidP="007152A1">
            <w:pPr>
              <w:jc w:val="both"/>
              <w:rPr>
                <w:rFonts w:ascii="Arial" w:hAnsi="Arial" w:cs="Arial"/>
                <w:szCs w:val="24"/>
              </w:rPr>
            </w:pPr>
            <w:r>
              <w:rPr>
                <w:rFonts w:ascii="Arial" w:hAnsi="Arial" w:cs="Arial"/>
                <w:szCs w:val="24"/>
              </w:rPr>
              <w:t>5.2</w:t>
            </w: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4749D1" w:rsidRDefault="004749D1" w:rsidP="007152A1">
            <w:pPr>
              <w:jc w:val="both"/>
              <w:rPr>
                <w:rFonts w:ascii="Arial" w:hAnsi="Arial" w:cs="Arial"/>
                <w:szCs w:val="24"/>
              </w:rPr>
            </w:pPr>
          </w:p>
          <w:p w:rsidR="00952DDB" w:rsidRPr="00952DDB" w:rsidRDefault="00952DDB" w:rsidP="004749D1">
            <w:pPr>
              <w:jc w:val="both"/>
              <w:rPr>
                <w:rFonts w:ascii="Arial" w:hAnsi="Arial" w:cs="Arial"/>
                <w:szCs w:val="24"/>
              </w:rPr>
            </w:pPr>
          </w:p>
        </w:tc>
        <w:tc>
          <w:tcPr>
            <w:tcW w:w="8789" w:type="dxa"/>
          </w:tcPr>
          <w:p w:rsidR="008035C2" w:rsidRDefault="008035C2" w:rsidP="008035C2">
            <w:pPr>
              <w:jc w:val="both"/>
              <w:rPr>
                <w:rFonts w:ascii="Arial" w:hAnsi="Arial" w:cs="Arial"/>
                <w:b/>
                <w:szCs w:val="24"/>
              </w:rPr>
            </w:pPr>
            <w:r w:rsidRPr="006B27BA">
              <w:rPr>
                <w:rFonts w:ascii="Arial" w:hAnsi="Arial" w:cs="Arial"/>
                <w:b/>
              </w:rPr>
              <w:t>Ernst &amp; Young (EY)</w:t>
            </w:r>
            <w:r>
              <w:rPr>
                <w:rFonts w:ascii="Arial" w:hAnsi="Arial" w:cs="Arial"/>
                <w:b/>
              </w:rPr>
              <w:t xml:space="preserve"> – VAT, Company-wide review</w:t>
            </w:r>
          </w:p>
          <w:p w:rsidR="00216B0B" w:rsidRDefault="00216B0B" w:rsidP="006909C6">
            <w:pPr>
              <w:rPr>
                <w:rFonts w:ascii="Arial" w:hAnsi="Arial" w:cs="Arial"/>
              </w:rPr>
            </w:pPr>
          </w:p>
          <w:p w:rsidR="008035C2" w:rsidRPr="008035C2" w:rsidRDefault="008035C2" w:rsidP="008035C2">
            <w:pPr>
              <w:jc w:val="both"/>
              <w:rPr>
                <w:rFonts w:ascii="Arial" w:hAnsi="Arial" w:cs="Arial"/>
              </w:rPr>
            </w:pPr>
            <w:r w:rsidRPr="008035C2">
              <w:rPr>
                <w:rFonts w:ascii="Arial" w:hAnsi="Arial" w:cs="Arial"/>
              </w:rPr>
              <w:t>Following Board approval to work with EY on VAT, a letter dated 20 April 2016, has been sent to HMRC advising of a potential underpayment of VAT relating to partial exemption and input tax.</w:t>
            </w:r>
          </w:p>
          <w:p w:rsidR="008035C2" w:rsidRPr="008035C2" w:rsidRDefault="008035C2" w:rsidP="008035C2">
            <w:pPr>
              <w:jc w:val="both"/>
              <w:rPr>
                <w:rFonts w:ascii="Arial" w:hAnsi="Arial" w:cs="Arial"/>
                <w:b/>
              </w:rPr>
            </w:pPr>
          </w:p>
          <w:p w:rsidR="008035C2" w:rsidRPr="008035C2" w:rsidRDefault="008035C2" w:rsidP="008035C2">
            <w:pPr>
              <w:jc w:val="both"/>
              <w:rPr>
                <w:rFonts w:ascii="Arial" w:hAnsi="Arial" w:cs="Arial"/>
              </w:rPr>
            </w:pPr>
            <w:r w:rsidRPr="008035C2">
              <w:rPr>
                <w:rFonts w:ascii="Arial" w:hAnsi="Arial" w:cs="Arial"/>
              </w:rPr>
              <w:t>The timescales moving forward are:</w:t>
            </w:r>
          </w:p>
          <w:p w:rsidR="008035C2" w:rsidRPr="008035C2" w:rsidRDefault="008035C2" w:rsidP="008035C2">
            <w:pPr>
              <w:jc w:val="both"/>
              <w:rPr>
                <w:rFonts w:ascii="Arial" w:hAnsi="Arial" w:cs="Arial"/>
              </w:rPr>
            </w:pPr>
          </w:p>
          <w:p w:rsidR="008035C2" w:rsidRPr="008035C2" w:rsidRDefault="008035C2" w:rsidP="008035C2">
            <w:pPr>
              <w:numPr>
                <w:ilvl w:val="0"/>
                <w:numId w:val="32"/>
              </w:numPr>
              <w:spacing w:after="200" w:line="276" w:lineRule="auto"/>
              <w:ind w:left="459" w:hanging="283"/>
              <w:jc w:val="both"/>
              <w:rPr>
                <w:rFonts w:ascii="Arial" w:hAnsi="Arial" w:cs="Arial"/>
              </w:rPr>
            </w:pPr>
            <w:r w:rsidRPr="008035C2">
              <w:rPr>
                <w:rFonts w:ascii="Arial" w:hAnsi="Arial" w:cs="Arial"/>
              </w:rPr>
              <w:t>mid July 2016 – Company-wide analysis to be completed for</w:t>
            </w:r>
            <w:r w:rsidR="00A57DCC">
              <w:rPr>
                <w:rFonts w:ascii="Arial" w:hAnsi="Arial" w:cs="Arial"/>
              </w:rPr>
              <w:t xml:space="preserve"> retrospective VAT position;  and</w:t>
            </w:r>
          </w:p>
          <w:p w:rsidR="008035C2" w:rsidRPr="008035C2" w:rsidRDefault="008035C2" w:rsidP="008035C2">
            <w:pPr>
              <w:numPr>
                <w:ilvl w:val="0"/>
                <w:numId w:val="32"/>
              </w:numPr>
              <w:spacing w:after="200" w:line="276" w:lineRule="auto"/>
              <w:ind w:left="459" w:hanging="283"/>
              <w:jc w:val="both"/>
              <w:rPr>
                <w:rFonts w:ascii="Arial" w:hAnsi="Arial" w:cs="Arial"/>
              </w:rPr>
            </w:pPr>
            <w:r w:rsidRPr="008035C2">
              <w:rPr>
                <w:rFonts w:ascii="Arial" w:hAnsi="Arial" w:cs="Arial"/>
              </w:rPr>
              <w:t>July 2016 - EY to approach HMRC on HLH’s behalf to discuss:</w:t>
            </w:r>
          </w:p>
          <w:p w:rsidR="008035C2" w:rsidRPr="008035C2" w:rsidRDefault="008035C2" w:rsidP="00562EB1">
            <w:pPr>
              <w:numPr>
                <w:ilvl w:val="1"/>
                <w:numId w:val="32"/>
              </w:numPr>
              <w:spacing w:line="276" w:lineRule="auto"/>
              <w:ind w:left="459" w:firstLine="0"/>
              <w:jc w:val="both"/>
              <w:rPr>
                <w:rFonts w:ascii="Arial" w:hAnsi="Arial" w:cs="Arial"/>
              </w:rPr>
            </w:pPr>
            <w:r w:rsidRPr="008035C2">
              <w:rPr>
                <w:rFonts w:ascii="Arial" w:hAnsi="Arial" w:cs="Arial"/>
              </w:rPr>
              <w:t>treatment of Grant Income; and</w:t>
            </w:r>
          </w:p>
          <w:p w:rsidR="008035C2" w:rsidRDefault="00A57DCC" w:rsidP="00562EB1">
            <w:pPr>
              <w:numPr>
                <w:ilvl w:val="1"/>
                <w:numId w:val="32"/>
              </w:numPr>
              <w:spacing w:line="276" w:lineRule="auto"/>
              <w:ind w:left="459" w:firstLine="0"/>
              <w:jc w:val="both"/>
              <w:rPr>
                <w:rFonts w:ascii="Arial" w:hAnsi="Arial" w:cs="Arial"/>
              </w:rPr>
            </w:pPr>
            <w:proofErr w:type="gramStart"/>
            <w:r>
              <w:rPr>
                <w:rFonts w:ascii="Arial" w:hAnsi="Arial" w:cs="Arial"/>
              </w:rPr>
              <w:t>p</w:t>
            </w:r>
            <w:r w:rsidR="008035C2" w:rsidRPr="008035C2">
              <w:rPr>
                <w:rFonts w:ascii="Arial" w:hAnsi="Arial" w:cs="Arial"/>
              </w:rPr>
              <w:t>rior</w:t>
            </w:r>
            <w:proofErr w:type="gramEnd"/>
            <w:r w:rsidR="008035C2" w:rsidRPr="008035C2">
              <w:rPr>
                <w:rFonts w:ascii="Arial" w:hAnsi="Arial" w:cs="Arial"/>
              </w:rPr>
              <w:t xml:space="preserve"> years from October 2011.</w:t>
            </w:r>
          </w:p>
          <w:p w:rsidR="00562EB1" w:rsidRDefault="00562EB1" w:rsidP="00562EB1">
            <w:pPr>
              <w:spacing w:line="276" w:lineRule="auto"/>
              <w:ind w:left="459"/>
              <w:jc w:val="both"/>
              <w:rPr>
                <w:rFonts w:ascii="Arial" w:hAnsi="Arial" w:cs="Arial"/>
              </w:rPr>
            </w:pPr>
          </w:p>
          <w:p w:rsidR="003A269D" w:rsidRDefault="003A269D" w:rsidP="003A269D">
            <w:pPr>
              <w:jc w:val="both"/>
              <w:rPr>
                <w:rFonts w:ascii="Arial" w:hAnsi="Arial" w:cs="Arial"/>
              </w:rPr>
            </w:pPr>
            <w:r>
              <w:rPr>
                <w:rFonts w:ascii="Arial" w:hAnsi="Arial" w:cs="Arial"/>
              </w:rPr>
              <w:t>While, at this early stage, an estimate of when the process will be concluded</w:t>
            </w:r>
            <w:r>
              <w:rPr>
                <w:rFonts w:ascii="Arial" w:hAnsi="Arial" w:cs="Arial"/>
                <w:color w:val="1F497D"/>
              </w:rPr>
              <w:t xml:space="preserve"> </w:t>
            </w:r>
            <w:r>
              <w:rPr>
                <w:rFonts w:ascii="Arial" w:hAnsi="Arial" w:cs="Arial"/>
                <w:color w:val="000000"/>
              </w:rPr>
              <w:t xml:space="preserve">cannot be provided, </w:t>
            </w:r>
            <w:r>
              <w:rPr>
                <w:rFonts w:ascii="Arial" w:hAnsi="Arial" w:cs="Arial"/>
              </w:rPr>
              <w:t xml:space="preserve">it is likely that the analysis and discussions with HMRC will be on going for a number of months. </w:t>
            </w:r>
          </w:p>
          <w:p w:rsidR="003A269D" w:rsidRDefault="003A269D" w:rsidP="008035C2">
            <w:pPr>
              <w:tabs>
                <w:tab w:val="left" w:pos="1260"/>
              </w:tabs>
              <w:jc w:val="both"/>
              <w:rPr>
                <w:rFonts w:ascii="Arial" w:hAnsi="Arial" w:cs="Arial"/>
              </w:rPr>
            </w:pPr>
          </w:p>
          <w:p w:rsidR="008035C2" w:rsidRPr="008035C2" w:rsidRDefault="008035C2" w:rsidP="008035C2">
            <w:pPr>
              <w:tabs>
                <w:tab w:val="left" w:pos="1260"/>
              </w:tabs>
              <w:jc w:val="both"/>
              <w:rPr>
                <w:rFonts w:ascii="Arial" w:hAnsi="Arial" w:cs="Arial"/>
                <w:b/>
                <w:color w:val="FF0000"/>
              </w:rPr>
            </w:pPr>
            <w:r w:rsidRPr="008035C2">
              <w:rPr>
                <w:rFonts w:ascii="Arial" w:hAnsi="Arial" w:cs="Arial"/>
              </w:rPr>
              <w:t xml:space="preserve">In the meantime, an accrual has been provided for in the </w:t>
            </w:r>
            <w:r w:rsidR="00A57DCC">
              <w:rPr>
                <w:rFonts w:ascii="Arial" w:hAnsi="Arial" w:cs="Arial"/>
              </w:rPr>
              <w:t>M</w:t>
            </w:r>
            <w:r w:rsidRPr="008035C2">
              <w:rPr>
                <w:rFonts w:ascii="Arial" w:hAnsi="Arial" w:cs="Arial"/>
              </w:rPr>
              <w:t xml:space="preserve">anagement </w:t>
            </w:r>
            <w:r w:rsidR="00A57DCC">
              <w:rPr>
                <w:rFonts w:ascii="Arial" w:hAnsi="Arial" w:cs="Arial"/>
              </w:rPr>
              <w:t>A</w:t>
            </w:r>
            <w:r w:rsidRPr="008035C2">
              <w:rPr>
                <w:rFonts w:ascii="Arial" w:hAnsi="Arial" w:cs="Arial"/>
              </w:rPr>
              <w:t>ccounts for 2015/16 to cover the potential increased payments relating to 2015/16.</w:t>
            </w:r>
            <w:r w:rsidRPr="008035C2">
              <w:rPr>
                <w:rFonts w:ascii="Arial" w:hAnsi="Arial" w:cs="Arial"/>
                <w:b/>
                <w:color w:val="FF0000"/>
              </w:rPr>
              <w:tab/>
            </w:r>
          </w:p>
          <w:p w:rsidR="008035C2" w:rsidRPr="00BD0989" w:rsidRDefault="008035C2" w:rsidP="008C5158">
            <w:pPr>
              <w:contextualSpacing/>
              <w:jc w:val="both"/>
              <w:rPr>
                <w:rFonts w:ascii="Arial" w:hAnsi="Arial" w:cs="Arial"/>
                <w:b/>
              </w:rPr>
            </w:pPr>
          </w:p>
        </w:tc>
      </w:tr>
      <w:tr w:rsidR="00137D7A" w:rsidRPr="0089449E" w:rsidTr="00350BC6">
        <w:tc>
          <w:tcPr>
            <w:tcW w:w="817" w:type="dxa"/>
          </w:tcPr>
          <w:p w:rsidR="00137D7A" w:rsidRDefault="00846D14" w:rsidP="00472040">
            <w:pPr>
              <w:jc w:val="both"/>
              <w:rPr>
                <w:rFonts w:ascii="Arial" w:hAnsi="Arial" w:cs="Arial"/>
                <w:b/>
                <w:szCs w:val="24"/>
              </w:rPr>
            </w:pPr>
            <w:r>
              <w:rPr>
                <w:rFonts w:ascii="Arial" w:hAnsi="Arial" w:cs="Arial"/>
                <w:b/>
                <w:szCs w:val="24"/>
              </w:rPr>
              <w:t>6</w:t>
            </w:r>
            <w:r w:rsidR="00137D7A">
              <w:rPr>
                <w:rFonts w:ascii="Arial" w:hAnsi="Arial" w:cs="Arial"/>
                <w:b/>
                <w:szCs w:val="24"/>
              </w:rPr>
              <w:t>.</w:t>
            </w:r>
          </w:p>
          <w:p w:rsidR="003341BE" w:rsidRDefault="003341BE" w:rsidP="00472040">
            <w:pPr>
              <w:jc w:val="both"/>
              <w:rPr>
                <w:rFonts w:ascii="Arial" w:hAnsi="Arial" w:cs="Arial"/>
                <w:b/>
                <w:szCs w:val="24"/>
              </w:rPr>
            </w:pPr>
          </w:p>
        </w:tc>
        <w:tc>
          <w:tcPr>
            <w:tcW w:w="8789" w:type="dxa"/>
          </w:tcPr>
          <w:p w:rsidR="00137D7A" w:rsidRPr="00137D7A" w:rsidRDefault="000D70EE" w:rsidP="006909C6">
            <w:pPr>
              <w:rPr>
                <w:rFonts w:ascii="Arial" w:hAnsi="Arial" w:cs="Arial"/>
                <w:b/>
              </w:rPr>
            </w:pPr>
            <w:r>
              <w:rPr>
                <w:rFonts w:ascii="Arial" w:hAnsi="Arial" w:cs="Arial"/>
                <w:b/>
              </w:rPr>
              <w:t xml:space="preserve">Annual Review of Financial Regulations </w:t>
            </w:r>
          </w:p>
        </w:tc>
      </w:tr>
      <w:tr w:rsidR="00137D7A" w:rsidRPr="0089449E" w:rsidTr="00350BC6">
        <w:tc>
          <w:tcPr>
            <w:tcW w:w="817" w:type="dxa"/>
          </w:tcPr>
          <w:p w:rsidR="00137D7A" w:rsidRDefault="00846D14" w:rsidP="00472040">
            <w:pPr>
              <w:jc w:val="both"/>
              <w:rPr>
                <w:rFonts w:ascii="Arial" w:hAnsi="Arial" w:cs="Arial"/>
                <w:szCs w:val="24"/>
              </w:rPr>
            </w:pPr>
            <w:r>
              <w:rPr>
                <w:rFonts w:ascii="Arial" w:hAnsi="Arial" w:cs="Arial"/>
                <w:szCs w:val="24"/>
              </w:rPr>
              <w:t>6</w:t>
            </w:r>
            <w:r w:rsidR="00137D7A">
              <w:rPr>
                <w:rFonts w:ascii="Arial" w:hAnsi="Arial" w:cs="Arial"/>
                <w:szCs w:val="24"/>
              </w:rPr>
              <w:t>.1</w:t>
            </w:r>
          </w:p>
          <w:p w:rsidR="003341BE" w:rsidRPr="00137D7A" w:rsidRDefault="003341BE" w:rsidP="00472040">
            <w:pPr>
              <w:jc w:val="both"/>
              <w:rPr>
                <w:rFonts w:ascii="Arial" w:hAnsi="Arial" w:cs="Arial"/>
                <w:szCs w:val="24"/>
              </w:rPr>
            </w:pPr>
          </w:p>
        </w:tc>
        <w:tc>
          <w:tcPr>
            <w:tcW w:w="8789" w:type="dxa"/>
          </w:tcPr>
          <w:p w:rsidR="000D70EE" w:rsidRPr="000D70EE" w:rsidRDefault="000D70EE" w:rsidP="000D70EE">
            <w:pPr>
              <w:autoSpaceDE w:val="0"/>
              <w:autoSpaceDN w:val="0"/>
              <w:adjustRightInd w:val="0"/>
              <w:jc w:val="both"/>
              <w:rPr>
                <w:rFonts w:ascii="Arial" w:eastAsia="Calibri" w:hAnsi="Arial" w:cs="Arial"/>
                <w:b/>
                <w:szCs w:val="24"/>
                <w:lang w:eastAsia="en-US"/>
              </w:rPr>
            </w:pPr>
            <w:r w:rsidRPr="000D70EE">
              <w:rPr>
                <w:rFonts w:ascii="Arial" w:hAnsi="Arial" w:cs="Arial"/>
              </w:rPr>
              <w:t xml:space="preserve">A review of the Financial Regulations and Standing Orders remains on-going throughout the year and there are no issues to report. </w:t>
            </w:r>
          </w:p>
          <w:p w:rsidR="00137D7A" w:rsidRPr="00137D7A" w:rsidRDefault="00137D7A" w:rsidP="006909C6">
            <w:pPr>
              <w:rPr>
                <w:rFonts w:ascii="Arial" w:hAnsi="Arial" w:cs="Arial"/>
                <w:b/>
              </w:rPr>
            </w:pPr>
          </w:p>
        </w:tc>
      </w:tr>
      <w:tr w:rsidR="006909C6" w:rsidRPr="0089449E" w:rsidTr="00350BC6">
        <w:tc>
          <w:tcPr>
            <w:tcW w:w="817" w:type="dxa"/>
          </w:tcPr>
          <w:p w:rsidR="006909C6" w:rsidRDefault="00846D14" w:rsidP="00472040">
            <w:pPr>
              <w:jc w:val="both"/>
              <w:rPr>
                <w:rFonts w:ascii="Arial" w:hAnsi="Arial" w:cs="Arial"/>
                <w:b/>
                <w:szCs w:val="24"/>
              </w:rPr>
            </w:pPr>
            <w:r>
              <w:rPr>
                <w:rFonts w:ascii="Arial" w:hAnsi="Arial" w:cs="Arial"/>
                <w:b/>
                <w:szCs w:val="24"/>
              </w:rPr>
              <w:t>7</w:t>
            </w:r>
            <w:r w:rsidR="006909C6">
              <w:rPr>
                <w:rFonts w:ascii="Arial" w:hAnsi="Arial" w:cs="Arial"/>
                <w:b/>
                <w:szCs w:val="24"/>
              </w:rPr>
              <w:t>.</w:t>
            </w:r>
          </w:p>
          <w:p w:rsidR="003341BE" w:rsidRDefault="003341BE" w:rsidP="00472040">
            <w:pPr>
              <w:jc w:val="both"/>
              <w:rPr>
                <w:rFonts w:ascii="Arial" w:hAnsi="Arial" w:cs="Arial"/>
                <w:b/>
                <w:szCs w:val="24"/>
              </w:rPr>
            </w:pPr>
          </w:p>
        </w:tc>
        <w:tc>
          <w:tcPr>
            <w:tcW w:w="8789" w:type="dxa"/>
          </w:tcPr>
          <w:p w:rsidR="006909C6" w:rsidRDefault="000D70EE" w:rsidP="00B410B3">
            <w:pPr>
              <w:rPr>
                <w:rFonts w:ascii="Arial" w:hAnsi="Arial" w:cs="Arial"/>
                <w:b/>
              </w:rPr>
            </w:pPr>
            <w:r>
              <w:rPr>
                <w:rFonts w:ascii="Arial" w:hAnsi="Arial" w:cs="Arial"/>
                <w:b/>
              </w:rPr>
              <w:t>Annual Review of Insurance</w:t>
            </w:r>
          </w:p>
        </w:tc>
      </w:tr>
      <w:tr w:rsidR="007152A1" w:rsidRPr="0089449E" w:rsidTr="00350BC6">
        <w:tc>
          <w:tcPr>
            <w:tcW w:w="817" w:type="dxa"/>
          </w:tcPr>
          <w:p w:rsidR="007152A1" w:rsidRDefault="00846D14" w:rsidP="00472040">
            <w:pPr>
              <w:jc w:val="both"/>
              <w:rPr>
                <w:rFonts w:ascii="Arial" w:hAnsi="Arial" w:cs="Arial"/>
                <w:szCs w:val="24"/>
              </w:rPr>
            </w:pPr>
            <w:r>
              <w:rPr>
                <w:rFonts w:ascii="Arial" w:hAnsi="Arial" w:cs="Arial"/>
                <w:szCs w:val="24"/>
              </w:rPr>
              <w:t>7</w:t>
            </w:r>
            <w:r w:rsidR="006909C6" w:rsidRPr="006909C6">
              <w:rPr>
                <w:rFonts w:ascii="Arial" w:hAnsi="Arial" w:cs="Arial"/>
                <w:szCs w:val="24"/>
              </w:rPr>
              <w:t>.1</w:t>
            </w:r>
          </w:p>
          <w:p w:rsidR="00952DDB" w:rsidRDefault="00952DDB" w:rsidP="00472040">
            <w:pPr>
              <w:jc w:val="both"/>
              <w:rPr>
                <w:rFonts w:ascii="Arial" w:hAnsi="Arial" w:cs="Arial"/>
                <w:szCs w:val="24"/>
              </w:rPr>
            </w:pPr>
          </w:p>
          <w:p w:rsidR="00952DDB" w:rsidRDefault="00952DDB" w:rsidP="00472040">
            <w:pPr>
              <w:jc w:val="both"/>
              <w:rPr>
                <w:rFonts w:ascii="Arial" w:hAnsi="Arial" w:cs="Arial"/>
                <w:szCs w:val="24"/>
              </w:rPr>
            </w:pPr>
          </w:p>
          <w:p w:rsidR="00952DDB" w:rsidRDefault="00952DDB" w:rsidP="00472040">
            <w:pPr>
              <w:jc w:val="both"/>
              <w:rPr>
                <w:rFonts w:ascii="Arial" w:hAnsi="Arial" w:cs="Arial"/>
                <w:szCs w:val="24"/>
              </w:rPr>
            </w:pPr>
          </w:p>
          <w:p w:rsidR="00952DDB" w:rsidRPr="006909C6" w:rsidRDefault="00952DDB" w:rsidP="00472040">
            <w:pPr>
              <w:jc w:val="both"/>
              <w:rPr>
                <w:rFonts w:ascii="Arial" w:hAnsi="Arial" w:cs="Arial"/>
                <w:szCs w:val="24"/>
              </w:rPr>
            </w:pPr>
          </w:p>
        </w:tc>
        <w:tc>
          <w:tcPr>
            <w:tcW w:w="8789" w:type="dxa"/>
          </w:tcPr>
          <w:p w:rsidR="007152A1" w:rsidRPr="000D70EE" w:rsidRDefault="000D70EE" w:rsidP="00FC5923">
            <w:pPr>
              <w:jc w:val="both"/>
              <w:rPr>
                <w:rFonts w:ascii="Arial" w:hAnsi="Arial" w:cs="Arial"/>
              </w:rPr>
            </w:pPr>
            <w:r>
              <w:rPr>
                <w:rFonts w:ascii="Arial" w:hAnsi="Arial" w:cs="Arial"/>
              </w:rPr>
              <w:t>HLH Insuranc</w:t>
            </w:r>
            <w:r w:rsidR="00FC5923">
              <w:rPr>
                <w:rFonts w:ascii="Arial" w:hAnsi="Arial" w:cs="Arial"/>
              </w:rPr>
              <w:t>e Cover is included as part of T</w:t>
            </w:r>
            <w:r>
              <w:rPr>
                <w:rFonts w:ascii="Arial" w:hAnsi="Arial" w:cs="Arial"/>
              </w:rPr>
              <w:t>he Highland Council Insurance Cover. THC regularly reviews the Insurance Cover and forwards a detail</w:t>
            </w:r>
            <w:r w:rsidR="00A57DCC">
              <w:rPr>
                <w:rFonts w:ascii="Arial" w:hAnsi="Arial" w:cs="Arial"/>
              </w:rPr>
              <w:t>ed schedule annually to HLH.  The</w:t>
            </w:r>
            <w:r>
              <w:rPr>
                <w:rFonts w:ascii="Arial" w:hAnsi="Arial" w:cs="Arial"/>
              </w:rPr>
              <w:t xml:space="preserve"> insurance renewed on 1 April 2016 for 201</w:t>
            </w:r>
            <w:r w:rsidR="00CB21D1">
              <w:rPr>
                <w:rFonts w:ascii="Arial" w:hAnsi="Arial" w:cs="Arial"/>
              </w:rPr>
              <w:t>6/17</w:t>
            </w:r>
            <w:r>
              <w:rPr>
                <w:rFonts w:ascii="Arial" w:hAnsi="Arial" w:cs="Arial"/>
              </w:rPr>
              <w:t xml:space="preserve"> and new additions are advised throughout the year as and when required</w:t>
            </w:r>
            <w:r w:rsidR="00FC5923">
              <w:rPr>
                <w:rFonts w:ascii="Arial" w:hAnsi="Arial" w:cs="Arial"/>
              </w:rPr>
              <w:t>.</w:t>
            </w:r>
          </w:p>
        </w:tc>
      </w:tr>
      <w:tr w:rsidR="007152A1" w:rsidRPr="0089449E" w:rsidTr="00350BC6">
        <w:tc>
          <w:tcPr>
            <w:tcW w:w="817" w:type="dxa"/>
          </w:tcPr>
          <w:p w:rsidR="007152A1" w:rsidRDefault="00846D14" w:rsidP="00B410B3">
            <w:pPr>
              <w:autoSpaceDE w:val="0"/>
              <w:autoSpaceDN w:val="0"/>
              <w:adjustRightInd w:val="0"/>
              <w:rPr>
                <w:rFonts w:ascii="Arial" w:hAnsi="Arial" w:cs="Arial"/>
                <w:b/>
              </w:rPr>
            </w:pPr>
            <w:r>
              <w:rPr>
                <w:rFonts w:ascii="Arial" w:hAnsi="Arial" w:cs="Arial"/>
                <w:b/>
              </w:rPr>
              <w:t>8</w:t>
            </w:r>
            <w:r w:rsidR="007152A1" w:rsidRPr="008A3353">
              <w:rPr>
                <w:rFonts w:ascii="Arial" w:hAnsi="Arial" w:cs="Arial"/>
                <w:b/>
              </w:rPr>
              <w:t>.</w:t>
            </w:r>
          </w:p>
          <w:p w:rsidR="007152A1" w:rsidRDefault="007152A1" w:rsidP="00B410B3">
            <w:pPr>
              <w:autoSpaceDE w:val="0"/>
              <w:autoSpaceDN w:val="0"/>
              <w:adjustRightInd w:val="0"/>
              <w:rPr>
                <w:rFonts w:ascii="Arial" w:hAnsi="Arial" w:cs="Arial"/>
                <w:b/>
              </w:rPr>
            </w:pPr>
          </w:p>
          <w:p w:rsidR="007152A1" w:rsidRDefault="00846D14" w:rsidP="00B410B3">
            <w:pPr>
              <w:autoSpaceDE w:val="0"/>
              <w:autoSpaceDN w:val="0"/>
              <w:adjustRightInd w:val="0"/>
              <w:rPr>
                <w:rFonts w:ascii="Arial" w:hAnsi="Arial" w:cs="Arial"/>
              </w:rPr>
            </w:pPr>
            <w:r>
              <w:rPr>
                <w:rFonts w:ascii="Arial" w:hAnsi="Arial" w:cs="Arial"/>
              </w:rPr>
              <w:t>8</w:t>
            </w:r>
            <w:r w:rsidR="007152A1">
              <w:rPr>
                <w:rFonts w:ascii="Arial" w:hAnsi="Arial" w:cs="Arial"/>
              </w:rPr>
              <w:t>.1</w:t>
            </w:r>
          </w:p>
          <w:p w:rsidR="007152A1" w:rsidRDefault="007152A1" w:rsidP="00B410B3">
            <w:pPr>
              <w:autoSpaceDE w:val="0"/>
              <w:autoSpaceDN w:val="0"/>
              <w:adjustRightInd w:val="0"/>
              <w:rPr>
                <w:rFonts w:ascii="Arial" w:hAnsi="Arial" w:cs="Arial"/>
              </w:rPr>
            </w:pPr>
          </w:p>
          <w:p w:rsidR="007152A1" w:rsidRDefault="007152A1" w:rsidP="00B410B3">
            <w:pPr>
              <w:autoSpaceDE w:val="0"/>
              <w:autoSpaceDN w:val="0"/>
              <w:adjustRightInd w:val="0"/>
              <w:rPr>
                <w:rFonts w:ascii="Arial" w:hAnsi="Arial" w:cs="Arial"/>
              </w:rPr>
            </w:pPr>
          </w:p>
          <w:p w:rsidR="007152A1" w:rsidRPr="00C23166" w:rsidRDefault="007152A1" w:rsidP="00B410B3">
            <w:pPr>
              <w:autoSpaceDE w:val="0"/>
              <w:autoSpaceDN w:val="0"/>
              <w:adjustRightInd w:val="0"/>
              <w:rPr>
                <w:rFonts w:ascii="Arial" w:hAnsi="Arial" w:cs="Arial"/>
              </w:rPr>
            </w:pPr>
          </w:p>
        </w:tc>
        <w:tc>
          <w:tcPr>
            <w:tcW w:w="8789" w:type="dxa"/>
          </w:tcPr>
          <w:p w:rsidR="007152A1" w:rsidRDefault="007152A1" w:rsidP="007152A1">
            <w:pPr>
              <w:autoSpaceDE w:val="0"/>
              <w:autoSpaceDN w:val="0"/>
              <w:adjustRightInd w:val="0"/>
              <w:jc w:val="both"/>
              <w:rPr>
                <w:rFonts w:ascii="Arial" w:hAnsi="Arial" w:cs="Arial"/>
                <w:b/>
                <w:szCs w:val="24"/>
              </w:rPr>
            </w:pPr>
            <w:r>
              <w:rPr>
                <w:rFonts w:ascii="Arial" w:hAnsi="Arial" w:cs="Arial"/>
                <w:b/>
                <w:szCs w:val="24"/>
              </w:rPr>
              <w:lastRenderedPageBreak/>
              <w:t xml:space="preserve">Procurement - </w:t>
            </w:r>
            <w:r w:rsidRPr="00554631">
              <w:rPr>
                <w:rFonts w:ascii="Arial" w:hAnsi="Arial" w:cs="Arial"/>
                <w:b/>
                <w:szCs w:val="24"/>
              </w:rPr>
              <w:t>Tenders Approved/Contracts Awarded</w:t>
            </w:r>
          </w:p>
          <w:p w:rsidR="00940C80" w:rsidRDefault="00940C80" w:rsidP="007152A1">
            <w:pPr>
              <w:autoSpaceDE w:val="0"/>
              <w:autoSpaceDN w:val="0"/>
              <w:adjustRightInd w:val="0"/>
              <w:jc w:val="both"/>
              <w:rPr>
                <w:rFonts w:ascii="Arial" w:hAnsi="Arial" w:cs="Arial"/>
                <w:b/>
                <w:szCs w:val="24"/>
              </w:rPr>
            </w:pPr>
          </w:p>
          <w:tbl>
            <w:tblPr>
              <w:tblStyle w:val="TableGrid"/>
              <w:tblW w:w="8676" w:type="dxa"/>
              <w:tblLayout w:type="fixed"/>
              <w:tblLook w:val="04A0" w:firstRow="1" w:lastRow="0" w:firstColumn="1" w:lastColumn="0" w:noHBand="0" w:noVBand="1"/>
            </w:tblPr>
            <w:tblGrid>
              <w:gridCol w:w="3147"/>
              <w:gridCol w:w="3402"/>
              <w:gridCol w:w="2127"/>
            </w:tblGrid>
            <w:tr w:rsidR="00DE661F" w:rsidRPr="00AC7F09" w:rsidTr="00A57DCC">
              <w:tc>
                <w:tcPr>
                  <w:tcW w:w="3147" w:type="dxa"/>
                </w:tcPr>
                <w:p w:rsidR="00DE661F" w:rsidRPr="00AC7F09" w:rsidRDefault="00DE661F" w:rsidP="00561999">
                  <w:pPr>
                    <w:rPr>
                      <w:rFonts w:ascii="Arial" w:hAnsi="Arial" w:cs="Arial"/>
                      <w:szCs w:val="24"/>
                    </w:rPr>
                  </w:pPr>
                  <w:r w:rsidRPr="00AC7F09">
                    <w:rPr>
                      <w:rFonts w:ascii="Arial" w:hAnsi="Arial" w:cs="Arial"/>
                      <w:szCs w:val="24"/>
                    </w:rPr>
                    <w:t>The Design Concept Ltd</w:t>
                  </w:r>
                </w:p>
              </w:tc>
              <w:tc>
                <w:tcPr>
                  <w:tcW w:w="3402" w:type="dxa"/>
                </w:tcPr>
                <w:p w:rsidR="00DE661F" w:rsidRPr="00AC7F09" w:rsidRDefault="00DE661F" w:rsidP="00561999">
                  <w:pPr>
                    <w:rPr>
                      <w:rFonts w:ascii="Arial" w:hAnsi="Arial" w:cs="Arial"/>
                      <w:szCs w:val="24"/>
                    </w:rPr>
                  </w:pPr>
                  <w:r w:rsidRPr="00AC7F09">
                    <w:rPr>
                      <w:rFonts w:ascii="Arial" w:hAnsi="Arial" w:cs="Arial"/>
                      <w:szCs w:val="24"/>
                    </w:rPr>
                    <w:t>Design and Fit Out of Wick Campus Library and Reception Area</w:t>
                  </w:r>
                </w:p>
              </w:tc>
              <w:tc>
                <w:tcPr>
                  <w:tcW w:w="2127" w:type="dxa"/>
                </w:tcPr>
                <w:p w:rsidR="00DE661F" w:rsidRPr="00AC7F09" w:rsidRDefault="00DE661F" w:rsidP="00561999">
                  <w:pPr>
                    <w:rPr>
                      <w:rFonts w:ascii="Arial" w:hAnsi="Arial" w:cs="Arial"/>
                      <w:szCs w:val="24"/>
                    </w:rPr>
                  </w:pPr>
                  <w:r w:rsidRPr="00AC7F09">
                    <w:rPr>
                      <w:rFonts w:ascii="Arial" w:hAnsi="Arial" w:cs="Arial"/>
                      <w:szCs w:val="24"/>
                    </w:rPr>
                    <w:t>Mar-Oct 2016</w:t>
                  </w:r>
                </w:p>
              </w:tc>
            </w:tr>
            <w:tr w:rsidR="00DE661F" w:rsidRPr="00AC7F09" w:rsidTr="00A57DCC">
              <w:tc>
                <w:tcPr>
                  <w:tcW w:w="3147" w:type="dxa"/>
                </w:tcPr>
                <w:p w:rsidR="00DE661F" w:rsidRPr="00AC7F09" w:rsidRDefault="00DE661F" w:rsidP="00561999">
                  <w:pPr>
                    <w:rPr>
                      <w:rFonts w:ascii="Arial" w:hAnsi="Arial" w:cs="Arial"/>
                      <w:szCs w:val="24"/>
                    </w:rPr>
                  </w:pPr>
                  <w:r w:rsidRPr="00AC7F09">
                    <w:rPr>
                      <w:rFonts w:ascii="Arial" w:hAnsi="Arial" w:cs="Arial"/>
                      <w:szCs w:val="24"/>
                    </w:rPr>
                    <w:lastRenderedPageBreak/>
                    <w:t>AOC Archaeology Group</w:t>
                  </w:r>
                </w:p>
              </w:tc>
              <w:tc>
                <w:tcPr>
                  <w:tcW w:w="3402" w:type="dxa"/>
                </w:tcPr>
                <w:p w:rsidR="00DE661F" w:rsidRPr="00AC7F09" w:rsidRDefault="00DE661F" w:rsidP="00561999">
                  <w:pPr>
                    <w:rPr>
                      <w:rFonts w:ascii="Arial" w:hAnsi="Arial" w:cs="Arial"/>
                      <w:szCs w:val="24"/>
                    </w:rPr>
                  </w:pPr>
                  <w:r w:rsidRPr="00AC7F09">
                    <w:rPr>
                      <w:rFonts w:ascii="Arial" w:hAnsi="Arial" w:cs="Arial"/>
                      <w:szCs w:val="24"/>
                    </w:rPr>
                    <w:t>Townscape Heritage Digital Trails</w:t>
                  </w:r>
                </w:p>
              </w:tc>
              <w:tc>
                <w:tcPr>
                  <w:tcW w:w="2127" w:type="dxa"/>
                </w:tcPr>
                <w:p w:rsidR="00DE661F" w:rsidRPr="00AC7F09" w:rsidRDefault="00DE661F" w:rsidP="00561999">
                  <w:pPr>
                    <w:rPr>
                      <w:rFonts w:ascii="Arial" w:hAnsi="Arial" w:cs="Arial"/>
                      <w:szCs w:val="24"/>
                    </w:rPr>
                  </w:pPr>
                  <w:r w:rsidRPr="00AC7F09">
                    <w:rPr>
                      <w:rFonts w:ascii="Arial" w:hAnsi="Arial" w:cs="Arial"/>
                      <w:szCs w:val="24"/>
                    </w:rPr>
                    <w:t>Mar 16-Oct 17</w:t>
                  </w:r>
                </w:p>
              </w:tc>
            </w:tr>
            <w:tr w:rsidR="00DE661F" w:rsidRPr="00AC7F09" w:rsidTr="00A57DCC">
              <w:tc>
                <w:tcPr>
                  <w:tcW w:w="3147" w:type="dxa"/>
                </w:tcPr>
                <w:p w:rsidR="00DE661F" w:rsidRPr="00AC7F09" w:rsidRDefault="00DE661F" w:rsidP="00561999">
                  <w:pPr>
                    <w:rPr>
                      <w:rFonts w:ascii="Arial" w:hAnsi="Arial" w:cs="Arial"/>
                      <w:szCs w:val="24"/>
                    </w:rPr>
                  </w:pPr>
                  <w:r w:rsidRPr="00AC7F09">
                    <w:rPr>
                      <w:rFonts w:ascii="Arial" w:hAnsi="Arial" w:cs="Arial"/>
                      <w:szCs w:val="24"/>
                    </w:rPr>
                    <w:t>Ian White Associates Landscape Architects</w:t>
                  </w:r>
                </w:p>
              </w:tc>
              <w:tc>
                <w:tcPr>
                  <w:tcW w:w="3402" w:type="dxa"/>
                </w:tcPr>
                <w:p w:rsidR="00DE661F" w:rsidRPr="00AC7F09" w:rsidRDefault="00DE661F" w:rsidP="00561999">
                  <w:pPr>
                    <w:rPr>
                      <w:rFonts w:ascii="Arial" w:hAnsi="Arial" w:cs="Arial"/>
                      <w:szCs w:val="24"/>
                    </w:rPr>
                  </w:pPr>
                  <w:r w:rsidRPr="00AC7F09">
                    <w:rPr>
                      <w:rFonts w:ascii="Arial" w:hAnsi="Arial" w:cs="Arial"/>
                      <w:szCs w:val="24"/>
                    </w:rPr>
                    <w:t>Glenmore Feasibility Study</w:t>
                  </w:r>
                </w:p>
              </w:tc>
              <w:tc>
                <w:tcPr>
                  <w:tcW w:w="2127" w:type="dxa"/>
                </w:tcPr>
                <w:p w:rsidR="00DE661F" w:rsidRPr="00AC7F09" w:rsidRDefault="00DE661F" w:rsidP="00561999">
                  <w:pPr>
                    <w:rPr>
                      <w:rFonts w:ascii="Arial" w:hAnsi="Arial" w:cs="Arial"/>
                      <w:szCs w:val="24"/>
                    </w:rPr>
                  </w:pPr>
                  <w:r w:rsidRPr="00AC7F09">
                    <w:rPr>
                      <w:rFonts w:ascii="Arial" w:hAnsi="Arial" w:cs="Arial"/>
                      <w:szCs w:val="24"/>
                    </w:rPr>
                    <w:t>Apr-Jun 16</w:t>
                  </w:r>
                </w:p>
              </w:tc>
            </w:tr>
          </w:tbl>
          <w:p w:rsidR="00DE661F" w:rsidRDefault="00DE661F" w:rsidP="007152A1">
            <w:pPr>
              <w:rPr>
                <w:rFonts w:ascii="Arial" w:hAnsi="Arial" w:cs="Arial"/>
                <w:b/>
              </w:rPr>
            </w:pPr>
          </w:p>
        </w:tc>
      </w:tr>
      <w:tr w:rsidR="00B06EDD" w:rsidRPr="0089449E" w:rsidTr="00350BC6">
        <w:tc>
          <w:tcPr>
            <w:tcW w:w="817" w:type="dxa"/>
          </w:tcPr>
          <w:p w:rsidR="00B06EDD" w:rsidRDefault="00B06EDD" w:rsidP="00472040">
            <w:pPr>
              <w:jc w:val="both"/>
              <w:rPr>
                <w:rFonts w:ascii="Arial" w:hAnsi="Arial" w:cs="Arial"/>
                <w:b/>
                <w:szCs w:val="24"/>
              </w:rPr>
            </w:pPr>
          </w:p>
          <w:p w:rsidR="00B06EDD" w:rsidRDefault="00846D14" w:rsidP="00846D14">
            <w:pPr>
              <w:jc w:val="both"/>
              <w:rPr>
                <w:rFonts w:ascii="Arial" w:hAnsi="Arial" w:cs="Arial"/>
                <w:b/>
                <w:szCs w:val="24"/>
              </w:rPr>
            </w:pPr>
            <w:r>
              <w:rPr>
                <w:rFonts w:ascii="Arial" w:hAnsi="Arial" w:cs="Arial"/>
                <w:b/>
                <w:szCs w:val="24"/>
              </w:rPr>
              <w:t>9</w:t>
            </w:r>
            <w:r w:rsidR="00B06EDD">
              <w:rPr>
                <w:rFonts w:ascii="Arial" w:hAnsi="Arial" w:cs="Arial"/>
                <w:b/>
                <w:szCs w:val="24"/>
              </w:rPr>
              <w:t>.</w:t>
            </w:r>
          </w:p>
        </w:tc>
        <w:tc>
          <w:tcPr>
            <w:tcW w:w="8789" w:type="dxa"/>
          </w:tcPr>
          <w:p w:rsidR="00B06EDD" w:rsidRDefault="00B06EDD" w:rsidP="006909C6">
            <w:pPr>
              <w:autoSpaceDE w:val="0"/>
              <w:autoSpaceDN w:val="0"/>
              <w:adjustRightInd w:val="0"/>
              <w:jc w:val="both"/>
              <w:rPr>
                <w:rFonts w:ascii="Arial" w:hAnsi="Arial" w:cs="Arial"/>
                <w:b/>
              </w:rPr>
            </w:pPr>
          </w:p>
          <w:p w:rsidR="00B06EDD" w:rsidRPr="00B06EDD" w:rsidRDefault="00B06EDD" w:rsidP="00B06EDD">
            <w:pPr>
              <w:rPr>
                <w:rFonts w:ascii="Arial" w:eastAsia="Calibri" w:hAnsi="Arial" w:cs="Arial"/>
                <w:b/>
                <w:bCs/>
                <w:szCs w:val="24"/>
                <w:lang w:eastAsia="en-US"/>
              </w:rPr>
            </w:pPr>
            <w:r w:rsidRPr="00B06EDD">
              <w:rPr>
                <w:rFonts w:ascii="Arial" w:eastAsia="Calibri" w:hAnsi="Arial" w:cs="Arial"/>
                <w:b/>
                <w:bCs/>
                <w:szCs w:val="24"/>
                <w:lang w:eastAsia="en-US"/>
              </w:rPr>
              <w:t>Policies update</w:t>
            </w:r>
          </w:p>
          <w:p w:rsidR="00B06EDD" w:rsidRDefault="00B06EDD" w:rsidP="006909C6">
            <w:pPr>
              <w:autoSpaceDE w:val="0"/>
              <w:autoSpaceDN w:val="0"/>
              <w:adjustRightInd w:val="0"/>
              <w:jc w:val="both"/>
              <w:rPr>
                <w:rFonts w:ascii="Arial" w:hAnsi="Arial" w:cs="Arial"/>
                <w:b/>
              </w:rPr>
            </w:pPr>
          </w:p>
        </w:tc>
      </w:tr>
      <w:tr w:rsidR="00B06EDD" w:rsidRPr="0089449E" w:rsidTr="00350BC6">
        <w:tc>
          <w:tcPr>
            <w:tcW w:w="817" w:type="dxa"/>
          </w:tcPr>
          <w:p w:rsidR="00B06EDD" w:rsidRPr="00B06EDD" w:rsidRDefault="00846D14" w:rsidP="00846D14">
            <w:pPr>
              <w:jc w:val="both"/>
              <w:rPr>
                <w:rFonts w:ascii="Arial" w:hAnsi="Arial" w:cs="Arial"/>
                <w:szCs w:val="24"/>
              </w:rPr>
            </w:pPr>
            <w:r>
              <w:rPr>
                <w:rFonts w:ascii="Arial" w:hAnsi="Arial" w:cs="Arial"/>
                <w:szCs w:val="24"/>
              </w:rPr>
              <w:t>9</w:t>
            </w:r>
            <w:r w:rsidR="00B06EDD" w:rsidRPr="00B06EDD">
              <w:rPr>
                <w:rFonts w:ascii="Arial" w:hAnsi="Arial" w:cs="Arial"/>
                <w:szCs w:val="24"/>
              </w:rPr>
              <w:t>.1</w:t>
            </w:r>
          </w:p>
        </w:tc>
        <w:tc>
          <w:tcPr>
            <w:tcW w:w="8789" w:type="dxa"/>
          </w:tcPr>
          <w:p w:rsidR="00B06EDD" w:rsidRPr="00B06EDD" w:rsidRDefault="00B06EDD" w:rsidP="00B06EDD">
            <w:pPr>
              <w:jc w:val="both"/>
              <w:rPr>
                <w:rFonts w:ascii="Arial" w:eastAsia="Calibri" w:hAnsi="Arial" w:cs="Arial"/>
                <w:szCs w:val="24"/>
                <w:lang w:eastAsia="en-US"/>
              </w:rPr>
            </w:pPr>
            <w:r w:rsidRPr="00B06EDD">
              <w:rPr>
                <w:rFonts w:ascii="Arial" w:eastAsia="Calibri" w:hAnsi="Arial" w:cs="Arial"/>
                <w:szCs w:val="24"/>
                <w:lang w:eastAsia="en-US"/>
              </w:rPr>
              <w:t xml:space="preserve">The </w:t>
            </w:r>
            <w:r>
              <w:rPr>
                <w:rFonts w:ascii="Arial" w:eastAsia="Calibri" w:hAnsi="Arial" w:cs="Arial"/>
                <w:szCs w:val="24"/>
                <w:lang w:eastAsia="en-US"/>
              </w:rPr>
              <w:t>Risk Management Policy was reviewed in</w:t>
            </w:r>
            <w:r w:rsidRPr="00B06EDD">
              <w:rPr>
                <w:rFonts w:ascii="Arial" w:eastAsia="Calibri" w:hAnsi="Arial" w:cs="Arial"/>
                <w:szCs w:val="24"/>
                <w:lang w:eastAsia="en-US"/>
              </w:rPr>
              <w:t xml:space="preserve"> April 2016 and deemed fit for purpose with no changes required.</w:t>
            </w:r>
          </w:p>
          <w:p w:rsidR="00B06EDD" w:rsidRDefault="00B06EDD" w:rsidP="006909C6">
            <w:pPr>
              <w:autoSpaceDE w:val="0"/>
              <w:autoSpaceDN w:val="0"/>
              <w:adjustRightInd w:val="0"/>
              <w:jc w:val="both"/>
              <w:rPr>
                <w:rFonts w:ascii="Arial" w:hAnsi="Arial" w:cs="Arial"/>
                <w:b/>
              </w:rPr>
            </w:pPr>
          </w:p>
        </w:tc>
      </w:tr>
      <w:tr w:rsidR="006909C6" w:rsidRPr="0089449E" w:rsidTr="00350BC6">
        <w:tc>
          <w:tcPr>
            <w:tcW w:w="817" w:type="dxa"/>
          </w:tcPr>
          <w:p w:rsidR="006909C6" w:rsidRDefault="00B06EDD" w:rsidP="00846D14">
            <w:pPr>
              <w:jc w:val="both"/>
              <w:rPr>
                <w:rFonts w:ascii="Arial" w:hAnsi="Arial" w:cs="Arial"/>
                <w:b/>
                <w:szCs w:val="24"/>
              </w:rPr>
            </w:pPr>
            <w:r>
              <w:rPr>
                <w:rFonts w:ascii="Arial" w:hAnsi="Arial" w:cs="Arial"/>
                <w:b/>
                <w:szCs w:val="24"/>
              </w:rPr>
              <w:t>1</w:t>
            </w:r>
            <w:r w:rsidR="00846D14">
              <w:rPr>
                <w:rFonts w:ascii="Arial" w:hAnsi="Arial" w:cs="Arial"/>
                <w:b/>
                <w:szCs w:val="24"/>
              </w:rPr>
              <w:t>0</w:t>
            </w:r>
            <w:r w:rsidR="006909C6">
              <w:rPr>
                <w:rFonts w:ascii="Arial" w:hAnsi="Arial" w:cs="Arial"/>
                <w:b/>
                <w:szCs w:val="24"/>
              </w:rPr>
              <w:t>.</w:t>
            </w:r>
          </w:p>
        </w:tc>
        <w:tc>
          <w:tcPr>
            <w:tcW w:w="8789" w:type="dxa"/>
          </w:tcPr>
          <w:p w:rsidR="006909C6" w:rsidRDefault="006909C6" w:rsidP="006909C6">
            <w:pPr>
              <w:autoSpaceDE w:val="0"/>
              <w:autoSpaceDN w:val="0"/>
              <w:adjustRightInd w:val="0"/>
              <w:jc w:val="both"/>
              <w:rPr>
                <w:rFonts w:ascii="Arial" w:hAnsi="Arial" w:cs="Arial"/>
                <w:b/>
              </w:rPr>
            </w:pPr>
            <w:r w:rsidRPr="008A3353">
              <w:rPr>
                <w:rFonts w:ascii="Arial" w:hAnsi="Arial" w:cs="Arial"/>
                <w:b/>
              </w:rPr>
              <w:t>Implications</w:t>
            </w:r>
          </w:p>
          <w:p w:rsidR="006909C6" w:rsidRPr="008A3353" w:rsidRDefault="006909C6" w:rsidP="00B410B3">
            <w:pPr>
              <w:autoSpaceDE w:val="0"/>
              <w:autoSpaceDN w:val="0"/>
              <w:adjustRightInd w:val="0"/>
              <w:jc w:val="both"/>
              <w:rPr>
                <w:rFonts w:ascii="Arial" w:hAnsi="Arial" w:cs="Arial"/>
                <w:b/>
              </w:rPr>
            </w:pPr>
          </w:p>
        </w:tc>
      </w:tr>
      <w:tr w:rsidR="006909C6" w:rsidRPr="006909C6" w:rsidTr="00350BC6">
        <w:tc>
          <w:tcPr>
            <w:tcW w:w="817" w:type="dxa"/>
          </w:tcPr>
          <w:p w:rsidR="006909C6" w:rsidRPr="006909C6" w:rsidRDefault="00846D14" w:rsidP="00472040">
            <w:pPr>
              <w:jc w:val="both"/>
              <w:rPr>
                <w:rFonts w:ascii="Arial" w:hAnsi="Arial" w:cs="Arial"/>
                <w:szCs w:val="24"/>
              </w:rPr>
            </w:pPr>
            <w:r>
              <w:rPr>
                <w:rFonts w:ascii="Arial" w:hAnsi="Arial" w:cs="Arial"/>
                <w:szCs w:val="24"/>
              </w:rPr>
              <w:t>10</w:t>
            </w:r>
            <w:r w:rsidR="006909C6" w:rsidRPr="006909C6">
              <w:rPr>
                <w:rFonts w:ascii="Arial" w:hAnsi="Arial" w:cs="Arial"/>
                <w:szCs w:val="24"/>
              </w:rPr>
              <w:t>.1</w:t>
            </w:r>
          </w:p>
          <w:p w:rsidR="006909C6" w:rsidRPr="006909C6" w:rsidRDefault="006909C6" w:rsidP="00472040">
            <w:pPr>
              <w:jc w:val="both"/>
              <w:rPr>
                <w:rFonts w:ascii="Arial" w:hAnsi="Arial" w:cs="Arial"/>
                <w:szCs w:val="24"/>
              </w:rPr>
            </w:pPr>
          </w:p>
          <w:p w:rsidR="006909C6" w:rsidRPr="006909C6" w:rsidRDefault="006909C6" w:rsidP="00472040">
            <w:pPr>
              <w:jc w:val="both"/>
              <w:rPr>
                <w:rFonts w:ascii="Arial" w:hAnsi="Arial" w:cs="Arial"/>
                <w:szCs w:val="24"/>
              </w:rPr>
            </w:pPr>
          </w:p>
          <w:p w:rsidR="006909C6" w:rsidRPr="006909C6" w:rsidRDefault="00846D14" w:rsidP="00472040">
            <w:pPr>
              <w:jc w:val="both"/>
              <w:rPr>
                <w:rFonts w:ascii="Arial" w:hAnsi="Arial" w:cs="Arial"/>
                <w:szCs w:val="24"/>
              </w:rPr>
            </w:pPr>
            <w:r>
              <w:rPr>
                <w:rFonts w:ascii="Arial" w:hAnsi="Arial" w:cs="Arial"/>
                <w:szCs w:val="24"/>
              </w:rPr>
              <w:t>10</w:t>
            </w:r>
            <w:r w:rsidR="006909C6" w:rsidRPr="006909C6">
              <w:rPr>
                <w:rFonts w:ascii="Arial" w:hAnsi="Arial" w:cs="Arial"/>
                <w:szCs w:val="24"/>
              </w:rPr>
              <w:t>.2</w:t>
            </w:r>
          </w:p>
          <w:p w:rsidR="006909C6" w:rsidRPr="006909C6" w:rsidRDefault="006909C6" w:rsidP="00472040">
            <w:pPr>
              <w:jc w:val="both"/>
              <w:rPr>
                <w:rFonts w:ascii="Arial" w:hAnsi="Arial" w:cs="Arial"/>
                <w:szCs w:val="24"/>
              </w:rPr>
            </w:pPr>
          </w:p>
          <w:p w:rsidR="006909C6" w:rsidRPr="006909C6" w:rsidRDefault="006909C6" w:rsidP="00472040">
            <w:pPr>
              <w:jc w:val="both"/>
              <w:rPr>
                <w:rFonts w:ascii="Arial" w:hAnsi="Arial" w:cs="Arial"/>
                <w:szCs w:val="24"/>
              </w:rPr>
            </w:pPr>
          </w:p>
          <w:p w:rsidR="006909C6" w:rsidRPr="006909C6" w:rsidRDefault="00846D14" w:rsidP="00472040">
            <w:pPr>
              <w:jc w:val="both"/>
              <w:rPr>
                <w:rFonts w:ascii="Arial" w:hAnsi="Arial" w:cs="Arial"/>
                <w:szCs w:val="24"/>
              </w:rPr>
            </w:pPr>
            <w:r>
              <w:rPr>
                <w:rFonts w:ascii="Arial" w:hAnsi="Arial" w:cs="Arial"/>
                <w:szCs w:val="24"/>
              </w:rPr>
              <w:t>10</w:t>
            </w:r>
            <w:r w:rsidR="000D70EE">
              <w:rPr>
                <w:rFonts w:ascii="Arial" w:hAnsi="Arial" w:cs="Arial"/>
                <w:szCs w:val="24"/>
              </w:rPr>
              <w:t>.3</w:t>
            </w:r>
          </w:p>
        </w:tc>
        <w:tc>
          <w:tcPr>
            <w:tcW w:w="8789" w:type="dxa"/>
          </w:tcPr>
          <w:p w:rsidR="006909C6" w:rsidRDefault="006909C6" w:rsidP="006909C6">
            <w:pPr>
              <w:autoSpaceDE w:val="0"/>
              <w:autoSpaceDN w:val="0"/>
              <w:adjustRightInd w:val="0"/>
              <w:jc w:val="both"/>
              <w:rPr>
                <w:rFonts w:ascii="Arial" w:hAnsi="Arial" w:cs="Arial"/>
              </w:rPr>
            </w:pPr>
            <w:r w:rsidRPr="006909C6">
              <w:rPr>
                <w:rFonts w:ascii="Arial" w:hAnsi="Arial" w:cs="Arial"/>
              </w:rPr>
              <w:t>Resource Implications – the</w:t>
            </w:r>
            <w:r w:rsidR="005A3624">
              <w:rPr>
                <w:rFonts w:ascii="Arial" w:hAnsi="Arial" w:cs="Arial"/>
              </w:rPr>
              <w:t xml:space="preserve"> cost of the tax and VAT review is not available as this report goes to print, although it may be by the date of the meeting.</w:t>
            </w:r>
          </w:p>
          <w:p w:rsidR="005A3624" w:rsidRPr="006909C6" w:rsidRDefault="005A3624" w:rsidP="006909C6">
            <w:pPr>
              <w:autoSpaceDE w:val="0"/>
              <w:autoSpaceDN w:val="0"/>
              <w:adjustRightInd w:val="0"/>
              <w:jc w:val="both"/>
              <w:rPr>
                <w:rFonts w:ascii="Arial" w:hAnsi="Arial" w:cs="Arial"/>
              </w:rPr>
            </w:pPr>
          </w:p>
          <w:p w:rsidR="006909C6" w:rsidRPr="006909C6" w:rsidRDefault="006909C6" w:rsidP="006909C6">
            <w:pPr>
              <w:autoSpaceDE w:val="0"/>
              <w:autoSpaceDN w:val="0"/>
              <w:adjustRightInd w:val="0"/>
              <w:jc w:val="both"/>
              <w:rPr>
                <w:rFonts w:ascii="Arial" w:hAnsi="Arial" w:cs="Arial"/>
              </w:rPr>
            </w:pPr>
            <w:r w:rsidRPr="006909C6">
              <w:rPr>
                <w:rFonts w:ascii="Arial" w:hAnsi="Arial" w:cs="Arial"/>
              </w:rPr>
              <w:t>Legal Implications – there are no new legal implications arising from the content of this report.</w:t>
            </w:r>
          </w:p>
          <w:p w:rsidR="006909C6" w:rsidRPr="006909C6" w:rsidRDefault="006909C6" w:rsidP="006909C6">
            <w:pPr>
              <w:autoSpaceDE w:val="0"/>
              <w:autoSpaceDN w:val="0"/>
              <w:adjustRightInd w:val="0"/>
              <w:jc w:val="both"/>
              <w:rPr>
                <w:rFonts w:ascii="Arial" w:hAnsi="Arial" w:cs="Arial"/>
              </w:rPr>
            </w:pPr>
          </w:p>
          <w:p w:rsidR="006909C6" w:rsidRPr="006909C6" w:rsidRDefault="006909C6" w:rsidP="00B410B3">
            <w:pPr>
              <w:autoSpaceDE w:val="0"/>
              <w:autoSpaceDN w:val="0"/>
              <w:adjustRightInd w:val="0"/>
              <w:jc w:val="both"/>
              <w:rPr>
                <w:rFonts w:ascii="Arial" w:hAnsi="Arial" w:cs="Arial"/>
              </w:rPr>
            </w:pPr>
            <w:r w:rsidRPr="006909C6">
              <w:rPr>
                <w:rFonts w:ascii="Arial" w:hAnsi="Arial" w:cs="Arial"/>
              </w:rPr>
              <w:t xml:space="preserve">Risk Implications – </w:t>
            </w:r>
            <w:r w:rsidR="005A3624">
              <w:rPr>
                <w:rFonts w:ascii="Arial" w:hAnsi="Arial" w:cs="Arial"/>
              </w:rPr>
              <w:t>there is a risk that current tax and VAT arrangements are not fully up to date and that back payment may be required.</w:t>
            </w:r>
          </w:p>
        </w:tc>
      </w:tr>
    </w:tbl>
    <w:p w:rsidR="00E6170C" w:rsidRDefault="00E6170C" w:rsidP="00532972">
      <w:pPr>
        <w:tabs>
          <w:tab w:val="left" w:pos="1701"/>
        </w:tabs>
        <w:rPr>
          <w:rFonts w:ascii="Arial" w:hAnsi="Arial" w:cs="Arial"/>
          <w:szCs w:val="24"/>
        </w:rPr>
      </w:pPr>
    </w:p>
    <w:p w:rsidR="00E6170C" w:rsidRDefault="00E6170C" w:rsidP="00532972">
      <w:pPr>
        <w:tabs>
          <w:tab w:val="left" w:pos="1701"/>
        </w:tabs>
        <w:rPr>
          <w:rFonts w:ascii="Arial" w:hAnsi="Arial" w:cs="Arial"/>
          <w:szCs w:val="24"/>
        </w:rPr>
      </w:pPr>
    </w:p>
    <w:tbl>
      <w:tblPr>
        <w:tblStyle w:val="TableGrid"/>
        <w:tblW w:w="0" w:type="auto"/>
        <w:tblLook w:val="04A0" w:firstRow="1" w:lastRow="0" w:firstColumn="1" w:lastColumn="0" w:noHBand="0" w:noVBand="1"/>
      </w:tblPr>
      <w:tblGrid>
        <w:gridCol w:w="9242"/>
      </w:tblGrid>
      <w:tr w:rsidR="00E6170C" w:rsidTr="00542E12">
        <w:tc>
          <w:tcPr>
            <w:tcW w:w="9242" w:type="dxa"/>
          </w:tcPr>
          <w:p w:rsidR="00E6170C" w:rsidRPr="0089449E" w:rsidRDefault="00E6170C" w:rsidP="00542E12">
            <w:pPr>
              <w:pStyle w:val="Heading2"/>
              <w:jc w:val="both"/>
              <w:outlineLvl w:val="1"/>
              <w:rPr>
                <w:rFonts w:ascii="Arial" w:hAnsi="Arial" w:cs="Arial"/>
                <w:b/>
                <w:szCs w:val="24"/>
                <w:u w:val="none"/>
              </w:rPr>
            </w:pPr>
            <w:r>
              <w:rPr>
                <w:rFonts w:ascii="Arial" w:hAnsi="Arial" w:cs="Arial"/>
                <w:b/>
                <w:szCs w:val="24"/>
                <w:u w:val="none"/>
              </w:rPr>
              <w:t>Recommendations</w:t>
            </w:r>
          </w:p>
          <w:p w:rsidR="00E6170C" w:rsidRDefault="00E6170C" w:rsidP="00542E12">
            <w:pPr>
              <w:jc w:val="both"/>
              <w:rPr>
                <w:rFonts w:ascii="Arial" w:hAnsi="Arial" w:cs="Arial"/>
                <w:szCs w:val="24"/>
              </w:rPr>
            </w:pPr>
          </w:p>
          <w:p w:rsidR="00137D7A" w:rsidRPr="000F2276" w:rsidRDefault="00137D7A" w:rsidP="00137D7A">
            <w:pPr>
              <w:jc w:val="both"/>
              <w:rPr>
                <w:rFonts w:ascii="Arial" w:hAnsi="Arial" w:cs="Arial"/>
              </w:rPr>
            </w:pPr>
            <w:r w:rsidRPr="000F2276">
              <w:rPr>
                <w:rFonts w:ascii="Arial" w:hAnsi="Arial" w:cs="Arial"/>
              </w:rPr>
              <w:t>I</w:t>
            </w:r>
            <w:r>
              <w:rPr>
                <w:rFonts w:ascii="Arial" w:hAnsi="Arial" w:cs="Arial"/>
              </w:rPr>
              <w:t>t is recommended that Directors</w:t>
            </w:r>
            <w:r w:rsidR="00846D14">
              <w:rPr>
                <w:rFonts w:ascii="Arial" w:hAnsi="Arial" w:cs="Arial"/>
              </w:rPr>
              <w:t xml:space="preserve"> note</w:t>
            </w:r>
            <w:r w:rsidRPr="000F2276">
              <w:rPr>
                <w:rFonts w:ascii="Arial" w:hAnsi="Arial" w:cs="Arial"/>
              </w:rPr>
              <w:t>:</w:t>
            </w:r>
          </w:p>
          <w:p w:rsidR="00137D7A" w:rsidRPr="000F2276" w:rsidRDefault="00137D7A" w:rsidP="00137D7A">
            <w:pPr>
              <w:jc w:val="both"/>
              <w:rPr>
                <w:rFonts w:ascii="Arial" w:hAnsi="Arial" w:cs="Arial"/>
              </w:rPr>
            </w:pPr>
          </w:p>
          <w:p w:rsidR="001E4086" w:rsidRPr="000757C8" w:rsidRDefault="001E4086" w:rsidP="00CB63C6">
            <w:pPr>
              <w:numPr>
                <w:ilvl w:val="0"/>
                <w:numId w:val="34"/>
              </w:numPr>
              <w:contextualSpacing/>
              <w:jc w:val="both"/>
              <w:rPr>
                <w:rFonts w:ascii="Arial" w:eastAsia="Calibri" w:hAnsi="Arial" w:cs="Arial"/>
                <w:szCs w:val="24"/>
              </w:rPr>
            </w:pPr>
            <w:r w:rsidRPr="00CB55D1">
              <w:rPr>
                <w:rFonts w:ascii="Arial" w:hAnsi="Arial" w:cs="Arial"/>
                <w:szCs w:val="24"/>
              </w:rPr>
              <w:t>the</w:t>
            </w:r>
            <w:r w:rsidRPr="000757C8">
              <w:rPr>
                <w:rFonts w:ascii="Arial" w:eastAsia="Calibri" w:hAnsi="Arial" w:cs="Arial"/>
                <w:szCs w:val="24"/>
              </w:rPr>
              <w:t xml:space="preserve"> draft year end out</w:t>
            </w:r>
            <w:r w:rsidR="00FC5923">
              <w:rPr>
                <w:rFonts w:ascii="Arial" w:eastAsia="Calibri" w:hAnsi="Arial" w:cs="Arial"/>
                <w:szCs w:val="24"/>
              </w:rPr>
              <w:t>-</w:t>
            </w:r>
            <w:r w:rsidRPr="000757C8">
              <w:rPr>
                <w:rFonts w:ascii="Arial" w:eastAsia="Calibri" w:hAnsi="Arial" w:cs="Arial"/>
                <w:szCs w:val="24"/>
              </w:rPr>
              <w:t xml:space="preserve">turn, subject to Audit, for 2015/16 for High Life Highland as detailed in </w:t>
            </w:r>
            <w:r w:rsidRPr="000757C8">
              <w:rPr>
                <w:rFonts w:ascii="Arial" w:eastAsia="Calibri" w:hAnsi="Arial" w:cs="Arial"/>
                <w:b/>
                <w:szCs w:val="24"/>
              </w:rPr>
              <w:t>Appendix A</w:t>
            </w:r>
            <w:r w:rsidRPr="000757C8">
              <w:rPr>
                <w:rFonts w:ascii="Arial" w:eastAsia="Calibri" w:hAnsi="Arial" w:cs="Arial"/>
                <w:szCs w:val="24"/>
              </w:rPr>
              <w:t xml:space="preserve"> reports a surplus of £</w:t>
            </w:r>
            <w:r>
              <w:rPr>
                <w:rFonts w:ascii="Arial" w:eastAsia="Calibri" w:hAnsi="Arial" w:cs="Arial"/>
                <w:szCs w:val="24"/>
              </w:rPr>
              <w:t>247,714</w:t>
            </w:r>
            <w:r w:rsidRPr="000757C8">
              <w:rPr>
                <w:rFonts w:ascii="Arial" w:eastAsia="Calibri" w:hAnsi="Arial" w:cs="Arial"/>
                <w:color w:val="FF0000"/>
                <w:szCs w:val="24"/>
              </w:rPr>
              <w:t xml:space="preserve"> </w:t>
            </w:r>
            <w:r w:rsidRPr="000757C8">
              <w:rPr>
                <w:rFonts w:ascii="Arial" w:eastAsia="Calibri" w:hAnsi="Arial" w:cs="Arial"/>
                <w:szCs w:val="24"/>
              </w:rPr>
              <w:t>to Unrestricted Reserves and a transfer to Restricted Reserves of £60,202 in respect of grant income;</w:t>
            </w:r>
          </w:p>
          <w:p w:rsidR="001E4086" w:rsidRPr="00137D7A" w:rsidRDefault="001E4086" w:rsidP="00CB63C6">
            <w:pPr>
              <w:pStyle w:val="ListParagraph"/>
              <w:numPr>
                <w:ilvl w:val="0"/>
                <w:numId w:val="34"/>
              </w:numPr>
              <w:spacing w:after="0"/>
              <w:jc w:val="both"/>
              <w:rPr>
                <w:rFonts w:ascii="Arial" w:hAnsi="Arial" w:cs="Arial"/>
                <w:sz w:val="24"/>
                <w:szCs w:val="24"/>
              </w:rPr>
            </w:pPr>
            <w:r>
              <w:rPr>
                <w:rFonts w:ascii="Arial" w:hAnsi="Arial" w:cs="Arial"/>
                <w:sz w:val="24"/>
                <w:szCs w:val="24"/>
              </w:rPr>
              <w:t xml:space="preserve">the changes to the approved </w:t>
            </w:r>
            <w:r w:rsidRPr="00137D7A">
              <w:rPr>
                <w:rFonts w:ascii="Arial" w:hAnsi="Arial" w:cs="Arial"/>
                <w:sz w:val="24"/>
                <w:szCs w:val="24"/>
              </w:rPr>
              <w:t>budget for 2016/17;</w:t>
            </w:r>
          </w:p>
          <w:p w:rsidR="001E4086" w:rsidRDefault="001E4086" w:rsidP="00CB63C6">
            <w:pPr>
              <w:pStyle w:val="ListParagraph"/>
              <w:numPr>
                <w:ilvl w:val="0"/>
                <w:numId w:val="34"/>
              </w:numPr>
              <w:spacing w:after="0"/>
              <w:jc w:val="both"/>
              <w:rPr>
                <w:rFonts w:ascii="Arial" w:hAnsi="Arial" w:cs="Arial"/>
                <w:sz w:val="24"/>
                <w:szCs w:val="24"/>
              </w:rPr>
            </w:pPr>
            <w:r>
              <w:rPr>
                <w:rFonts w:ascii="Arial" w:hAnsi="Arial" w:cs="Arial"/>
                <w:sz w:val="24"/>
                <w:szCs w:val="24"/>
              </w:rPr>
              <w:t>the update on the ongoing VAT investigations;</w:t>
            </w:r>
            <w:r w:rsidR="00846D14">
              <w:rPr>
                <w:rFonts w:ascii="Arial" w:hAnsi="Arial" w:cs="Arial"/>
                <w:sz w:val="24"/>
                <w:szCs w:val="24"/>
              </w:rPr>
              <w:t xml:space="preserve"> and</w:t>
            </w:r>
          </w:p>
          <w:p w:rsidR="001E4086" w:rsidRPr="00137D7A" w:rsidRDefault="001E4086" w:rsidP="00CB63C6">
            <w:pPr>
              <w:pStyle w:val="ListParagraph"/>
              <w:numPr>
                <w:ilvl w:val="0"/>
                <w:numId w:val="34"/>
              </w:numPr>
              <w:jc w:val="both"/>
              <w:rPr>
                <w:rFonts w:ascii="Arial" w:hAnsi="Arial" w:cs="Arial"/>
                <w:sz w:val="24"/>
                <w:szCs w:val="24"/>
              </w:rPr>
            </w:pPr>
            <w:proofErr w:type="gramStart"/>
            <w:r w:rsidRPr="00137D7A">
              <w:rPr>
                <w:rFonts w:ascii="Arial" w:hAnsi="Arial" w:cs="Arial"/>
                <w:sz w:val="24"/>
                <w:szCs w:val="24"/>
              </w:rPr>
              <w:t>the</w:t>
            </w:r>
            <w:proofErr w:type="gramEnd"/>
            <w:r w:rsidRPr="00137D7A">
              <w:rPr>
                <w:rFonts w:ascii="Arial" w:hAnsi="Arial" w:cs="Arial"/>
                <w:sz w:val="24"/>
                <w:szCs w:val="24"/>
              </w:rPr>
              <w:t xml:space="preserve"> award of contracts as detailed in </w:t>
            </w:r>
            <w:r w:rsidR="00CB63C6" w:rsidRPr="00CB63C6">
              <w:rPr>
                <w:rFonts w:ascii="Arial" w:hAnsi="Arial" w:cs="Arial"/>
                <w:b/>
                <w:sz w:val="24"/>
                <w:szCs w:val="24"/>
              </w:rPr>
              <w:t>paragraph</w:t>
            </w:r>
            <w:r w:rsidRPr="00137D7A">
              <w:rPr>
                <w:rFonts w:ascii="Arial" w:hAnsi="Arial" w:cs="Arial"/>
                <w:b/>
                <w:sz w:val="24"/>
                <w:szCs w:val="24"/>
              </w:rPr>
              <w:t xml:space="preserve"> </w:t>
            </w:r>
            <w:r w:rsidR="00CB63C6">
              <w:rPr>
                <w:rFonts w:ascii="Arial" w:hAnsi="Arial" w:cs="Arial"/>
                <w:b/>
                <w:sz w:val="24"/>
                <w:szCs w:val="24"/>
              </w:rPr>
              <w:t>8</w:t>
            </w:r>
            <w:r w:rsidR="00846D14">
              <w:rPr>
                <w:rFonts w:ascii="Arial" w:hAnsi="Arial" w:cs="Arial"/>
                <w:sz w:val="24"/>
                <w:szCs w:val="24"/>
              </w:rPr>
              <w:t xml:space="preserve"> of th</w:t>
            </w:r>
            <w:r w:rsidR="00FC5923">
              <w:rPr>
                <w:rFonts w:ascii="Arial" w:hAnsi="Arial" w:cs="Arial"/>
                <w:sz w:val="24"/>
                <w:szCs w:val="24"/>
              </w:rPr>
              <w:t xml:space="preserve">is </w:t>
            </w:r>
            <w:r w:rsidR="00846D14">
              <w:rPr>
                <w:rFonts w:ascii="Arial" w:hAnsi="Arial" w:cs="Arial"/>
                <w:sz w:val="24"/>
                <w:szCs w:val="24"/>
              </w:rPr>
              <w:t>report.</w:t>
            </w:r>
          </w:p>
          <w:p w:rsidR="00E6170C" w:rsidRPr="00137D7A" w:rsidRDefault="00E6170C" w:rsidP="001E4086">
            <w:pPr>
              <w:pStyle w:val="ListParagraph"/>
              <w:jc w:val="both"/>
              <w:rPr>
                <w:rFonts w:ascii="Arial" w:hAnsi="Arial" w:cs="Arial"/>
                <w:szCs w:val="24"/>
              </w:rPr>
            </w:pPr>
          </w:p>
        </w:tc>
      </w:tr>
    </w:tbl>
    <w:p w:rsidR="00E6170C" w:rsidRDefault="00E6170C" w:rsidP="00532972">
      <w:pPr>
        <w:tabs>
          <w:tab w:val="left" w:pos="1701"/>
        </w:tabs>
        <w:rPr>
          <w:rFonts w:ascii="Arial" w:hAnsi="Arial" w:cs="Arial"/>
          <w:szCs w:val="24"/>
        </w:rPr>
      </w:pPr>
    </w:p>
    <w:p w:rsidR="00E6170C" w:rsidRDefault="00E6170C"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Signature:</w:t>
      </w:r>
      <w:r w:rsidR="006A137F" w:rsidRPr="009B0904">
        <w:rPr>
          <w:rFonts w:ascii="Arial" w:hAnsi="Arial" w:cs="Arial"/>
          <w:szCs w:val="24"/>
        </w:rPr>
        <w:tab/>
      </w:r>
    </w:p>
    <w:p w:rsidR="0039450A" w:rsidRPr="009B0904" w:rsidRDefault="0039450A"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532972" w:rsidRDefault="00532972" w:rsidP="006909C6">
      <w:pPr>
        <w:tabs>
          <w:tab w:val="left" w:pos="1701"/>
        </w:tabs>
        <w:rPr>
          <w:rFonts w:ascii="Arial" w:hAnsi="Arial" w:cs="Arial"/>
          <w:szCs w:val="24"/>
        </w:rPr>
      </w:pPr>
      <w:r>
        <w:rPr>
          <w:rFonts w:ascii="Arial" w:hAnsi="Arial" w:cs="Arial"/>
          <w:szCs w:val="24"/>
        </w:rPr>
        <w:t>Date:</w:t>
      </w:r>
      <w:r>
        <w:rPr>
          <w:rFonts w:ascii="Arial" w:hAnsi="Arial" w:cs="Arial"/>
          <w:szCs w:val="24"/>
        </w:rPr>
        <w:tab/>
      </w:r>
      <w:r w:rsidR="00846D14">
        <w:rPr>
          <w:rFonts w:ascii="Arial" w:hAnsi="Arial" w:cs="Arial"/>
          <w:szCs w:val="24"/>
        </w:rPr>
        <w:t>3 June 2016</w:t>
      </w: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sectPr w:rsidR="00E6170C" w:rsidSect="00A57DCC">
          <w:pgSz w:w="11906" w:h="16838"/>
          <w:pgMar w:top="993" w:right="1440" w:bottom="1276"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290EB5" w:rsidRDefault="00290EB5" w:rsidP="00290EB5">
      <w:pPr>
        <w:rPr>
          <w:rFonts w:ascii="Arial" w:hAnsi="Arial" w:cs="Arial"/>
          <w:b/>
          <w:szCs w:val="24"/>
        </w:rPr>
      </w:pPr>
      <w:r w:rsidRPr="00D943A1">
        <w:rPr>
          <w:rFonts w:ascii="Arial" w:hAnsi="Arial" w:cs="Arial"/>
          <w:b/>
          <w:szCs w:val="24"/>
        </w:rPr>
        <w:t>Summary Results - Consolidated</w:t>
      </w:r>
      <w:r w:rsidRPr="00D943A1">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86F9F">
        <w:rPr>
          <w:rFonts w:ascii="Arial" w:hAnsi="Arial" w:cs="Arial"/>
          <w:szCs w:val="24"/>
        </w:rPr>
        <w:t xml:space="preserve">            </w:t>
      </w:r>
      <w:r w:rsidRPr="00D943A1">
        <w:rPr>
          <w:rFonts w:ascii="Arial" w:hAnsi="Arial" w:cs="Arial"/>
          <w:b/>
          <w:szCs w:val="24"/>
        </w:rPr>
        <w:t xml:space="preserve">APPENDIX A </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Pr="00D943A1" w:rsidRDefault="00290EB5" w:rsidP="00290EB5">
      <w:pPr>
        <w:rPr>
          <w:rFonts w:ascii="Arial" w:hAnsi="Arial" w:cs="Arial"/>
          <w:b/>
          <w:szCs w:val="24"/>
        </w:rPr>
      </w:pPr>
      <w:r>
        <w:rPr>
          <w:rFonts w:ascii="Arial" w:hAnsi="Arial" w:cs="Arial"/>
          <w:b/>
          <w:szCs w:val="24"/>
        </w:rPr>
        <w:tab/>
      </w:r>
    </w:p>
    <w:p w:rsidR="00290EB5" w:rsidRDefault="00290EB5" w:rsidP="00290EB5">
      <w:pPr>
        <w:rPr>
          <w:rFonts w:ascii="Arial" w:hAnsi="Arial" w:cs="Arial"/>
          <w:szCs w:val="24"/>
        </w:rPr>
      </w:pPr>
    </w:p>
    <w:tbl>
      <w:tblPr>
        <w:tblW w:w="14340" w:type="dxa"/>
        <w:tblInd w:w="93" w:type="dxa"/>
        <w:tblLook w:val="04A0" w:firstRow="1" w:lastRow="0" w:firstColumn="1" w:lastColumn="0" w:noHBand="0" w:noVBand="1"/>
      </w:tblPr>
      <w:tblGrid>
        <w:gridCol w:w="5500"/>
        <w:gridCol w:w="3300"/>
        <w:gridCol w:w="3460"/>
        <w:gridCol w:w="2080"/>
      </w:tblGrid>
      <w:tr w:rsidR="000757C8" w:rsidRPr="000757C8" w:rsidTr="000757C8">
        <w:trPr>
          <w:trHeight w:val="360"/>
        </w:trPr>
        <w:tc>
          <w:tcPr>
            <w:tcW w:w="55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Consolidated Results 2015/16</w:t>
            </w:r>
          </w:p>
        </w:tc>
        <w:tc>
          <w:tcPr>
            <w:tcW w:w="3300" w:type="dxa"/>
            <w:tcBorders>
              <w:top w:val="nil"/>
              <w:left w:val="nil"/>
              <w:bottom w:val="nil"/>
              <w:right w:val="nil"/>
            </w:tcBorders>
            <w:shd w:val="clear" w:color="000000" w:fill="DCE6F1"/>
            <w:noWrap/>
            <w:vAlign w:val="bottom"/>
            <w:hideMark/>
          </w:tcPr>
          <w:p w:rsidR="000757C8" w:rsidRPr="000757C8" w:rsidRDefault="000757C8" w:rsidP="000757C8">
            <w:pPr>
              <w:jc w:val="center"/>
              <w:rPr>
                <w:rFonts w:ascii="Arial" w:hAnsi="Arial" w:cs="Arial"/>
                <w:b/>
                <w:bCs/>
                <w:sz w:val="28"/>
                <w:szCs w:val="28"/>
              </w:rPr>
            </w:pPr>
            <w:r w:rsidRPr="000757C8">
              <w:rPr>
                <w:rFonts w:ascii="Arial" w:hAnsi="Arial" w:cs="Arial"/>
                <w:b/>
                <w:bCs/>
                <w:sz w:val="28"/>
                <w:szCs w:val="28"/>
              </w:rPr>
              <w:t>Budget</w:t>
            </w:r>
          </w:p>
        </w:tc>
        <w:tc>
          <w:tcPr>
            <w:tcW w:w="3460" w:type="dxa"/>
            <w:tcBorders>
              <w:top w:val="nil"/>
              <w:left w:val="nil"/>
              <w:bottom w:val="nil"/>
              <w:right w:val="nil"/>
            </w:tcBorders>
            <w:shd w:val="clear" w:color="000000" w:fill="DCE6F1"/>
            <w:noWrap/>
            <w:vAlign w:val="bottom"/>
            <w:hideMark/>
          </w:tcPr>
          <w:p w:rsidR="000757C8" w:rsidRPr="000757C8" w:rsidRDefault="000757C8" w:rsidP="000757C8">
            <w:pPr>
              <w:jc w:val="center"/>
              <w:rPr>
                <w:rFonts w:ascii="Arial" w:hAnsi="Arial" w:cs="Arial"/>
                <w:b/>
                <w:bCs/>
                <w:sz w:val="28"/>
                <w:szCs w:val="28"/>
              </w:rPr>
            </w:pPr>
            <w:r w:rsidRPr="000757C8">
              <w:rPr>
                <w:rFonts w:ascii="Arial" w:hAnsi="Arial" w:cs="Arial"/>
                <w:b/>
                <w:bCs/>
                <w:sz w:val="28"/>
                <w:szCs w:val="28"/>
              </w:rPr>
              <w:t xml:space="preserve">Actual </w:t>
            </w:r>
          </w:p>
        </w:tc>
        <w:tc>
          <w:tcPr>
            <w:tcW w:w="2080" w:type="dxa"/>
            <w:tcBorders>
              <w:top w:val="nil"/>
              <w:left w:val="nil"/>
              <w:bottom w:val="nil"/>
              <w:right w:val="nil"/>
            </w:tcBorders>
            <w:shd w:val="clear" w:color="000000" w:fill="DCE6F1"/>
            <w:noWrap/>
            <w:vAlign w:val="bottom"/>
            <w:hideMark/>
          </w:tcPr>
          <w:p w:rsidR="000757C8" w:rsidRPr="000757C8" w:rsidRDefault="000757C8" w:rsidP="000757C8">
            <w:pPr>
              <w:jc w:val="center"/>
              <w:rPr>
                <w:rFonts w:ascii="Arial" w:hAnsi="Arial" w:cs="Arial"/>
                <w:b/>
                <w:bCs/>
                <w:sz w:val="28"/>
                <w:szCs w:val="28"/>
              </w:rPr>
            </w:pPr>
            <w:r w:rsidRPr="000757C8">
              <w:rPr>
                <w:rFonts w:ascii="Arial" w:hAnsi="Arial" w:cs="Arial"/>
                <w:b/>
                <w:bCs/>
                <w:sz w:val="28"/>
                <w:szCs w:val="28"/>
              </w:rPr>
              <w:t>Variance</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Income</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£22,229,517</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£22,544,932</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£315,415</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Other Costs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(£5,920,761)</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(£6,251,618)</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(£330,857)</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Staff Costs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(£16,308,756)</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(£16,045,600)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£263,156</w:t>
            </w:r>
          </w:p>
        </w:tc>
      </w:tr>
      <w:tr w:rsidR="000757C8" w:rsidRPr="000757C8" w:rsidTr="000757C8">
        <w:trPr>
          <w:trHeight w:val="375"/>
        </w:trPr>
        <w:tc>
          <w:tcPr>
            <w:tcW w:w="55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Surplus ( deficit)</w:t>
            </w:r>
          </w:p>
        </w:tc>
        <w:tc>
          <w:tcPr>
            <w:tcW w:w="330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£0</w:t>
            </w:r>
          </w:p>
        </w:tc>
        <w:tc>
          <w:tcPr>
            <w:tcW w:w="346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£247,714</w:t>
            </w:r>
          </w:p>
        </w:tc>
        <w:tc>
          <w:tcPr>
            <w:tcW w:w="208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£247,714</w:t>
            </w:r>
          </w:p>
        </w:tc>
      </w:tr>
    </w:tbl>
    <w:p w:rsidR="00BD357C" w:rsidRDefault="00BD357C">
      <w:pPr>
        <w:rPr>
          <w:rFonts w:ascii="Arial" w:hAnsi="Arial" w:cs="Arial"/>
          <w:b/>
          <w:szCs w:val="24"/>
        </w:rPr>
      </w:pPr>
      <w:r>
        <w:rPr>
          <w:rFonts w:ascii="Arial" w:hAnsi="Arial" w:cs="Arial"/>
          <w:b/>
          <w:szCs w:val="24"/>
        </w:rPr>
        <w:br w:type="page"/>
      </w:r>
    </w:p>
    <w:p w:rsidR="00686F9F" w:rsidRDefault="00686F9F">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t>B</w:t>
      </w:r>
      <w:r w:rsidR="00290EB5" w:rsidRPr="00D943A1">
        <w:rPr>
          <w:rFonts w:ascii="Arial" w:hAnsi="Arial" w:cs="Arial"/>
          <w:b/>
          <w:szCs w:val="24"/>
        </w:rPr>
        <w:t>reakdown of Results –</w:t>
      </w:r>
      <w:r w:rsidR="007273AE">
        <w:rPr>
          <w:rFonts w:ascii="Arial" w:hAnsi="Arial" w:cs="Arial"/>
          <w:b/>
          <w:szCs w:val="24"/>
        </w:rPr>
        <w:t xml:space="preserve"> </w:t>
      </w:r>
      <w:r w:rsidR="00290EB5" w:rsidRPr="00D943A1">
        <w:rPr>
          <w:rFonts w:ascii="Arial" w:hAnsi="Arial" w:cs="Arial"/>
          <w:b/>
          <w:szCs w:val="24"/>
        </w:rPr>
        <w:t>By Activity</w:t>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Pr>
          <w:rFonts w:ascii="Arial" w:hAnsi="Arial" w:cs="Arial"/>
          <w:b/>
          <w:szCs w:val="24"/>
        </w:rPr>
        <w:t xml:space="preserve">                                                     </w:t>
      </w:r>
      <w:r w:rsidR="00290EB5" w:rsidRPr="00D943A1">
        <w:rPr>
          <w:rFonts w:ascii="Arial" w:hAnsi="Arial" w:cs="Arial"/>
          <w:b/>
          <w:szCs w:val="24"/>
        </w:rPr>
        <w:t>APPENDIX B</w:t>
      </w:r>
    </w:p>
    <w:p w:rsidR="00290EB5" w:rsidRDefault="00290EB5" w:rsidP="00290EB5">
      <w:pPr>
        <w:rPr>
          <w:rFonts w:ascii="Arial" w:hAnsi="Arial" w:cs="Arial"/>
          <w:b/>
          <w:szCs w:val="24"/>
        </w:rPr>
      </w:pPr>
    </w:p>
    <w:p w:rsidR="00686F9F" w:rsidRDefault="00686F9F" w:rsidP="00290EB5">
      <w:pPr>
        <w:rPr>
          <w:rFonts w:ascii="Arial" w:hAnsi="Arial" w:cs="Arial"/>
          <w:b/>
          <w:szCs w:val="24"/>
        </w:rPr>
      </w:pPr>
    </w:p>
    <w:tbl>
      <w:tblPr>
        <w:tblW w:w="14340" w:type="dxa"/>
        <w:tblInd w:w="93" w:type="dxa"/>
        <w:tblLook w:val="04A0" w:firstRow="1" w:lastRow="0" w:firstColumn="1" w:lastColumn="0" w:noHBand="0" w:noVBand="1"/>
      </w:tblPr>
      <w:tblGrid>
        <w:gridCol w:w="5500"/>
        <w:gridCol w:w="3300"/>
        <w:gridCol w:w="3460"/>
        <w:gridCol w:w="2080"/>
      </w:tblGrid>
      <w:tr w:rsidR="000757C8" w:rsidRPr="000757C8" w:rsidTr="000757C8">
        <w:trPr>
          <w:trHeight w:val="360"/>
        </w:trPr>
        <w:tc>
          <w:tcPr>
            <w:tcW w:w="55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Sector</w:t>
            </w:r>
          </w:p>
        </w:tc>
        <w:tc>
          <w:tcPr>
            <w:tcW w:w="33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Budget</w:t>
            </w:r>
          </w:p>
        </w:tc>
        <w:tc>
          <w:tcPr>
            <w:tcW w:w="346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 xml:space="preserve">Actual </w:t>
            </w:r>
          </w:p>
        </w:tc>
        <w:tc>
          <w:tcPr>
            <w:tcW w:w="208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Variance</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Adult</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(£755,545)</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(£611,134)</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£144,411</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Archives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(£646,750)</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(£612,112)</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£34,638</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Arts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(£274,820)</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(£303,030)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(£28,210)</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Facilities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(£2,349,924)</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(£2,251,133)</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£98,791</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H&amp;W</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£0</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£1,335</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£1,335</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Libraries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(£3,663,465)</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(£3,608,250)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£55,215</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Management</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(£2,346,426)</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(£2,399,156)</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(£52,730)</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Museums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(£556,672)</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(£498,050)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£58,622</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Outdoor</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(£112,869)</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(£118,136)</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(£5,267)</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SLA</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£12,716,399</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£12,543,338</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(£173,061)</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Sports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(£501,607)</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(£464,537)</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£37,070</w:t>
            </w:r>
          </w:p>
        </w:tc>
      </w:tr>
      <w:tr w:rsidR="000757C8" w:rsidRPr="000757C8" w:rsidTr="000757C8">
        <w:trPr>
          <w:trHeight w:val="360"/>
        </w:trPr>
        <w:tc>
          <w:tcPr>
            <w:tcW w:w="55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Youth</w:t>
            </w:r>
            <w:r>
              <w:rPr>
                <w:rFonts w:ascii="Arial" w:hAnsi="Arial" w:cs="Arial"/>
                <w:b/>
                <w:bCs/>
                <w:sz w:val="28"/>
                <w:szCs w:val="28"/>
              </w:rPr>
              <w:t>-</w:t>
            </w:r>
            <w:r w:rsidRPr="000757C8">
              <w:rPr>
                <w:rFonts w:ascii="Arial" w:hAnsi="Arial" w:cs="Arial"/>
                <w:b/>
                <w:bCs/>
                <w:sz w:val="28"/>
                <w:szCs w:val="28"/>
              </w:rPr>
              <w:t>work</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(£1,508,321)</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(£1,431,422)</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£76,900</w:t>
            </w:r>
          </w:p>
        </w:tc>
      </w:tr>
      <w:tr w:rsidR="000757C8" w:rsidRPr="000757C8" w:rsidTr="000757C8">
        <w:trPr>
          <w:trHeight w:val="375"/>
        </w:trPr>
        <w:tc>
          <w:tcPr>
            <w:tcW w:w="55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Surplus ( deficit)</w:t>
            </w:r>
          </w:p>
        </w:tc>
        <w:tc>
          <w:tcPr>
            <w:tcW w:w="330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£0</w:t>
            </w:r>
          </w:p>
        </w:tc>
        <w:tc>
          <w:tcPr>
            <w:tcW w:w="346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£247,714</w:t>
            </w:r>
          </w:p>
        </w:tc>
        <w:tc>
          <w:tcPr>
            <w:tcW w:w="208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£247,714</w:t>
            </w:r>
          </w:p>
        </w:tc>
      </w:tr>
    </w:tbl>
    <w:p w:rsidR="00686F9F" w:rsidRDefault="00686F9F">
      <w:pPr>
        <w:rPr>
          <w:rFonts w:ascii="Arial" w:hAnsi="Arial" w:cs="Arial"/>
          <w:b/>
          <w:szCs w:val="24"/>
        </w:rPr>
      </w:pPr>
      <w:r>
        <w:rPr>
          <w:rFonts w:ascii="Arial" w:hAnsi="Arial" w:cs="Arial"/>
          <w:b/>
          <w:szCs w:val="24"/>
        </w:rPr>
        <w:br w:type="page"/>
      </w:r>
    </w:p>
    <w:p w:rsidR="00290EB5" w:rsidRDefault="00290EB5" w:rsidP="00290EB5">
      <w:pPr>
        <w:rPr>
          <w:rFonts w:ascii="Arial" w:hAnsi="Arial" w:cs="Arial"/>
          <w:b/>
          <w:szCs w:val="24"/>
        </w:rPr>
      </w:pPr>
      <w:r>
        <w:rPr>
          <w:rFonts w:ascii="Arial" w:hAnsi="Arial" w:cs="Arial"/>
          <w:b/>
          <w:szCs w:val="24"/>
        </w:rPr>
        <w:lastRenderedPageBreak/>
        <w:t xml:space="preserve">Breakdown of Variance - By </w:t>
      </w:r>
      <w:r w:rsidR="00F12AD6">
        <w:rPr>
          <w:rFonts w:ascii="Arial" w:hAnsi="Arial" w:cs="Arial"/>
          <w:b/>
          <w:szCs w:val="24"/>
        </w:rPr>
        <w:t>Activity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Appendix B </w:t>
      </w:r>
      <w:r w:rsidR="00532972">
        <w:rPr>
          <w:rFonts w:ascii="Arial" w:hAnsi="Arial" w:cs="Arial"/>
          <w:b/>
          <w:szCs w:val="24"/>
        </w:rPr>
        <w:t>(</w:t>
      </w:r>
      <w:proofErr w:type="spellStart"/>
      <w:r w:rsidR="00532972">
        <w:rPr>
          <w:rFonts w:ascii="Arial" w:hAnsi="Arial" w:cs="Arial"/>
          <w:b/>
          <w:szCs w:val="24"/>
        </w:rPr>
        <w:t>Contd</w:t>
      </w:r>
      <w:proofErr w:type="spellEnd"/>
      <w:r w:rsidR="00532972">
        <w:rPr>
          <w:rFonts w:ascii="Arial" w:hAnsi="Arial" w:cs="Arial"/>
          <w:b/>
          <w:szCs w:val="24"/>
        </w:rPr>
        <w:t>)</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Default="00290EB5" w:rsidP="00290EB5">
      <w:pPr>
        <w:rPr>
          <w:rFonts w:ascii="Arial" w:hAnsi="Arial" w:cs="Arial"/>
          <w:b/>
          <w:szCs w:val="24"/>
        </w:rPr>
      </w:pPr>
    </w:p>
    <w:tbl>
      <w:tblPr>
        <w:tblW w:w="14580" w:type="dxa"/>
        <w:tblInd w:w="93" w:type="dxa"/>
        <w:tblLook w:val="04A0" w:firstRow="1" w:lastRow="0" w:firstColumn="1" w:lastColumn="0" w:noHBand="0" w:noVBand="1"/>
      </w:tblPr>
      <w:tblGrid>
        <w:gridCol w:w="3300"/>
        <w:gridCol w:w="3300"/>
        <w:gridCol w:w="3460"/>
        <w:gridCol w:w="2080"/>
        <w:gridCol w:w="2440"/>
      </w:tblGrid>
      <w:tr w:rsidR="000757C8" w:rsidRPr="000757C8" w:rsidTr="000757C8">
        <w:trPr>
          <w:trHeight w:val="720"/>
        </w:trPr>
        <w:tc>
          <w:tcPr>
            <w:tcW w:w="33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Sectors</w:t>
            </w:r>
          </w:p>
        </w:tc>
        <w:tc>
          <w:tcPr>
            <w:tcW w:w="3300" w:type="dxa"/>
            <w:tcBorders>
              <w:top w:val="nil"/>
              <w:left w:val="nil"/>
              <w:bottom w:val="nil"/>
              <w:right w:val="nil"/>
            </w:tcBorders>
            <w:shd w:val="clear" w:color="000000" w:fill="DCE6F1"/>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Variance Income</w:t>
            </w:r>
          </w:p>
        </w:tc>
        <w:tc>
          <w:tcPr>
            <w:tcW w:w="3460" w:type="dxa"/>
            <w:tcBorders>
              <w:top w:val="nil"/>
              <w:left w:val="nil"/>
              <w:bottom w:val="nil"/>
              <w:right w:val="nil"/>
            </w:tcBorders>
            <w:shd w:val="clear" w:color="000000" w:fill="DCE6F1"/>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Variance Other Costs</w:t>
            </w:r>
          </w:p>
        </w:tc>
        <w:tc>
          <w:tcPr>
            <w:tcW w:w="2080" w:type="dxa"/>
            <w:tcBorders>
              <w:top w:val="nil"/>
              <w:left w:val="nil"/>
              <w:bottom w:val="nil"/>
              <w:right w:val="nil"/>
            </w:tcBorders>
            <w:shd w:val="clear" w:color="000000" w:fill="DCE6F1"/>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Variance Staff Costs</w:t>
            </w:r>
          </w:p>
        </w:tc>
        <w:tc>
          <w:tcPr>
            <w:tcW w:w="244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Total Variance</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Adult</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£66,603</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£82,744</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(£4,935)</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£144,411</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Archives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(£4,099)</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(£6,502)</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£45,239</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£34,638</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Arts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(£60,839)</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£2,165</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£30,464</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(£28,210)</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Facilities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£108,568</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£82,139</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(£91,915)</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£98,791</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H&amp;W</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£79,157</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(£77,096)</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(£725)</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£1,335</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Libraries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£7,393</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(£21,923)</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£69,745</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£55,215</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Management</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£4,751</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(£69,342)</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£11,861</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(£52,730)</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Museums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£84,843</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(£57,781)</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£31,560</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£58,622</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Outdoor</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(£61,750)</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£6,406</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£50,077</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(£5,267)</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SLA</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(£169,215)</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(£3,846)</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£0</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(£173,061)</w:t>
            </w:r>
          </w:p>
        </w:tc>
      </w:tr>
      <w:tr w:rsidR="000757C8" w:rsidRPr="000757C8" w:rsidTr="000757C8">
        <w:trPr>
          <w:trHeight w:val="360"/>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Sports</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£113,469</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(£88,910)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£12,511</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£37,070</w:t>
            </w:r>
          </w:p>
        </w:tc>
      </w:tr>
      <w:tr w:rsidR="000757C8" w:rsidRPr="000757C8" w:rsidTr="000757C8">
        <w:trPr>
          <w:trHeight w:val="375"/>
        </w:trPr>
        <w:tc>
          <w:tcPr>
            <w:tcW w:w="3300" w:type="dxa"/>
            <w:tcBorders>
              <w:top w:val="nil"/>
              <w:left w:val="nil"/>
              <w:bottom w:val="nil"/>
              <w:right w:val="nil"/>
            </w:tcBorders>
            <w:shd w:val="clear" w:color="auto" w:fill="auto"/>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Youth</w:t>
            </w:r>
            <w:r>
              <w:rPr>
                <w:rFonts w:ascii="Arial" w:hAnsi="Arial" w:cs="Arial"/>
                <w:b/>
                <w:bCs/>
                <w:sz w:val="28"/>
                <w:szCs w:val="28"/>
              </w:rPr>
              <w:t>-</w:t>
            </w:r>
            <w:r w:rsidRPr="000757C8">
              <w:rPr>
                <w:rFonts w:ascii="Arial" w:hAnsi="Arial" w:cs="Arial"/>
                <w:b/>
                <w:bCs/>
                <w:sz w:val="28"/>
                <w:szCs w:val="28"/>
              </w:rPr>
              <w:t>work</w:t>
            </w:r>
          </w:p>
        </w:tc>
        <w:tc>
          <w:tcPr>
            <w:tcW w:w="330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£146,538</w:t>
            </w:r>
          </w:p>
        </w:tc>
        <w:tc>
          <w:tcPr>
            <w:tcW w:w="346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color w:val="FF0000"/>
                <w:sz w:val="28"/>
                <w:szCs w:val="28"/>
              </w:rPr>
              <w:t>(£178,910)</w:t>
            </w:r>
          </w:p>
        </w:tc>
        <w:tc>
          <w:tcPr>
            <w:tcW w:w="208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£109,271</w:t>
            </w:r>
          </w:p>
        </w:tc>
        <w:tc>
          <w:tcPr>
            <w:tcW w:w="2440" w:type="dxa"/>
            <w:tcBorders>
              <w:top w:val="nil"/>
              <w:left w:val="nil"/>
              <w:bottom w:val="nil"/>
              <w:right w:val="nil"/>
            </w:tcBorders>
            <w:shd w:val="clear" w:color="auto" w:fill="auto"/>
            <w:noWrap/>
            <w:vAlign w:val="bottom"/>
            <w:hideMark/>
          </w:tcPr>
          <w:p w:rsidR="000757C8" w:rsidRPr="000757C8" w:rsidRDefault="000757C8" w:rsidP="000757C8">
            <w:pPr>
              <w:jc w:val="right"/>
              <w:rPr>
                <w:rFonts w:ascii="Arial" w:hAnsi="Arial" w:cs="Arial"/>
                <w:sz w:val="28"/>
                <w:szCs w:val="28"/>
              </w:rPr>
            </w:pPr>
            <w:r w:rsidRPr="000757C8">
              <w:rPr>
                <w:rFonts w:ascii="Arial" w:hAnsi="Arial" w:cs="Arial"/>
                <w:sz w:val="28"/>
                <w:szCs w:val="28"/>
              </w:rPr>
              <w:t>£76,900</w:t>
            </w:r>
          </w:p>
        </w:tc>
      </w:tr>
      <w:tr w:rsidR="000757C8" w:rsidRPr="000757C8" w:rsidTr="000757C8">
        <w:trPr>
          <w:trHeight w:val="390"/>
        </w:trPr>
        <w:tc>
          <w:tcPr>
            <w:tcW w:w="3300" w:type="dxa"/>
            <w:tcBorders>
              <w:top w:val="nil"/>
              <w:left w:val="nil"/>
              <w:bottom w:val="nil"/>
              <w:right w:val="nil"/>
            </w:tcBorders>
            <w:shd w:val="clear" w:color="000000" w:fill="DCE6F1"/>
            <w:noWrap/>
            <w:vAlign w:val="bottom"/>
            <w:hideMark/>
          </w:tcPr>
          <w:p w:rsidR="000757C8" w:rsidRPr="000757C8" w:rsidRDefault="000757C8" w:rsidP="000757C8">
            <w:pPr>
              <w:rPr>
                <w:rFonts w:ascii="Arial" w:hAnsi="Arial" w:cs="Arial"/>
                <w:b/>
                <w:bCs/>
                <w:sz w:val="28"/>
                <w:szCs w:val="28"/>
              </w:rPr>
            </w:pPr>
            <w:r w:rsidRPr="000757C8">
              <w:rPr>
                <w:rFonts w:ascii="Arial" w:hAnsi="Arial" w:cs="Arial"/>
                <w:b/>
                <w:bCs/>
                <w:sz w:val="28"/>
                <w:szCs w:val="28"/>
              </w:rPr>
              <w:t>Surplus ( deficit)</w:t>
            </w:r>
          </w:p>
        </w:tc>
        <w:tc>
          <w:tcPr>
            <w:tcW w:w="330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£315,418</w:t>
            </w:r>
          </w:p>
        </w:tc>
        <w:tc>
          <w:tcPr>
            <w:tcW w:w="346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color w:val="FF0000"/>
                <w:sz w:val="28"/>
                <w:szCs w:val="28"/>
              </w:rPr>
              <w:t>(£330,857)</w:t>
            </w:r>
          </w:p>
        </w:tc>
        <w:tc>
          <w:tcPr>
            <w:tcW w:w="208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£263,153</w:t>
            </w:r>
          </w:p>
        </w:tc>
        <w:tc>
          <w:tcPr>
            <w:tcW w:w="2440" w:type="dxa"/>
            <w:tcBorders>
              <w:top w:val="single" w:sz="4" w:space="0" w:color="auto"/>
              <w:left w:val="nil"/>
              <w:bottom w:val="double" w:sz="6" w:space="0" w:color="auto"/>
              <w:right w:val="nil"/>
            </w:tcBorders>
            <w:shd w:val="clear" w:color="000000" w:fill="DCE6F1"/>
            <w:noWrap/>
            <w:vAlign w:val="bottom"/>
            <w:hideMark/>
          </w:tcPr>
          <w:p w:rsidR="000757C8" w:rsidRPr="000757C8" w:rsidRDefault="000757C8" w:rsidP="000757C8">
            <w:pPr>
              <w:jc w:val="right"/>
              <w:rPr>
                <w:rFonts w:ascii="Arial" w:hAnsi="Arial" w:cs="Arial"/>
                <w:b/>
                <w:bCs/>
                <w:sz w:val="28"/>
                <w:szCs w:val="28"/>
              </w:rPr>
            </w:pPr>
            <w:r w:rsidRPr="000757C8">
              <w:rPr>
                <w:rFonts w:ascii="Arial" w:hAnsi="Arial" w:cs="Arial"/>
                <w:b/>
                <w:bCs/>
                <w:sz w:val="28"/>
                <w:szCs w:val="28"/>
              </w:rPr>
              <w:t>£247,714</w:t>
            </w:r>
          </w:p>
        </w:tc>
      </w:tr>
    </w:tbl>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BC1EA8" w:rsidRPr="00BC1EA8" w:rsidRDefault="00BC1EA8" w:rsidP="00BC1EA8">
      <w:pPr>
        <w:spacing w:after="200" w:line="276" w:lineRule="auto"/>
        <w:rPr>
          <w:rFonts w:ascii="Arial" w:eastAsia="Calibri" w:hAnsi="Arial" w:cs="Arial"/>
          <w:b/>
          <w:sz w:val="22"/>
          <w:szCs w:val="22"/>
          <w:lang w:eastAsia="en-US"/>
        </w:rPr>
      </w:pPr>
      <w:r w:rsidRPr="00BC1EA8">
        <w:rPr>
          <w:rFonts w:ascii="Arial" w:eastAsia="Calibri" w:hAnsi="Arial" w:cs="Arial"/>
          <w:b/>
          <w:sz w:val="22"/>
          <w:szCs w:val="22"/>
          <w:lang w:eastAsia="en-US"/>
        </w:rPr>
        <w:lastRenderedPageBreak/>
        <w:t xml:space="preserve">Explanation of Variance (Over £5K) </w:t>
      </w:r>
      <w:r w:rsidR="000757C8">
        <w:rPr>
          <w:rFonts w:ascii="Arial" w:eastAsia="Calibri" w:hAnsi="Arial" w:cs="Arial"/>
          <w:b/>
          <w:sz w:val="22"/>
          <w:szCs w:val="22"/>
          <w:lang w:eastAsia="en-US"/>
        </w:rPr>
        <w:t>for 2015/16</w:t>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F04708">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A26CE5">
        <w:rPr>
          <w:rFonts w:ascii="Arial" w:eastAsia="Calibri" w:hAnsi="Arial" w:cs="Arial"/>
          <w:b/>
          <w:sz w:val="22"/>
          <w:szCs w:val="22"/>
          <w:lang w:eastAsia="en-US"/>
        </w:rPr>
        <w:tab/>
      </w:r>
      <w:r w:rsidR="00F04708" w:rsidRPr="00F04708">
        <w:rPr>
          <w:rFonts w:ascii="Arial" w:eastAsia="Calibri" w:hAnsi="Arial" w:cs="Arial"/>
          <w:b/>
          <w:szCs w:val="24"/>
          <w:lang w:eastAsia="en-US"/>
        </w:rPr>
        <w:t>APPENDIX C</w:t>
      </w:r>
      <w:r w:rsidRPr="00BC1EA8">
        <w:rPr>
          <w:rFonts w:ascii="Arial" w:eastAsia="Calibri" w:hAnsi="Arial" w:cs="Arial"/>
          <w:b/>
          <w:szCs w:val="24"/>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r>
      <w:r w:rsidRPr="00BC1EA8">
        <w:rPr>
          <w:rFonts w:ascii="Arial" w:eastAsia="Calibri" w:hAnsi="Arial" w:cs="Arial"/>
          <w:b/>
          <w:sz w:val="22"/>
          <w:szCs w:val="22"/>
          <w:lang w:eastAsia="en-US"/>
        </w:rPr>
        <w:tab/>
        <w:t xml:space="preserve">                                                        </w:t>
      </w:r>
    </w:p>
    <w:tbl>
      <w:tblPr>
        <w:tblW w:w="14747" w:type="dxa"/>
        <w:tblInd w:w="103" w:type="dxa"/>
        <w:tblLook w:val="04A0" w:firstRow="1" w:lastRow="0" w:firstColumn="1" w:lastColumn="0" w:noHBand="0" w:noVBand="1"/>
      </w:tblPr>
      <w:tblGrid>
        <w:gridCol w:w="1848"/>
        <w:gridCol w:w="1418"/>
        <w:gridCol w:w="4536"/>
        <w:gridCol w:w="3685"/>
        <w:gridCol w:w="3260"/>
      </w:tblGrid>
      <w:tr w:rsidR="000757C8" w:rsidRPr="000757C8" w:rsidTr="006E348F">
        <w:trPr>
          <w:trHeight w:val="422"/>
        </w:trPr>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57C8" w:rsidRPr="000757C8" w:rsidRDefault="000757C8" w:rsidP="000757C8">
            <w:pPr>
              <w:spacing w:after="200" w:line="276" w:lineRule="auto"/>
              <w:rPr>
                <w:rFonts w:ascii="Arial" w:eastAsia="Calibri" w:hAnsi="Arial" w:cs="Arial"/>
                <w:b/>
                <w:bCs/>
                <w:sz w:val="22"/>
                <w:szCs w:val="22"/>
                <w:lang w:eastAsia="en-US"/>
              </w:rPr>
            </w:pPr>
            <w:r w:rsidRPr="000757C8">
              <w:rPr>
                <w:rFonts w:ascii="Arial" w:eastAsia="Calibri" w:hAnsi="Arial" w:cs="Arial"/>
                <w:b/>
                <w:bCs/>
                <w:sz w:val="22"/>
                <w:szCs w:val="22"/>
                <w:lang w:eastAsia="en-US"/>
              </w:rPr>
              <w:t>Services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757C8" w:rsidRPr="000757C8" w:rsidRDefault="000757C8" w:rsidP="000757C8">
            <w:pPr>
              <w:spacing w:after="200" w:line="276" w:lineRule="auto"/>
              <w:rPr>
                <w:rFonts w:ascii="Arial" w:eastAsia="Calibri" w:hAnsi="Arial" w:cs="Arial"/>
                <w:b/>
                <w:bCs/>
                <w:sz w:val="22"/>
                <w:szCs w:val="22"/>
                <w:lang w:eastAsia="en-US"/>
              </w:rPr>
            </w:pPr>
            <w:r w:rsidRPr="000757C8">
              <w:rPr>
                <w:rFonts w:ascii="Arial" w:eastAsia="Calibri" w:hAnsi="Arial" w:cs="Arial"/>
                <w:b/>
                <w:bCs/>
                <w:sz w:val="22"/>
                <w:szCs w:val="22"/>
                <w:lang w:eastAsia="en-US"/>
              </w:rPr>
              <w:t>Variance - Total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0757C8" w:rsidRPr="000757C8" w:rsidRDefault="000757C8" w:rsidP="000757C8">
            <w:pPr>
              <w:spacing w:after="200" w:line="276" w:lineRule="auto"/>
              <w:rPr>
                <w:rFonts w:ascii="Arial" w:eastAsia="Calibri" w:hAnsi="Arial" w:cs="Arial"/>
                <w:b/>
                <w:bCs/>
                <w:sz w:val="22"/>
                <w:szCs w:val="22"/>
                <w:lang w:eastAsia="en-US"/>
              </w:rPr>
            </w:pPr>
            <w:r w:rsidRPr="000757C8">
              <w:rPr>
                <w:rFonts w:ascii="Arial" w:eastAsia="Calibri" w:hAnsi="Arial" w:cs="Arial"/>
                <w:b/>
                <w:bCs/>
                <w:sz w:val="22"/>
                <w:szCs w:val="22"/>
                <w:lang w:eastAsia="en-US"/>
              </w:rPr>
              <w:t>Income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0757C8" w:rsidRPr="000757C8" w:rsidRDefault="000757C8" w:rsidP="000757C8">
            <w:pPr>
              <w:spacing w:after="200" w:line="276" w:lineRule="auto"/>
              <w:rPr>
                <w:rFonts w:ascii="Arial" w:eastAsia="Calibri" w:hAnsi="Arial" w:cs="Arial"/>
                <w:b/>
                <w:bCs/>
                <w:sz w:val="22"/>
                <w:szCs w:val="22"/>
                <w:lang w:eastAsia="en-US"/>
              </w:rPr>
            </w:pPr>
            <w:r w:rsidRPr="000757C8">
              <w:rPr>
                <w:rFonts w:ascii="Arial" w:eastAsia="Calibri" w:hAnsi="Arial" w:cs="Arial"/>
                <w:b/>
                <w:bCs/>
                <w:sz w:val="22"/>
                <w:szCs w:val="22"/>
                <w:lang w:eastAsia="en-US"/>
              </w:rPr>
              <w:t>Other Costs</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0757C8" w:rsidRPr="000757C8" w:rsidRDefault="000757C8" w:rsidP="000757C8">
            <w:pPr>
              <w:spacing w:after="200" w:line="276" w:lineRule="auto"/>
              <w:rPr>
                <w:rFonts w:ascii="Arial" w:eastAsia="Calibri" w:hAnsi="Arial" w:cs="Arial"/>
                <w:b/>
                <w:bCs/>
                <w:sz w:val="22"/>
                <w:szCs w:val="22"/>
                <w:lang w:eastAsia="en-US"/>
              </w:rPr>
            </w:pPr>
            <w:r w:rsidRPr="000757C8">
              <w:rPr>
                <w:rFonts w:ascii="Arial" w:eastAsia="Calibri" w:hAnsi="Arial" w:cs="Arial"/>
                <w:b/>
                <w:bCs/>
                <w:sz w:val="22"/>
                <w:szCs w:val="22"/>
                <w:lang w:eastAsia="en-US"/>
              </w:rPr>
              <w:t>Staff Costs</w:t>
            </w:r>
          </w:p>
        </w:tc>
      </w:tr>
      <w:tr w:rsidR="000757C8" w:rsidRPr="000757C8" w:rsidTr="006E348F">
        <w:trPr>
          <w:trHeight w:val="606"/>
        </w:trPr>
        <w:tc>
          <w:tcPr>
            <w:tcW w:w="1848" w:type="dxa"/>
            <w:tcBorders>
              <w:top w:val="nil"/>
              <w:left w:val="single" w:sz="4" w:space="0" w:color="auto"/>
              <w:bottom w:val="single" w:sz="4" w:space="0" w:color="auto"/>
              <w:right w:val="single" w:sz="4" w:space="0" w:color="auto"/>
            </w:tcBorders>
            <w:shd w:val="clear" w:color="auto" w:fill="auto"/>
            <w:noWrap/>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Adult</w:t>
            </w:r>
          </w:p>
        </w:tc>
        <w:tc>
          <w:tcPr>
            <w:tcW w:w="1418"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144,411</w:t>
            </w:r>
          </w:p>
        </w:tc>
        <w:tc>
          <w:tcPr>
            <w:tcW w:w="4536"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Income over budget  £6</w:t>
            </w:r>
            <w:r>
              <w:rPr>
                <w:rFonts w:ascii="Arial" w:eastAsia="Calibri" w:hAnsi="Arial" w:cs="Arial"/>
                <w:sz w:val="20"/>
                <w:lang w:eastAsia="en-US"/>
              </w:rPr>
              <w:t>6.6</w:t>
            </w:r>
            <w:r w:rsidRPr="000757C8">
              <w:rPr>
                <w:rFonts w:ascii="Arial" w:eastAsia="Calibri" w:hAnsi="Arial" w:cs="Arial"/>
                <w:sz w:val="20"/>
                <w:lang w:eastAsia="en-US"/>
              </w:rPr>
              <w:t>K , grant income with associated Additional Other Costs</w:t>
            </w:r>
          </w:p>
        </w:tc>
        <w:tc>
          <w:tcPr>
            <w:tcW w:w="3685"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£8</w:t>
            </w:r>
            <w:r>
              <w:rPr>
                <w:rFonts w:ascii="Arial" w:eastAsia="Calibri" w:hAnsi="Arial" w:cs="Arial"/>
                <w:sz w:val="20"/>
                <w:lang w:eastAsia="en-US"/>
              </w:rPr>
              <w:t>2.7</w:t>
            </w:r>
            <w:r w:rsidRPr="000757C8">
              <w:rPr>
                <w:rFonts w:ascii="Arial" w:eastAsia="Calibri" w:hAnsi="Arial" w:cs="Arial"/>
                <w:sz w:val="20"/>
                <w:lang w:eastAsia="en-US"/>
              </w:rPr>
              <w:t xml:space="preserve">K, underspend on the Adult literacy budget of </w:t>
            </w:r>
            <w:r w:rsidRPr="000757C8">
              <w:rPr>
                <w:rFonts w:ascii="Arial" w:eastAsia="Calibri" w:hAnsi="Arial" w:cs="Arial"/>
                <w:b/>
                <w:color w:val="1F497D"/>
                <w:sz w:val="20"/>
                <w:u w:val="single"/>
                <w:lang w:eastAsia="en-US"/>
              </w:rPr>
              <w:t>£89K to fund IL</w:t>
            </w:r>
            <w:r w:rsidRPr="000757C8">
              <w:rPr>
                <w:rFonts w:ascii="Arial" w:eastAsia="Calibri" w:hAnsi="Arial" w:cs="Arial"/>
                <w:sz w:val="20"/>
                <w:lang w:eastAsia="en-US"/>
              </w:rPr>
              <w:t xml:space="preserve"> Fund. Underspend on thematic Projects £35K, Additional Other Costs for Grants related projects (</w:t>
            </w:r>
            <w:r w:rsidR="00096240">
              <w:rPr>
                <w:rFonts w:ascii="Arial" w:eastAsia="Calibri" w:hAnsi="Arial" w:cs="Arial"/>
                <w:sz w:val="20"/>
                <w:lang w:eastAsia="en-US"/>
              </w:rPr>
              <w:t>£</w:t>
            </w:r>
            <w:r w:rsidRPr="000757C8">
              <w:rPr>
                <w:rFonts w:ascii="Arial" w:eastAsia="Calibri" w:hAnsi="Arial" w:cs="Arial"/>
                <w:sz w:val="20"/>
                <w:lang w:eastAsia="en-US"/>
              </w:rPr>
              <w:t xml:space="preserve">48.6K) </w:t>
            </w:r>
          </w:p>
        </w:tc>
        <w:tc>
          <w:tcPr>
            <w:tcW w:w="3260" w:type="dxa"/>
            <w:tcBorders>
              <w:top w:val="nil"/>
              <w:left w:val="nil"/>
              <w:bottom w:val="single" w:sz="4" w:space="0" w:color="auto"/>
              <w:right w:val="single" w:sz="4" w:space="0" w:color="auto"/>
            </w:tcBorders>
            <w:shd w:val="clear" w:color="auto" w:fill="auto"/>
            <w:noWrap/>
          </w:tcPr>
          <w:p w:rsidR="000757C8"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On target – Variance less than £5K</w:t>
            </w:r>
          </w:p>
        </w:tc>
      </w:tr>
      <w:tr w:rsidR="000757C8" w:rsidRPr="000757C8" w:rsidTr="006E348F">
        <w:trPr>
          <w:trHeight w:val="574"/>
        </w:trPr>
        <w:tc>
          <w:tcPr>
            <w:tcW w:w="1848" w:type="dxa"/>
            <w:tcBorders>
              <w:top w:val="nil"/>
              <w:left w:val="single" w:sz="4" w:space="0" w:color="auto"/>
              <w:bottom w:val="single" w:sz="4" w:space="0" w:color="auto"/>
              <w:right w:val="single" w:sz="4" w:space="0" w:color="auto"/>
            </w:tcBorders>
            <w:shd w:val="clear" w:color="auto" w:fill="auto"/>
            <w:noWrap/>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Archives</w:t>
            </w:r>
          </w:p>
        </w:tc>
        <w:tc>
          <w:tcPr>
            <w:tcW w:w="1418"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34,638</w:t>
            </w:r>
          </w:p>
        </w:tc>
        <w:tc>
          <w:tcPr>
            <w:tcW w:w="4536"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On target – Variance less than £5K</w:t>
            </w:r>
          </w:p>
        </w:tc>
        <w:tc>
          <w:tcPr>
            <w:tcW w:w="3685"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xml:space="preserve">Variance £6.5K – Savings “Am </w:t>
            </w:r>
            <w:proofErr w:type="spellStart"/>
            <w:r w:rsidRPr="000757C8">
              <w:rPr>
                <w:rFonts w:ascii="Arial" w:eastAsia="Calibri" w:hAnsi="Arial" w:cs="Arial"/>
                <w:sz w:val="20"/>
                <w:lang w:eastAsia="en-US"/>
              </w:rPr>
              <w:t>Baile</w:t>
            </w:r>
            <w:proofErr w:type="spellEnd"/>
            <w:r w:rsidRPr="000757C8">
              <w:rPr>
                <w:rFonts w:ascii="Arial" w:eastAsia="Calibri" w:hAnsi="Arial" w:cs="Arial"/>
                <w:sz w:val="20"/>
                <w:lang w:eastAsia="en-US"/>
              </w:rPr>
              <w:t>” project due to rebate from THC £5.4K</w:t>
            </w:r>
          </w:p>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xml:space="preserve"> </w:t>
            </w:r>
          </w:p>
        </w:tc>
        <w:tc>
          <w:tcPr>
            <w:tcW w:w="3260" w:type="dxa"/>
            <w:tcBorders>
              <w:top w:val="nil"/>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Staff Costs under budget £45</w:t>
            </w:r>
            <w:r>
              <w:rPr>
                <w:rFonts w:ascii="Arial" w:eastAsia="Calibri" w:hAnsi="Arial" w:cs="Arial"/>
                <w:sz w:val="20"/>
                <w:lang w:eastAsia="en-US"/>
              </w:rPr>
              <w:t>.2</w:t>
            </w:r>
            <w:r w:rsidRPr="000757C8">
              <w:rPr>
                <w:rFonts w:ascii="Arial" w:eastAsia="Calibri" w:hAnsi="Arial" w:cs="Arial"/>
                <w:sz w:val="20"/>
                <w:lang w:eastAsia="en-US"/>
              </w:rPr>
              <w:t xml:space="preserve"> K – Staff Vacancy. £</w:t>
            </w:r>
            <w:r w:rsidRPr="000757C8">
              <w:rPr>
                <w:rFonts w:ascii="Arial" w:eastAsia="Calibri" w:hAnsi="Arial" w:cs="Arial"/>
                <w:b/>
                <w:color w:val="1F497D"/>
                <w:sz w:val="20"/>
                <w:u w:val="single"/>
                <w:lang w:eastAsia="en-US"/>
              </w:rPr>
              <w:t>11K allocated to IL Fund.</w:t>
            </w:r>
          </w:p>
        </w:tc>
      </w:tr>
      <w:tr w:rsidR="000757C8" w:rsidRPr="000757C8" w:rsidTr="006E348F">
        <w:trPr>
          <w:trHeight w:val="826"/>
        </w:trPr>
        <w:tc>
          <w:tcPr>
            <w:tcW w:w="1848" w:type="dxa"/>
            <w:tcBorders>
              <w:top w:val="nil"/>
              <w:left w:val="single" w:sz="4" w:space="0" w:color="auto"/>
              <w:bottom w:val="single" w:sz="4" w:space="0" w:color="auto"/>
              <w:right w:val="single" w:sz="4" w:space="0" w:color="auto"/>
            </w:tcBorders>
            <w:shd w:val="clear" w:color="auto" w:fill="auto"/>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Arts</w:t>
            </w:r>
          </w:p>
        </w:tc>
        <w:tc>
          <w:tcPr>
            <w:tcW w:w="1418" w:type="dxa"/>
            <w:tcBorders>
              <w:top w:val="nil"/>
              <w:left w:val="nil"/>
              <w:bottom w:val="single" w:sz="4" w:space="0" w:color="auto"/>
              <w:right w:val="single" w:sz="4" w:space="0" w:color="auto"/>
            </w:tcBorders>
            <w:shd w:val="clear" w:color="auto" w:fill="auto"/>
          </w:tcPr>
          <w:p w:rsidR="000757C8" w:rsidRPr="000757C8" w:rsidRDefault="000757C8" w:rsidP="000757C8">
            <w:pPr>
              <w:spacing w:after="200" w:line="276" w:lineRule="auto"/>
              <w:jc w:val="right"/>
              <w:rPr>
                <w:rFonts w:ascii="Arial" w:eastAsia="Calibri" w:hAnsi="Arial" w:cs="Arial"/>
                <w:b/>
                <w:color w:val="FF0000"/>
                <w:sz w:val="20"/>
                <w:lang w:eastAsia="en-US"/>
              </w:rPr>
            </w:pPr>
            <w:r w:rsidRPr="000757C8">
              <w:rPr>
                <w:rFonts w:ascii="Arial" w:eastAsia="Calibri" w:hAnsi="Arial" w:cs="Arial"/>
                <w:b/>
                <w:color w:val="FF0000"/>
                <w:sz w:val="20"/>
                <w:lang w:eastAsia="en-US"/>
              </w:rPr>
              <w:t>(£</w:t>
            </w:r>
            <w:r>
              <w:rPr>
                <w:rFonts w:ascii="Arial" w:eastAsia="Calibri" w:hAnsi="Arial" w:cs="Arial"/>
                <w:b/>
                <w:color w:val="FF0000"/>
                <w:sz w:val="20"/>
                <w:lang w:eastAsia="en-US"/>
              </w:rPr>
              <w:t>28,210</w:t>
            </w:r>
            <w:r w:rsidRPr="000757C8">
              <w:rPr>
                <w:rFonts w:ascii="Arial" w:eastAsia="Calibri" w:hAnsi="Arial" w:cs="Arial"/>
                <w:b/>
                <w:color w:val="FF0000"/>
                <w:sz w:val="20"/>
                <w:lang w:eastAsia="en-US"/>
              </w:rPr>
              <w:t>)</w:t>
            </w:r>
          </w:p>
        </w:tc>
        <w:tc>
          <w:tcPr>
            <w:tcW w:w="4536" w:type="dxa"/>
            <w:tcBorders>
              <w:top w:val="nil"/>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b/>
                <w:i/>
                <w:color w:val="1F497D"/>
                <w:sz w:val="20"/>
                <w:lang w:eastAsia="en-US"/>
              </w:rPr>
              <w:t xml:space="preserve"> Note 1. </w:t>
            </w:r>
            <w:r w:rsidRPr="000757C8">
              <w:rPr>
                <w:rFonts w:ascii="Arial" w:eastAsia="Calibri" w:hAnsi="Arial" w:cs="Arial"/>
                <w:sz w:val="20"/>
                <w:lang w:eastAsia="en-US"/>
              </w:rPr>
              <w:t>In addition to TMC – Grant income target in Exhibition Unit was aggressive -shortfall in funding income £20K</w:t>
            </w:r>
          </w:p>
        </w:tc>
        <w:tc>
          <w:tcPr>
            <w:tcW w:w="3685" w:type="dxa"/>
            <w:tcBorders>
              <w:top w:val="nil"/>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b/>
                <w:i/>
                <w:color w:val="1F497D"/>
                <w:sz w:val="20"/>
                <w:lang w:eastAsia="en-US"/>
              </w:rPr>
            </w:pPr>
            <w:r w:rsidRPr="000757C8">
              <w:rPr>
                <w:rFonts w:ascii="Arial" w:eastAsia="Calibri" w:hAnsi="Arial" w:cs="Arial"/>
                <w:b/>
                <w:i/>
                <w:color w:val="1F497D"/>
                <w:sz w:val="20"/>
                <w:lang w:eastAsia="en-US"/>
              </w:rPr>
              <w:t>Note 1</w:t>
            </w:r>
          </w:p>
        </w:tc>
        <w:tc>
          <w:tcPr>
            <w:tcW w:w="3260" w:type="dxa"/>
            <w:tcBorders>
              <w:top w:val="nil"/>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b/>
                <w:i/>
                <w:color w:val="1F497D"/>
                <w:sz w:val="20"/>
                <w:lang w:eastAsia="en-US"/>
              </w:rPr>
            </w:pPr>
            <w:r w:rsidRPr="000757C8">
              <w:rPr>
                <w:rFonts w:ascii="Arial" w:eastAsia="Calibri" w:hAnsi="Arial" w:cs="Arial"/>
                <w:b/>
                <w:i/>
                <w:color w:val="1F497D"/>
                <w:sz w:val="20"/>
                <w:lang w:eastAsia="en-US"/>
              </w:rPr>
              <w:t>Note 1</w:t>
            </w:r>
          </w:p>
        </w:tc>
      </w:tr>
      <w:tr w:rsidR="000757C8" w:rsidRPr="000757C8" w:rsidTr="006E348F">
        <w:trPr>
          <w:trHeight w:val="558"/>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Facilities</w:t>
            </w:r>
          </w:p>
        </w:tc>
        <w:tc>
          <w:tcPr>
            <w:tcW w:w="1418"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98,791</w:t>
            </w:r>
          </w:p>
        </w:tc>
        <w:tc>
          <w:tcPr>
            <w:tcW w:w="4536"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b/>
                <w:i/>
                <w:color w:val="1F497D"/>
                <w:sz w:val="20"/>
                <w:lang w:eastAsia="en-US"/>
              </w:rPr>
              <w:t>Note 2</w:t>
            </w:r>
          </w:p>
        </w:tc>
        <w:tc>
          <w:tcPr>
            <w:tcW w:w="3685"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£82K, Savings on lease costs £94K</w:t>
            </w:r>
          </w:p>
        </w:tc>
        <w:tc>
          <w:tcPr>
            <w:tcW w:w="3260"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b/>
                <w:i/>
                <w:color w:val="1F497D"/>
                <w:sz w:val="20"/>
                <w:lang w:eastAsia="en-US"/>
              </w:rPr>
              <w:t>Note 2</w:t>
            </w:r>
          </w:p>
        </w:tc>
      </w:tr>
      <w:tr w:rsidR="000757C8" w:rsidRPr="000757C8" w:rsidTr="006E348F">
        <w:trPr>
          <w:trHeight w:val="585"/>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Libraries</w:t>
            </w:r>
          </w:p>
        </w:tc>
        <w:tc>
          <w:tcPr>
            <w:tcW w:w="1418"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6E348F">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sidR="006E348F">
              <w:rPr>
                <w:rFonts w:ascii="Arial" w:eastAsia="Calibri" w:hAnsi="Arial" w:cs="Arial"/>
                <w:b/>
                <w:sz w:val="20"/>
                <w:lang w:eastAsia="en-US"/>
              </w:rPr>
              <w:t>55,215</w:t>
            </w:r>
          </w:p>
        </w:tc>
        <w:tc>
          <w:tcPr>
            <w:tcW w:w="4536" w:type="dxa"/>
            <w:tcBorders>
              <w:top w:val="single" w:sz="4" w:space="0" w:color="auto"/>
              <w:left w:val="nil"/>
              <w:bottom w:val="single" w:sz="4" w:space="0" w:color="auto"/>
              <w:right w:val="single" w:sz="4" w:space="0" w:color="auto"/>
            </w:tcBorders>
            <w:shd w:val="clear" w:color="auto" w:fill="auto"/>
          </w:tcPr>
          <w:p w:rsidR="000757C8" w:rsidRPr="000757C8" w:rsidRDefault="000757C8" w:rsidP="006E348F">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w:t>
            </w:r>
            <w:r w:rsidR="006E348F">
              <w:rPr>
                <w:rFonts w:ascii="Arial" w:eastAsia="Calibri" w:hAnsi="Arial" w:cs="Arial"/>
                <w:sz w:val="20"/>
                <w:lang w:eastAsia="en-US"/>
              </w:rPr>
              <w:t>7.3</w:t>
            </w:r>
            <w:r w:rsidRPr="000757C8">
              <w:rPr>
                <w:rFonts w:ascii="Arial" w:eastAsia="Calibri" w:hAnsi="Arial" w:cs="Arial"/>
                <w:sz w:val="20"/>
                <w:lang w:eastAsia="en-US"/>
              </w:rPr>
              <w:t>K, Grant Income £5K with associated Other costs</w:t>
            </w:r>
          </w:p>
        </w:tc>
        <w:tc>
          <w:tcPr>
            <w:tcW w:w="3685" w:type="dxa"/>
            <w:tcBorders>
              <w:top w:val="single" w:sz="4" w:space="0" w:color="auto"/>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(£21.9K), £9K ICT, £3.5K Book fund, Equipment &amp; Office Supplies £5K</w:t>
            </w:r>
          </w:p>
        </w:tc>
        <w:tc>
          <w:tcPr>
            <w:tcW w:w="3260" w:type="dxa"/>
            <w:tcBorders>
              <w:top w:val="single" w:sz="4" w:space="0" w:color="auto"/>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xml:space="preserve">Variance £69.7K, Structural Budget Savings realised early, </w:t>
            </w:r>
            <w:r w:rsidRPr="000757C8">
              <w:rPr>
                <w:rFonts w:ascii="Arial" w:eastAsia="Calibri" w:hAnsi="Arial" w:cs="Arial"/>
                <w:b/>
                <w:color w:val="1F497D"/>
                <w:sz w:val="20"/>
                <w:u w:val="single"/>
                <w:lang w:eastAsia="en-US"/>
              </w:rPr>
              <w:t>£17K allocated to IL Fund.</w:t>
            </w:r>
            <w:r w:rsidRPr="000757C8">
              <w:rPr>
                <w:rFonts w:ascii="Arial" w:eastAsia="Calibri" w:hAnsi="Arial" w:cs="Arial"/>
                <w:sz w:val="20"/>
                <w:lang w:eastAsia="en-US"/>
              </w:rPr>
              <w:t xml:space="preserve"> </w:t>
            </w:r>
          </w:p>
        </w:tc>
      </w:tr>
      <w:tr w:rsidR="000757C8" w:rsidRPr="000757C8" w:rsidTr="006E348F">
        <w:trPr>
          <w:trHeight w:val="800"/>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H&amp;W</w:t>
            </w:r>
          </w:p>
        </w:tc>
        <w:tc>
          <w:tcPr>
            <w:tcW w:w="1418" w:type="dxa"/>
            <w:tcBorders>
              <w:top w:val="single" w:sz="4" w:space="0" w:color="auto"/>
              <w:left w:val="nil"/>
              <w:bottom w:val="single" w:sz="4" w:space="0" w:color="auto"/>
              <w:right w:val="single" w:sz="4" w:space="0" w:color="auto"/>
            </w:tcBorders>
            <w:shd w:val="clear" w:color="auto" w:fill="auto"/>
            <w:noWrap/>
          </w:tcPr>
          <w:p w:rsidR="000757C8" w:rsidRPr="000757C8" w:rsidRDefault="000757C8" w:rsidP="000757C8">
            <w:pPr>
              <w:spacing w:after="200" w:line="276" w:lineRule="auto"/>
              <w:jc w:val="right"/>
              <w:rPr>
                <w:rFonts w:ascii="Arial" w:eastAsia="Calibri" w:hAnsi="Arial" w:cs="Arial"/>
                <w:b/>
                <w:color w:val="FF0000"/>
                <w:sz w:val="20"/>
                <w:lang w:eastAsia="en-US"/>
              </w:rPr>
            </w:pPr>
            <w:r w:rsidRPr="000757C8">
              <w:rPr>
                <w:rFonts w:ascii="Arial" w:eastAsia="Calibri" w:hAnsi="Arial" w:cs="Arial"/>
                <w:b/>
                <w:sz w:val="20"/>
                <w:lang w:eastAsia="en-US"/>
              </w:rPr>
              <w:t>£1,335</w:t>
            </w:r>
          </w:p>
        </w:tc>
        <w:tc>
          <w:tcPr>
            <w:tcW w:w="4536" w:type="dxa"/>
            <w:tcBorders>
              <w:top w:val="single" w:sz="4" w:space="0" w:color="auto"/>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 xml:space="preserve">Variance £79.2K, Grant Income </w:t>
            </w:r>
          </w:p>
        </w:tc>
        <w:tc>
          <w:tcPr>
            <w:tcW w:w="3685" w:type="dxa"/>
            <w:tcBorders>
              <w:top w:val="single" w:sz="4" w:space="0" w:color="auto"/>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(£77.1K) – Costs to deliver Projects</w:t>
            </w:r>
          </w:p>
        </w:tc>
        <w:tc>
          <w:tcPr>
            <w:tcW w:w="3260" w:type="dxa"/>
            <w:tcBorders>
              <w:top w:val="single" w:sz="4" w:space="0" w:color="auto"/>
              <w:left w:val="nil"/>
              <w:bottom w:val="single" w:sz="4" w:space="0" w:color="auto"/>
              <w:right w:val="single" w:sz="4" w:space="0" w:color="auto"/>
            </w:tcBorders>
            <w:shd w:val="clear" w:color="auto" w:fill="auto"/>
          </w:tcPr>
          <w:p w:rsidR="000757C8" w:rsidRPr="000757C8" w:rsidRDefault="000757C8" w:rsidP="000757C8">
            <w:pPr>
              <w:spacing w:after="200" w:line="276" w:lineRule="auto"/>
              <w:rPr>
                <w:rFonts w:ascii="Arial" w:eastAsia="Calibri" w:hAnsi="Arial" w:cs="Arial"/>
                <w:sz w:val="20"/>
                <w:lang w:eastAsia="en-US"/>
              </w:rPr>
            </w:pPr>
          </w:p>
        </w:tc>
      </w:tr>
      <w:tr w:rsidR="006E348F" w:rsidRPr="000757C8" w:rsidTr="006E348F">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Management</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color w:val="FF0000"/>
                <w:sz w:val="20"/>
                <w:lang w:eastAsia="en-US"/>
              </w:rPr>
            </w:pPr>
            <w:r w:rsidRPr="000757C8">
              <w:rPr>
                <w:rFonts w:ascii="Arial" w:eastAsia="Calibri" w:hAnsi="Arial" w:cs="Arial"/>
                <w:b/>
                <w:color w:val="FF0000"/>
                <w:sz w:val="20"/>
                <w:lang w:eastAsia="en-US"/>
              </w:rPr>
              <w:t>(£</w:t>
            </w:r>
            <w:r>
              <w:rPr>
                <w:rFonts w:ascii="Arial" w:eastAsia="Calibri" w:hAnsi="Arial" w:cs="Arial"/>
                <w:b/>
                <w:color w:val="FF0000"/>
                <w:sz w:val="20"/>
                <w:lang w:eastAsia="en-US"/>
              </w:rPr>
              <w:t>52,730</w:t>
            </w:r>
            <w:r w:rsidRPr="000757C8">
              <w:rPr>
                <w:rFonts w:ascii="Arial" w:eastAsia="Calibri" w:hAnsi="Arial" w:cs="Arial"/>
                <w:b/>
                <w:color w:val="FF0000"/>
                <w:sz w:val="20"/>
                <w:lang w:eastAsia="en-US"/>
              </w:rPr>
              <w:t>)</w:t>
            </w:r>
          </w:p>
        </w:tc>
        <w:tc>
          <w:tcPr>
            <w:tcW w:w="4536" w:type="dxa"/>
            <w:tcBorders>
              <w:top w:val="single" w:sz="4" w:space="0" w:color="auto"/>
              <w:left w:val="nil"/>
              <w:bottom w:val="single" w:sz="4" w:space="0" w:color="auto"/>
              <w:right w:val="single" w:sz="4" w:space="0" w:color="auto"/>
            </w:tcBorders>
            <w:shd w:val="clear" w:color="auto" w:fill="auto"/>
          </w:tcPr>
          <w:p w:rsidR="006E348F" w:rsidRPr="000757C8" w:rsidRDefault="006E348F" w:rsidP="000D70EE">
            <w:pPr>
              <w:spacing w:after="200" w:line="276" w:lineRule="auto"/>
              <w:rPr>
                <w:rFonts w:ascii="Arial" w:eastAsia="Calibri" w:hAnsi="Arial" w:cs="Arial"/>
                <w:sz w:val="20"/>
                <w:lang w:eastAsia="en-US"/>
              </w:rPr>
            </w:pPr>
            <w:r w:rsidRPr="000757C8">
              <w:rPr>
                <w:rFonts w:ascii="Arial" w:eastAsia="Calibri" w:hAnsi="Arial" w:cs="Arial"/>
                <w:sz w:val="20"/>
                <w:lang w:eastAsia="en-US"/>
              </w:rPr>
              <w:t>On target – Variance less than £5K</w:t>
            </w:r>
          </w:p>
        </w:tc>
        <w:tc>
          <w:tcPr>
            <w:tcW w:w="3685"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w:t>
            </w:r>
            <w:r>
              <w:rPr>
                <w:rFonts w:ascii="Arial" w:eastAsia="Calibri" w:hAnsi="Arial" w:cs="Arial"/>
                <w:sz w:val="20"/>
                <w:lang w:eastAsia="en-US"/>
              </w:rPr>
              <w:t>69.3</w:t>
            </w:r>
            <w:r w:rsidRPr="000757C8">
              <w:rPr>
                <w:rFonts w:ascii="Arial" w:eastAsia="Calibri" w:hAnsi="Arial" w:cs="Arial"/>
                <w:sz w:val="20"/>
                <w:lang w:eastAsia="en-US"/>
              </w:rPr>
              <w:t>K) additional accrual Vat Irrecoverable.</w:t>
            </w:r>
          </w:p>
          <w:p w:rsidR="006E348F" w:rsidRDefault="006E348F" w:rsidP="000757C8">
            <w:pPr>
              <w:spacing w:after="200" w:line="276" w:lineRule="auto"/>
              <w:rPr>
                <w:rFonts w:ascii="Arial" w:eastAsia="Calibri" w:hAnsi="Arial" w:cs="Arial"/>
                <w:sz w:val="20"/>
                <w:lang w:eastAsia="en-US"/>
              </w:rPr>
            </w:pPr>
          </w:p>
          <w:p w:rsidR="000E4637" w:rsidRPr="000757C8" w:rsidRDefault="000E4637" w:rsidP="000757C8">
            <w:pPr>
              <w:spacing w:after="200" w:line="276" w:lineRule="auto"/>
              <w:rPr>
                <w:rFonts w:ascii="Arial" w:eastAsia="Calibri" w:hAnsi="Arial" w:cs="Arial"/>
                <w:sz w:val="20"/>
                <w:lang w:eastAsia="en-US"/>
              </w:rPr>
            </w:pPr>
          </w:p>
        </w:tc>
        <w:tc>
          <w:tcPr>
            <w:tcW w:w="3260" w:type="dxa"/>
            <w:tcBorders>
              <w:top w:val="single" w:sz="4" w:space="0" w:color="auto"/>
              <w:left w:val="nil"/>
              <w:bottom w:val="single" w:sz="4" w:space="0" w:color="auto"/>
              <w:right w:val="single" w:sz="4" w:space="0" w:color="auto"/>
            </w:tcBorders>
            <w:shd w:val="clear" w:color="auto" w:fill="auto"/>
          </w:tcPr>
          <w:p w:rsidR="006E348F" w:rsidRPr="000757C8" w:rsidRDefault="006E348F" w:rsidP="006E348F">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£1</w:t>
            </w:r>
            <w:r>
              <w:rPr>
                <w:rFonts w:ascii="Arial" w:eastAsia="Calibri" w:hAnsi="Arial" w:cs="Arial"/>
                <w:sz w:val="20"/>
                <w:lang w:eastAsia="en-US"/>
              </w:rPr>
              <w:t>1.8</w:t>
            </w:r>
            <w:r w:rsidRPr="000757C8">
              <w:rPr>
                <w:rFonts w:ascii="Arial" w:eastAsia="Calibri" w:hAnsi="Arial" w:cs="Arial"/>
                <w:sz w:val="20"/>
                <w:lang w:eastAsia="en-US"/>
              </w:rPr>
              <w:t>K, Staff Vacancy</w:t>
            </w:r>
          </w:p>
        </w:tc>
      </w:tr>
      <w:tr w:rsidR="006E348F" w:rsidRPr="000757C8" w:rsidTr="006E348F">
        <w:trPr>
          <w:trHeight w:val="300"/>
        </w:trPr>
        <w:tc>
          <w:tcPr>
            <w:tcW w:w="1848" w:type="dxa"/>
            <w:tcBorders>
              <w:top w:val="single" w:sz="4" w:space="0" w:color="auto"/>
              <w:left w:val="single" w:sz="4" w:space="0" w:color="auto"/>
              <w:bottom w:val="single" w:sz="4" w:space="0" w:color="auto"/>
            </w:tcBorders>
            <w:shd w:val="clear" w:color="auto" w:fill="auto"/>
            <w:noWrap/>
          </w:tcPr>
          <w:p w:rsidR="006E348F" w:rsidRPr="000757C8" w:rsidRDefault="006E348F" w:rsidP="000757C8">
            <w:pPr>
              <w:spacing w:after="200" w:line="276" w:lineRule="auto"/>
              <w:rPr>
                <w:rFonts w:ascii="Arial" w:eastAsia="Calibri" w:hAnsi="Arial" w:cs="Arial"/>
                <w:sz w:val="20"/>
                <w:lang w:eastAsia="en-US"/>
              </w:rPr>
            </w:pPr>
          </w:p>
        </w:tc>
        <w:tc>
          <w:tcPr>
            <w:tcW w:w="1418" w:type="dxa"/>
            <w:tcBorders>
              <w:top w:val="single" w:sz="4" w:space="0" w:color="auto"/>
              <w:bottom w:val="single" w:sz="4" w:space="0" w:color="auto"/>
            </w:tcBorders>
            <w:shd w:val="clear" w:color="auto" w:fill="auto"/>
            <w:noWrap/>
          </w:tcPr>
          <w:p w:rsidR="006E348F" w:rsidRPr="000757C8" w:rsidRDefault="006E348F" w:rsidP="000757C8">
            <w:pPr>
              <w:spacing w:after="200" w:line="276" w:lineRule="auto"/>
              <w:jc w:val="right"/>
              <w:rPr>
                <w:rFonts w:ascii="Arial" w:eastAsia="Calibri" w:hAnsi="Arial" w:cs="Arial"/>
                <w:b/>
                <w:color w:val="FF0000"/>
                <w:sz w:val="20"/>
                <w:lang w:eastAsia="en-US"/>
              </w:rPr>
            </w:pPr>
          </w:p>
        </w:tc>
        <w:tc>
          <w:tcPr>
            <w:tcW w:w="4536" w:type="dxa"/>
            <w:tcBorders>
              <w:top w:val="single" w:sz="4" w:space="0" w:color="auto"/>
              <w:bottom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p>
        </w:tc>
        <w:tc>
          <w:tcPr>
            <w:tcW w:w="3685" w:type="dxa"/>
            <w:tcBorders>
              <w:top w:val="single" w:sz="4" w:space="0" w:color="auto"/>
              <w:bottom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p>
        </w:tc>
        <w:tc>
          <w:tcPr>
            <w:tcW w:w="3260" w:type="dxa"/>
            <w:tcBorders>
              <w:top w:val="single" w:sz="4" w:space="0" w:color="auto"/>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b/>
                <w:szCs w:val="24"/>
                <w:lang w:eastAsia="en-US"/>
              </w:rPr>
            </w:pPr>
            <w:r w:rsidRPr="000757C8">
              <w:rPr>
                <w:rFonts w:ascii="Arial" w:eastAsia="Calibri" w:hAnsi="Arial" w:cs="Arial"/>
                <w:b/>
                <w:szCs w:val="24"/>
                <w:lang w:eastAsia="en-US"/>
              </w:rPr>
              <w:t>APPENDIX C (Cont’d)</w:t>
            </w:r>
          </w:p>
        </w:tc>
      </w:tr>
      <w:tr w:rsidR="006E348F" w:rsidRPr="000757C8" w:rsidTr="006E348F">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SLA</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0757C8">
            <w:pPr>
              <w:spacing w:after="200" w:line="276" w:lineRule="auto"/>
              <w:jc w:val="right"/>
              <w:rPr>
                <w:rFonts w:ascii="Arial" w:eastAsia="Calibri" w:hAnsi="Arial" w:cs="Arial"/>
                <w:b/>
                <w:color w:val="FF0000"/>
                <w:sz w:val="20"/>
                <w:lang w:eastAsia="en-US"/>
              </w:rPr>
            </w:pPr>
            <w:r w:rsidRPr="000757C8">
              <w:rPr>
                <w:rFonts w:ascii="Arial" w:eastAsia="Calibri" w:hAnsi="Arial" w:cs="Arial"/>
                <w:b/>
                <w:color w:val="FF0000"/>
                <w:sz w:val="20"/>
                <w:lang w:eastAsia="en-US"/>
              </w:rPr>
              <w:t>(£173,061)</w:t>
            </w:r>
          </w:p>
        </w:tc>
        <w:tc>
          <w:tcPr>
            <w:tcW w:w="4536"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(£169.2K), IL Fund (£181K), IORB £12K.</w:t>
            </w:r>
          </w:p>
        </w:tc>
        <w:tc>
          <w:tcPr>
            <w:tcW w:w="3685"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(£3.8K) on SLA, recharged back to THC</w:t>
            </w:r>
          </w:p>
        </w:tc>
        <w:tc>
          <w:tcPr>
            <w:tcW w:w="3260"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p>
        </w:tc>
      </w:tr>
      <w:tr w:rsidR="006E348F" w:rsidRPr="000757C8" w:rsidTr="006E348F">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Museums</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58,622</w:t>
            </w:r>
          </w:p>
        </w:tc>
        <w:tc>
          <w:tcPr>
            <w:tcW w:w="4536"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Variance £84.8K, HFM £49K donations over budget £41K, Craft sales £6K and IMAG £27K Grant Income £5K and £12K Invoice to THC to cover artefacts from fund held by the Council.</w:t>
            </w:r>
          </w:p>
        </w:tc>
        <w:tc>
          <w:tcPr>
            <w:tcW w:w="3685"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 xml:space="preserve">Variance (£57.7K), HFM (£35K), (£9.5K Training consultancy, (£12.3K absorbed efficiencies for service, (£10K) Cost of Sales goods for </w:t>
            </w:r>
            <w:proofErr w:type="gramStart"/>
            <w:r w:rsidRPr="000757C8">
              <w:rPr>
                <w:rFonts w:ascii="Arial" w:eastAsia="Calibri" w:hAnsi="Arial" w:cs="Arial"/>
                <w:sz w:val="20"/>
                <w:lang w:eastAsia="en-US"/>
              </w:rPr>
              <w:t>resale  and</w:t>
            </w:r>
            <w:proofErr w:type="gramEnd"/>
            <w:r w:rsidRPr="000757C8">
              <w:rPr>
                <w:rFonts w:ascii="Arial" w:eastAsia="Calibri" w:hAnsi="Arial" w:cs="Arial"/>
                <w:sz w:val="20"/>
                <w:lang w:eastAsia="en-US"/>
              </w:rPr>
              <w:t xml:space="preserve">  (£20K) IMAG Exhibits.</w:t>
            </w:r>
          </w:p>
        </w:tc>
        <w:tc>
          <w:tcPr>
            <w:tcW w:w="3260"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Staff Costs under budget £3</w:t>
            </w:r>
            <w:r>
              <w:rPr>
                <w:rFonts w:ascii="Arial" w:eastAsia="Calibri" w:hAnsi="Arial" w:cs="Arial"/>
                <w:sz w:val="20"/>
                <w:lang w:eastAsia="en-US"/>
              </w:rPr>
              <w:t>1.5</w:t>
            </w:r>
            <w:r w:rsidRPr="000757C8">
              <w:rPr>
                <w:rFonts w:ascii="Arial" w:eastAsia="Calibri" w:hAnsi="Arial" w:cs="Arial"/>
                <w:sz w:val="20"/>
                <w:lang w:eastAsia="en-US"/>
              </w:rPr>
              <w:t xml:space="preserve">K – HFM under budget manual Staff </w:t>
            </w:r>
          </w:p>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b/>
                <w:color w:val="1F497D"/>
                <w:sz w:val="20"/>
                <w:u w:val="single"/>
                <w:lang w:eastAsia="en-US"/>
              </w:rPr>
              <w:t>£2K allocated to IL Fund.</w:t>
            </w:r>
          </w:p>
        </w:tc>
      </w:tr>
      <w:tr w:rsidR="006E348F" w:rsidRPr="000757C8" w:rsidTr="006E348F">
        <w:trPr>
          <w:trHeight w:val="628"/>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Outdoor</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color w:val="FF0000"/>
                <w:sz w:val="20"/>
                <w:lang w:eastAsia="en-US"/>
              </w:rPr>
            </w:pPr>
            <w:r w:rsidRPr="000757C8">
              <w:rPr>
                <w:rFonts w:ascii="Arial" w:eastAsia="Calibri" w:hAnsi="Arial" w:cs="Arial"/>
                <w:b/>
                <w:color w:val="FF0000"/>
                <w:sz w:val="20"/>
                <w:lang w:eastAsia="en-US"/>
              </w:rPr>
              <w:t>(£5,</w:t>
            </w:r>
            <w:r>
              <w:rPr>
                <w:rFonts w:ascii="Arial" w:eastAsia="Calibri" w:hAnsi="Arial" w:cs="Arial"/>
                <w:b/>
                <w:color w:val="FF0000"/>
                <w:sz w:val="20"/>
                <w:lang w:eastAsia="en-US"/>
              </w:rPr>
              <w:t>267</w:t>
            </w:r>
            <w:r w:rsidRPr="000757C8">
              <w:rPr>
                <w:rFonts w:ascii="Arial" w:eastAsia="Calibri" w:hAnsi="Arial" w:cs="Arial"/>
                <w:b/>
                <w:color w:val="FF0000"/>
                <w:sz w:val="20"/>
                <w:lang w:eastAsia="en-US"/>
              </w:rPr>
              <w:t>)</w:t>
            </w:r>
          </w:p>
        </w:tc>
        <w:tc>
          <w:tcPr>
            <w:tcW w:w="4536"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(£61.7K) re training courses</w:t>
            </w:r>
            <w:r w:rsidRPr="000757C8">
              <w:rPr>
                <w:rFonts w:ascii="Arial" w:eastAsia="Calibri" w:hAnsi="Arial" w:cs="Arial"/>
                <w:b/>
                <w:sz w:val="20"/>
                <w:lang w:eastAsia="en-US"/>
              </w:rPr>
              <w:t xml:space="preserve">. </w:t>
            </w:r>
            <w:r w:rsidRPr="000757C8">
              <w:rPr>
                <w:rFonts w:ascii="Arial" w:eastAsia="Calibri" w:hAnsi="Arial" w:cs="Arial"/>
                <w:b/>
                <w:i/>
                <w:color w:val="1F497D"/>
                <w:sz w:val="20"/>
                <w:lang w:eastAsia="en-US"/>
              </w:rPr>
              <w:t>Note 3</w:t>
            </w:r>
          </w:p>
        </w:tc>
        <w:tc>
          <w:tcPr>
            <w:tcW w:w="3685"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xml:space="preserve">Variance £6.4K. </w:t>
            </w:r>
            <w:r w:rsidRPr="000757C8">
              <w:rPr>
                <w:rFonts w:ascii="Arial" w:eastAsia="Calibri" w:hAnsi="Arial" w:cs="Arial"/>
                <w:b/>
                <w:i/>
                <w:color w:val="1F497D"/>
                <w:sz w:val="20"/>
                <w:lang w:eastAsia="en-US"/>
              </w:rPr>
              <w:t>Note 3</w:t>
            </w:r>
          </w:p>
        </w:tc>
        <w:tc>
          <w:tcPr>
            <w:tcW w:w="3260"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Pr>
                <w:rFonts w:ascii="Arial" w:eastAsia="Calibri" w:hAnsi="Arial" w:cs="Arial"/>
                <w:sz w:val="20"/>
                <w:lang w:eastAsia="en-US"/>
              </w:rPr>
              <w:t>Variance £50</w:t>
            </w:r>
            <w:r w:rsidRPr="000757C8">
              <w:rPr>
                <w:rFonts w:ascii="Arial" w:eastAsia="Calibri" w:hAnsi="Arial" w:cs="Arial"/>
                <w:sz w:val="20"/>
                <w:lang w:eastAsia="en-US"/>
              </w:rPr>
              <w:t>K -</w:t>
            </w:r>
            <w:r w:rsidRPr="000757C8">
              <w:rPr>
                <w:rFonts w:ascii="Arial" w:eastAsia="Calibri" w:hAnsi="Arial" w:cs="Arial"/>
                <w:b/>
                <w:i/>
                <w:color w:val="1F497D"/>
                <w:sz w:val="20"/>
                <w:lang w:eastAsia="en-US"/>
              </w:rPr>
              <w:t xml:space="preserve"> Note 3</w:t>
            </w:r>
          </w:p>
        </w:tc>
      </w:tr>
      <w:tr w:rsidR="006E348F" w:rsidRPr="000757C8" w:rsidTr="006E348F">
        <w:trPr>
          <w:trHeight w:val="585"/>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Sport</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37,070</w:t>
            </w:r>
          </w:p>
        </w:tc>
        <w:tc>
          <w:tcPr>
            <w:tcW w:w="4536"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Variance £113</w:t>
            </w:r>
            <w:r>
              <w:rPr>
                <w:rFonts w:ascii="Arial" w:eastAsia="Calibri" w:hAnsi="Arial" w:cs="Arial"/>
                <w:sz w:val="20"/>
                <w:lang w:eastAsia="en-US"/>
              </w:rPr>
              <w:t>.4</w:t>
            </w:r>
            <w:r w:rsidRPr="000757C8">
              <w:rPr>
                <w:rFonts w:ascii="Arial" w:eastAsia="Calibri" w:hAnsi="Arial" w:cs="Arial"/>
                <w:sz w:val="20"/>
                <w:lang w:eastAsia="en-US"/>
              </w:rPr>
              <w:t>K – Active Schools (AS) Events Programme, additional income to be offset against additional costs</w:t>
            </w:r>
          </w:p>
        </w:tc>
        <w:tc>
          <w:tcPr>
            <w:tcW w:w="3685"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highlight w:val="yellow"/>
                <w:lang w:eastAsia="en-US"/>
              </w:rPr>
            </w:pPr>
            <w:r>
              <w:rPr>
                <w:rFonts w:ascii="Arial" w:eastAsia="Calibri" w:hAnsi="Arial" w:cs="Arial"/>
                <w:sz w:val="20"/>
                <w:lang w:eastAsia="en-US"/>
              </w:rPr>
              <w:t>Variance (£88.9</w:t>
            </w:r>
            <w:r w:rsidRPr="000757C8">
              <w:rPr>
                <w:rFonts w:ascii="Arial" w:eastAsia="Calibri" w:hAnsi="Arial" w:cs="Arial"/>
                <w:sz w:val="20"/>
                <w:lang w:eastAsia="en-US"/>
              </w:rPr>
              <w:t>K) – costs to run ASC programme activities</w:t>
            </w:r>
          </w:p>
        </w:tc>
        <w:tc>
          <w:tcPr>
            <w:tcW w:w="3260" w:type="dxa"/>
            <w:tcBorders>
              <w:top w:val="single" w:sz="4" w:space="0" w:color="auto"/>
              <w:left w:val="nil"/>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xml:space="preserve">Variance £12.5K – Staff Recruitment  </w:t>
            </w:r>
          </w:p>
        </w:tc>
      </w:tr>
      <w:tr w:rsidR="006E348F" w:rsidRPr="000757C8" w:rsidTr="006E348F">
        <w:trPr>
          <w:trHeight w:val="1341"/>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Youth work</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sz w:val="20"/>
                <w:lang w:eastAsia="en-US"/>
              </w:rPr>
            </w:pPr>
            <w:r w:rsidRPr="000757C8">
              <w:rPr>
                <w:rFonts w:ascii="Arial" w:eastAsia="Calibri" w:hAnsi="Arial" w:cs="Arial"/>
                <w:b/>
                <w:sz w:val="20"/>
                <w:lang w:eastAsia="en-US"/>
              </w:rPr>
              <w:t>£</w:t>
            </w:r>
            <w:r>
              <w:rPr>
                <w:rFonts w:ascii="Arial" w:eastAsia="Calibri" w:hAnsi="Arial" w:cs="Arial"/>
                <w:b/>
                <w:sz w:val="20"/>
                <w:lang w:eastAsia="en-US"/>
              </w:rPr>
              <w:t>76,900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E348F" w:rsidRPr="000757C8" w:rsidRDefault="006E348F" w:rsidP="006E348F">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Variance £14</w:t>
            </w:r>
            <w:r>
              <w:rPr>
                <w:rFonts w:ascii="Arial" w:eastAsia="Calibri" w:hAnsi="Arial" w:cs="Arial"/>
                <w:sz w:val="20"/>
                <w:lang w:eastAsia="en-US"/>
              </w:rPr>
              <w:t>6.5</w:t>
            </w:r>
            <w:r w:rsidRPr="000757C8">
              <w:rPr>
                <w:rFonts w:ascii="Arial" w:eastAsia="Calibri" w:hAnsi="Arial" w:cs="Arial"/>
                <w:sz w:val="20"/>
                <w:lang w:eastAsia="en-US"/>
              </w:rPr>
              <w:t>K – Grant income</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E348F" w:rsidRPr="000757C8" w:rsidRDefault="006E348F" w:rsidP="006E348F">
            <w:pPr>
              <w:spacing w:after="200" w:line="276" w:lineRule="auto"/>
              <w:rPr>
                <w:rFonts w:ascii="Arial" w:eastAsia="Calibri" w:hAnsi="Arial" w:cs="Arial"/>
                <w:sz w:val="20"/>
                <w:highlight w:val="yellow"/>
                <w:lang w:eastAsia="en-US"/>
              </w:rPr>
            </w:pPr>
            <w:r w:rsidRPr="000757C8">
              <w:rPr>
                <w:rFonts w:ascii="Arial" w:eastAsia="Calibri" w:hAnsi="Arial" w:cs="Arial"/>
                <w:sz w:val="20"/>
                <w:lang w:eastAsia="en-US"/>
              </w:rPr>
              <w:t>Variance (£1</w:t>
            </w:r>
            <w:r>
              <w:rPr>
                <w:rFonts w:ascii="Arial" w:eastAsia="Calibri" w:hAnsi="Arial" w:cs="Arial"/>
                <w:sz w:val="20"/>
                <w:lang w:eastAsia="en-US"/>
              </w:rPr>
              <w:t>78.9</w:t>
            </w:r>
            <w:r w:rsidRPr="000757C8">
              <w:rPr>
                <w:rFonts w:ascii="Arial" w:eastAsia="Calibri" w:hAnsi="Arial" w:cs="Arial"/>
                <w:sz w:val="20"/>
                <w:lang w:eastAsia="en-US"/>
              </w:rPr>
              <w:t xml:space="preserve">K) Seasonal is offset against grant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Variance £10</w:t>
            </w:r>
            <w:r>
              <w:rPr>
                <w:rFonts w:ascii="Arial" w:eastAsia="Calibri" w:hAnsi="Arial" w:cs="Arial"/>
                <w:sz w:val="20"/>
                <w:lang w:eastAsia="en-US"/>
              </w:rPr>
              <w:t>9</w:t>
            </w:r>
            <w:r w:rsidRPr="000757C8">
              <w:rPr>
                <w:rFonts w:ascii="Arial" w:eastAsia="Calibri" w:hAnsi="Arial" w:cs="Arial"/>
                <w:sz w:val="20"/>
                <w:lang w:eastAsia="en-US"/>
              </w:rPr>
              <w:t>K as a result of the recruitment process for key posts in the new structure which is now in place and Underspend on Seasonal Staff Budget £27K</w:t>
            </w:r>
          </w:p>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b/>
                <w:color w:val="1F497D"/>
                <w:sz w:val="20"/>
                <w:u w:val="single"/>
                <w:lang w:eastAsia="en-US"/>
              </w:rPr>
              <w:t>£60K allocated to IL Fund.</w:t>
            </w:r>
          </w:p>
        </w:tc>
      </w:tr>
      <w:tr w:rsidR="006E348F" w:rsidRPr="000757C8" w:rsidTr="006E348F">
        <w:trPr>
          <w:trHeight w:val="300"/>
        </w:trPr>
        <w:tc>
          <w:tcPr>
            <w:tcW w:w="1848" w:type="dxa"/>
            <w:tcBorders>
              <w:top w:val="single" w:sz="4" w:space="0" w:color="auto"/>
              <w:left w:val="single" w:sz="4" w:space="0" w:color="auto"/>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Surplus ( Deficit)</w:t>
            </w:r>
          </w:p>
        </w:tc>
        <w:tc>
          <w:tcPr>
            <w:tcW w:w="1418" w:type="dxa"/>
            <w:tcBorders>
              <w:top w:val="single" w:sz="4" w:space="0" w:color="auto"/>
              <w:left w:val="nil"/>
              <w:bottom w:val="single" w:sz="4" w:space="0" w:color="auto"/>
              <w:right w:val="single" w:sz="4" w:space="0" w:color="auto"/>
            </w:tcBorders>
            <w:shd w:val="clear" w:color="auto" w:fill="auto"/>
            <w:noWrap/>
          </w:tcPr>
          <w:p w:rsidR="006E348F" w:rsidRPr="000757C8" w:rsidRDefault="006E348F" w:rsidP="006E348F">
            <w:pPr>
              <w:spacing w:after="200" w:line="276" w:lineRule="auto"/>
              <w:jc w:val="right"/>
              <w:rPr>
                <w:rFonts w:ascii="Arial" w:eastAsia="Calibri" w:hAnsi="Arial" w:cs="Arial"/>
                <w:b/>
                <w:bCs/>
                <w:sz w:val="20"/>
                <w:lang w:eastAsia="en-US"/>
              </w:rPr>
            </w:pPr>
            <w:r w:rsidRPr="000757C8">
              <w:rPr>
                <w:rFonts w:ascii="Arial" w:eastAsia="Calibri" w:hAnsi="Arial" w:cs="Arial"/>
                <w:b/>
                <w:bCs/>
                <w:sz w:val="20"/>
                <w:lang w:eastAsia="en-US"/>
              </w:rPr>
              <w:t>£</w:t>
            </w:r>
            <w:r>
              <w:rPr>
                <w:rFonts w:ascii="Arial" w:eastAsia="Calibri" w:hAnsi="Arial" w:cs="Arial"/>
                <w:b/>
                <w:bCs/>
                <w:sz w:val="20"/>
                <w:lang w:eastAsia="en-US"/>
              </w:rPr>
              <w:t>247,714</w:t>
            </w:r>
          </w:p>
        </w:tc>
        <w:tc>
          <w:tcPr>
            <w:tcW w:w="4536" w:type="dxa"/>
            <w:tcBorders>
              <w:top w:val="single" w:sz="4" w:space="0" w:color="auto"/>
              <w:left w:val="nil"/>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w:t>
            </w:r>
          </w:p>
        </w:tc>
        <w:tc>
          <w:tcPr>
            <w:tcW w:w="3685" w:type="dxa"/>
            <w:tcBorders>
              <w:top w:val="single" w:sz="4" w:space="0" w:color="auto"/>
              <w:left w:val="nil"/>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w:t>
            </w:r>
          </w:p>
        </w:tc>
        <w:tc>
          <w:tcPr>
            <w:tcW w:w="3260" w:type="dxa"/>
            <w:tcBorders>
              <w:top w:val="single" w:sz="4" w:space="0" w:color="auto"/>
              <w:left w:val="nil"/>
              <w:bottom w:val="single" w:sz="4" w:space="0" w:color="auto"/>
              <w:right w:val="single" w:sz="4" w:space="0" w:color="auto"/>
            </w:tcBorders>
            <w:shd w:val="clear" w:color="auto" w:fill="auto"/>
            <w:noWrap/>
            <w:hideMark/>
          </w:tcPr>
          <w:p w:rsidR="006E348F" w:rsidRPr="000757C8" w:rsidRDefault="006E348F" w:rsidP="000757C8">
            <w:pPr>
              <w:spacing w:after="200" w:line="276" w:lineRule="auto"/>
              <w:rPr>
                <w:rFonts w:ascii="Arial" w:eastAsia="Calibri" w:hAnsi="Arial" w:cs="Arial"/>
                <w:sz w:val="20"/>
                <w:lang w:eastAsia="en-US"/>
              </w:rPr>
            </w:pPr>
            <w:r w:rsidRPr="000757C8">
              <w:rPr>
                <w:rFonts w:ascii="Arial" w:eastAsia="Calibri" w:hAnsi="Arial" w:cs="Arial"/>
                <w:sz w:val="20"/>
                <w:lang w:eastAsia="en-US"/>
              </w:rPr>
              <w:t> </w:t>
            </w:r>
          </w:p>
        </w:tc>
      </w:tr>
    </w:tbl>
    <w:p w:rsidR="000E4637" w:rsidRDefault="000E4637" w:rsidP="00BC1EA8">
      <w:pPr>
        <w:spacing w:after="200" w:line="276" w:lineRule="auto"/>
        <w:rPr>
          <w:rFonts w:ascii="Arial" w:eastAsia="Calibri" w:hAnsi="Arial" w:cs="Arial"/>
          <w:b/>
          <w:color w:val="1F497D"/>
          <w:sz w:val="22"/>
          <w:szCs w:val="22"/>
          <w:lang w:eastAsia="en-US"/>
        </w:rPr>
      </w:pPr>
    </w:p>
    <w:p w:rsidR="000E4637" w:rsidRDefault="000E4637">
      <w:pPr>
        <w:rPr>
          <w:rFonts w:ascii="Arial" w:eastAsia="Calibri" w:hAnsi="Arial" w:cs="Arial"/>
          <w:b/>
          <w:color w:val="1F497D"/>
          <w:sz w:val="22"/>
          <w:szCs w:val="22"/>
          <w:lang w:eastAsia="en-US"/>
        </w:rPr>
      </w:pPr>
      <w:r>
        <w:rPr>
          <w:rFonts w:ascii="Arial" w:eastAsia="Calibri" w:hAnsi="Arial" w:cs="Arial"/>
          <w:b/>
          <w:color w:val="1F497D"/>
          <w:sz w:val="22"/>
          <w:szCs w:val="22"/>
          <w:lang w:eastAsia="en-US"/>
        </w:rPr>
        <w:br w:type="page"/>
      </w:r>
    </w:p>
    <w:p w:rsidR="003B0964" w:rsidRDefault="003B0964" w:rsidP="003B0964">
      <w:pPr>
        <w:spacing w:after="200" w:line="276" w:lineRule="auto"/>
        <w:jc w:val="right"/>
        <w:rPr>
          <w:rFonts w:ascii="Arial" w:eastAsia="Calibri" w:hAnsi="Arial" w:cs="Arial"/>
          <w:b/>
          <w:color w:val="1F497D"/>
          <w:sz w:val="22"/>
          <w:szCs w:val="22"/>
          <w:lang w:eastAsia="en-US"/>
        </w:rPr>
      </w:pPr>
      <w:r w:rsidRPr="000757C8">
        <w:rPr>
          <w:rFonts w:ascii="Arial" w:eastAsia="Calibri" w:hAnsi="Arial" w:cs="Arial"/>
          <w:b/>
          <w:szCs w:val="24"/>
          <w:lang w:eastAsia="en-US"/>
        </w:rPr>
        <w:lastRenderedPageBreak/>
        <w:t>APPENDIX C (Cont’d)</w:t>
      </w:r>
    </w:p>
    <w:p w:rsidR="00BC1EA8" w:rsidRPr="00BC1EA8" w:rsidRDefault="00774ABC" w:rsidP="00BC1EA8">
      <w:pPr>
        <w:spacing w:after="200" w:line="276" w:lineRule="auto"/>
        <w:rPr>
          <w:rFonts w:ascii="Arial" w:eastAsia="Calibri" w:hAnsi="Arial" w:cs="Arial"/>
          <w:b/>
          <w:color w:val="1F497D"/>
          <w:sz w:val="22"/>
          <w:szCs w:val="22"/>
          <w:lang w:eastAsia="en-US"/>
        </w:rPr>
      </w:pPr>
      <w:r>
        <w:rPr>
          <w:rFonts w:ascii="Arial" w:eastAsia="Calibri" w:hAnsi="Arial" w:cs="Arial"/>
          <w:b/>
          <w:color w:val="1F497D"/>
          <w:sz w:val="22"/>
          <w:szCs w:val="22"/>
          <w:lang w:eastAsia="en-US"/>
        </w:rPr>
        <w:t>NOTE</w:t>
      </w:r>
      <w:r w:rsidR="00BC1EA8" w:rsidRPr="00BC1EA8">
        <w:rPr>
          <w:rFonts w:ascii="Arial" w:eastAsia="Calibri" w:hAnsi="Arial" w:cs="Arial"/>
          <w:b/>
          <w:color w:val="1F497D"/>
          <w:sz w:val="22"/>
          <w:szCs w:val="22"/>
          <w:lang w:eastAsia="en-US"/>
        </w:rPr>
        <w:t xml:space="preserve"> 1 – Arts Variance YTD</w:t>
      </w:r>
    </w:p>
    <w:tbl>
      <w:tblPr>
        <w:tblW w:w="7520" w:type="dxa"/>
        <w:tblInd w:w="108" w:type="dxa"/>
        <w:tblLook w:val="04A0" w:firstRow="1" w:lastRow="0" w:firstColumn="1" w:lastColumn="0" w:noHBand="0" w:noVBand="1"/>
      </w:tblPr>
      <w:tblGrid>
        <w:gridCol w:w="1396"/>
        <w:gridCol w:w="1596"/>
        <w:gridCol w:w="1916"/>
        <w:gridCol w:w="1636"/>
        <w:gridCol w:w="976"/>
      </w:tblGrid>
      <w:tr w:rsidR="00BC1EA8" w:rsidRPr="00BC1EA8" w:rsidTr="00B410B3">
        <w:trPr>
          <w:trHeight w:val="300"/>
        </w:trPr>
        <w:tc>
          <w:tcPr>
            <w:tcW w:w="1396" w:type="dxa"/>
            <w:tcBorders>
              <w:top w:val="nil"/>
              <w:left w:val="nil"/>
              <w:bottom w:val="single" w:sz="4" w:space="0" w:color="95B3D7"/>
              <w:right w:val="nil"/>
            </w:tcBorders>
            <w:shd w:val="clear" w:color="DCE6F1" w:fill="DCE6F1"/>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TMC</w:t>
            </w:r>
          </w:p>
        </w:tc>
        <w:tc>
          <w:tcPr>
            <w:tcW w:w="1596" w:type="dxa"/>
            <w:tcBorders>
              <w:top w:val="nil"/>
              <w:left w:val="nil"/>
              <w:bottom w:val="single" w:sz="4" w:space="0" w:color="95B3D7"/>
              <w:right w:val="nil"/>
            </w:tcBorders>
            <w:shd w:val="clear" w:color="DCE6F1" w:fill="DCE6F1"/>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BUDGET</w:t>
            </w:r>
          </w:p>
        </w:tc>
        <w:tc>
          <w:tcPr>
            <w:tcW w:w="1916" w:type="dxa"/>
            <w:tcBorders>
              <w:top w:val="nil"/>
              <w:left w:val="nil"/>
              <w:bottom w:val="single" w:sz="4" w:space="0" w:color="95B3D7"/>
              <w:right w:val="nil"/>
            </w:tcBorders>
            <w:shd w:val="clear" w:color="DCE6F1" w:fill="DCE6F1"/>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ACTUAL YTD</w:t>
            </w:r>
          </w:p>
        </w:tc>
        <w:tc>
          <w:tcPr>
            <w:tcW w:w="1636" w:type="dxa"/>
            <w:tcBorders>
              <w:top w:val="nil"/>
              <w:left w:val="nil"/>
              <w:bottom w:val="single" w:sz="4" w:space="0" w:color="95B3D7"/>
              <w:right w:val="nil"/>
            </w:tcBorders>
            <w:shd w:val="clear" w:color="DCE6F1" w:fill="DCE6F1"/>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VARIANCE YTD</w:t>
            </w:r>
          </w:p>
        </w:tc>
        <w:tc>
          <w:tcPr>
            <w:tcW w:w="97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p>
        </w:tc>
      </w:tr>
      <w:tr w:rsidR="00BC1EA8" w:rsidRPr="00BC1EA8" w:rsidTr="00B410B3">
        <w:trPr>
          <w:trHeight w:val="300"/>
        </w:trPr>
        <w:tc>
          <w:tcPr>
            <w:tcW w:w="139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Income</w:t>
            </w:r>
          </w:p>
        </w:tc>
        <w:tc>
          <w:tcPr>
            <w:tcW w:w="159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000000"/>
                <w:sz w:val="22"/>
                <w:szCs w:val="22"/>
              </w:rPr>
              <w:t xml:space="preserve">29,231 </w:t>
            </w:r>
          </w:p>
        </w:tc>
        <w:tc>
          <w:tcPr>
            <w:tcW w:w="191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000000"/>
                <w:sz w:val="22"/>
                <w:szCs w:val="22"/>
              </w:rPr>
              <w:t xml:space="preserve">316 </w:t>
            </w:r>
          </w:p>
        </w:tc>
        <w:tc>
          <w:tcPr>
            <w:tcW w:w="163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FF0000"/>
                <w:sz w:val="22"/>
                <w:szCs w:val="22"/>
              </w:rPr>
              <w:t>(28,915)</w:t>
            </w:r>
          </w:p>
        </w:tc>
        <w:tc>
          <w:tcPr>
            <w:tcW w:w="97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p>
        </w:tc>
      </w:tr>
      <w:tr w:rsidR="00BC1EA8" w:rsidRPr="00BC1EA8" w:rsidTr="00B410B3">
        <w:trPr>
          <w:trHeight w:val="300"/>
        </w:trPr>
        <w:tc>
          <w:tcPr>
            <w:tcW w:w="139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Other Costs</w:t>
            </w:r>
          </w:p>
        </w:tc>
        <w:tc>
          <w:tcPr>
            <w:tcW w:w="159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FF0000"/>
                <w:sz w:val="22"/>
                <w:szCs w:val="22"/>
              </w:rPr>
              <w:t>(11,931)</w:t>
            </w:r>
          </w:p>
        </w:tc>
        <w:tc>
          <w:tcPr>
            <w:tcW w:w="191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FF0000"/>
                <w:sz w:val="22"/>
                <w:szCs w:val="22"/>
              </w:rPr>
              <w:t>(1,710)</w:t>
            </w:r>
          </w:p>
        </w:tc>
        <w:tc>
          <w:tcPr>
            <w:tcW w:w="163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000000"/>
                <w:sz w:val="22"/>
                <w:szCs w:val="22"/>
              </w:rPr>
              <w:t xml:space="preserve">10,221 </w:t>
            </w:r>
          </w:p>
        </w:tc>
        <w:tc>
          <w:tcPr>
            <w:tcW w:w="97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p>
        </w:tc>
      </w:tr>
      <w:tr w:rsidR="00BC1EA8" w:rsidRPr="00BC1EA8" w:rsidTr="00B410B3">
        <w:trPr>
          <w:trHeight w:val="300"/>
        </w:trPr>
        <w:tc>
          <w:tcPr>
            <w:tcW w:w="139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Staff Costs</w:t>
            </w:r>
          </w:p>
        </w:tc>
        <w:tc>
          <w:tcPr>
            <w:tcW w:w="159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FF0000"/>
                <w:sz w:val="22"/>
                <w:szCs w:val="22"/>
              </w:rPr>
              <w:t>(31,961)</w:t>
            </w:r>
          </w:p>
        </w:tc>
        <w:tc>
          <w:tcPr>
            <w:tcW w:w="191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FF0000"/>
                <w:sz w:val="22"/>
                <w:szCs w:val="22"/>
              </w:rPr>
              <w:t>(23,514)</w:t>
            </w:r>
          </w:p>
        </w:tc>
        <w:tc>
          <w:tcPr>
            <w:tcW w:w="1636" w:type="dxa"/>
            <w:tcBorders>
              <w:top w:val="nil"/>
              <w:left w:val="nil"/>
              <w:bottom w:val="nil"/>
              <w:right w:val="nil"/>
            </w:tcBorders>
            <w:shd w:val="clear" w:color="auto" w:fill="auto"/>
            <w:noWrap/>
            <w:hideMark/>
          </w:tcPr>
          <w:p w:rsidR="00BC1EA8" w:rsidRPr="00BC1EA8" w:rsidRDefault="00BC1EA8" w:rsidP="00BC1EA8">
            <w:pPr>
              <w:jc w:val="right"/>
              <w:rPr>
                <w:rFonts w:ascii="Arial" w:hAnsi="Arial" w:cs="Arial"/>
                <w:color w:val="000000"/>
                <w:sz w:val="22"/>
                <w:szCs w:val="22"/>
              </w:rPr>
            </w:pPr>
            <w:r w:rsidRPr="00BC1EA8">
              <w:rPr>
                <w:rFonts w:ascii="Arial" w:hAnsi="Arial" w:cs="Arial"/>
                <w:color w:val="000000"/>
                <w:sz w:val="22"/>
                <w:szCs w:val="22"/>
              </w:rPr>
              <w:t xml:space="preserve">8,447 </w:t>
            </w:r>
          </w:p>
        </w:tc>
        <w:tc>
          <w:tcPr>
            <w:tcW w:w="976" w:type="dxa"/>
            <w:tcBorders>
              <w:top w:val="nil"/>
              <w:left w:val="nil"/>
              <w:bottom w:val="nil"/>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p>
        </w:tc>
      </w:tr>
      <w:tr w:rsidR="00BC1EA8" w:rsidRPr="00BC1EA8" w:rsidTr="00E76D4F">
        <w:trPr>
          <w:trHeight w:val="300"/>
        </w:trPr>
        <w:tc>
          <w:tcPr>
            <w:tcW w:w="1396" w:type="dxa"/>
            <w:tcBorders>
              <w:top w:val="single" w:sz="4" w:space="0" w:color="95B3D7"/>
              <w:left w:val="nil"/>
              <w:bottom w:val="single" w:sz="4" w:space="0" w:color="auto"/>
              <w:right w:val="nil"/>
            </w:tcBorders>
            <w:shd w:val="clear" w:color="DCE6F1" w:fill="DCE6F1"/>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TOTAL</w:t>
            </w:r>
          </w:p>
        </w:tc>
        <w:tc>
          <w:tcPr>
            <w:tcW w:w="1596" w:type="dxa"/>
            <w:tcBorders>
              <w:top w:val="single" w:sz="4" w:space="0" w:color="95B3D7"/>
              <w:left w:val="nil"/>
              <w:bottom w:val="single" w:sz="4" w:space="0" w:color="auto"/>
              <w:right w:val="nil"/>
            </w:tcBorders>
            <w:shd w:val="clear" w:color="DCE6F1" w:fill="DCE6F1"/>
            <w:noWrap/>
            <w:hideMark/>
          </w:tcPr>
          <w:p w:rsidR="00BC1EA8" w:rsidRPr="00BC1EA8" w:rsidRDefault="00BC1EA8" w:rsidP="00BC1EA8">
            <w:pPr>
              <w:jc w:val="right"/>
              <w:rPr>
                <w:rFonts w:ascii="Arial" w:hAnsi="Arial" w:cs="Arial"/>
                <w:b/>
                <w:bCs/>
                <w:color w:val="000000"/>
                <w:sz w:val="22"/>
                <w:szCs w:val="22"/>
              </w:rPr>
            </w:pPr>
            <w:r w:rsidRPr="00BC1EA8">
              <w:rPr>
                <w:rFonts w:ascii="Arial" w:hAnsi="Arial" w:cs="Arial"/>
                <w:b/>
                <w:bCs/>
                <w:color w:val="FF0000"/>
                <w:sz w:val="22"/>
                <w:szCs w:val="22"/>
              </w:rPr>
              <w:t>(14,661)</w:t>
            </w:r>
          </w:p>
        </w:tc>
        <w:tc>
          <w:tcPr>
            <w:tcW w:w="1916" w:type="dxa"/>
            <w:tcBorders>
              <w:top w:val="single" w:sz="4" w:space="0" w:color="95B3D7"/>
              <w:left w:val="nil"/>
              <w:bottom w:val="single" w:sz="4" w:space="0" w:color="auto"/>
              <w:right w:val="nil"/>
            </w:tcBorders>
            <w:shd w:val="clear" w:color="DCE6F1" w:fill="DCE6F1"/>
            <w:noWrap/>
            <w:hideMark/>
          </w:tcPr>
          <w:p w:rsidR="00BC1EA8" w:rsidRPr="00BC1EA8" w:rsidRDefault="00BC1EA8" w:rsidP="00BC1EA8">
            <w:pPr>
              <w:jc w:val="right"/>
              <w:rPr>
                <w:rFonts w:ascii="Arial" w:hAnsi="Arial" w:cs="Arial"/>
                <w:b/>
                <w:bCs/>
                <w:color w:val="000000"/>
                <w:sz w:val="22"/>
                <w:szCs w:val="22"/>
              </w:rPr>
            </w:pPr>
            <w:r w:rsidRPr="00BC1EA8">
              <w:rPr>
                <w:rFonts w:ascii="Arial" w:hAnsi="Arial" w:cs="Arial"/>
                <w:b/>
                <w:bCs/>
                <w:color w:val="FF0000"/>
                <w:sz w:val="22"/>
                <w:szCs w:val="22"/>
              </w:rPr>
              <w:t>(24,908)</w:t>
            </w:r>
          </w:p>
        </w:tc>
        <w:tc>
          <w:tcPr>
            <w:tcW w:w="1636" w:type="dxa"/>
            <w:tcBorders>
              <w:top w:val="single" w:sz="4" w:space="0" w:color="95B3D7"/>
              <w:left w:val="nil"/>
              <w:bottom w:val="single" w:sz="4" w:space="0" w:color="auto"/>
              <w:right w:val="nil"/>
            </w:tcBorders>
            <w:shd w:val="clear" w:color="DCE6F1" w:fill="DCE6F1"/>
            <w:noWrap/>
            <w:hideMark/>
          </w:tcPr>
          <w:p w:rsidR="00BC1EA8" w:rsidRPr="00BC1EA8" w:rsidRDefault="00BC1EA8" w:rsidP="00BC1EA8">
            <w:pPr>
              <w:jc w:val="right"/>
              <w:rPr>
                <w:rFonts w:ascii="Arial" w:hAnsi="Arial" w:cs="Arial"/>
                <w:b/>
                <w:bCs/>
                <w:color w:val="000000"/>
                <w:sz w:val="22"/>
                <w:szCs w:val="22"/>
              </w:rPr>
            </w:pPr>
            <w:r w:rsidRPr="00BC1EA8">
              <w:rPr>
                <w:rFonts w:ascii="Arial" w:hAnsi="Arial" w:cs="Arial"/>
                <w:b/>
                <w:bCs/>
                <w:color w:val="FF0000"/>
                <w:sz w:val="22"/>
                <w:szCs w:val="22"/>
              </w:rPr>
              <w:t>(10,247)</w:t>
            </w:r>
          </w:p>
        </w:tc>
        <w:tc>
          <w:tcPr>
            <w:tcW w:w="976" w:type="dxa"/>
            <w:tcBorders>
              <w:top w:val="nil"/>
              <w:left w:val="nil"/>
              <w:bottom w:val="single" w:sz="4" w:space="0" w:color="auto"/>
              <w:right w:val="nil"/>
            </w:tcBorders>
            <w:shd w:val="clear" w:color="auto" w:fill="auto"/>
            <w:noWrap/>
            <w:vAlign w:val="bottom"/>
            <w:hideMark/>
          </w:tcPr>
          <w:p w:rsidR="00BC1EA8" w:rsidRPr="00BC1EA8" w:rsidRDefault="00BC1EA8" w:rsidP="00BC1EA8">
            <w:pPr>
              <w:rPr>
                <w:rFonts w:ascii="Arial" w:hAnsi="Arial" w:cs="Arial"/>
                <w:color w:val="000000"/>
                <w:sz w:val="22"/>
                <w:szCs w:val="22"/>
              </w:rPr>
            </w:pPr>
          </w:p>
        </w:tc>
      </w:tr>
      <w:tr w:rsidR="00BC1EA8" w:rsidRPr="00BC1EA8" w:rsidTr="00E76D4F">
        <w:trPr>
          <w:trHeight w:val="300"/>
        </w:trPr>
        <w:tc>
          <w:tcPr>
            <w:tcW w:w="4908" w:type="dxa"/>
            <w:gridSpan w:val="3"/>
            <w:tcBorders>
              <w:top w:val="single" w:sz="4" w:space="0" w:color="auto"/>
              <w:left w:val="single" w:sz="4" w:space="0" w:color="auto"/>
              <w:bottom w:val="nil"/>
              <w:right w:val="nil"/>
            </w:tcBorders>
            <w:shd w:val="clear" w:color="000000" w:fill="FFFFFF"/>
            <w:noWrap/>
            <w:vAlign w:val="bottom"/>
            <w:hideMark/>
          </w:tcPr>
          <w:p w:rsidR="00BC1EA8" w:rsidRPr="00BC1EA8" w:rsidRDefault="00BC1EA8" w:rsidP="00BC1EA8">
            <w:pPr>
              <w:rPr>
                <w:rFonts w:ascii="Arial" w:hAnsi="Arial" w:cs="Arial"/>
                <w:b/>
                <w:bCs/>
                <w:color w:val="000000"/>
                <w:sz w:val="22"/>
                <w:szCs w:val="22"/>
              </w:rPr>
            </w:pPr>
            <w:r w:rsidRPr="00BC1EA8">
              <w:rPr>
                <w:rFonts w:ascii="Arial" w:hAnsi="Arial" w:cs="Arial"/>
                <w:b/>
                <w:bCs/>
                <w:color w:val="000000"/>
                <w:sz w:val="22"/>
                <w:szCs w:val="22"/>
              </w:rPr>
              <w:t>Redundancy included in Staff Costs £16,475</w:t>
            </w:r>
          </w:p>
        </w:tc>
        <w:tc>
          <w:tcPr>
            <w:tcW w:w="1636" w:type="dxa"/>
            <w:tcBorders>
              <w:top w:val="single" w:sz="4" w:space="0" w:color="auto"/>
              <w:left w:val="nil"/>
              <w:bottom w:val="nil"/>
              <w:right w:val="nil"/>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c>
          <w:tcPr>
            <w:tcW w:w="976" w:type="dxa"/>
            <w:tcBorders>
              <w:top w:val="single" w:sz="4" w:space="0" w:color="auto"/>
              <w:left w:val="nil"/>
              <w:bottom w:val="nil"/>
              <w:right w:val="single" w:sz="4" w:space="0" w:color="auto"/>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r>
      <w:tr w:rsidR="00BC1EA8" w:rsidRPr="00BC1EA8" w:rsidTr="00E76D4F">
        <w:trPr>
          <w:trHeight w:val="300"/>
        </w:trPr>
        <w:tc>
          <w:tcPr>
            <w:tcW w:w="4908" w:type="dxa"/>
            <w:gridSpan w:val="3"/>
            <w:tcBorders>
              <w:top w:val="nil"/>
              <w:left w:val="single" w:sz="4" w:space="0" w:color="auto"/>
              <w:bottom w:val="nil"/>
              <w:right w:val="nil"/>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Redundancy was delayed by a month</w:t>
            </w:r>
          </w:p>
        </w:tc>
        <w:tc>
          <w:tcPr>
            <w:tcW w:w="1636" w:type="dxa"/>
            <w:tcBorders>
              <w:top w:val="nil"/>
              <w:left w:val="nil"/>
              <w:bottom w:val="nil"/>
              <w:right w:val="nil"/>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c>
          <w:tcPr>
            <w:tcW w:w="976" w:type="dxa"/>
            <w:tcBorders>
              <w:top w:val="nil"/>
              <w:left w:val="nil"/>
              <w:bottom w:val="nil"/>
              <w:right w:val="single" w:sz="4" w:space="0" w:color="auto"/>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r>
      <w:tr w:rsidR="00BC1EA8" w:rsidRPr="00BC1EA8" w:rsidTr="00E76D4F">
        <w:trPr>
          <w:trHeight w:val="300"/>
        </w:trPr>
        <w:tc>
          <w:tcPr>
            <w:tcW w:w="7520" w:type="dxa"/>
            <w:gridSpan w:val="5"/>
            <w:tcBorders>
              <w:top w:val="nil"/>
              <w:left w:val="single" w:sz="4" w:space="0" w:color="auto"/>
              <w:bottom w:val="nil"/>
              <w:right w:val="single" w:sz="4" w:space="0" w:color="auto"/>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Initially the full year’s budget was allocated to cover the redundancy</w:t>
            </w:r>
          </w:p>
        </w:tc>
      </w:tr>
      <w:tr w:rsidR="00BC1EA8" w:rsidRPr="00BC1EA8" w:rsidTr="00E76D4F">
        <w:trPr>
          <w:trHeight w:val="300"/>
        </w:trPr>
        <w:tc>
          <w:tcPr>
            <w:tcW w:w="4908" w:type="dxa"/>
            <w:gridSpan w:val="3"/>
            <w:tcBorders>
              <w:top w:val="nil"/>
              <w:left w:val="single" w:sz="4" w:space="0" w:color="auto"/>
              <w:bottom w:val="single" w:sz="4" w:space="0" w:color="auto"/>
              <w:right w:val="nil"/>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Staff Costs were incurred for April 2015</w:t>
            </w:r>
          </w:p>
        </w:tc>
        <w:tc>
          <w:tcPr>
            <w:tcW w:w="1636" w:type="dxa"/>
            <w:tcBorders>
              <w:top w:val="nil"/>
              <w:left w:val="nil"/>
              <w:bottom w:val="single" w:sz="4" w:space="0" w:color="auto"/>
              <w:right w:val="nil"/>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BC1EA8" w:rsidRPr="00BC1EA8" w:rsidRDefault="00BC1EA8" w:rsidP="00BC1EA8">
            <w:pPr>
              <w:rPr>
                <w:rFonts w:ascii="Arial" w:hAnsi="Arial" w:cs="Arial"/>
                <w:color w:val="000000"/>
                <w:sz w:val="22"/>
                <w:szCs w:val="22"/>
              </w:rPr>
            </w:pPr>
            <w:r w:rsidRPr="00BC1EA8">
              <w:rPr>
                <w:rFonts w:ascii="Arial" w:hAnsi="Arial" w:cs="Arial"/>
                <w:color w:val="000000"/>
                <w:sz w:val="22"/>
                <w:szCs w:val="22"/>
              </w:rPr>
              <w:t> </w:t>
            </w:r>
          </w:p>
        </w:tc>
      </w:tr>
    </w:tbl>
    <w:p w:rsidR="00BC1EA8" w:rsidRPr="00BC1EA8" w:rsidRDefault="00BC1EA8" w:rsidP="00BC1EA8">
      <w:pPr>
        <w:spacing w:after="200" w:line="276" w:lineRule="auto"/>
        <w:rPr>
          <w:rFonts w:ascii="Arial" w:eastAsia="Calibri" w:hAnsi="Arial" w:cs="Arial"/>
          <w:sz w:val="22"/>
          <w:szCs w:val="22"/>
          <w:lang w:eastAsia="en-US"/>
        </w:rPr>
      </w:pPr>
    </w:p>
    <w:p w:rsidR="00BC1EA8" w:rsidRPr="00BC1EA8" w:rsidRDefault="00BC1EA8" w:rsidP="00BC1EA8">
      <w:pPr>
        <w:spacing w:after="200" w:line="276" w:lineRule="auto"/>
        <w:rPr>
          <w:rFonts w:ascii="Arial" w:eastAsia="Calibri" w:hAnsi="Arial" w:cs="Arial"/>
          <w:b/>
          <w:color w:val="1F497D"/>
          <w:sz w:val="22"/>
          <w:szCs w:val="22"/>
          <w:lang w:eastAsia="en-US"/>
        </w:rPr>
      </w:pPr>
      <w:r w:rsidRPr="00BC1EA8">
        <w:rPr>
          <w:rFonts w:ascii="Arial" w:eastAsia="Calibri" w:hAnsi="Arial" w:cs="Arial"/>
          <w:b/>
          <w:color w:val="1F497D"/>
          <w:sz w:val="22"/>
          <w:szCs w:val="22"/>
          <w:lang w:eastAsia="en-US"/>
        </w:rPr>
        <w:t>NOTE 2 – Facilities Budget</w:t>
      </w:r>
    </w:p>
    <w:p w:rsidR="00BC1EA8" w:rsidRPr="00BC1EA8" w:rsidRDefault="00BC1EA8" w:rsidP="00BC1EA8">
      <w:pPr>
        <w:spacing w:after="200" w:line="276" w:lineRule="auto"/>
        <w:rPr>
          <w:rFonts w:ascii="Arial" w:eastAsia="Calibri" w:hAnsi="Arial" w:cs="Arial"/>
          <w:b/>
          <w:color w:val="1F497D"/>
          <w:sz w:val="22"/>
          <w:szCs w:val="22"/>
          <w:lang w:eastAsia="en-US"/>
        </w:rPr>
      </w:pPr>
      <w:r w:rsidRPr="00BC1EA8">
        <w:rPr>
          <w:rFonts w:ascii="Arial" w:eastAsia="Calibri" w:hAnsi="Arial" w:cs="Arial"/>
          <w:b/>
          <w:color w:val="1F497D"/>
          <w:sz w:val="22"/>
          <w:szCs w:val="22"/>
          <w:lang w:eastAsia="en-US"/>
        </w:rPr>
        <w:t xml:space="preserve">Facilities </w:t>
      </w:r>
    </w:p>
    <w:p w:rsidR="00BC1EA8" w:rsidRPr="00BC1EA8" w:rsidRDefault="00BC1EA8" w:rsidP="00BC1EA8">
      <w:pPr>
        <w:spacing w:after="200" w:line="276" w:lineRule="auto"/>
        <w:rPr>
          <w:rFonts w:ascii="Arial" w:eastAsia="Calibri" w:hAnsi="Arial" w:cs="Arial"/>
          <w:sz w:val="22"/>
          <w:szCs w:val="22"/>
          <w:lang w:eastAsia="en-US"/>
        </w:rPr>
      </w:pPr>
      <w:r w:rsidRPr="00BC1EA8">
        <w:rPr>
          <w:rFonts w:ascii="Arial" w:eastAsia="Calibri" w:hAnsi="Arial" w:cs="Arial"/>
          <w:b/>
          <w:sz w:val="22"/>
          <w:szCs w:val="22"/>
          <w:u w:val="single"/>
          <w:lang w:eastAsia="en-US"/>
        </w:rPr>
        <w:t>STAFF</w:t>
      </w:r>
      <w:r w:rsidRPr="00BC1EA8">
        <w:rPr>
          <w:rFonts w:ascii="Arial" w:eastAsia="Calibri" w:hAnsi="Arial" w:cs="Arial"/>
          <w:sz w:val="22"/>
          <w:szCs w:val="22"/>
          <w:lang w:eastAsia="en-US"/>
        </w:rPr>
        <w:t>: The actual spend reports a pressure on staffing budgets, this relates to the back fill staff costs to facilitate staff training costs for</w:t>
      </w:r>
    </w:p>
    <w:p w:rsidR="00CA7682" w:rsidRDefault="00BC1EA8" w:rsidP="00CA7682">
      <w:pPr>
        <w:numPr>
          <w:ilvl w:val="0"/>
          <w:numId w:val="27"/>
        </w:numPr>
        <w:spacing w:after="200"/>
        <w:ind w:left="777" w:hanging="357"/>
        <w:rPr>
          <w:rFonts w:ascii="Arial" w:eastAsia="Calibri" w:hAnsi="Arial" w:cs="Arial"/>
          <w:sz w:val="22"/>
          <w:szCs w:val="22"/>
          <w:lang w:eastAsia="en-US"/>
        </w:rPr>
      </w:pPr>
      <w:r w:rsidRPr="00CA7682">
        <w:rPr>
          <w:rFonts w:ascii="Arial" w:eastAsia="Calibri" w:hAnsi="Arial" w:cs="Arial"/>
          <w:sz w:val="22"/>
          <w:szCs w:val="22"/>
          <w:lang w:eastAsia="en-US"/>
        </w:rPr>
        <w:t>the “Love to Swim” programme</w:t>
      </w:r>
    </w:p>
    <w:p w:rsidR="00BC1EA8" w:rsidRPr="00CA7682" w:rsidRDefault="00BC1EA8" w:rsidP="00CA7682">
      <w:pPr>
        <w:numPr>
          <w:ilvl w:val="0"/>
          <w:numId w:val="27"/>
        </w:numPr>
        <w:spacing w:after="200"/>
        <w:ind w:left="777" w:hanging="357"/>
        <w:rPr>
          <w:rFonts w:ascii="Arial" w:eastAsia="Calibri" w:hAnsi="Arial" w:cs="Arial"/>
          <w:sz w:val="22"/>
          <w:szCs w:val="22"/>
          <w:lang w:eastAsia="en-US"/>
        </w:rPr>
      </w:pPr>
      <w:r w:rsidRPr="00CA7682">
        <w:rPr>
          <w:rFonts w:ascii="Arial" w:eastAsia="Calibri" w:hAnsi="Arial" w:cs="Arial"/>
          <w:sz w:val="22"/>
          <w:szCs w:val="22"/>
          <w:lang w:eastAsia="en-US"/>
        </w:rPr>
        <w:t>the development of Personal Training</w:t>
      </w:r>
    </w:p>
    <w:p w:rsidR="00BC1EA8" w:rsidRPr="00BC1EA8" w:rsidRDefault="00BC1EA8" w:rsidP="00CA7682">
      <w:pPr>
        <w:numPr>
          <w:ilvl w:val="0"/>
          <w:numId w:val="27"/>
        </w:numPr>
        <w:spacing w:after="200"/>
        <w:ind w:left="777" w:hanging="357"/>
        <w:rPr>
          <w:rFonts w:ascii="Arial" w:eastAsia="Calibri" w:hAnsi="Arial" w:cs="Arial"/>
          <w:sz w:val="22"/>
          <w:szCs w:val="22"/>
          <w:lang w:eastAsia="en-US"/>
        </w:rPr>
      </w:pPr>
      <w:proofErr w:type="gramStart"/>
      <w:r w:rsidRPr="00BC1EA8">
        <w:rPr>
          <w:rFonts w:ascii="Arial" w:eastAsia="Calibri" w:hAnsi="Arial" w:cs="Arial"/>
          <w:sz w:val="22"/>
          <w:szCs w:val="22"/>
          <w:lang w:eastAsia="en-US"/>
        </w:rPr>
        <w:t>adult</w:t>
      </w:r>
      <w:proofErr w:type="gramEnd"/>
      <w:r w:rsidRPr="00BC1EA8">
        <w:rPr>
          <w:rFonts w:ascii="Arial" w:eastAsia="Calibri" w:hAnsi="Arial" w:cs="Arial"/>
          <w:sz w:val="22"/>
          <w:szCs w:val="22"/>
          <w:lang w:eastAsia="en-US"/>
        </w:rPr>
        <w:t xml:space="preserve"> fitness training including Gym Instruction, Spinning and </w:t>
      </w:r>
      <w:proofErr w:type="spellStart"/>
      <w:r w:rsidRPr="00BC1EA8">
        <w:rPr>
          <w:rFonts w:ascii="Arial" w:eastAsia="Calibri" w:hAnsi="Arial" w:cs="Arial"/>
          <w:sz w:val="22"/>
          <w:szCs w:val="22"/>
          <w:lang w:eastAsia="en-US"/>
        </w:rPr>
        <w:t>Metafit</w:t>
      </w:r>
      <w:proofErr w:type="spellEnd"/>
      <w:r w:rsidRPr="00BC1EA8">
        <w:rPr>
          <w:rFonts w:ascii="Arial" w:eastAsia="Calibri" w:hAnsi="Arial" w:cs="Arial"/>
          <w:sz w:val="22"/>
          <w:szCs w:val="22"/>
          <w:lang w:eastAsia="en-US"/>
        </w:rPr>
        <w:t xml:space="preserve"> and other operational requirements including pool plant training.</w:t>
      </w:r>
    </w:p>
    <w:p w:rsidR="00BC1EA8" w:rsidRPr="00BC1EA8" w:rsidRDefault="00BC1EA8" w:rsidP="00BC1EA8">
      <w:pPr>
        <w:spacing w:line="276" w:lineRule="auto"/>
        <w:rPr>
          <w:rFonts w:ascii="Arial" w:eastAsia="Calibri" w:hAnsi="Arial" w:cs="Arial"/>
          <w:sz w:val="22"/>
          <w:szCs w:val="22"/>
          <w:lang w:eastAsia="en-US"/>
        </w:rPr>
      </w:pPr>
    </w:p>
    <w:p w:rsidR="00BC1EA8" w:rsidRPr="00BC1EA8" w:rsidRDefault="00CA7682" w:rsidP="00BC1EA8">
      <w:pPr>
        <w:spacing w:line="276" w:lineRule="auto"/>
        <w:rPr>
          <w:rFonts w:ascii="Arial" w:eastAsia="Calibri" w:hAnsi="Arial" w:cs="Arial"/>
          <w:sz w:val="22"/>
          <w:szCs w:val="22"/>
          <w:lang w:eastAsia="en-US"/>
        </w:rPr>
      </w:pPr>
      <w:r>
        <w:rPr>
          <w:rFonts w:ascii="Arial" w:eastAsia="Calibri" w:hAnsi="Arial" w:cs="Arial"/>
          <w:sz w:val="22"/>
          <w:szCs w:val="22"/>
          <w:lang w:eastAsia="en-US"/>
        </w:rPr>
        <w:t>Further grant</w:t>
      </w:r>
      <w:r w:rsidR="00BC1EA8" w:rsidRPr="00BC1EA8">
        <w:rPr>
          <w:rFonts w:ascii="Arial" w:eastAsia="Calibri" w:hAnsi="Arial" w:cs="Arial"/>
          <w:sz w:val="22"/>
          <w:szCs w:val="22"/>
          <w:lang w:eastAsia="en-US"/>
        </w:rPr>
        <w:t xml:space="preserve"> </w:t>
      </w:r>
      <w:r>
        <w:rPr>
          <w:rFonts w:ascii="Arial" w:eastAsia="Calibri" w:hAnsi="Arial" w:cs="Arial"/>
          <w:sz w:val="22"/>
          <w:szCs w:val="22"/>
          <w:lang w:eastAsia="en-US"/>
        </w:rPr>
        <w:t xml:space="preserve">income </w:t>
      </w:r>
      <w:r w:rsidR="00BC1EA8" w:rsidRPr="00BC1EA8">
        <w:rPr>
          <w:rFonts w:ascii="Arial" w:eastAsia="Calibri" w:hAnsi="Arial" w:cs="Arial"/>
          <w:sz w:val="22"/>
          <w:szCs w:val="22"/>
          <w:lang w:eastAsia="en-US"/>
        </w:rPr>
        <w:t xml:space="preserve">of £19K is due in Q4 </w:t>
      </w:r>
      <w:r>
        <w:rPr>
          <w:rFonts w:ascii="Arial" w:eastAsia="Calibri" w:hAnsi="Arial" w:cs="Arial"/>
          <w:sz w:val="22"/>
          <w:szCs w:val="22"/>
          <w:lang w:eastAsia="en-US"/>
        </w:rPr>
        <w:t xml:space="preserve">to offset these </w:t>
      </w:r>
      <w:r w:rsidR="00915A05">
        <w:rPr>
          <w:rFonts w:ascii="Arial" w:eastAsia="Calibri" w:hAnsi="Arial" w:cs="Arial"/>
          <w:sz w:val="22"/>
          <w:szCs w:val="22"/>
          <w:lang w:eastAsia="en-US"/>
        </w:rPr>
        <w:t>costs,</w:t>
      </w:r>
      <w:r w:rsidR="00BC1EA8" w:rsidRPr="00BC1EA8">
        <w:rPr>
          <w:rFonts w:ascii="Arial" w:eastAsia="Calibri" w:hAnsi="Arial" w:cs="Arial"/>
          <w:sz w:val="22"/>
          <w:szCs w:val="22"/>
          <w:lang w:eastAsia="en-US"/>
        </w:rPr>
        <w:t xml:space="preserve"> leaving a balance of £</w:t>
      </w:r>
      <w:r w:rsidR="00B50A8C">
        <w:rPr>
          <w:rFonts w:ascii="Arial" w:eastAsia="Calibri" w:hAnsi="Arial" w:cs="Arial"/>
          <w:sz w:val="22"/>
          <w:szCs w:val="22"/>
          <w:lang w:eastAsia="en-US"/>
        </w:rPr>
        <w:t>79</w:t>
      </w:r>
      <w:r>
        <w:rPr>
          <w:rFonts w:ascii="Arial" w:eastAsia="Calibri" w:hAnsi="Arial" w:cs="Arial"/>
          <w:sz w:val="22"/>
          <w:szCs w:val="22"/>
          <w:lang w:eastAsia="en-US"/>
        </w:rPr>
        <w:t>K for back fill</w:t>
      </w:r>
      <w:r w:rsidR="00BC1EA8" w:rsidRPr="00BC1EA8">
        <w:rPr>
          <w:rFonts w:ascii="Arial" w:eastAsia="Calibri" w:hAnsi="Arial" w:cs="Arial"/>
          <w:sz w:val="22"/>
          <w:szCs w:val="22"/>
          <w:lang w:eastAsia="en-US"/>
        </w:rPr>
        <w:t>.</w:t>
      </w:r>
    </w:p>
    <w:p w:rsidR="00BC1EA8" w:rsidRPr="00BC1EA8" w:rsidRDefault="00BC1EA8" w:rsidP="00BC1EA8">
      <w:pPr>
        <w:spacing w:line="276" w:lineRule="auto"/>
        <w:rPr>
          <w:rFonts w:ascii="Arial" w:eastAsia="Calibri" w:hAnsi="Arial" w:cs="Arial"/>
          <w:sz w:val="22"/>
          <w:szCs w:val="22"/>
          <w:lang w:eastAsia="en-US"/>
        </w:rPr>
      </w:pPr>
    </w:p>
    <w:p w:rsidR="00BC1EA8" w:rsidRPr="00BC1EA8" w:rsidRDefault="00BC1EA8" w:rsidP="00BC1EA8">
      <w:pPr>
        <w:spacing w:after="200" w:line="276" w:lineRule="auto"/>
        <w:rPr>
          <w:rFonts w:ascii="Arial" w:eastAsia="Calibri" w:hAnsi="Arial" w:cs="Arial"/>
          <w:b/>
          <w:color w:val="1F497D"/>
          <w:sz w:val="22"/>
          <w:szCs w:val="22"/>
          <w:lang w:eastAsia="en-US"/>
        </w:rPr>
      </w:pPr>
      <w:r w:rsidRPr="00BC1EA8">
        <w:rPr>
          <w:rFonts w:ascii="Arial" w:eastAsia="Calibri" w:hAnsi="Arial" w:cs="Arial"/>
          <w:b/>
          <w:color w:val="1F497D"/>
          <w:sz w:val="22"/>
          <w:szCs w:val="22"/>
          <w:lang w:eastAsia="en-US"/>
        </w:rPr>
        <w:t>NOTE 3- Outdoor Budget</w:t>
      </w:r>
    </w:p>
    <w:p w:rsidR="00BC1EA8" w:rsidRPr="00BC1EA8" w:rsidRDefault="00BC1EA8" w:rsidP="00BC1EA8">
      <w:pPr>
        <w:spacing w:after="200" w:line="276" w:lineRule="auto"/>
        <w:jc w:val="both"/>
        <w:rPr>
          <w:rFonts w:ascii="Arial" w:eastAsia="Calibri" w:hAnsi="Arial" w:cs="Arial"/>
          <w:sz w:val="22"/>
          <w:szCs w:val="22"/>
          <w:lang w:eastAsia="en-US"/>
        </w:rPr>
      </w:pPr>
      <w:r w:rsidRPr="00BC1EA8">
        <w:rPr>
          <w:rFonts w:ascii="Arial" w:eastAsia="Calibri" w:hAnsi="Arial" w:cs="Arial"/>
          <w:sz w:val="22"/>
          <w:szCs w:val="22"/>
          <w:lang w:eastAsia="en-US"/>
        </w:rPr>
        <w:t xml:space="preserve">An in-depth review of the Outdoor budget together with a detailed reforecast to year was undertaken which takes accounts of the new structure. It is forecast to come in on target to budget with the loss of Income offset against staff costs, mainly down to managing the recruitment process year to date. All staffing establishment is now in place. </w:t>
      </w:r>
    </w:p>
    <w:p w:rsidR="009663B6" w:rsidRDefault="009663B6" w:rsidP="00686F9F">
      <w:pPr>
        <w:rPr>
          <w:rFonts w:ascii="Arial" w:hAnsi="Arial" w:cs="Arial"/>
          <w:b/>
          <w:sz w:val="28"/>
          <w:szCs w:val="28"/>
        </w:rPr>
      </w:pPr>
    </w:p>
    <w:p w:rsidR="00F04708" w:rsidRDefault="00F04708" w:rsidP="00F04708">
      <w:pPr>
        <w:jc w:val="right"/>
        <w:rPr>
          <w:rFonts w:ascii="Arial" w:eastAsiaTheme="minorHAnsi" w:hAnsi="Arial" w:cs="Arial"/>
          <w:b/>
          <w:szCs w:val="24"/>
          <w:lang w:eastAsia="en-US"/>
        </w:rPr>
      </w:pPr>
      <w:r>
        <w:rPr>
          <w:rFonts w:ascii="Arial" w:eastAsiaTheme="minorHAnsi" w:hAnsi="Arial" w:cs="Arial"/>
          <w:b/>
          <w:szCs w:val="24"/>
          <w:lang w:eastAsia="en-US"/>
        </w:rPr>
        <w:t>A</w:t>
      </w:r>
      <w:r w:rsidR="00EF19DA">
        <w:rPr>
          <w:rFonts w:ascii="Arial" w:eastAsiaTheme="minorHAnsi" w:hAnsi="Arial" w:cs="Arial"/>
          <w:b/>
          <w:szCs w:val="24"/>
          <w:lang w:eastAsia="en-US"/>
        </w:rPr>
        <w:t>PPENDIX</w:t>
      </w:r>
      <w:r>
        <w:rPr>
          <w:rFonts w:ascii="Arial" w:eastAsiaTheme="minorHAnsi" w:hAnsi="Arial" w:cs="Arial"/>
          <w:b/>
          <w:szCs w:val="24"/>
          <w:lang w:eastAsia="en-US"/>
        </w:rPr>
        <w:t xml:space="preserve"> D</w:t>
      </w:r>
    </w:p>
    <w:p w:rsidR="00F04708" w:rsidRDefault="00F04708" w:rsidP="00F04708">
      <w:pPr>
        <w:jc w:val="right"/>
        <w:rPr>
          <w:rFonts w:ascii="Arial" w:eastAsiaTheme="minorHAnsi" w:hAnsi="Arial" w:cs="Arial"/>
          <w:b/>
          <w:szCs w:val="24"/>
          <w:lang w:eastAsia="en-US"/>
        </w:rPr>
      </w:pPr>
    </w:p>
    <w:p w:rsidR="003B0964" w:rsidRDefault="003B0964" w:rsidP="00F04708">
      <w:pPr>
        <w:jc w:val="right"/>
        <w:rPr>
          <w:rFonts w:ascii="Arial" w:eastAsiaTheme="minorHAnsi" w:hAnsi="Arial" w:cs="Arial"/>
          <w:b/>
          <w:szCs w:val="24"/>
          <w:lang w:eastAsia="en-US"/>
        </w:rPr>
      </w:pPr>
    </w:p>
    <w:p w:rsidR="003B0964" w:rsidRDefault="003B0964" w:rsidP="003B0964">
      <w:pPr>
        <w:rPr>
          <w:rFonts w:ascii="Arial" w:eastAsiaTheme="minorHAnsi" w:hAnsi="Arial" w:cs="Arial"/>
          <w:b/>
          <w:sz w:val="28"/>
          <w:szCs w:val="28"/>
          <w:lang w:eastAsia="en-US"/>
        </w:rPr>
      </w:pPr>
      <w:r w:rsidRPr="003B0964">
        <w:rPr>
          <w:rFonts w:ascii="Arial" w:eastAsiaTheme="minorHAnsi" w:hAnsi="Arial" w:cs="Arial"/>
          <w:b/>
          <w:sz w:val="28"/>
          <w:szCs w:val="28"/>
          <w:lang w:eastAsia="en-US"/>
        </w:rPr>
        <w:t>Changes to Approved Budget</w:t>
      </w:r>
    </w:p>
    <w:p w:rsidR="003B0964" w:rsidRPr="003B0964" w:rsidRDefault="003B0964" w:rsidP="003B0964">
      <w:pPr>
        <w:rPr>
          <w:rFonts w:ascii="Arial" w:eastAsiaTheme="minorHAnsi" w:hAnsi="Arial" w:cs="Arial"/>
          <w:b/>
          <w:sz w:val="28"/>
          <w:szCs w:val="28"/>
          <w:lang w:eastAsia="en-US"/>
        </w:rPr>
      </w:pPr>
    </w:p>
    <w:tbl>
      <w:tblPr>
        <w:tblW w:w="14140" w:type="dxa"/>
        <w:tblInd w:w="108" w:type="dxa"/>
        <w:tblLook w:val="04A0" w:firstRow="1" w:lastRow="0" w:firstColumn="1" w:lastColumn="0" w:noHBand="0" w:noVBand="1"/>
      </w:tblPr>
      <w:tblGrid>
        <w:gridCol w:w="2416"/>
        <w:gridCol w:w="2216"/>
        <w:gridCol w:w="2976"/>
        <w:gridCol w:w="2176"/>
        <w:gridCol w:w="4356"/>
      </w:tblGrid>
      <w:tr w:rsidR="008A5A80" w:rsidRPr="008A5A80" w:rsidTr="008A5A80">
        <w:trPr>
          <w:trHeight w:val="108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 w:val="28"/>
                <w:szCs w:val="28"/>
              </w:rPr>
            </w:pPr>
            <w:r w:rsidRPr="008A5A80">
              <w:rPr>
                <w:rFonts w:ascii="Arial" w:hAnsi="Arial" w:cs="Arial"/>
                <w:b/>
                <w:bCs/>
                <w:color w:val="000000"/>
                <w:sz w:val="28"/>
                <w:szCs w:val="28"/>
              </w:rPr>
              <w:t>Sectors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 w:val="28"/>
                <w:szCs w:val="28"/>
              </w:rPr>
            </w:pPr>
            <w:r w:rsidRPr="008A5A80">
              <w:rPr>
                <w:rFonts w:ascii="Arial" w:hAnsi="Arial" w:cs="Arial"/>
                <w:b/>
                <w:bCs/>
                <w:color w:val="000000"/>
                <w:sz w:val="28"/>
                <w:szCs w:val="28"/>
              </w:rPr>
              <w:t>Revised Budget</w:t>
            </w:r>
          </w:p>
        </w:tc>
        <w:tc>
          <w:tcPr>
            <w:tcW w:w="2976" w:type="dxa"/>
            <w:tcBorders>
              <w:top w:val="nil"/>
              <w:left w:val="nil"/>
              <w:bottom w:val="nil"/>
              <w:right w:val="nil"/>
            </w:tcBorders>
            <w:shd w:val="clear" w:color="auto" w:fill="auto"/>
            <w:vAlign w:val="center"/>
            <w:hideMark/>
          </w:tcPr>
          <w:p w:rsidR="008A5A80" w:rsidRPr="008A5A80" w:rsidRDefault="008A5A80" w:rsidP="008A5A80">
            <w:pPr>
              <w:jc w:val="center"/>
              <w:rPr>
                <w:rFonts w:ascii="Arial" w:hAnsi="Arial" w:cs="Arial"/>
                <w:b/>
                <w:bCs/>
                <w:color w:val="000000"/>
                <w:sz w:val="28"/>
                <w:szCs w:val="28"/>
              </w:rPr>
            </w:pPr>
            <w:r w:rsidRPr="008A5A80">
              <w:rPr>
                <w:rFonts w:ascii="Arial" w:hAnsi="Arial" w:cs="Arial"/>
                <w:b/>
                <w:bCs/>
                <w:color w:val="000000"/>
                <w:sz w:val="28"/>
                <w:szCs w:val="28"/>
              </w:rPr>
              <w:t>Original Budget Approved (March '16)</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center"/>
              <w:rPr>
                <w:rFonts w:ascii="Arial" w:hAnsi="Arial" w:cs="Arial"/>
                <w:b/>
                <w:bCs/>
                <w:color w:val="000000"/>
                <w:sz w:val="28"/>
                <w:szCs w:val="28"/>
              </w:rPr>
            </w:pPr>
            <w:r w:rsidRPr="008A5A80">
              <w:rPr>
                <w:rFonts w:ascii="Arial" w:hAnsi="Arial" w:cs="Arial"/>
                <w:b/>
                <w:bCs/>
                <w:color w:val="000000"/>
                <w:sz w:val="28"/>
                <w:szCs w:val="28"/>
              </w:rPr>
              <w:t>Difference</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Adult</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(645,447)</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(592,447)</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(53,000)</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 xml:space="preserve">ESF Funding Project Complete </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Archives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(658,216)</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(658,225)</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FF0000"/>
                <w:sz w:val="28"/>
                <w:szCs w:val="28"/>
              </w:rPr>
            </w:pPr>
            <w:r w:rsidRPr="00280068">
              <w:rPr>
                <w:rFonts w:ascii="Arial" w:hAnsi="Arial" w:cs="Arial"/>
                <w:sz w:val="28"/>
                <w:szCs w:val="28"/>
              </w:rPr>
              <w:t>9</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Arts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(233,315)</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(253,315)</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20,000</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 xml:space="preserve">Donations Income Target </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Facilities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(2,119,143)</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(2,195,443)</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76,300</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Refer To NOTE1</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Libraries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(3,636,697)</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(3,643,518)</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6,820</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Refer To NOTE1</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Management</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(2,405,197)</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(2,314,530)</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(90,667)</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Refer To NOTE1</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Museums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(866,724)</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(866,724)</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000000"/>
                <w:sz w:val="28"/>
                <w:szCs w:val="28"/>
              </w:rPr>
              <w:t>0</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Outdoor</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(116,028)</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(116,028)</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000000"/>
                <w:sz w:val="28"/>
                <w:szCs w:val="28"/>
              </w:rPr>
              <w:t>0</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SLA</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12,628,708</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12,593,171</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35,537</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Refer To NOTE1</w:t>
            </w:r>
          </w:p>
        </w:tc>
      </w:tr>
      <w:tr w:rsidR="008A5A80" w:rsidRPr="008A5A80" w:rsidTr="008A5A80">
        <w:trPr>
          <w:trHeight w:val="360"/>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Sports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(547,586)</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(550,086)</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2,500</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 xml:space="preserve">Donations Income Target </w:t>
            </w:r>
          </w:p>
        </w:tc>
      </w:tr>
      <w:tr w:rsidR="008A5A80" w:rsidRPr="008A5A80" w:rsidTr="008A5A80">
        <w:trPr>
          <w:trHeight w:val="375"/>
        </w:trPr>
        <w:tc>
          <w:tcPr>
            <w:tcW w:w="241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Youth work</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(1,400,355)</w:t>
            </w:r>
          </w:p>
        </w:tc>
        <w:tc>
          <w:tcPr>
            <w:tcW w:w="29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FF0000"/>
                <w:sz w:val="28"/>
                <w:szCs w:val="28"/>
              </w:rPr>
              <w:t>(1,402,856)</w:t>
            </w:r>
          </w:p>
        </w:tc>
        <w:tc>
          <w:tcPr>
            <w:tcW w:w="217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 w:val="28"/>
                <w:szCs w:val="28"/>
              </w:rPr>
            </w:pPr>
            <w:r w:rsidRPr="008A5A80">
              <w:rPr>
                <w:rFonts w:ascii="Arial" w:hAnsi="Arial" w:cs="Arial"/>
                <w:sz w:val="28"/>
                <w:szCs w:val="28"/>
              </w:rPr>
              <w:t>2,501</w:t>
            </w:r>
          </w:p>
        </w:tc>
        <w:tc>
          <w:tcPr>
            <w:tcW w:w="435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 w:val="28"/>
                <w:szCs w:val="28"/>
              </w:rPr>
            </w:pPr>
            <w:r w:rsidRPr="008A5A80">
              <w:rPr>
                <w:rFonts w:ascii="Arial" w:hAnsi="Arial" w:cs="Arial"/>
                <w:color w:val="000000"/>
                <w:sz w:val="28"/>
                <w:szCs w:val="28"/>
              </w:rPr>
              <w:t xml:space="preserve">Donations Income Target </w:t>
            </w:r>
          </w:p>
        </w:tc>
      </w:tr>
      <w:tr w:rsidR="008A5A80" w:rsidRPr="008A5A80" w:rsidTr="008A5A80">
        <w:trPr>
          <w:trHeight w:val="375"/>
        </w:trPr>
        <w:tc>
          <w:tcPr>
            <w:tcW w:w="24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000000"/>
                <w:sz w:val="28"/>
                <w:szCs w:val="28"/>
              </w:rPr>
              <w:t>0</w:t>
            </w:r>
          </w:p>
        </w:tc>
        <w:tc>
          <w:tcPr>
            <w:tcW w:w="297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000000"/>
                <w:sz w:val="28"/>
                <w:szCs w:val="28"/>
              </w:rPr>
              <w:t>0</w:t>
            </w:r>
          </w:p>
        </w:tc>
        <w:tc>
          <w:tcPr>
            <w:tcW w:w="217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color w:val="000000"/>
                <w:sz w:val="28"/>
                <w:szCs w:val="28"/>
              </w:rPr>
            </w:pPr>
            <w:r w:rsidRPr="008A5A80">
              <w:rPr>
                <w:rFonts w:ascii="Arial" w:hAnsi="Arial" w:cs="Arial"/>
                <w:color w:val="000000"/>
                <w:sz w:val="28"/>
                <w:szCs w:val="28"/>
              </w:rPr>
              <w:t>0</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r>
    </w:tbl>
    <w:p w:rsidR="003D57C3" w:rsidRDefault="003D57C3">
      <w:r>
        <w:br w:type="page"/>
      </w:r>
    </w:p>
    <w:p w:rsidR="003B0964" w:rsidRDefault="003B0964" w:rsidP="003B0964">
      <w:pPr>
        <w:spacing w:after="200" w:line="276" w:lineRule="auto"/>
        <w:jc w:val="right"/>
        <w:rPr>
          <w:rFonts w:ascii="Arial" w:eastAsia="Calibri" w:hAnsi="Arial" w:cs="Arial"/>
          <w:b/>
          <w:color w:val="1F497D"/>
          <w:sz w:val="22"/>
          <w:szCs w:val="22"/>
          <w:lang w:eastAsia="en-US"/>
        </w:rPr>
      </w:pPr>
      <w:r w:rsidRPr="000757C8">
        <w:rPr>
          <w:rFonts w:ascii="Arial" w:eastAsia="Calibri" w:hAnsi="Arial" w:cs="Arial"/>
          <w:b/>
          <w:szCs w:val="24"/>
          <w:lang w:eastAsia="en-US"/>
        </w:rPr>
        <w:lastRenderedPageBreak/>
        <w:t xml:space="preserve">APPENDIX </w:t>
      </w:r>
      <w:r>
        <w:rPr>
          <w:rFonts w:ascii="Arial" w:eastAsia="Calibri" w:hAnsi="Arial" w:cs="Arial"/>
          <w:b/>
          <w:szCs w:val="24"/>
          <w:lang w:eastAsia="en-US"/>
        </w:rPr>
        <w:t>D</w:t>
      </w:r>
      <w:r w:rsidRPr="000757C8">
        <w:rPr>
          <w:rFonts w:ascii="Arial" w:eastAsia="Calibri" w:hAnsi="Arial" w:cs="Arial"/>
          <w:b/>
          <w:szCs w:val="24"/>
          <w:lang w:eastAsia="en-US"/>
        </w:rPr>
        <w:t xml:space="preserve"> (Cont’d)</w:t>
      </w:r>
    </w:p>
    <w:p w:rsidR="003B0964" w:rsidRDefault="003B0964"/>
    <w:tbl>
      <w:tblPr>
        <w:tblW w:w="20641" w:type="dxa"/>
        <w:tblInd w:w="108" w:type="dxa"/>
        <w:tblLook w:val="04A0" w:firstRow="1" w:lastRow="0" w:firstColumn="1" w:lastColumn="0" w:noHBand="0" w:noVBand="1"/>
      </w:tblPr>
      <w:tblGrid>
        <w:gridCol w:w="3276"/>
        <w:gridCol w:w="2216"/>
        <w:gridCol w:w="3056"/>
        <w:gridCol w:w="6761"/>
        <w:gridCol w:w="4356"/>
        <w:gridCol w:w="976"/>
      </w:tblGrid>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30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15309" w:type="dxa"/>
            <w:gridSpan w:val="4"/>
            <w:tcBorders>
              <w:top w:val="nil"/>
              <w:left w:val="nil"/>
              <w:bottom w:val="nil"/>
              <w:right w:val="nil"/>
            </w:tcBorders>
            <w:shd w:val="clear" w:color="000000" w:fill="DCE6F1"/>
            <w:noWrap/>
            <w:vAlign w:val="center"/>
            <w:hideMark/>
          </w:tcPr>
          <w:p w:rsidR="008A5A80" w:rsidRPr="008A5A80" w:rsidRDefault="008A5A80" w:rsidP="008A5A80">
            <w:pPr>
              <w:rPr>
                <w:rFonts w:ascii="Arial" w:hAnsi="Arial" w:cs="Arial"/>
                <w:b/>
                <w:bCs/>
                <w:color w:val="1F497D"/>
                <w:szCs w:val="24"/>
              </w:rPr>
            </w:pPr>
            <w:r w:rsidRPr="008A5A80">
              <w:rPr>
                <w:rFonts w:ascii="Arial" w:hAnsi="Arial" w:cs="Arial"/>
                <w:b/>
                <w:bCs/>
                <w:color w:val="1F497D"/>
                <w:szCs w:val="24"/>
              </w:rPr>
              <w:t> </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30"/>
        </w:trPr>
        <w:tc>
          <w:tcPr>
            <w:tcW w:w="3276" w:type="dxa"/>
            <w:tcBorders>
              <w:top w:val="nil"/>
              <w:left w:val="nil"/>
              <w:bottom w:val="single" w:sz="12" w:space="0" w:color="4F81BD"/>
              <w:right w:val="nil"/>
            </w:tcBorders>
            <w:shd w:val="clear" w:color="000000" w:fill="DCE6F1"/>
            <w:noWrap/>
            <w:vAlign w:val="center"/>
            <w:hideMark/>
          </w:tcPr>
          <w:p w:rsidR="008A5A80" w:rsidRPr="008A5A80" w:rsidRDefault="008A5A80" w:rsidP="008A5A80">
            <w:pPr>
              <w:rPr>
                <w:rFonts w:ascii="Arial" w:hAnsi="Arial" w:cs="Arial"/>
                <w:b/>
                <w:bCs/>
                <w:color w:val="1F497D"/>
                <w:szCs w:val="24"/>
              </w:rPr>
            </w:pPr>
            <w:r w:rsidRPr="008A5A80">
              <w:rPr>
                <w:rFonts w:ascii="Arial" w:hAnsi="Arial" w:cs="Arial"/>
                <w:b/>
                <w:bCs/>
                <w:color w:val="1F497D"/>
                <w:szCs w:val="24"/>
              </w:rPr>
              <w:t>NOTE 1</w:t>
            </w:r>
          </w:p>
        </w:tc>
        <w:tc>
          <w:tcPr>
            <w:tcW w:w="2216" w:type="dxa"/>
            <w:tcBorders>
              <w:top w:val="nil"/>
              <w:left w:val="nil"/>
              <w:bottom w:val="single" w:sz="12" w:space="0" w:color="4F81BD"/>
              <w:right w:val="nil"/>
            </w:tcBorders>
            <w:shd w:val="clear" w:color="000000" w:fill="DCE6F1"/>
            <w:noWrap/>
            <w:vAlign w:val="center"/>
            <w:hideMark/>
          </w:tcPr>
          <w:p w:rsidR="008A5A80" w:rsidRPr="008A5A80" w:rsidRDefault="008A5A80" w:rsidP="008A5A80">
            <w:pPr>
              <w:rPr>
                <w:rFonts w:ascii="Arial" w:hAnsi="Arial" w:cs="Arial"/>
                <w:b/>
                <w:bCs/>
                <w:color w:val="1F497D"/>
                <w:szCs w:val="24"/>
              </w:rPr>
            </w:pPr>
            <w:r w:rsidRPr="008A5A80">
              <w:rPr>
                <w:rFonts w:ascii="Arial" w:hAnsi="Arial" w:cs="Arial"/>
                <w:b/>
                <w:bCs/>
                <w:color w:val="1F497D"/>
                <w:szCs w:val="24"/>
              </w:rPr>
              <w:t> </w:t>
            </w:r>
          </w:p>
        </w:tc>
        <w:tc>
          <w:tcPr>
            <w:tcW w:w="3056" w:type="dxa"/>
            <w:tcBorders>
              <w:top w:val="nil"/>
              <w:left w:val="nil"/>
              <w:bottom w:val="single" w:sz="12" w:space="0" w:color="4F81BD"/>
              <w:right w:val="nil"/>
            </w:tcBorders>
            <w:shd w:val="clear" w:color="000000" w:fill="DCE6F1"/>
            <w:noWrap/>
            <w:vAlign w:val="center"/>
            <w:hideMark/>
          </w:tcPr>
          <w:p w:rsidR="008A5A80" w:rsidRPr="008A5A80" w:rsidRDefault="008A5A80" w:rsidP="008A5A80">
            <w:pPr>
              <w:rPr>
                <w:rFonts w:ascii="Arial" w:hAnsi="Arial" w:cs="Arial"/>
                <w:b/>
                <w:bCs/>
                <w:color w:val="1F497D"/>
                <w:szCs w:val="24"/>
              </w:rPr>
            </w:pPr>
            <w:r w:rsidRPr="008A5A80">
              <w:rPr>
                <w:rFonts w:ascii="Arial" w:hAnsi="Arial" w:cs="Arial"/>
                <w:b/>
                <w:bCs/>
                <w:color w:val="1F497D"/>
                <w:szCs w:val="24"/>
              </w:rPr>
              <w:t> </w:t>
            </w:r>
          </w:p>
        </w:tc>
        <w:tc>
          <w:tcPr>
            <w:tcW w:w="6761" w:type="dxa"/>
            <w:tcBorders>
              <w:top w:val="nil"/>
              <w:left w:val="nil"/>
              <w:bottom w:val="single" w:sz="12" w:space="0" w:color="4F81BD"/>
              <w:right w:val="nil"/>
            </w:tcBorders>
            <w:shd w:val="clear" w:color="000000" w:fill="DCE6F1"/>
            <w:noWrap/>
            <w:vAlign w:val="center"/>
            <w:hideMark/>
          </w:tcPr>
          <w:p w:rsidR="008A5A80" w:rsidRPr="008A5A80" w:rsidRDefault="008A5A80" w:rsidP="008A5A80">
            <w:pPr>
              <w:rPr>
                <w:rFonts w:ascii="Arial" w:hAnsi="Arial" w:cs="Arial"/>
                <w:b/>
                <w:bCs/>
                <w:color w:val="1F497D"/>
                <w:szCs w:val="24"/>
              </w:rPr>
            </w:pPr>
            <w:r w:rsidRPr="008A5A80">
              <w:rPr>
                <w:rFonts w:ascii="Arial" w:hAnsi="Arial" w:cs="Arial"/>
                <w:b/>
                <w:bCs/>
                <w:color w:val="1F497D"/>
                <w:szCs w:val="24"/>
              </w:rPr>
              <w:t> </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3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center"/>
              <w:rPr>
                <w:rFonts w:ascii="Arial" w:hAnsi="Arial" w:cs="Arial"/>
                <w:b/>
                <w:bCs/>
                <w:color w:val="000000"/>
                <w:szCs w:val="24"/>
              </w:rPr>
            </w:pPr>
            <w:r w:rsidRPr="008A5A80">
              <w:rPr>
                <w:rFonts w:ascii="Arial" w:hAnsi="Arial" w:cs="Arial"/>
                <w:b/>
                <w:bCs/>
                <w:color w:val="000000"/>
                <w:szCs w:val="24"/>
              </w:rPr>
              <w:t>Difference</w:t>
            </w: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center"/>
              <w:rPr>
                <w:rFonts w:ascii="Arial" w:hAnsi="Arial" w:cs="Arial"/>
                <w:b/>
                <w:bCs/>
                <w:color w:val="000000"/>
                <w:szCs w:val="24"/>
              </w:rPr>
            </w:pPr>
            <w:r w:rsidRPr="008A5A80">
              <w:rPr>
                <w:rFonts w:ascii="Arial" w:hAnsi="Arial" w:cs="Arial"/>
                <w:b/>
                <w:bCs/>
                <w:color w:val="000000"/>
                <w:szCs w:val="24"/>
              </w:rPr>
              <w:t>Explanation</w:t>
            </w: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Cs w:val="24"/>
              </w:rPr>
            </w:pPr>
            <w:r w:rsidRPr="008A5A80">
              <w:rPr>
                <w:rFonts w:ascii="Arial" w:hAnsi="Arial" w:cs="Arial"/>
                <w:b/>
                <w:bCs/>
                <w:color w:val="000000"/>
                <w:szCs w:val="24"/>
              </w:rPr>
              <w:t>Libraries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6,820</w:t>
            </w: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(35,537)</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proofErr w:type="spellStart"/>
            <w:r w:rsidRPr="008A5A80">
              <w:rPr>
                <w:rFonts w:ascii="Arial" w:hAnsi="Arial" w:cs="Arial"/>
                <w:color w:val="000000"/>
                <w:szCs w:val="24"/>
              </w:rPr>
              <w:t>Bettyhill</w:t>
            </w:r>
            <w:proofErr w:type="spellEnd"/>
            <w:r w:rsidRPr="008A5A80">
              <w:rPr>
                <w:rFonts w:ascii="Arial" w:hAnsi="Arial" w:cs="Arial"/>
                <w:color w:val="000000"/>
                <w:szCs w:val="24"/>
              </w:rPr>
              <w:t xml:space="preserve"> / Broadford Service Points (transfer from Council )</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22,357</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Aviemore Library Staff Costs transferred to Facilities</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3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20,000</w:t>
            </w:r>
          </w:p>
        </w:tc>
        <w:tc>
          <w:tcPr>
            <w:tcW w:w="6761" w:type="dxa"/>
            <w:tcBorders>
              <w:top w:val="nil"/>
              <w:left w:val="nil"/>
              <w:bottom w:val="nil"/>
              <w:right w:val="nil"/>
            </w:tcBorders>
            <w:shd w:val="clear" w:color="auto" w:fill="auto"/>
            <w:vAlign w:val="center"/>
            <w:hideMark/>
          </w:tcPr>
          <w:p w:rsidR="008A5A80" w:rsidRPr="008A5A80" w:rsidRDefault="00280068" w:rsidP="008A5A80">
            <w:pPr>
              <w:rPr>
                <w:color w:val="000000"/>
                <w:szCs w:val="24"/>
              </w:rPr>
            </w:pPr>
            <w:r w:rsidRPr="008A5A80">
              <w:rPr>
                <w:rFonts w:ascii="Arial" w:hAnsi="Arial" w:cs="Arial"/>
                <w:color w:val="000000"/>
                <w:szCs w:val="24"/>
              </w:rPr>
              <w:t>Donations Income Target transferred to Services</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6,820</w:t>
            </w: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bookmarkStart w:id="2" w:name="_GoBack" w:colFirst="2" w:colLast="2"/>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bookmarkEnd w:id="2"/>
      <w:tr w:rsidR="008A5A80" w:rsidRPr="008A5A80" w:rsidTr="00B45842">
        <w:trPr>
          <w:trHeight w:val="315"/>
        </w:trPr>
        <w:tc>
          <w:tcPr>
            <w:tcW w:w="327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Cs w:val="24"/>
              </w:rPr>
            </w:pPr>
            <w:r w:rsidRPr="008A5A80">
              <w:rPr>
                <w:rFonts w:ascii="Arial" w:hAnsi="Arial" w:cs="Arial"/>
                <w:b/>
                <w:bCs/>
                <w:color w:val="000000"/>
                <w:szCs w:val="24"/>
              </w:rPr>
              <w:t>SLA - Management fee</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35,537</w:t>
            </w: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35,537</w:t>
            </w:r>
          </w:p>
        </w:tc>
        <w:tc>
          <w:tcPr>
            <w:tcW w:w="12093" w:type="dxa"/>
            <w:gridSpan w:val="3"/>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 xml:space="preserve">Fee for </w:t>
            </w:r>
            <w:proofErr w:type="spellStart"/>
            <w:r w:rsidRPr="008A5A80">
              <w:rPr>
                <w:rFonts w:ascii="Arial" w:hAnsi="Arial" w:cs="Arial"/>
                <w:color w:val="000000"/>
                <w:szCs w:val="24"/>
              </w:rPr>
              <w:t>Bettyhill</w:t>
            </w:r>
            <w:proofErr w:type="spellEnd"/>
            <w:r w:rsidRPr="008A5A80">
              <w:rPr>
                <w:rFonts w:ascii="Arial" w:hAnsi="Arial" w:cs="Arial"/>
                <w:color w:val="000000"/>
                <w:szCs w:val="24"/>
              </w:rPr>
              <w:t xml:space="preserve"> / Broadford Service Points (transfer from Council )</w:t>
            </w:r>
          </w:p>
        </w:tc>
      </w:tr>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Cs w:val="24"/>
              </w:rPr>
            </w:pPr>
            <w:r w:rsidRPr="008A5A80">
              <w:rPr>
                <w:rFonts w:ascii="Arial" w:hAnsi="Arial" w:cs="Arial"/>
                <w:b/>
                <w:bCs/>
                <w:color w:val="000000"/>
                <w:szCs w:val="24"/>
              </w:rPr>
              <w:t>Facilities</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76,300</w:t>
            </w: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23,657</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IL to Budget Transfer to Management ( Insurance)</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(22,357)</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Aviemore Library Staff Costs transferred to Facilities</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75,000</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Donations Income Target Transferred from Management</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76,300</w:t>
            </w: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b/>
                <w:bCs/>
                <w:color w:val="000000"/>
                <w:szCs w:val="24"/>
              </w:rPr>
            </w:pPr>
            <w:r w:rsidRPr="008A5A80">
              <w:rPr>
                <w:rFonts w:ascii="Arial" w:hAnsi="Arial" w:cs="Arial"/>
                <w:b/>
                <w:bCs/>
                <w:color w:val="000000"/>
                <w:szCs w:val="24"/>
              </w:rPr>
              <w:t>Management</w:t>
            </w:r>
          </w:p>
        </w:tc>
        <w:tc>
          <w:tcPr>
            <w:tcW w:w="221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(90,667)</w:t>
            </w: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(23,657)</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IL Insurance Budget transferred to management</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szCs w:val="24"/>
              </w:rPr>
            </w:pPr>
            <w:r w:rsidRPr="008A5A80">
              <w:rPr>
                <w:rFonts w:ascii="Arial" w:hAnsi="Arial" w:cs="Arial"/>
                <w:szCs w:val="24"/>
              </w:rPr>
              <w:t>53,000</w:t>
            </w:r>
          </w:p>
        </w:tc>
        <w:tc>
          <w:tcPr>
            <w:tcW w:w="6761"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ESF Adjustment</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00"/>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(115,000)</w:t>
            </w:r>
          </w:p>
        </w:tc>
        <w:tc>
          <w:tcPr>
            <w:tcW w:w="11117" w:type="dxa"/>
            <w:gridSpan w:val="2"/>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Donations Income Target transferred to Services</w:t>
            </w: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nil"/>
              <w:left w:val="nil"/>
              <w:bottom w:val="nil"/>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FF0000"/>
                <w:szCs w:val="24"/>
              </w:rPr>
              <w:t>(5,010)</w:t>
            </w:r>
          </w:p>
        </w:tc>
        <w:tc>
          <w:tcPr>
            <w:tcW w:w="6761" w:type="dxa"/>
            <w:tcBorders>
              <w:top w:val="nil"/>
              <w:left w:val="nil"/>
              <w:bottom w:val="nil"/>
              <w:right w:val="nil"/>
            </w:tcBorders>
            <w:shd w:val="clear" w:color="auto" w:fill="auto"/>
            <w:noWrap/>
            <w:vAlign w:val="center"/>
            <w:hideMark/>
          </w:tcPr>
          <w:p w:rsidR="008A5A80" w:rsidRPr="008A5A80" w:rsidRDefault="008A5A80" w:rsidP="008A5A80">
            <w:pPr>
              <w:rPr>
                <w:rFonts w:ascii="Arial" w:hAnsi="Arial" w:cs="Arial"/>
                <w:color w:val="000000"/>
                <w:szCs w:val="24"/>
              </w:rPr>
            </w:pPr>
            <w:r w:rsidRPr="008A5A80">
              <w:rPr>
                <w:rFonts w:ascii="Arial" w:hAnsi="Arial" w:cs="Arial"/>
                <w:color w:val="000000"/>
                <w:szCs w:val="24"/>
              </w:rPr>
              <w:t>Miscellaneous</w:t>
            </w: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3056" w:type="dxa"/>
            <w:tcBorders>
              <w:top w:val="single" w:sz="8" w:space="0" w:color="auto"/>
              <w:left w:val="nil"/>
              <w:bottom w:val="double" w:sz="6" w:space="0" w:color="auto"/>
              <w:right w:val="nil"/>
            </w:tcBorders>
            <w:shd w:val="clear" w:color="auto" w:fill="auto"/>
            <w:noWrap/>
            <w:vAlign w:val="center"/>
            <w:hideMark/>
          </w:tcPr>
          <w:p w:rsidR="008A5A80" w:rsidRPr="008A5A80" w:rsidRDefault="008A5A80" w:rsidP="008A5A80">
            <w:pPr>
              <w:jc w:val="right"/>
              <w:rPr>
                <w:rFonts w:ascii="Arial" w:hAnsi="Arial" w:cs="Arial"/>
                <w:color w:val="000000"/>
                <w:szCs w:val="24"/>
              </w:rPr>
            </w:pPr>
            <w:r w:rsidRPr="008A5A80">
              <w:rPr>
                <w:rFonts w:ascii="Arial" w:hAnsi="Arial" w:cs="Arial"/>
                <w:color w:val="000000"/>
                <w:szCs w:val="24"/>
              </w:rPr>
              <w:t>90,667</w:t>
            </w: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color w:val="000000"/>
                <w:sz w:val="20"/>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r w:rsidR="008A5A80" w:rsidRPr="008A5A80" w:rsidTr="00B45842">
        <w:trPr>
          <w:trHeight w:val="315"/>
        </w:trPr>
        <w:tc>
          <w:tcPr>
            <w:tcW w:w="32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221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30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6761"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435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c>
          <w:tcPr>
            <w:tcW w:w="976" w:type="dxa"/>
            <w:tcBorders>
              <w:top w:val="nil"/>
              <w:left w:val="nil"/>
              <w:bottom w:val="nil"/>
              <w:right w:val="nil"/>
            </w:tcBorders>
            <w:shd w:val="clear" w:color="auto" w:fill="auto"/>
            <w:noWrap/>
            <w:vAlign w:val="bottom"/>
            <w:hideMark/>
          </w:tcPr>
          <w:p w:rsidR="008A5A80" w:rsidRPr="008A5A80" w:rsidRDefault="008A5A80" w:rsidP="008A5A80">
            <w:pPr>
              <w:rPr>
                <w:rFonts w:ascii="Calibri" w:hAnsi="Calibri"/>
                <w:color w:val="000000"/>
                <w:sz w:val="22"/>
                <w:szCs w:val="22"/>
              </w:rPr>
            </w:pPr>
          </w:p>
        </w:tc>
      </w:tr>
    </w:tbl>
    <w:p w:rsidR="00F04708" w:rsidRPr="00201710" w:rsidRDefault="00F04708" w:rsidP="00686F9F">
      <w:pPr>
        <w:rPr>
          <w:rFonts w:ascii="Arial" w:hAnsi="Arial" w:cs="Arial"/>
          <w:b/>
          <w:sz w:val="28"/>
          <w:szCs w:val="28"/>
        </w:rPr>
      </w:pPr>
    </w:p>
    <w:sectPr w:rsidR="00F04708" w:rsidRPr="00201710" w:rsidSect="00EF19DA">
      <w:pgSz w:w="16838" w:h="11906" w:orient="landscape" w:code="9"/>
      <w:pgMar w:top="992" w:right="992" w:bottom="992"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068" w:rsidRDefault="00280068">
      <w:r>
        <w:separator/>
      </w:r>
    </w:p>
  </w:endnote>
  <w:endnote w:type="continuationSeparator" w:id="0">
    <w:p w:rsidR="00280068" w:rsidRDefault="0028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068" w:rsidRDefault="00280068">
      <w:r>
        <w:separator/>
      </w:r>
    </w:p>
  </w:footnote>
  <w:footnote w:type="continuationSeparator" w:id="0">
    <w:p w:rsidR="00280068" w:rsidRDefault="0028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95F57"/>
    <w:multiLevelType w:val="hybridMultilevel"/>
    <w:tmpl w:val="A802FFE8"/>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93429C"/>
    <w:multiLevelType w:val="hybridMultilevel"/>
    <w:tmpl w:val="4216D7A2"/>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CF3B4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1B9670BC"/>
    <w:multiLevelType w:val="hybridMultilevel"/>
    <w:tmpl w:val="50505C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C715A80"/>
    <w:multiLevelType w:val="hybridMultilevel"/>
    <w:tmpl w:val="43601B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AA56ED"/>
    <w:multiLevelType w:val="hybridMultilevel"/>
    <w:tmpl w:val="383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37993"/>
    <w:multiLevelType w:val="hybridMultilevel"/>
    <w:tmpl w:val="87D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AB5F6B"/>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821E21"/>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3D2F1A"/>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8A0CD2"/>
    <w:multiLevelType w:val="hybridMultilevel"/>
    <w:tmpl w:val="BA4C8956"/>
    <w:lvl w:ilvl="0" w:tplc="F53816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C294455"/>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D355E"/>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C44059"/>
    <w:multiLevelType w:val="hybridMultilevel"/>
    <w:tmpl w:val="C39C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1F0635"/>
    <w:multiLevelType w:val="hybridMultilevel"/>
    <w:tmpl w:val="897E41C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nsid w:val="461F504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1C0C95"/>
    <w:multiLevelType w:val="hybridMultilevel"/>
    <w:tmpl w:val="CB3C34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D155A2B"/>
    <w:multiLevelType w:val="hybridMultilevel"/>
    <w:tmpl w:val="C04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56251B61"/>
    <w:multiLevelType w:val="hybridMultilevel"/>
    <w:tmpl w:val="3A9E3DD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465B73"/>
    <w:multiLevelType w:val="hybridMultilevel"/>
    <w:tmpl w:val="DFC082A4"/>
    <w:lvl w:ilvl="0" w:tplc="BF92CE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F4201D"/>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6E0E6E"/>
    <w:multiLevelType w:val="hybridMultilevel"/>
    <w:tmpl w:val="A3FA3590"/>
    <w:lvl w:ilvl="0" w:tplc="587CDE3A">
      <w:start w:val="1"/>
      <w:numFmt w:val="bullet"/>
      <w:lvlText w:val="•"/>
      <w:lvlJc w:val="left"/>
      <w:pPr>
        <w:tabs>
          <w:tab w:val="num" w:pos="720"/>
        </w:tabs>
        <w:ind w:left="720" w:hanging="360"/>
      </w:pPr>
      <w:rPr>
        <w:rFonts w:ascii="Arial" w:hAnsi="Arial" w:hint="default"/>
      </w:rPr>
    </w:lvl>
    <w:lvl w:ilvl="1" w:tplc="F1A6374C" w:tentative="1">
      <w:start w:val="1"/>
      <w:numFmt w:val="bullet"/>
      <w:lvlText w:val="•"/>
      <w:lvlJc w:val="left"/>
      <w:pPr>
        <w:tabs>
          <w:tab w:val="num" w:pos="1440"/>
        </w:tabs>
        <w:ind w:left="1440" w:hanging="360"/>
      </w:pPr>
      <w:rPr>
        <w:rFonts w:ascii="Arial" w:hAnsi="Arial" w:hint="default"/>
      </w:rPr>
    </w:lvl>
    <w:lvl w:ilvl="2" w:tplc="A8B016AA" w:tentative="1">
      <w:start w:val="1"/>
      <w:numFmt w:val="bullet"/>
      <w:lvlText w:val="•"/>
      <w:lvlJc w:val="left"/>
      <w:pPr>
        <w:tabs>
          <w:tab w:val="num" w:pos="2160"/>
        </w:tabs>
        <w:ind w:left="2160" w:hanging="360"/>
      </w:pPr>
      <w:rPr>
        <w:rFonts w:ascii="Arial" w:hAnsi="Arial" w:hint="default"/>
      </w:rPr>
    </w:lvl>
    <w:lvl w:ilvl="3" w:tplc="D676EC5C" w:tentative="1">
      <w:start w:val="1"/>
      <w:numFmt w:val="bullet"/>
      <w:lvlText w:val="•"/>
      <w:lvlJc w:val="left"/>
      <w:pPr>
        <w:tabs>
          <w:tab w:val="num" w:pos="2880"/>
        </w:tabs>
        <w:ind w:left="2880" w:hanging="360"/>
      </w:pPr>
      <w:rPr>
        <w:rFonts w:ascii="Arial" w:hAnsi="Arial" w:hint="default"/>
      </w:rPr>
    </w:lvl>
    <w:lvl w:ilvl="4" w:tplc="3F064E46" w:tentative="1">
      <w:start w:val="1"/>
      <w:numFmt w:val="bullet"/>
      <w:lvlText w:val="•"/>
      <w:lvlJc w:val="left"/>
      <w:pPr>
        <w:tabs>
          <w:tab w:val="num" w:pos="3600"/>
        </w:tabs>
        <w:ind w:left="3600" w:hanging="360"/>
      </w:pPr>
      <w:rPr>
        <w:rFonts w:ascii="Arial" w:hAnsi="Arial" w:hint="default"/>
      </w:rPr>
    </w:lvl>
    <w:lvl w:ilvl="5" w:tplc="26EA34CE" w:tentative="1">
      <w:start w:val="1"/>
      <w:numFmt w:val="bullet"/>
      <w:lvlText w:val="•"/>
      <w:lvlJc w:val="left"/>
      <w:pPr>
        <w:tabs>
          <w:tab w:val="num" w:pos="4320"/>
        </w:tabs>
        <w:ind w:left="4320" w:hanging="360"/>
      </w:pPr>
      <w:rPr>
        <w:rFonts w:ascii="Arial" w:hAnsi="Arial" w:hint="default"/>
      </w:rPr>
    </w:lvl>
    <w:lvl w:ilvl="6" w:tplc="49FA8C32" w:tentative="1">
      <w:start w:val="1"/>
      <w:numFmt w:val="bullet"/>
      <w:lvlText w:val="•"/>
      <w:lvlJc w:val="left"/>
      <w:pPr>
        <w:tabs>
          <w:tab w:val="num" w:pos="5040"/>
        </w:tabs>
        <w:ind w:left="5040" w:hanging="360"/>
      </w:pPr>
      <w:rPr>
        <w:rFonts w:ascii="Arial" w:hAnsi="Arial" w:hint="default"/>
      </w:rPr>
    </w:lvl>
    <w:lvl w:ilvl="7" w:tplc="ECE80ED4" w:tentative="1">
      <w:start w:val="1"/>
      <w:numFmt w:val="bullet"/>
      <w:lvlText w:val="•"/>
      <w:lvlJc w:val="left"/>
      <w:pPr>
        <w:tabs>
          <w:tab w:val="num" w:pos="5760"/>
        </w:tabs>
        <w:ind w:left="5760" w:hanging="360"/>
      </w:pPr>
      <w:rPr>
        <w:rFonts w:ascii="Arial" w:hAnsi="Arial" w:hint="default"/>
      </w:rPr>
    </w:lvl>
    <w:lvl w:ilvl="8" w:tplc="55D441B8" w:tentative="1">
      <w:start w:val="1"/>
      <w:numFmt w:val="bullet"/>
      <w:lvlText w:val="•"/>
      <w:lvlJc w:val="left"/>
      <w:pPr>
        <w:tabs>
          <w:tab w:val="num" w:pos="6480"/>
        </w:tabs>
        <w:ind w:left="6480" w:hanging="360"/>
      </w:pPr>
      <w:rPr>
        <w:rFonts w:ascii="Arial" w:hAnsi="Arial" w:hint="default"/>
      </w:rPr>
    </w:lvl>
  </w:abstractNum>
  <w:abstractNum w:abstractNumId="24">
    <w:nsid w:val="64084F0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973F7"/>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6978711F"/>
    <w:multiLevelType w:val="hybridMultilevel"/>
    <w:tmpl w:val="EFCAD098"/>
    <w:lvl w:ilvl="0" w:tplc="08EEF714">
      <w:start w:val="1"/>
      <w:numFmt w:val="bullet"/>
      <w:lvlText w:val="•"/>
      <w:lvlJc w:val="left"/>
      <w:pPr>
        <w:tabs>
          <w:tab w:val="num" w:pos="720"/>
        </w:tabs>
        <w:ind w:left="720" w:hanging="360"/>
      </w:pPr>
      <w:rPr>
        <w:rFonts w:ascii="Arial" w:hAnsi="Arial" w:hint="default"/>
      </w:rPr>
    </w:lvl>
    <w:lvl w:ilvl="1" w:tplc="7FB4C0C0" w:tentative="1">
      <w:start w:val="1"/>
      <w:numFmt w:val="bullet"/>
      <w:lvlText w:val="•"/>
      <w:lvlJc w:val="left"/>
      <w:pPr>
        <w:tabs>
          <w:tab w:val="num" w:pos="1440"/>
        </w:tabs>
        <w:ind w:left="1440" w:hanging="360"/>
      </w:pPr>
      <w:rPr>
        <w:rFonts w:ascii="Arial" w:hAnsi="Arial" w:hint="default"/>
      </w:rPr>
    </w:lvl>
    <w:lvl w:ilvl="2" w:tplc="0C28971C" w:tentative="1">
      <w:start w:val="1"/>
      <w:numFmt w:val="bullet"/>
      <w:lvlText w:val="•"/>
      <w:lvlJc w:val="left"/>
      <w:pPr>
        <w:tabs>
          <w:tab w:val="num" w:pos="2160"/>
        </w:tabs>
        <w:ind w:left="2160" w:hanging="360"/>
      </w:pPr>
      <w:rPr>
        <w:rFonts w:ascii="Arial" w:hAnsi="Arial" w:hint="default"/>
      </w:rPr>
    </w:lvl>
    <w:lvl w:ilvl="3" w:tplc="836C6192" w:tentative="1">
      <w:start w:val="1"/>
      <w:numFmt w:val="bullet"/>
      <w:lvlText w:val="•"/>
      <w:lvlJc w:val="left"/>
      <w:pPr>
        <w:tabs>
          <w:tab w:val="num" w:pos="2880"/>
        </w:tabs>
        <w:ind w:left="2880" w:hanging="360"/>
      </w:pPr>
      <w:rPr>
        <w:rFonts w:ascii="Arial" w:hAnsi="Arial" w:hint="default"/>
      </w:rPr>
    </w:lvl>
    <w:lvl w:ilvl="4" w:tplc="9280E2A4" w:tentative="1">
      <w:start w:val="1"/>
      <w:numFmt w:val="bullet"/>
      <w:lvlText w:val="•"/>
      <w:lvlJc w:val="left"/>
      <w:pPr>
        <w:tabs>
          <w:tab w:val="num" w:pos="3600"/>
        </w:tabs>
        <w:ind w:left="3600" w:hanging="360"/>
      </w:pPr>
      <w:rPr>
        <w:rFonts w:ascii="Arial" w:hAnsi="Arial" w:hint="default"/>
      </w:rPr>
    </w:lvl>
    <w:lvl w:ilvl="5" w:tplc="5570FA46" w:tentative="1">
      <w:start w:val="1"/>
      <w:numFmt w:val="bullet"/>
      <w:lvlText w:val="•"/>
      <w:lvlJc w:val="left"/>
      <w:pPr>
        <w:tabs>
          <w:tab w:val="num" w:pos="4320"/>
        </w:tabs>
        <w:ind w:left="4320" w:hanging="360"/>
      </w:pPr>
      <w:rPr>
        <w:rFonts w:ascii="Arial" w:hAnsi="Arial" w:hint="default"/>
      </w:rPr>
    </w:lvl>
    <w:lvl w:ilvl="6" w:tplc="19261CF8" w:tentative="1">
      <w:start w:val="1"/>
      <w:numFmt w:val="bullet"/>
      <w:lvlText w:val="•"/>
      <w:lvlJc w:val="left"/>
      <w:pPr>
        <w:tabs>
          <w:tab w:val="num" w:pos="5040"/>
        </w:tabs>
        <w:ind w:left="5040" w:hanging="360"/>
      </w:pPr>
      <w:rPr>
        <w:rFonts w:ascii="Arial" w:hAnsi="Arial" w:hint="default"/>
      </w:rPr>
    </w:lvl>
    <w:lvl w:ilvl="7" w:tplc="DF6E1564" w:tentative="1">
      <w:start w:val="1"/>
      <w:numFmt w:val="bullet"/>
      <w:lvlText w:val="•"/>
      <w:lvlJc w:val="left"/>
      <w:pPr>
        <w:tabs>
          <w:tab w:val="num" w:pos="5760"/>
        </w:tabs>
        <w:ind w:left="5760" w:hanging="360"/>
      </w:pPr>
      <w:rPr>
        <w:rFonts w:ascii="Arial" w:hAnsi="Arial" w:hint="default"/>
      </w:rPr>
    </w:lvl>
    <w:lvl w:ilvl="8" w:tplc="EBBAD7F4" w:tentative="1">
      <w:start w:val="1"/>
      <w:numFmt w:val="bullet"/>
      <w:lvlText w:val="•"/>
      <w:lvlJc w:val="left"/>
      <w:pPr>
        <w:tabs>
          <w:tab w:val="num" w:pos="6480"/>
        </w:tabs>
        <w:ind w:left="6480" w:hanging="360"/>
      </w:pPr>
      <w:rPr>
        <w:rFonts w:ascii="Arial" w:hAnsi="Arial" w:hint="default"/>
      </w:rPr>
    </w:lvl>
  </w:abstractNum>
  <w:abstractNum w:abstractNumId="28">
    <w:nsid w:val="6B781BD7"/>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96539C"/>
    <w:multiLevelType w:val="hybridMultilevel"/>
    <w:tmpl w:val="AE9A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10063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974C84"/>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31"/>
  </w:num>
  <w:num w:numId="2">
    <w:abstractNumId w:val="26"/>
  </w:num>
  <w:num w:numId="3">
    <w:abstractNumId w:val="17"/>
  </w:num>
  <w:num w:numId="4">
    <w:abstractNumId w:val="19"/>
  </w:num>
  <w:num w:numId="5">
    <w:abstractNumId w:val="2"/>
  </w:num>
  <w:num w:numId="6">
    <w:abstractNumId w:val="33"/>
  </w:num>
  <w:num w:numId="7">
    <w:abstractNumId w:val="18"/>
  </w:num>
  <w:num w:numId="8">
    <w:abstractNumId w:val="21"/>
  </w:num>
  <w:num w:numId="9">
    <w:abstractNumId w:val="3"/>
  </w:num>
  <w:num w:numId="10">
    <w:abstractNumId w:val="4"/>
  </w:num>
  <w:num w:numId="11">
    <w:abstractNumId w:val="1"/>
  </w:num>
  <w:num w:numId="12">
    <w:abstractNumId w:val="6"/>
  </w:num>
  <w:num w:numId="13">
    <w:abstractNumId w:val="29"/>
  </w:num>
  <w:num w:numId="14">
    <w:abstractNumId w:val="7"/>
  </w:num>
  <w:num w:numId="15">
    <w:abstractNumId w:val="23"/>
  </w:num>
  <w:num w:numId="16">
    <w:abstractNumId w:val="27"/>
  </w:num>
  <w:num w:numId="17">
    <w:abstractNumId w:val="11"/>
  </w:num>
  <w:num w:numId="18">
    <w:abstractNumId w:val="14"/>
  </w:num>
  <w:num w:numId="19">
    <w:abstractNumId w:val="22"/>
  </w:num>
  <w:num w:numId="20">
    <w:abstractNumId w:val="20"/>
  </w:num>
  <w:num w:numId="21">
    <w:abstractNumId w:val="12"/>
  </w:num>
  <w:num w:numId="22">
    <w:abstractNumId w:val="25"/>
  </w:num>
  <w:num w:numId="23">
    <w:abstractNumId w:val="28"/>
  </w:num>
  <w:num w:numId="24">
    <w:abstractNumId w:val="8"/>
  </w:num>
  <w:num w:numId="25">
    <w:abstractNumId w:val="32"/>
  </w:num>
  <w:num w:numId="26">
    <w:abstractNumId w:val="16"/>
  </w:num>
  <w:num w:numId="27">
    <w:abstractNumId w:val="15"/>
  </w:num>
  <w:num w:numId="28">
    <w:abstractNumId w:val="9"/>
  </w:num>
  <w:num w:numId="29">
    <w:abstractNumId w:val="13"/>
  </w:num>
  <w:num w:numId="30">
    <w:abstractNumId w:val="10"/>
  </w:num>
  <w:num w:numId="31">
    <w:abstractNumId w:val="24"/>
  </w:num>
  <w:num w:numId="32">
    <w:abstractNumId w:val="5"/>
  </w:num>
  <w:num w:numId="33">
    <w:abstractNumId w:val="30"/>
  </w:num>
  <w:num w:numId="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445B"/>
    <w:rsid w:val="000261C0"/>
    <w:rsid w:val="00031D1E"/>
    <w:rsid w:val="0005207E"/>
    <w:rsid w:val="00054DE1"/>
    <w:rsid w:val="000551EE"/>
    <w:rsid w:val="000757C8"/>
    <w:rsid w:val="00096240"/>
    <w:rsid w:val="000B0A7F"/>
    <w:rsid w:val="000D0878"/>
    <w:rsid w:val="000D70EE"/>
    <w:rsid w:val="000E4637"/>
    <w:rsid w:val="000F2276"/>
    <w:rsid w:val="000F274B"/>
    <w:rsid w:val="000F29AC"/>
    <w:rsid w:val="000F6071"/>
    <w:rsid w:val="00102BA1"/>
    <w:rsid w:val="00104179"/>
    <w:rsid w:val="0010458D"/>
    <w:rsid w:val="001072B4"/>
    <w:rsid w:val="00116476"/>
    <w:rsid w:val="00125239"/>
    <w:rsid w:val="00131281"/>
    <w:rsid w:val="00135749"/>
    <w:rsid w:val="00137D7A"/>
    <w:rsid w:val="00143618"/>
    <w:rsid w:val="00144B3B"/>
    <w:rsid w:val="001575A7"/>
    <w:rsid w:val="001641A6"/>
    <w:rsid w:val="00167E3E"/>
    <w:rsid w:val="001766FB"/>
    <w:rsid w:val="00186D8B"/>
    <w:rsid w:val="001A356D"/>
    <w:rsid w:val="001B4B03"/>
    <w:rsid w:val="001B7F3F"/>
    <w:rsid w:val="001C4993"/>
    <w:rsid w:val="001C4B5C"/>
    <w:rsid w:val="001D1D38"/>
    <w:rsid w:val="001D3067"/>
    <w:rsid w:val="001D5EE7"/>
    <w:rsid w:val="001E4086"/>
    <w:rsid w:val="001E6629"/>
    <w:rsid w:val="001F1ECE"/>
    <w:rsid w:val="001F5FF5"/>
    <w:rsid w:val="00201710"/>
    <w:rsid w:val="00216B0B"/>
    <w:rsid w:val="00226235"/>
    <w:rsid w:val="00226B15"/>
    <w:rsid w:val="00227B07"/>
    <w:rsid w:val="0023686E"/>
    <w:rsid w:val="0024004B"/>
    <w:rsid w:val="0024242C"/>
    <w:rsid w:val="00255FAF"/>
    <w:rsid w:val="00274BCC"/>
    <w:rsid w:val="00280068"/>
    <w:rsid w:val="00281BD6"/>
    <w:rsid w:val="00283C8A"/>
    <w:rsid w:val="00290EB5"/>
    <w:rsid w:val="00291E51"/>
    <w:rsid w:val="0029314E"/>
    <w:rsid w:val="002A050E"/>
    <w:rsid w:val="002A21D3"/>
    <w:rsid w:val="002A660A"/>
    <w:rsid w:val="002B078E"/>
    <w:rsid w:val="002B567A"/>
    <w:rsid w:val="002B7DC4"/>
    <w:rsid w:val="002C5CF0"/>
    <w:rsid w:val="002D16F2"/>
    <w:rsid w:val="002D76CB"/>
    <w:rsid w:val="002D7E65"/>
    <w:rsid w:val="003105C9"/>
    <w:rsid w:val="00311342"/>
    <w:rsid w:val="00312F45"/>
    <w:rsid w:val="00315D04"/>
    <w:rsid w:val="0031751B"/>
    <w:rsid w:val="0032499A"/>
    <w:rsid w:val="00326648"/>
    <w:rsid w:val="003341BE"/>
    <w:rsid w:val="0033499A"/>
    <w:rsid w:val="0034407D"/>
    <w:rsid w:val="00345B42"/>
    <w:rsid w:val="00346D32"/>
    <w:rsid w:val="00350BC6"/>
    <w:rsid w:val="00351BDC"/>
    <w:rsid w:val="00356332"/>
    <w:rsid w:val="00356B53"/>
    <w:rsid w:val="00373946"/>
    <w:rsid w:val="00380CBD"/>
    <w:rsid w:val="00383762"/>
    <w:rsid w:val="003924C9"/>
    <w:rsid w:val="0039450A"/>
    <w:rsid w:val="003A269D"/>
    <w:rsid w:val="003A6965"/>
    <w:rsid w:val="003B0964"/>
    <w:rsid w:val="003B450B"/>
    <w:rsid w:val="003D2A83"/>
    <w:rsid w:val="003D4E84"/>
    <w:rsid w:val="003D57C3"/>
    <w:rsid w:val="003D776A"/>
    <w:rsid w:val="003E6B08"/>
    <w:rsid w:val="0040230A"/>
    <w:rsid w:val="00402985"/>
    <w:rsid w:val="00411F29"/>
    <w:rsid w:val="00414B67"/>
    <w:rsid w:val="00416BFF"/>
    <w:rsid w:val="00420554"/>
    <w:rsid w:val="004264D6"/>
    <w:rsid w:val="004353F3"/>
    <w:rsid w:val="0043645F"/>
    <w:rsid w:val="00437756"/>
    <w:rsid w:val="004402AB"/>
    <w:rsid w:val="00445D1F"/>
    <w:rsid w:val="0046574A"/>
    <w:rsid w:val="00472040"/>
    <w:rsid w:val="004749D1"/>
    <w:rsid w:val="004829CD"/>
    <w:rsid w:val="00485C73"/>
    <w:rsid w:val="004A13CB"/>
    <w:rsid w:val="004B3658"/>
    <w:rsid w:val="004C0A19"/>
    <w:rsid w:val="004D3C32"/>
    <w:rsid w:val="004E2042"/>
    <w:rsid w:val="004F0001"/>
    <w:rsid w:val="004F0983"/>
    <w:rsid w:val="004F4D60"/>
    <w:rsid w:val="004F6740"/>
    <w:rsid w:val="00504936"/>
    <w:rsid w:val="00532972"/>
    <w:rsid w:val="00540480"/>
    <w:rsid w:val="00541767"/>
    <w:rsid w:val="00542E12"/>
    <w:rsid w:val="005458DE"/>
    <w:rsid w:val="00554631"/>
    <w:rsid w:val="00561999"/>
    <w:rsid w:val="00562183"/>
    <w:rsid w:val="00562EB1"/>
    <w:rsid w:val="00570528"/>
    <w:rsid w:val="00576020"/>
    <w:rsid w:val="00581415"/>
    <w:rsid w:val="00590256"/>
    <w:rsid w:val="00590C36"/>
    <w:rsid w:val="0059426B"/>
    <w:rsid w:val="00597AF6"/>
    <w:rsid w:val="005A19A5"/>
    <w:rsid w:val="005A3624"/>
    <w:rsid w:val="005A64AF"/>
    <w:rsid w:val="005B050B"/>
    <w:rsid w:val="005C11FC"/>
    <w:rsid w:val="005D09D1"/>
    <w:rsid w:val="005E23D5"/>
    <w:rsid w:val="005E693A"/>
    <w:rsid w:val="005F73D9"/>
    <w:rsid w:val="0061518E"/>
    <w:rsid w:val="006306AD"/>
    <w:rsid w:val="006342FC"/>
    <w:rsid w:val="0063477B"/>
    <w:rsid w:val="00635750"/>
    <w:rsid w:val="00642DF4"/>
    <w:rsid w:val="00646F67"/>
    <w:rsid w:val="00655F80"/>
    <w:rsid w:val="00663093"/>
    <w:rsid w:val="00664A83"/>
    <w:rsid w:val="0067538A"/>
    <w:rsid w:val="006753D0"/>
    <w:rsid w:val="0067745D"/>
    <w:rsid w:val="00686F9F"/>
    <w:rsid w:val="0069001D"/>
    <w:rsid w:val="006909C6"/>
    <w:rsid w:val="0069681F"/>
    <w:rsid w:val="006A137F"/>
    <w:rsid w:val="006B6192"/>
    <w:rsid w:val="006C287F"/>
    <w:rsid w:val="006D0028"/>
    <w:rsid w:val="006D29ED"/>
    <w:rsid w:val="006D4204"/>
    <w:rsid w:val="006E348F"/>
    <w:rsid w:val="006F7CC2"/>
    <w:rsid w:val="0070225D"/>
    <w:rsid w:val="00707C87"/>
    <w:rsid w:val="007118F2"/>
    <w:rsid w:val="007152A1"/>
    <w:rsid w:val="007161EF"/>
    <w:rsid w:val="00716DD2"/>
    <w:rsid w:val="007214D1"/>
    <w:rsid w:val="007273AE"/>
    <w:rsid w:val="0074360E"/>
    <w:rsid w:val="00755B8E"/>
    <w:rsid w:val="00757433"/>
    <w:rsid w:val="00764050"/>
    <w:rsid w:val="007723DB"/>
    <w:rsid w:val="00773952"/>
    <w:rsid w:val="00774ABC"/>
    <w:rsid w:val="00776884"/>
    <w:rsid w:val="00777921"/>
    <w:rsid w:val="007A2BD4"/>
    <w:rsid w:val="007A353F"/>
    <w:rsid w:val="007D3CAA"/>
    <w:rsid w:val="007D52F9"/>
    <w:rsid w:val="007E2203"/>
    <w:rsid w:val="007E4E27"/>
    <w:rsid w:val="007F31EC"/>
    <w:rsid w:val="00800D2C"/>
    <w:rsid w:val="008035C2"/>
    <w:rsid w:val="0081070E"/>
    <w:rsid w:val="00811A6F"/>
    <w:rsid w:val="008173B1"/>
    <w:rsid w:val="00817421"/>
    <w:rsid w:val="00824F07"/>
    <w:rsid w:val="008257AD"/>
    <w:rsid w:val="00825FD9"/>
    <w:rsid w:val="0083012E"/>
    <w:rsid w:val="008301D0"/>
    <w:rsid w:val="00831A88"/>
    <w:rsid w:val="0083625F"/>
    <w:rsid w:val="0084154D"/>
    <w:rsid w:val="00846D14"/>
    <w:rsid w:val="00861ABD"/>
    <w:rsid w:val="0087113C"/>
    <w:rsid w:val="0089449E"/>
    <w:rsid w:val="008A058F"/>
    <w:rsid w:val="008A1F14"/>
    <w:rsid w:val="008A3353"/>
    <w:rsid w:val="008A5A80"/>
    <w:rsid w:val="008A685F"/>
    <w:rsid w:val="008B4D54"/>
    <w:rsid w:val="008B7A0C"/>
    <w:rsid w:val="008C5158"/>
    <w:rsid w:val="008D53BA"/>
    <w:rsid w:val="008E6DEF"/>
    <w:rsid w:val="008F5A22"/>
    <w:rsid w:val="00905B0C"/>
    <w:rsid w:val="009060C3"/>
    <w:rsid w:val="00915A05"/>
    <w:rsid w:val="009361C3"/>
    <w:rsid w:val="00937BFB"/>
    <w:rsid w:val="0094048F"/>
    <w:rsid w:val="00940C80"/>
    <w:rsid w:val="00952DDB"/>
    <w:rsid w:val="009663B6"/>
    <w:rsid w:val="0097099E"/>
    <w:rsid w:val="00981955"/>
    <w:rsid w:val="00982461"/>
    <w:rsid w:val="00997DBB"/>
    <w:rsid w:val="009A5D16"/>
    <w:rsid w:val="009B0904"/>
    <w:rsid w:val="009B223B"/>
    <w:rsid w:val="009C61CE"/>
    <w:rsid w:val="009D1CEF"/>
    <w:rsid w:val="009D3BFC"/>
    <w:rsid w:val="009E3DB8"/>
    <w:rsid w:val="009E6856"/>
    <w:rsid w:val="009F701B"/>
    <w:rsid w:val="00A04E17"/>
    <w:rsid w:val="00A122DA"/>
    <w:rsid w:val="00A26CE5"/>
    <w:rsid w:val="00A332F9"/>
    <w:rsid w:val="00A3726F"/>
    <w:rsid w:val="00A37942"/>
    <w:rsid w:val="00A40F8E"/>
    <w:rsid w:val="00A43167"/>
    <w:rsid w:val="00A47A09"/>
    <w:rsid w:val="00A53534"/>
    <w:rsid w:val="00A57DCC"/>
    <w:rsid w:val="00A57EC6"/>
    <w:rsid w:val="00A6213E"/>
    <w:rsid w:val="00A8159A"/>
    <w:rsid w:val="00A90002"/>
    <w:rsid w:val="00A95BB7"/>
    <w:rsid w:val="00AA1CCB"/>
    <w:rsid w:val="00AA2492"/>
    <w:rsid w:val="00AA54D9"/>
    <w:rsid w:val="00AC146F"/>
    <w:rsid w:val="00AD0502"/>
    <w:rsid w:val="00AD0CDF"/>
    <w:rsid w:val="00AD0D67"/>
    <w:rsid w:val="00AD129D"/>
    <w:rsid w:val="00AE62F7"/>
    <w:rsid w:val="00AF02B6"/>
    <w:rsid w:val="00AF7FD6"/>
    <w:rsid w:val="00B0145D"/>
    <w:rsid w:val="00B06EDD"/>
    <w:rsid w:val="00B074BD"/>
    <w:rsid w:val="00B12596"/>
    <w:rsid w:val="00B40A81"/>
    <w:rsid w:val="00B410B3"/>
    <w:rsid w:val="00B437C8"/>
    <w:rsid w:val="00B43C0F"/>
    <w:rsid w:val="00B4511E"/>
    <w:rsid w:val="00B45842"/>
    <w:rsid w:val="00B4768B"/>
    <w:rsid w:val="00B50A8C"/>
    <w:rsid w:val="00B52BA6"/>
    <w:rsid w:val="00B56CDC"/>
    <w:rsid w:val="00B65EFA"/>
    <w:rsid w:val="00B65F30"/>
    <w:rsid w:val="00B705B3"/>
    <w:rsid w:val="00B71D3A"/>
    <w:rsid w:val="00B71E7C"/>
    <w:rsid w:val="00B76551"/>
    <w:rsid w:val="00B84929"/>
    <w:rsid w:val="00B9658E"/>
    <w:rsid w:val="00BB1FEA"/>
    <w:rsid w:val="00BB271A"/>
    <w:rsid w:val="00BB4A08"/>
    <w:rsid w:val="00BC1EA8"/>
    <w:rsid w:val="00BD07BA"/>
    <w:rsid w:val="00BD357C"/>
    <w:rsid w:val="00BD6973"/>
    <w:rsid w:val="00BF6128"/>
    <w:rsid w:val="00C029AC"/>
    <w:rsid w:val="00C17981"/>
    <w:rsid w:val="00C22F15"/>
    <w:rsid w:val="00C23166"/>
    <w:rsid w:val="00C234B4"/>
    <w:rsid w:val="00C343AE"/>
    <w:rsid w:val="00C43EA6"/>
    <w:rsid w:val="00C443BA"/>
    <w:rsid w:val="00C51396"/>
    <w:rsid w:val="00C51930"/>
    <w:rsid w:val="00C533AA"/>
    <w:rsid w:val="00C65D64"/>
    <w:rsid w:val="00C73DE0"/>
    <w:rsid w:val="00C75BFB"/>
    <w:rsid w:val="00C8005D"/>
    <w:rsid w:val="00C832DB"/>
    <w:rsid w:val="00C92F7F"/>
    <w:rsid w:val="00C965A1"/>
    <w:rsid w:val="00C97A35"/>
    <w:rsid w:val="00CA48CC"/>
    <w:rsid w:val="00CA7682"/>
    <w:rsid w:val="00CB21D1"/>
    <w:rsid w:val="00CB55D1"/>
    <w:rsid w:val="00CB63C6"/>
    <w:rsid w:val="00CD28C3"/>
    <w:rsid w:val="00CD4E51"/>
    <w:rsid w:val="00CE1288"/>
    <w:rsid w:val="00CE3569"/>
    <w:rsid w:val="00CE375E"/>
    <w:rsid w:val="00CE4D7F"/>
    <w:rsid w:val="00CF10FD"/>
    <w:rsid w:val="00CF250B"/>
    <w:rsid w:val="00D15130"/>
    <w:rsid w:val="00D35C5C"/>
    <w:rsid w:val="00D54220"/>
    <w:rsid w:val="00D57CDF"/>
    <w:rsid w:val="00D658D1"/>
    <w:rsid w:val="00D72885"/>
    <w:rsid w:val="00D72D2F"/>
    <w:rsid w:val="00D76EA7"/>
    <w:rsid w:val="00D842DB"/>
    <w:rsid w:val="00D91DC8"/>
    <w:rsid w:val="00D92939"/>
    <w:rsid w:val="00DA76B5"/>
    <w:rsid w:val="00DB3601"/>
    <w:rsid w:val="00DC4F28"/>
    <w:rsid w:val="00DD646D"/>
    <w:rsid w:val="00DD6E3A"/>
    <w:rsid w:val="00DE1E6C"/>
    <w:rsid w:val="00DE3803"/>
    <w:rsid w:val="00DE5F32"/>
    <w:rsid w:val="00DE661F"/>
    <w:rsid w:val="00DE7361"/>
    <w:rsid w:val="00DE7C73"/>
    <w:rsid w:val="00E2541B"/>
    <w:rsid w:val="00E25D85"/>
    <w:rsid w:val="00E345B1"/>
    <w:rsid w:val="00E36F6C"/>
    <w:rsid w:val="00E41E4E"/>
    <w:rsid w:val="00E52429"/>
    <w:rsid w:val="00E61075"/>
    <w:rsid w:val="00E61416"/>
    <w:rsid w:val="00E6170C"/>
    <w:rsid w:val="00E7529E"/>
    <w:rsid w:val="00E76D4F"/>
    <w:rsid w:val="00E812AE"/>
    <w:rsid w:val="00E82BE9"/>
    <w:rsid w:val="00E841CF"/>
    <w:rsid w:val="00EA48CA"/>
    <w:rsid w:val="00EA70C6"/>
    <w:rsid w:val="00EB47AD"/>
    <w:rsid w:val="00EC352D"/>
    <w:rsid w:val="00EC455A"/>
    <w:rsid w:val="00EE431A"/>
    <w:rsid w:val="00EE4D04"/>
    <w:rsid w:val="00EE6C0C"/>
    <w:rsid w:val="00EF19DA"/>
    <w:rsid w:val="00EF519D"/>
    <w:rsid w:val="00F02B5D"/>
    <w:rsid w:val="00F04708"/>
    <w:rsid w:val="00F067E4"/>
    <w:rsid w:val="00F070CF"/>
    <w:rsid w:val="00F12AD6"/>
    <w:rsid w:val="00F13F0F"/>
    <w:rsid w:val="00F2002B"/>
    <w:rsid w:val="00F222EC"/>
    <w:rsid w:val="00F22C6B"/>
    <w:rsid w:val="00F316BC"/>
    <w:rsid w:val="00F32670"/>
    <w:rsid w:val="00F41E17"/>
    <w:rsid w:val="00F555A2"/>
    <w:rsid w:val="00F66E63"/>
    <w:rsid w:val="00F778E4"/>
    <w:rsid w:val="00F77C28"/>
    <w:rsid w:val="00FA053D"/>
    <w:rsid w:val="00FA5BC7"/>
    <w:rsid w:val="00FA7E93"/>
    <w:rsid w:val="00FB11B3"/>
    <w:rsid w:val="00FB408D"/>
    <w:rsid w:val="00FB7E98"/>
    <w:rsid w:val="00FC5923"/>
    <w:rsid w:val="00FD3F7E"/>
    <w:rsid w:val="00FE4736"/>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45245038">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26190575">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00499965">
      <w:bodyDiv w:val="1"/>
      <w:marLeft w:val="0"/>
      <w:marRight w:val="0"/>
      <w:marTop w:val="0"/>
      <w:marBottom w:val="0"/>
      <w:divBdr>
        <w:top w:val="none" w:sz="0" w:space="0" w:color="auto"/>
        <w:left w:val="none" w:sz="0" w:space="0" w:color="auto"/>
        <w:bottom w:val="none" w:sz="0" w:space="0" w:color="auto"/>
        <w:right w:val="none" w:sz="0" w:space="0" w:color="auto"/>
      </w:divBdr>
    </w:div>
    <w:div w:id="309017030">
      <w:bodyDiv w:val="1"/>
      <w:marLeft w:val="0"/>
      <w:marRight w:val="0"/>
      <w:marTop w:val="0"/>
      <w:marBottom w:val="0"/>
      <w:divBdr>
        <w:top w:val="none" w:sz="0" w:space="0" w:color="auto"/>
        <w:left w:val="none" w:sz="0" w:space="0" w:color="auto"/>
        <w:bottom w:val="none" w:sz="0" w:space="0" w:color="auto"/>
        <w:right w:val="none" w:sz="0" w:space="0" w:color="auto"/>
      </w:divBdr>
    </w:div>
    <w:div w:id="320012386">
      <w:bodyDiv w:val="1"/>
      <w:marLeft w:val="0"/>
      <w:marRight w:val="0"/>
      <w:marTop w:val="0"/>
      <w:marBottom w:val="0"/>
      <w:divBdr>
        <w:top w:val="none" w:sz="0" w:space="0" w:color="auto"/>
        <w:left w:val="none" w:sz="0" w:space="0" w:color="auto"/>
        <w:bottom w:val="none" w:sz="0" w:space="0" w:color="auto"/>
        <w:right w:val="none" w:sz="0" w:space="0" w:color="auto"/>
      </w:divBdr>
    </w:div>
    <w:div w:id="332605641">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7430718">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43106814">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58656845">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71167131">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788546677">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38759144">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370521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4974342">
      <w:bodyDiv w:val="1"/>
      <w:marLeft w:val="0"/>
      <w:marRight w:val="0"/>
      <w:marTop w:val="0"/>
      <w:marBottom w:val="0"/>
      <w:divBdr>
        <w:top w:val="none" w:sz="0" w:space="0" w:color="auto"/>
        <w:left w:val="none" w:sz="0" w:space="0" w:color="auto"/>
        <w:bottom w:val="none" w:sz="0" w:space="0" w:color="auto"/>
        <w:right w:val="none" w:sz="0" w:space="0" w:color="auto"/>
      </w:divBdr>
    </w:div>
    <w:div w:id="1275282819">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4701138">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66366267">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18408110">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44112972">
      <w:bodyDiv w:val="1"/>
      <w:marLeft w:val="0"/>
      <w:marRight w:val="0"/>
      <w:marTop w:val="0"/>
      <w:marBottom w:val="0"/>
      <w:divBdr>
        <w:top w:val="none" w:sz="0" w:space="0" w:color="auto"/>
        <w:left w:val="none" w:sz="0" w:space="0" w:color="auto"/>
        <w:bottom w:val="none" w:sz="0" w:space="0" w:color="auto"/>
        <w:right w:val="none" w:sz="0" w:space="0" w:color="auto"/>
      </w:divBdr>
    </w:div>
    <w:div w:id="1452088702">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5221703">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8903649">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80042875">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2487602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14259961">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40351849">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39375807">
      <w:bodyDiv w:val="1"/>
      <w:marLeft w:val="0"/>
      <w:marRight w:val="0"/>
      <w:marTop w:val="0"/>
      <w:marBottom w:val="0"/>
      <w:divBdr>
        <w:top w:val="none" w:sz="0" w:space="0" w:color="auto"/>
        <w:left w:val="none" w:sz="0" w:space="0" w:color="auto"/>
        <w:bottom w:val="none" w:sz="0" w:space="0" w:color="auto"/>
        <w:right w:val="none" w:sz="0" w:space="0" w:color="auto"/>
      </w:divBdr>
    </w:div>
    <w:div w:id="21445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7C96-FF61-4FAD-9C99-C999A5F4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Pages>
  <Words>1808</Words>
  <Characters>10684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29</cp:revision>
  <cp:lastPrinted>2016-06-02T14:48:00Z</cp:lastPrinted>
  <dcterms:created xsi:type="dcterms:W3CDTF">2016-03-14T11:30:00Z</dcterms:created>
  <dcterms:modified xsi:type="dcterms:W3CDTF">2016-06-06T12:17:00Z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-291895268</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