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4" w:type="dxa"/>
        <w:tblLayout w:type="fixed"/>
        <w:tblLook w:val="0000" w:firstRow="0" w:lastRow="0" w:firstColumn="0" w:lastColumn="0" w:noHBand="0" w:noVBand="0"/>
      </w:tblPr>
      <w:tblGrid>
        <w:gridCol w:w="6204"/>
        <w:gridCol w:w="3260"/>
      </w:tblGrid>
      <w:tr w:rsidR="00B84929" w:rsidRPr="0089449E" w:rsidTr="00B76551">
        <w:trPr>
          <w:cantSplit/>
          <w:trHeight w:val="993"/>
        </w:trPr>
        <w:tc>
          <w:tcPr>
            <w:tcW w:w="6204" w:type="dxa"/>
          </w:tcPr>
          <w:p w:rsidR="00DE1E6C" w:rsidRPr="0089449E" w:rsidRDefault="00B84929" w:rsidP="002B7DC4">
            <w:pPr>
              <w:pStyle w:val="BodyText"/>
              <w:jc w:val="left"/>
              <w:rPr>
                <w:rFonts w:ascii="Arial" w:hAnsi="Arial" w:cs="Arial"/>
                <w:szCs w:val="24"/>
              </w:rPr>
            </w:pPr>
            <w:r w:rsidRPr="0089449E">
              <w:rPr>
                <w:rFonts w:ascii="Arial" w:hAnsi="Arial" w:cs="Arial"/>
                <w:szCs w:val="24"/>
              </w:rPr>
              <w:t xml:space="preserve">HIGH LIFE HIGHLAND </w:t>
            </w:r>
          </w:p>
          <w:p w:rsidR="002B7DC4" w:rsidRPr="0089449E" w:rsidRDefault="00DE1E6C" w:rsidP="002B7DC4">
            <w:pPr>
              <w:pStyle w:val="BodyText"/>
              <w:jc w:val="left"/>
              <w:rPr>
                <w:rFonts w:ascii="Arial" w:hAnsi="Arial" w:cs="Arial"/>
                <w:szCs w:val="24"/>
              </w:rPr>
            </w:pPr>
            <w:r w:rsidRPr="0089449E">
              <w:rPr>
                <w:rFonts w:ascii="Arial" w:hAnsi="Arial" w:cs="Arial"/>
                <w:szCs w:val="24"/>
              </w:rPr>
              <w:t>REPORT TO BOARD OF DIRECTORS</w:t>
            </w:r>
          </w:p>
          <w:p w:rsidR="002B7DC4" w:rsidRPr="0089449E" w:rsidRDefault="003823A3" w:rsidP="002B7DC4">
            <w:pPr>
              <w:pStyle w:val="BodyText"/>
              <w:jc w:val="left"/>
              <w:rPr>
                <w:rFonts w:ascii="Arial" w:hAnsi="Arial" w:cs="Arial"/>
                <w:szCs w:val="24"/>
              </w:rPr>
            </w:pPr>
            <w:r>
              <w:rPr>
                <w:rFonts w:ascii="Arial" w:hAnsi="Arial" w:cs="Arial"/>
                <w:szCs w:val="24"/>
              </w:rPr>
              <w:t>4 September</w:t>
            </w:r>
            <w:r w:rsidR="007D22CE">
              <w:rPr>
                <w:rFonts w:ascii="Arial" w:hAnsi="Arial" w:cs="Arial"/>
                <w:szCs w:val="24"/>
              </w:rPr>
              <w:t xml:space="preserve"> 2</w:t>
            </w:r>
            <w:r w:rsidR="00BC1EA8">
              <w:rPr>
                <w:rFonts w:ascii="Arial" w:hAnsi="Arial" w:cs="Arial"/>
                <w:szCs w:val="24"/>
              </w:rPr>
              <w:t>01</w:t>
            </w:r>
            <w:r w:rsidR="005256D7">
              <w:rPr>
                <w:rFonts w:ascii="Arial" w:hAnsi="Arial" w:cs="Arial"/>
                <w:szCs w:val="24"/>
              </w:rPr>
              <w:t>8</w:t>
            </w:r>
          </w:p>
          <w:bookmarkStart w:id="0" w:name="_GoBack"/>
          <w:bookmarkEnd w:id="0"/>
          <w:p w:rsidR="00B84929" w:rsidRPr="0089449E" w:rsidRDefault="00B84929" w:rsidP="002B7DC4">
            <w:pPr>
              <w:pStyle w:val="BodyText"/>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c>
        <w:tc>
          <w:tcPr>
            <w:tcW w:w="3260" w:type="dxa"/>
          </w:tcPr>
          <w:p w:rsidR="00C17981" w:rsidRDefault="00B0145D" w:rsidP="00472040">
            <w:pPr>
              <w:rPr>
                <w:rFonts w:ascii="Arial" w:hAnsi="Arial" w:cs="Arial"/>
                <w:szCs w:val="24"/>
              </w:rPr>
            </w:pPr>
            <w:r>
              <w:rPr>
                <w:rFonts w:ascii="Arial" w:hAnsi="Arial" w:cs="Arial"/>
                <w:szCs w:val="24"/>
              </w:rPr>
              <w:t>AGENDA ITEM</w:t>
            </w:r>
            <w:r w:rsidR="00716DD2">
              <w:rPr>
                <w:rFonts w:ascii="Arial" w:hAnsi="Arial" w:cs="Arial"/>
                <w:szCs w:val="24"/>
              </w:rPr>
              <w:t xml:space="preserve"> </w:t>
            </w:r>
            <w:r>
              <w:rPr>
                <w:rFonts w:ascii="Arial" w:hAnsi="Arial" w:cs="Arial"/>
                <w:szCs w:val="24"/>
              </w:rPr>
              <w:t xml:space="preserve"> </w:t>
            </w:r>
          </w:p>
          <w:p w:rsidR="00B84929" w:rsidRPr="0089449E" w:rsidRDefault="00B84929" w:rsidP="00716DD2">
            <w:pPr>
              <w:rPr>
                <w:rFonts w:ascii="Arial" w:hAnsi="Arial" w:cs="Arial"/>
                <w:szCs w:val="24"/>
              </w:rPr>
            </w:pPr>
            <w:r w:rsidRPr="0089449E">
              <w:rPr>
                <w:rFonts w:ascii="Arial" w:hAnsi="Arial" w:cs="Arial"/>
                <w:szCs w:val="24"/>
              </w:rPr>
              <w:t>REPORT N</w:t>
            </w:r>
            <w:r w:rsidR="004A13CB">
              <w:rPr>
                <w:rFonts w:ascii="Arial" w:hAnsi="Arial" w:cs="Arial"/>
                <w:szCs w:val="24"/>
              </w:rPr>
              <w:t>o</w:t>
            </w:r>
            <w:r w:rsidR="001D5EE7">
              <w:rPr>
                <w:rFonts w:ascii="Arial" w:hAnsi="Arial" w:cs="Arial"/>
                <w:szCs w:val="24"/>
              </w:rPr>
              <w:t xml:space="preserve"> </w:t>
            </w:r>
            <w:r w:rsidR="00C17981">
              <w:rPr>
                <w:rFonts w:ascii="Arial" w:hAnsi="Arial" w:cs="Arial"/>
                <w:szCs w:val="24"/>
              </w:rPr>
              <w:t>HLH</w:t>
            </w:r>
            <w:r w:rsidR="00716DD2">
              <w:rPr>
                <w:rFonts w:ascii="Arial" w:hAnsi="Arial" w:cs="Arial"/>
                <w:szCs w:val="24"/>
              </w:rPr>
              <w:t xml:space="preserve">   </w:t>
            </w:r>
            <w:r w:rsidR="001D5EE7">
              <w:rPr>
                <w:rFonts w:ascii="Arial" w:hAnsi="Arial" w:cs="Arial"/>
                <w:szCs w:val="24"/>
              </w:rPr>
              <w:t>/1</w:t>
            </w:r>
            <w:r w:rsidR="005256D7">
              <w:rPr>
                <w:rFonts w:ascii="Arial" w:hAnsi="Arial" w:cs="Arial"/>
                <w:szCs w:val="24"/>
              </w:rPr>
              <w:t>8</w:t>
            </w:r>
          </w:p>
        </w:tc>
      </w:tr>
    </w:tbl>
    <w:p w:rsidR="0039450A" w:rsidRPr="0089449E" w:rsidRDefault="0067745D" w:rsidP="00DE1E6C">
      <w:pPr>
        <w:pStyle w:val="Heading2"/>
        <w:rPr>
          <w:rFonts w:ascii="Arial" w:hAnsi="Arial" w:cs="Arial"/>
          <w:b/>
          <w:szCs w:val="24"/>
          <w:u w:val="none"/>
        </w:rPr>
      </w:pPr>
      <w:r>
        <w:rPr>
          <w:rFonts w:ascii="Arial" w:hAnsi="Arial" w:cs="Arial"/>
          <w:b/>
          <w:szCs w:val="24"/>
          <w:u w:val="none"/>
        </w:rPr>
        <w:t>FINANCE REPORT</w:t>
      </w:r>
      <w:r w:rsidRPr="0089449E">
        <w:rPr>
          <w:rFonts w:ascii="Arial" w:hAnsi="Arial" w:cs="Arial"/>
          <w:b/>
          <w:szCs w:val="24"/>
          <w:u w:val="none"/>
        </w:rPr>
        <w:t xml:space="preserve"> -</w:t>
      </w:r>
      <w:r w:rsidR="00DE1E6C" w:rsidRPr="0089449E">
        <w:rPr>
          <w:rFonts w:ascii="Arial" w:hAnsi="Arial" w:cs="Arial"/>
          <w:b/>
          <w:szCs w:val="24"/>
          <w:u w:val="none"/>
        </w:rPr>
        <w:t xml:space="preserve">   </w:t>
      </w:r>
      <w:r w:rsidR="0039450A" w:rsidRPr="0089449E">
        <w:rPr>
          <w:rFonts w:ascii="Arial" w:hAnsi="Arial" w:cs="Arial"/>
          <w:b/>
          <w:szCs w:val="24"/>
          <w:u w:val="none"/>
        </w:rPr>
        <w:t xml:space="preserve">Report </w:t>
      </w:r>
      <w:r w:rsidR="00A8159A" w:rsidRPr="0089449E">
        <w:rPr>
          <w:rFonts w:ascii="Arial" w:hAnsi="Arial" w:cs="Arial"/>
          <w:b/>
          <w:szCs w:val="24"/>
          <w:u w:val="none"/>
        </w:rPr>
        <w:t>by</w:t>
      </w:r>
      <w:r w:rsidR="002B7DC4" w:rsidRPr="0089449E">
        <w:rPr>
          <w:rFonts w:ascii="Arial" w:hAnsi="Arial" w:cs="Arial"/>
          <w:b/>
          <w:szCs w:val="24"/>
          <w:u w:val="none"/>
        </w:rPr>
        <w:t xml:space="preserve"> Chief Executive</w:t>
      </w:r>
    </w:p>
    <w:p w:rsidR="0039450A" w:rsidRPr="0089449E" w:rsidRDefault="0039450A" w:rsidP="00DE3803">
      <w:pPr>
        <w:pStyle w:val="Heading1"/>
        <w:jc w:val="left"/>
        <w:rPr>
          <w:rFonts w:ascii="Arial" w:hAnsi="Arial" w:cs="Arial"/>
          <w:szCs w:val="24"/>
        </w:rPr>
      </w:pPr>
      <w:r w:rsidRPr="0089449E">
        <w:rPr>
          <w:rFonts w:ascii="Arial" w:hAnsi="Arial" w:cs="Arial"/>
          <w:szCs w:val="24"/>
        </w:rPr>
        <w:fldChar w:fldCharType="begin"/>
      </w:r>
      <w:r w:rsidRPr="0089449E">
        <w:rPr>
          <w:rFonts w:ascii="Arial" w:hAnsi="Arial" w:cs="Arial"/>
          <w:szCs w:val="24"/>
        </w:rPr>
        <w:instrText xml:space="preserve">  </w:instrText>
      </w:r>
      <w:r w:rsidRPr="0089449E">
        <w:rPr>
          <w:rFonts w:ascii="Arial" w:hAnsi="Arial" w:cs="Arial"/>
          <w:szCs w:val="24"/>
        </w:rPr>
        <w:fldChar w:fldCharType="end"/>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39450A" w:rsidRPr="0089449E">
        <w:trPr>
          <w:cantSplit/>
        </w:trPr>
        <w:tc>
          <w:tcPr>
            <w:tcW w:w="9464" w:type="dxa"/>
          </w:tcPr>
          <w:p w:rsidR="0039450A" w:rsidRPr="0089449E" w:rsidRDefault="002B7DC4" w:rsidP="00472040">
            <w:pPr>
              <w:pStyle w:val="Heading2"/>
              <w:jc w:val="both"/>
              <w:rPr>
                <w:rFonts w:ascii="Arial" w:hAnsi="Arial" w:cs="Arial"/>
                <w:b/>
                <w:szCs w:val="24"/>
                <w:u w:val="none"/>
              </w:rPr>
            </w:pPr>
            <w:r w:rsidRPr="0089449E">
              <w:rPr>
                <w:rFonts w:ascii="Arial" w:hAnsi="Arial" w:cs="Arial"/>
                <w:b/>
                <w:szCs w:val="24"/>
                <w:u w:val="none"/>
              </w:rPr>
              <w:t>Summary</w:t>
            </w:r>
          </w:p>
          <w:p w:rsidR="002B7DC4" w:rsidRPr="0089449E" w:rsidRDefault="002B7DC4" w:rsidP="00472040">
            <w:pPr>
              <w:jc w:val="both"/>
              <w:rPr>
                <w:rFonts w:ascii="Arial" w:hAnsi="Arial" w:cs="Arial"/>
              </w:rPr>
            </w:pPr>
          </w:p>
          <w:p w:rsidR="002B7DC4" w:rsidRDefault="00023E37" w:rsidP="00472040">
            <w:pPr>
              <w:contextualSpacing/>
              <w:jc w:val="both"/>
              <w:rPr>
                <w:rFonts w:ascii="Arial" w:hAnsi="Arial" w:cs="Arial"/>
              </w:rPr>
            </w:pPr>
            <w:r>
              <w:rPr>
                <w:rFonts w:ascii="Arial" w:hAnsi="Arial" w:cs="Arial"/>
              </w:rPr>
              <w:t xml:space="preserve">This report provides </w:t>
            </w:r>
            <w:r w:rsidR="007E2203">
              <w:rPr>
                <w:rFonts w:ascii="Arial" w:hAnsi="Arial" w:cs="Arial"/>
              </w:rPr>
              <w:t>D</w:t>
            </w:r>
            <w:r>
              <w:rPr>
                <w:rFonts w:ascii="Arial" w:hAnsi="Arial" w:cs="Arial"/>
              </w:rPr>
              <w:t>irectors with an update on the financial performance of High Life Highland</w:t>
            </w:r>
            <w:r w:rsidR="000757C8" w:rsidRPr="000757C8">
              <w:rPr>
                <w:rFonts w:ascii="Arial" w:eastAsia="Calibri" w:hAnsi="Arial" w:cs="Arial"/>
                <w:szCs w:val="24"/>
                <w:lang w:eastAsia="en-US"/>
              </w:rPr>
              <w:t xml:space="preserve"> for the </w:t>
            </w:r>
            <w:r w:rsidR="007D22CE">
              <w:rPr>
                <w:rFonts w:ascii="Arial" w:eastAsia="Calibri" w:hAnsi="Arial" w:cs="Arial"/>
                <w:szCs w:val="24"/>
                <w:lang w:eastAsia="en-US"/>
              </w:rPr>
              <w:t xml:space="preserve">first quarter of the </w:t>
            </w:r>
            <w:r w:rsidR="000757C8" w:rsidRPr="000757C8">
              <w:rPr>
                <w:rFonts w:ascii="Arial" w:eastAsia="Calibri" w:hAnsi="Arial" w:cs="Arial"/>
                <w:szCs w:val="24"/>
                <w:lang w:eastAsia="en-US"/>
              </w:rPr>
              <w:t xml:space="preserve">financial year </w:t>
            </w:r>
            <w:r w:rsidR="007D22CE">
              <w:rPr>
                <w:rFonts w:ascii="Arial" w:eastAsia="Calibri" w:hAnsi="Arial" w:cs="Arial"/>
                <w:szCs w:val="24"/>
                <w:lang w:eastAsia="en-US"/>
              </w:rPr>
              <w:t>201</w:t>
            </w:r>
            <w:r w:rsidR="005256D7">
              <w:rPr>
                <w:rFonts w:ascii="Arial" w:eastAsia="Calibri" w:hAnsi="Arial" w:cs="Arial"/>
                <w:szCs w:val="24"/>
                <w:lang w:eastAsia="en-US"/>
              </w:rPr>
              <w:t>8</w:t>
            </w:r>
            <w:r w:rsidR="007D22CE">
              <w:rPr>
                <w:rFonts w:ascii="Arial" w:eastAsia="Calibri" w:hAnsi="Arial" w:cs="Arial"/>
                <w:szCs w:val="24"/>
                <w:lang w:eastAsia="en-US"/>
              </w:rPr>
              <w:t>/1</w:t>
            </w:r>
            <w:r w:rsidR="005256D7">
              <w:rPr>
                <w:rFonts w:ascii="Arial" w:eastAsia="Calibri" w:hAnsi="Arial" w:cs="Arial"/>
                <w:szCs w:val="24"/>
                <w:lang w:eastAsia="en-US"/>
              </w:rPr>
              <w:t>9</w:t>
            </w:r>
            <w:r w:rsidR="00716DD2">
              <w:rPr>
                <w:rFonts w:ascii="Arial" w:hAnsi="Arial" w:cs="Arial"/>
              </w:rPr>
              <w:t>.</w:t>
            </w:r>
            <w:r w:rsidR="005A3624">
              <w:rPr>
                <w:rFonts w:ascii="Arial" w:hAnsi="Arial" w:cs="Arial"/>
              </w:rPr>
              <w:t xml:space="preserve"> </w:t>
            </w:r>
          </w:p>
          <w:p w:rsidR="00023E37" w:rsidRDefault="00023E37" w:rsidP="00472040">
            <w:pPr>
              <w:jc w:val="both"/>
              <w:rPr>
                <w:rFonts w:ascii="Arial" w:hAnsi="Arial" w:cs="Arial"/>
              </w:rPr>
            </w:pPr>
          </w:p>
          <w:p w:rsidR="00C92F7F" w:rsidRPr="000F2276" w:rsidRDefault="00C92F7F" w:rsidP="00C92F7F">
            <w:pPr>
              <w:jc w:val="both"/>
              <w:rPr>
                <w:rFonts w:ascii="Arial" w:hAnsi="Arial" w:cs="Arial"/>
              </w:rPr>
            </w:pPr>
            <w:r w:rsidRPr="000F2276">
              <w:rPr>
                <w:rFonts w:ascii="Arial" w:hAnsi="Arial" w:cs="Arial"/>
              </w:rPr>
              <w:t>I</w:t>
            </w:r>
            <w:r>
              <w:rPr>
                <w:rFonts w:ascii="Arial" w:hAnsi="Arial" w:cs="Arial"/>
              </w:rPr>
              <w:t>t is recommended that Directors</w:t>
            </w:r>
            <w:r w:rsidR="00CB63C6">
              <w:rPr>
                <w:rFonts w:ascii="Arial" w:hAnsi="Arial" w:cs="Arial"/>
              </w:rPr>
              <w:t xml:space="preserve"> note</w:t>
            </w:r>
            <w:r w:rsidRPr="000F2276">
              <w:rPr>
                <w:rFonts w:ascii="Arial" w:hAnsi="Arial" w:cs="Arial"/>
              </w:rPr>
              <w:t>:</w:t>
            </w:r>
          </w:p>
          <w:p w:rsidR="00C92F7F" w:rsidRPr="000F2276" w:rsidRDefault="00C92F7F" w:rsidP="00C92F7F">
            <w:pPr>
              <w:jc w:val="both"/>
              <w:rPr>
                <w:rFonts w:ascii="Arial" w:hAnsi="Arial" w:cs="Arial"/>
              </w:rPr>
            </w:pPr>
          </w:p>
          <w:p w:rsidR="000757C8" w:rsidRDefault="00342F9D" w:rsidP="00ED5D49">
            <w:pPr>
              <w:numPr>
                <w:ilvl w:val="0"/>
                <w:numId w:val="33"/>
              </w:numPr>
              <w:contextualSpacing/>
              <w:jc w:val="both"/>
              <w:rPr>
                <w:rFonts w:ascii="Arial" w:eastAsia="Calibri" w:hAnsi="Arial" w:cs="Arial"/>
                <w:szCs w:val="24"/>
                <w:lang w:eastAsia="en-US"/>
              </w:rPr>
            </w:pPr>
            <w:bookmarkStart w:id="1" w:name="OLE_LINK1"/>
            <w:bookmarkStart w:id="2" w:name="OLE_LINK2"/>
            <w:r>
              <w:rPr>
                <w:rFonts w:ascii="Arial" w:hAnsi="Arial" w:cs="Arial"/>
                <w:szCs w:val="24"/>
              </w:rPr>
              <w:t>t</w:t>
            </w:r>
            <w:r w:rsidR="00C92F7F" w:rsidRPr="00CB55D1">
              <w:rPr>
                <w:rFonts w:ascii="Arial" w:hAnsi="Arial" w:cs="Arial"/>
                <w:szCs w:val="24"/>
              </w:rPr>
              <w:t>he</w:t>
            </w:r>
            <w:r w:rsidR="007D22CE">
              <w:rPr>
                <w:rFonts w:ascii="Arial" w:eastAsia="Calibri" w:hAnsi="Arial" w:cs="Arial"/>
                <w:szCs w:val="24"/>
                <w:lang w:eastAsia="en-US"/>
              </w:rPr>
              <w:t xml:space="preserve"> results for the first quarter report a positive variance of £</w:t>
            </w:r>
            <w:r w:rsidR="00BA3ED8">
              <w:rPr>
                <w:rFonts w:ascii="Arial" w:eastAsia="Calibri" w:hAnsi="Arial" w:cs="Arial"/>
                <w:szCs w:val="24"/>
                <w:lang w:eastAsia="en-US"/>
              </w:rPr>
              <w:t xml:space="preserve">71,446 as detailed in </w:t>
            </w:r>
            <w:r w:rsidR="00BA3ED8" w:rsidRPr="00BA3ED8">
              <w:rPr>
                <w:rFonts w:ascii="Arial" w:eastAsia="Calibri" w:hAnsi="Arial" w:cs="Arial"/>
                <w:b/>
                <w:szCs w:val="24"/>
                <w:lang w:eastAsia="en-US"/>
              </w:rPr>
              <w:t>Appendix A</w:t>
            </w:r>
            <w:r w:rsidR="00BA3ED8">
              <w:rPr>
                <w:rFonts w:ascii="Arial" w:eastAsia="Calibri" w:hAnsi="Arial" w:cs="Arial"/>
                <w:szCs w:val="24"/>
                <w:lang w:eastAsia="en-US"/>
              </w:rPr>
              <w:t>;</w:t>
            </w:r>
          </w:p>
          <w:p w:rsidR="00ED5D49" w:rsidRPr="007A2BD4" w:rsidRDefault="00ED5D49" w:rsidP="00ED5D49">
            <w:pPr>
              <w:pStyle w:val="ListParagraph"/>
              <w:numPr>
                <w:ilvl w:val="0"/>
                <w:numId w:val="33"/>
              </w:numPr>
              <w:jc w:val="both"/>
              <w:rPr>
                <w:rFonts w:ascii="Arial" w:hAnsi="Arial" w:cs="Arial"/>
                <w:szCs w:val="24"/>
              </w:rPr>
            </w:pPr>
            <w:r w:rsidRPr="00A95BB7">
              <w:rPr>
                <w:rFonts w:ascii="Arial" w:hAnsi="Arial" w:cs="Arial"/>
                <w:sz w:val="24"/>
                <w:szCs w:val="24"/>
              </w:rPr>
              <w:t>the projected final out-turn for the year remains on target to the approved budget</w:t>
            </w:r>
            <w:r>
              <w:rPr>
                <w:rFonts w:ascii="Arial" w:hAnsi="Arial" w:cs="Arial"/>
                <w:sz w:val="24"/>
                <w:szCs w:val="24"/>
              </w:rPr>
              <w:t xml:space="preserve">; </w:t>
            </w:r>
          </w:p>
          <w:p w:rsidR="00BA3ED8" w:rsidRPr="00342F9D" w:rsidRDefault="008C5158" w:rsidP="00BA3ED8">
            <w:pPr>
              <w:pStyle w:val="ListParagraph"/>
              <w:numPr>
                <w:ilvl w:val="0"/>
                <w:numId w:val="33"/>
              </w:numPr>
              <w:jc w:val="both"/>
              <w:rPr>
                <w:rFonts w:ascii="Arial" w:hAnsi="Arial" w:cs="Arial"/>
                <w:sz w:val="24"/>
                <w:szCs w:val="24"/>
              </w:rPr>
            </w:pPr>
            <w:r w:rsidRPr="00137D7A">
              <w:rPr>
                <w:rFonts w:ascii="Arial" w:hAnsi="Arial" w:cs="Arial"/>
                <w:sz w:val="24"/>
                <w:szCs w:val="24"/>
              </w:rPr>
              <w:t xml:space="preserve">the </w:t>
            </w:r>
            <w:r w:rsidR="00C92F7F" w:rsidRPr="00137D7A">
              <w:rPr>
                <w:rFonts w:ascii="Arial" w:hAnsi="Arial" w:cs="Arial"/>
                <w:sz w:val="24"/>
                <w:szCs w:val="24"/>
              </w:rPr>
              <w:t xml:space="preserve">award of contract </w:t>
            </w:r>
            <w:r w:rsidR="00802484">
              <w:rPr>
                <w:rFonts w:ascii="Arial" w:hAnsi="Arial" w:cs="Arial"/>
                <w:sz w:val="24"/>
                <w:szCs w:val="24"/>
              </w:rPr>
              <w:t xml:space="preserve">to </w:t>
            </w:r>
            <w:proofErr w:type="spellStart"/>
            <w:r w:rsidR="00B568F0">
              <w:rPr>
                <w:rFonts w:ascii="Arial" w:hAnsi="Arial" w:cs="Arial"/>
                <w:sz w:val="24"/>
                <w:szCs w:val="24"/>
              </w:rPr>
              <w:t>Achins</w:t>
            </w:r>
            <w:proofErr w:type="spellEnd"/>
            <w:r w:rsidR="00B568F0">
              <w:rPr>
                <w:rFonts w:ascii="Arial" w:hAnsi="Arial" w:cs="Arial"/>
                <w:sz w:val="24"/>
                <w:szCs w:val="24"/>
              </w:rPr>
              <w:t xml:space="preserve"> Bookshop</w:t>
            </w:r>
            <w:r w:rsidR="007D22CE">
              <w:rPr>
                <w:rFonts w:ascii="Arial" w:hAnsi="Arial" w:cs="Arial"/>
                <w:sz w:val="24"/>
                <w:szCs w:val="24"/>
              </w:rPr>
              <w:t xml:space="preserve"> </w:t>
            </w:r>
            <w:r w:rsidR="004749D1" w:rsidRPr="00137D7A">
              <w:rPr>
                <w:rFonts w:ascii="Arial" w:hAnsi="Arial" w:cs="Arial"/>
                <w:sz w:val="24"/>
                <w:szCs w:val="24"/>
              </w:rPr>
              <w:t xml:space="preserve">as detailed in </w:t>
            </w:r>
            <w:r w:rsidR="00CB63C6" w:rsidRPr="00CB63C6">
              <w:rPr>
                <w:rFonts w:ascii="Arial" w:hAnsi="Arial" w:cs="Arial"/>
                <w:b/>
                <w:sz w:val="24"/>
                <w:szCs w:val="24"/>
              </w:rPr>
              <w:t>paragraph</w:t>
            </w:r>
            <w:r w:rsidR="004749D1" w:rsidRPr="00137D7A">
              <w:rPr>
                <w:rFonts w:ascii="Arial" w:hAnsi="Arial" w:cs="Arial"/>
                <w:b/>
                <w:sz w:val="24"/>
                <w:szCs w:val="24"/>
              </w:rPr>
              <w:t xml:space="preserve"> </w:t>
            </w:r>
            <w:r w:rsidR="004A471D">
              <w:rPr>
                <w:rFonts w:ascii="Arial" w:hAnsi="Arial" w:cs="Arial"/>
                <w:b/>
                <w:sz w:val="24"/>
                <w:szCs w:val="24"/>
              </w:rPr>
              <w:t>4</w:t>
            </w:r>
            <w:r w:rsidR="00A57DCC">
              <w:rPr>
                <w:rFonts w:ascii="Arial" w:hAnsi="Arial" w:cs="Arial"/>
                <w:sz w:val="24"/>
                <w:szCs w:val="24"/>
              </w:rPr>
              <w:t xml:space="preserve"> of th</w:t>
            </w:r>
            <w:r w:rsidR="00FC5923">
              <w:rPr>
                <w:rFonts w:ascii="Arial" w:hAnsi="Arial" w:cs="Arial"/>
                <w:sz w:val="24"/>
                <w:szCs w:val="24"/>
              </w:rPr>
              <w:t xml:space="preserve">is </w:t>
            </w:r>
            <w:r w:rsidR="00A57DCC">
              <w:rPr>
                <w:rFonts w:ascii="Arial" w:hAnsi="Arial" w:cs="Arial"/>
                <w:sz w:val="24"/>
                <w:szCs w:val="24"/>
              </w:rPr>
              <w:t>report</w:t>
            </w:r>
            <w:bookmarkEnd w:id="1"/>
            <w:bookmarkEnd w:id="2"/>
            <w:r w:rsidR="00D560AC">
              <w:rPr>
                <w:rFonts w:ascii="Arial" w:hAnsi="Arial" w:cs="Arial"/>
                <w:sz w:val="24"/>
                <w:szCs w:val="24"/>
              </w:rPr>
              <w:t xml:space="preserve">; </w:t>
            </w:r>
          </w:p>
          <w:p w:rsidR="00344232" w:rsidRDefault="00BA3ED8" w:rsidP="0093240A">
            <w:pPr>
              <w:pStyle w:val="ListParagraph"/>
              <w:numPr>
                <w:ilvl w:val="0"/>
                <w:numId w:val="33"/>
              </w:numPr>
              <w:jc w:val="both"/>
              <w:rPr>
                <w:rFonts w:ascii="Arial" w:hAnsi="Arial" w:cs="Arial"/>
                <w:sz w:val="24"/>
                <w:szCs w:val="24"/>
              </w:rPr>
            </w:pPr>
            <w:r>
              <w:rPr>
                <w:rFonts w:ascii="Arial" w:hAnsi="Arial" w:cs="Arial"/>
                <w:sz w:val="24"/>
                <w:szCs w:val="24"/>
              </w:rPr>
              <w:t>there has been no breach of internal controls to report for the quarter; and</w:t>
            </w:r>
          </w:p>
          <w:p w:rsidR="00BA3ED8" w:rsidRPr="00342F9D" w:rsidRDefault="00BA3ED8" w:rsidP="0093240A">
            <w:pPr>
              <w:pStyle w:val="ListParagraph"/>
              <w:numPr>
                <w:ilvl w:val="0"/>
                <w:numId w:val="33"/>
              </w:numPr>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charity remains Teckal compliant.</w:t>
            </w:r>
          </w:p>
        </w:tc>
      </w:tr>
    </w:tbl>
    <w:p w:rsidR="0097099E" w:rsidRPr="0089449E" w:rsidRDefault="0097099E" w:rsidP="00472040">
      <w:pPr>
        <w:jc w:val="both"/>
        <w:rPr>
          <w:rFonts w:ascii="Arial" w:hAnsi="Arial" w:cs="Arial"/>
          <w:szCs w:val="24"/>
        </w:rPr>
      </w:pPr>
    </w:p>
    <w:tbl>
      <w:tblPr>
        <w:tblW w:w="9606" w:type="dxa"/>
        <w:tblLayout w:type="fixed"/>
        <w:tblLook w:val="0000" w:firstRow="0" w:lastRow="0" w:firstColumn="0" w:lastColumn="0" w:noHBand="0" w:noVBand="0"/>
      </w:tblPr>
      <w:tblGrid>
        <w:gridCol w:w="817"/>
        <w:gridCol w:w="8789"/>
      </w:tblGrid>
      <w:tr w:rsidR="00A53534" w:rsidRPr="0089449E" w:rsidTr="001B2922">
        <w:tc>
          <w:tcPr>
            <w:tcW w:w="817" w:type="dxa"/>
          </w:tcPr>
          <w:p w:rsidR="00A53534" w:rsidRPr="0089449E" w:rsidRDefault="008B4D54" w:rsidP="00472040">
            <w:pPr>
              <w:jc w:val="both"/>
              <w:rPr>
                <w:rFonts w:ascii="Arial" w:hAnsi="Arial" w:cs="Arial"/>
                <w:b/>
                <w:szCs w:val="24"/>
              </w:rPr>
            </w:pPr>
            <w:r>
              <w:rPr>
                <w:rFonts w:ascii="Arial" w:hAnsi="Arial" w:cs="Arial"/>
                <w:b/>
                <w:szCs w:val="24"/>
              </w:rPr>
              <w:t>1</w:t>
            </w:r>
            <w:r w:rsidR="00A53534" w:rsidRPr="0089449E">
              <w:rPr>
                <w:rFonts w:ascii="Arial" w:hAnsi="Arial" w:cs="Arial"/>
                <w:b/>
                <w:szCs w:val="24"/>
              </w:rPr>
              <w:t>.</w:t>
            </w:r>
          </w:p>
        </w:tc>
        <w:tc>
          <w:tcPr>
            <w:tcW w:w="8789" w:type="dxa"/>
          </w:tcPr>
          <w:p w:rsidR="00A53534" w:rsidRPr="0089449E" w:rsidRDefault="00A53534" w:rsidP="00472040">
            <w:pPr>
              <w:jc w:val="both"/>
              <w:rPr>
                <w:rFonts w:ascii="Arial" w:hAnsi="Arial" w:cs="Arial"/>
                <w:b/>
              </w:rPr>
            </w:pPr>
            <w:r w:rsidRPr="0089449E">
              <w:rPr>
                <w:rFonts w:ascii="Arial" w:hAnsi="Arial" w:cs="Arial"/>
                <w:b/>
              </w:rPr>
              <w:t>Business Plan Contribution</w:t>
            </w:r>
          </w:p>
          <w:p w:rsidR="00A53534" w:rsidRPr="0089449E" w:rsidRDefault="00A53534" w:rsidP="00472040">
            <w:pPr>
              <w:jc w:val="both"/>
              <w:rPr>
                <w:rFonts w:ascii="Arial" w:hAnsi="Arial" w:cs="Arial"/>
                <w:szCs w:val="24"/>
              </w:rPr>
            </w:pPr>
          </w:p>
        </w:tc>
      </w:tr>
      <w:tr w:rsidR="00A53534" w:rsidRPr="0089449E" w:rsidTr="001B2922">
        <w:tc>
          <w:tcPr>
            <w:tcW w:w="817" w:type="dxa"/>
          </w:tcPr>
          <w:p w:rsidR="00A53534" w:rsidRPr="007161EF" w:rsidRDefault="008B4D54" w:rsidP="00472040">
            <w:pPr>
              <w:jc w:val="both"/>
              <w:rPr>
                <w:rFonts w:ascii="Arial" w:hAnsi="Arial" w:cs="Arial"/>
                <w:szCs w:val="24"/>
              </w:rPr>
            </w:pPr>
            <w:r>
              <w:rPr>
                <w:rFonts w:ascii="Arial" w:hAnsi="Arial" w:cs="Arial"/>
                <w:szCs w:val="24"/>
              </w:rPr>
              <w:t>1</w:t>
            </w:r>
            <w:r w:rsidR="00A53534" w:rsidRPr="007161EF">
              <w:rPr>
                <w:rFonts w:ascii="Arial" w:hAnsi="Arial" w:cs="Arial"/>
                <w:szCs w:val="24"/>
              </w:rPr>
              <w:t>.1</w:t>
            </w:r>
          </w:p>
        </w:tc>
        <w:tc>
          <w:tcPr>
            <w:tcW w:w="8789" w:type="dxa"/>
          </w:tcPr>
          <w:p w:rsidR="00B0145D" w:rsidRPr="00B0145D" w:rsidRDefault="00B0145D" w:rsidP="00B0145D">
            <w:pPr>
              <w:jc w:val="both"/>
              <w:rPr>
                <w:rFonts w:ascii="Arial" w:hAnsi="Arial" w:cs="Arial"/>
              </w:rPr>
            </w:pPr>
            <w:r w:rsidRPr="00B0145D">
              <w:rPr>
                <w:rFonts w:ascii="Arial" w:hAnsi="Arial" w:cs="Arial"/>
              </w:rPr>
              <w:t>This report supports the highlighted Business Outcome</w:t>
            </w:r>
            <w:r w:rsidR="00542E12">
              <w:rPr>
                <w:rFonts w:ascii="Arial" w:hAnsi="Arial" w:cs="Arial"/>
              </w:rPr>
              <w:t>s</w:t>
            </w:r>
            <w:r w:rsidRPr="00B0145D">
              <w:rPr>
                <w:rFonts w:ascii="Arial" w:hAnsi="Arial" w:cs="Arial"/>
              </w:rPr>
              <w:t xml:space="preserve"> from the High Life Highland (HLH) Business Plan:</w:t>
            </w:r>
          </w:p>
          <w:p w:rsidR="00B0145D" w:rsidRPr="00B0145D" w:rsidRDefault="00B0145D" w:rsidP="00B0145D">
            <w:pPr>
              <w:jc w:val="both"/>
              <w:rPr>
                <w:rFonts w:ascii="Arial" w:hAnsi="Arial" w:cs="Arial"/>
              </w:rPr>
            </w:pPr>
          </w:p>
          <w:p w:rsidR="0031751B" w:rsidRPr="00542E12" w:rsidRDefault="0031751B" w:rsidP="0031751B">
            <w:pPr>
              <w:pStyle w:val="ListParagraph"/>
              <w:numPr>
                <w:ilvl w:val="0"/>
                <w:numId w:val="6"/>
              </w:numPr>
              <w:spacing w:after="0" w:line="240" w:lineRule="auto"/>
              <w:jc w:val="both"/>
              <w:rPr>
                <w:rFonts w:ascii="Arial" w:hAnsi="Arial" w:cs="Arial"/>
                <w:b/>
                <w:sz w:val="24"/>
                <w:szCs w:val="24"/>
              </w:rPr>
            </w:pPr>
            <w:r w:rsidRPr="00542E12">
              <w:rPr>
                <w:rFonts w:ascii="Arial" w:hAnsi="Arial" w:cs="Arial"/>
                <w:b/>
                <w:sz w:val="24"/>
                <w:szCs w:val="24"/>
              </w:rPr>
              <w:t>To advance sustainable growth and financial sustainability</w:t>
            </w:r>
          </w:p>
          <w:p w:rsidR="0031751B" w:rsidRPr="00050D22" w:rsidRDefault="0031751B" w:rsidP="0031751B">
            <w:pPr>
              <w:pStyle w:val="ListParagraph"/>
              <w:numPr>
                <w:ilvl w:val="0"/>
                <w:numId w:val="6"/>
              </w:numPr>
              <w:spacing w:after="0" w:line="240" w:lineRule="auto"/>
              <w:jc w:val="both"/>
              <w:rPr>
                <w:rFonts w:ascii="Arial" w:hAnsi="Arial" w:cs="Arial"/>
                <w:b/>
                <w:sz w:val="24"/>
                <w:szCs w:val="24"/>
              </w:rPr>
            </w:pPr>
            <w:r w:rsidRPr="00050D22">
              <w:rPr>
                <w:rFonts w:ascii="Arial" w:hAnsi="Arial" w:cs="Arial"/>
                <w:b/>
                <w:sz w:val="24"/>
                <w:szCs w:val="24"/>
              </w:rPr>
              <w:t>Deliver the Service Delivery Contract with THC</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Improving staff satisfaction</w:t>
            </w:r>
          </w:p>
          <w:p w:rsidR="0031751B" w:rsidRPr="004749D1" w:rsidRDefault="0031751B" w:rsidP="0031751B">
            <w:pPr>
              <w:pStyle w:val="ListParagraph"/>
              <w:numPr>
                <w:ilvl w:val="0"/>
                <w:numId w:val="6"/>
              </w:numPr>
              <w:spacing w:after="0" w:line="240" w:lineRule="auto"/>
              <w:jc w:val="both"/>
              <w:rPr>
                <w:rFonts w:ascii="Arial" w:hAnsi="Arial" w:cs="Arial"/>
                <w:sz w:val="24"/>
                <w:szCs w:val="24"/>
              </w:rPr>
            </w:pPr>
            <w:r w:rsidRPr="004749D1">
              <w:rPr>
                <w:rFonts w:ascii="Arial" w:hAnsi="Arial" w:cs="Arial"/>
                <w:sz w:val="24"/>
                <w:szCs w:val="24"/>
              </w:rPr>
              <w:t>Improving customer satisfaction</w:t>
            </w:r>
          </w:p>
          <w:p w:rsidR="0031751B" w:rsidRPr="00FF59DD" w:rsidRDefault="0031751B" w:rsidP="0031751B">
            <w:pPr>
              <w:pStyle w:val="ListParagraph"/>
              <w:numPr>
                <w:ilvl w:val="0"/>
                <w:numId w:val="6"/>
              </w:numPr>
              <w:spacing w:after="0" w:line="240" w:lineRule="auto"/>
              <w:jc w:val="both"/>
              <w:rPr>
                <w:rFonts w:ascii="Arial" w:hAnsi="Arial" w:cs="Arial"/>
                <w:sz w:val="24"/>
                <w:szCs w:val="24"/>
              </w:rPr>
            </w:pPr>
            <w:r w:rsidRPr="00FF59DD">
              <w:rPr>
                <w:rFonts w:ascii="Arial" w:hAnsi="Arial" w:cs="Arial"/>
                <w:sz w:val="24"/>
                <w:szCs w:val="24"/>
              </w:rPr>
              <w:t>A positive company image</w:t>
            </w:r>
          </w:p>
          <w:p w:rsidR="0031751B" w:rsidRPr="001216C7" w:rsidRDefault="0031751B" w:rsidP="0031751B">
            <w:pPr>
              <w:pStyle w:val="ListParagraph"/>
              <w:numPr>
                <w:ilvl w:val="0"/>
                <w:numId w:val="6"/>
              </w:numPr>
              <w:spacing w:after="0" w:line="240" w:lineRule="auto"/>
              <w:jc w:val="both"/>
              <w:rPr>
                <w:rFonts w:ascii="Arial" w:hAnsi="Arial" w:cs="Arial"/>
                <w:sz w:val="24"/>
                <w:szCs w:val="24"/>
              </w:rPr>
            </w:pPr>
            <w:r w:rsidRPr="001216C7">
              <w:rPr>
                <w:rFonts w:ascii="Arial" w:hAnsi="Arial" w:cs="Arial"/>
                <w:sz w:val="24"/>
                <w:szCs w:val="24"/>
              </w:rPr>
              <w:t>Services designed around customers and through market opportunities</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Sustain a good health and safety performance</w:t>
            </w:r>
          </w:p>
          <w:p w:rsidR="0031751B" w:rsidRPr="003A3BC3" w:rsidRDefault="0031751B" w:rsidP="0031751B">
            <w:pPr>
              <w:pStyle w:val="ListParagraph"/>
              <w:numPr>
                <w:ilvl w:val="0"/>
                <w:numId w:val="6"/>
              </w:numPr>
              <w:spacing w:after="0" w:line="240" w:lineRule="auto"/>
              <w:jc w:val="both"/>
              <w:rPr>
                <w:rFonts w:ascii="Arial" w:hAnsi="Arial" w:cs="Arial"/>
                <w:sz w:val="24"/>
                <w:szCs w:val="24"/>
              </w:rPr>
            </w:pPr>
            <w:r w:rsidRPr="003A3BC3">
              <w:rPr>
                <w:rFonts w:ascii="Arial" w:hAnsi="Arial" w:cs="Arial"/>
                <w:sz w:val="24"/>
                <w:szCs w:val="24"/>
              </w:rPr>
              <w:t>A trusted partner</w:t>
            </w:r>
          </w:p>
          <w:p w:rsidR="00C51930" w:rsidRPr="00B0145D" w:rsidRDefault="00C51930" w:rsidP="0031751B">
            <w:pPr>
              <w:contextualSpacing/>
              <w:jc w:val="both"/>
              <w:rPr>
                <w:rFonts w:ascii="Arial" w:hAnsi="Arial" w:cs="Arial"/>
              </w:rPr>
            </w:pPr>
          </w:p>
        </w:tc>
      </w:tr>
      <w:tr w:rsidR="00A53534" w:rsidRPr="0089449E" w:rsidTr="001B2922">
        <w:tc>
          <w:tcPr>
            <w:tcW w:w="817" w:type="dxa"/>
          </w:tcPr>
          <w:p w:rsidR="00A53534" w:rsidRPr="0089449E" w:rsidRDefault="008B4D54" w:rsidP="00472040">
            <w:pPr>
              <w:jc w:val="both"/>
              <w:rPr>
                <w:rFonts w:ascii="Arial" w:hAnsi="Arial" w:cs="Arial"/>
                <w:b/>
                <w:szCs w:val="24"/>
              </w:rPr>
            </w:pPr>
            <w:r>
              <w:rPr>
                <w:rFonts w:ascii="Arial" w:hAnsi="Arial" w:cs="Arial"/>
                <w:b/>
                <w:szCs w:val="24"/>
              </w:rPr>
              <w:t>2.</w:t>
            </w:r>
          </w:p>
        </w:tc>
        <w:tc>
          <w:tcPr>
            <w:tcW w:w="8789" w:type="dxa"/>
          </w:tcPr>
          <w:p w:rsidR="008B4D54" w:rsidRPr="0097099E" w:rsidRDefault="008B4D54" w:rsidP="00472040">
            <w:pPr>
              <w:jc w:val="both"/>
              <w:rPr>
                <w:rFonts w:ascii="Arial" w:hAnsi="Arial" w:cs="Arial"/>
                <w:b/>
                <w:szCs w:val="24"/>
              </w:rPr>
            </w:pPr>
            <w:r w:rsidRPr="0097099E">
              <w:rPr>
                <w:rFonts w:ascii="Arial" w:hAnsi="Arial" w:cs="Arial"/>
                <w:b/>
                <w:szCs w:val="24"/>
              </w:rPr>
              <w:t>Background</w:t>
            </w:r>
          </w:p>
          <w:p w:rsidR="00A53534" w:rsidRPr="0089449E" w:rsidRDefault="00A53534" w:rsidP="00472040">
            <w:pPr>
              <w:jc w:val="both"/>
              <w:rPr>
                <w:rFonts w:ascii="Arial" w:hAnsi="Arial" w:cs="Arial"/>
                <w:szCs w:val="24"/>
              </w:rPr>
            </w:pPr>
          </w:p>
        </w:tc>
      </w:tr>
      <w:tr w:rsidR="004A13CB" w:rsidRPr="0089449E" w:rsidTr="001B2922">
        <w:tc>
          <w:tcPr>
            <w:tcW w:w="817" w:type="dxa"/>
          </w:tcPr>
          <w:p w:rsidR="004A13CB" w:rsidRDefault="004A13CB" w:rsidP="004A13CB">
            <w:pPr>
              <w:jc w:val="both"/>
              <w:rPr>
                <w:rFonts w:ascii="Arial" w:hAnsi="Arial" w:cs="Arial"/>
                <w:szCs w:val="24"/>
              </w:rPr>
            </w:pPr>
            <w:r w:rsidRPr="008B4D54">
              <w:rPr>
                <w:rFonts w:ascii="Arial" w:hAnsi="Arial" w:cs="Arial"/>
                <w:szCs w:val="24"/>
              </w:rPr>
              <w:t>2.1</w:t>
            </w:r>
          </w:p>
          <w:p w:rsidR="004A13CB" w:rsidRDefault="004A13CB" w:rsidP="00472040">
            <w:pPr>
              <w:jc w:val="both"/>
              <w:rPr>
                <w:rFonts w:ascii="Arial" w:hAnsi="Arial" w:cs="Arial"/>
                <w:b/>
                <w:szCs w:val="24"/>
              </w:rPr>
            </w:pPr>
          </w:p>
        </w:tc>
        <w:tc>
          <w:tcPr>
            <w:tcW w:w="8789" w:type="dxa"/>
          </w:tcPr>
          <w:p w:rsidR="008C5158" w:rsidRDefault="004A13CB" w:rsidP="00472040">
            <w:pPr>
              <w:jc w:val="both"/>
              <w:rPr>
                <w:rFonts w:ascii="Arial" w:hAnsi="Arial" w:cs="Arial"/>
                <w:szCs w:val="24"/>
              </w:rPr>
            </w:pPr>
            <w:r>
              <w:rPr>
                <w:rFonts w:ascii="Arial" w:hAnsi="Arial" w:cs="Arial"/>
                <w:szCs w:val="24"/>
              </w:rPr>
              <w:t xml:space="preserve">Directors of HLH receive a Finance Report on </w:t>
            </w:r>
            <w:r w:rsidR="001C4B5C">
              <w:rPr>
                <w:rFonts w:ascii="Arial" w:hAnsi="Arial" w:cs="Arial"/>
                <w:szCs w:val="24"/>
              </w:rPr>
              <w:t xml:space="preserve">a </w:t>
            </w:r>
            <w:r w:rsidR="00420554">
              <w:rPr>
                <w:rFonts w:ascii="Arial" w:hAnsi="Arial" w:cs="Arial"/>
                <w:szCs w:val="24"/>
              </w:rPr>
              <w:t xml:space="preserve">quarterly </w:t>
            </w:r>
            <w:r w:rsidR="009E3DB8">
              <w:rPr>
                <w:rFonts w:ascii="Arial" w:hAnsi="Arial" w:cs="Arial"/>
                <w:szCs w:val="24"/>
              </w:rPr>
              <w:t xml:space="preserve">basis. The primary purpose of the </w:t>
            </w:r>
            <w:r>
              <w:rPr>
                <w:rFonts w:ascii="Arial" w:hAnsi="Arial" w:cs="Arial"/>
                <w:szCs w:val="24"/>
              </w:rPr>
              <w:t>report is to summarise the financial performance of the organisation and its subsidiaries.</w:t>
            </w:r>
          </w:p>
          <w:p w:rsidR="008C5158" w:rsidRPr="006909C6" w:rsidRDefault="008C5158" w:rsidP="00472040">
            <w:pPr>
              <w:jc w:val="both"/>
              <w:rPr>
                <w:rFonts w:ascii="Arial" w:hAnsi="Arial" w:cs="Arial"/>
                <w:szCs w:val="24"/>
              </w:rPr>
            </w:pPr>
          </w:p>
        </w:tc>
      </w:tr>
      <w:tr w:rsidR="004A13CB" w:rsidRPr="0089449E" w:rsidTr="001B2922">
        <w:tc>
          <w:tcPr>
            <w:tcW w:w="817" w:type="dxa"/>
          </w:tcPr>
          <w:p w:rsidR="004A13CB" w:rsidRDefault="004A13CB" w:rsidP="004A13CB">
            <w:pPr>
              <w:jc w:val="both"/>
              <w:rPr>
                <w:rFonts w:ascii="Arial" w:hAnsi="Arial" w:cs="Arial"/>
                <w:b/>
                <w:szCs w:val="24"/>
              </w:rPr>
            </w:pPr>
            <w:r w:rsidRPr="00CD28C3">
              <w:rPr>
                <w:rFonts w:ascii="Arial" w:hAnsi="Arial" w:cs="Arial"/>
                <w:b/>
                <w:szCs w:val="24"/>
              </w:rPr>
              <w:t>3.</w:t>
            </w:r>
          </w:p>
          <w:p w:rsidR="004A13CB" w:rsidRPr="008B4D54" w:rsidRDefault="004A13CB" w:rsidP="004A13CB">
            <w:pPr>
              <w:jc w:val="both"/>
              <w:rPr>
                <w:rFonts w:ascii="Arial" w:hAnsi="Arial" w:cs="Arial"/>
                <w:szCs w:val="24"/>
              </w:rPr>
            </w:pPr>
          </w:p>
        </w:tc>
        <w:tc>
          <w:tcPr>
            <w:tcW w:w="8789" w:type="dxa"/>
          </w:tcPr>
          <w:p w:rsidR="004A13CB" w:rsidRDefault="004A13CB" w:rsidP="004A13CB">
            <w:pPr>
              <w:jc w:val="both"/>
              <w:rPr>
                <w:rFonts w:ascii="Arial" w:hAnsi="Arial" w:cs="Arial"/>
                <w:b/>
                <w:szCs w:val="24"/>
              </w:rPr>
            </w:pPr>
            <w:r w:rsidRPr="00CD28C3">
              <w:rPr>
                <w:rFonts w:ascii="Arial" w:hAnsi="Arial" w:cs="Arial"/>
                <w:b/>
                <w:szCs w:val="24"/>
              </w:rPr>
              <w:t xml:space="preserve">Financial Performance </w:t>
            </w:r>
            <w:r w:rsidR="005256D7">
              <w:rPr>
                <w:rFonts w:ascii="Arial" w:hAnsi="Arial" w:cs="Arial"/>
                <w:b/>
                <w:szCs w:val="24"/>
              </w:rPr>
              <w:t>for Quarter 1 2018</w:t>
            </w:r>
            <w:r w:rsidR="007D22CE">
              <w:rPr>
                <w:rFonts w:ascii="Arial" w:hAnsi="Arial" w:cs="Arial"/>
                <w:b/>
                <w:szCs w:val="24"/>
              </w:rPr>
              <w:t>/1</w:t>
            </w:r>
            <w:r w:rsidR="005256D7">
              <w:rPr>
                <w:rFonts w:ascii="Arial" w:hAnsi="Arial" w:cs="Arial"/>
                <w:b/>
                <w:szCs w:val="24"/>
              </w:rPr>
              <w:t>9</w:t>
            </w:r>
          </w:p>
          <w:p w:rsidR="004A13CB" w:rsidRDefault="004A13CB" w:rsidP="004A13CB">
            <w:pPr>
              <w:jc w:val="both"/>
              <w:rPr>
                <w:rFonts w:ascii="Arial" w:hAnsi="Arial" w:cs="Arial"/>
                <w:szCs w:val="24"/>
              </w:rPr>
            </w:pPr>
          </w:p>
        </w:tc>
      </w:tr>
      <w:tr w:rsidR="00A53534" w:rsidRPr="0089449E" w:rsidTr="001B2922">
        <w:tc>
          <w:tcPr>
            <w:tcW w:w="817" w:type="dxa"/>
          </w:tcPr>
          <w:p w:rsidR="00CD28C3" w:rsidRDefault="00CD28C3" w:rsidP="00472040">
            <w:pPr>
              <w:jc w:val="both"/>
              <w:rPr>
                <w:rFonts w:ascii="Arial" w:hAnsi="Arial" w:cs="Arial"/>
                <w:szCs w:val="24"/>
              </w:rPr>
            </w:pPr>
            <w:r w:rsidRPr="00CD28C3">
              <w:rPr>
                <w:rFonts w:ascii="Arial" w:hAnsi="Arial" w:cs="Arial"/>
                <w:szCs w:val="24"/>
              </w:rPr>
              <w:t>3.1</w:t>
            </w:r>
          </w:p>
          <w:p w:rsidR="00B9658E" w:rsidRDefault="00B9658E" w:rsidP="00472040">
            <w:pPr>
              <w:jc w:val="both"/>
              <w:rPr>
                <w:rFonts w:ascii="Arial" w:hAnsi="Arial" w:cs="Arial"/>
                <w:szCs w:val="24"/>
              </w:rPr>
            </w:pPr>
          </w:p>
          <w:p w:rsidR="00542E12" w:rsidRDefault="00653556" w:rsidP="00472040">
            <w:pPr>
              <w:jc w:val="both"/>
              <w:rPr>
                <w:rFonts w:ascii="Arial" w:hAnsi="Arial" w:cs="Arial"/>
                <w:szCs w:val="24"/>
              </w:rPr>
            </w:pPr>
            <w:r>
              <w:rPr>
                <w:rFonts w:ascii="Arial" w:hAnsi="Arial" w:cs="Arial"/>
                <w:szCs w:val="24"/>
              </w:rPr>
              <w:t>3.2</w:t>
            </w:r>
          </w:p>
          <w:p w:rsidR="00542E12" w:rsidRDefault="00542E12" w:rsidP="00472040">
            <w:pPr>
              <w:jc w:val="both"/>
              <w:rPr>
                <w:rFonts w:ascii="Arial" w:hAnsi="Arial" w:cs="Arial"/>
                <w:szCs w:val="24"/>
              </w:rPr>
            </w:pPr>
          </w:p>
          <w:p w:rsidR="00542E12" w:rsidRDefault="00542E12" w:rsidP="00472040">
            <w:pPr>
              <w:jc w:val="both"/>
              <w:rPr>
                <w:rFonts w:ascii="Arial" w:hAnsi="Arial" w:cs="Arial"/>
                <w:szCs w:val="24"/>
              </w:rPr>
            </w:pPr>
          </w:p>
          <w:p w:rsidR="000757C8" w:rsidRDefault="000757C8" w:rsidP="00472040">
            <w:pPr>
              <w:jc w:val="both"/>
              <w:rPr>
                <w:rFonts w:ascii="Arial" w:hAnsi="Arial" w:cs="Arial"/>
                <w:szCs w:val="24"/>
              </w:rPr>
            </w:pPr>
          </w:p>
          <w:p w:rsidR="00B71E7C" w:rsidRDefault="00B71E7C" w:rsidP="00472040">
            <w:pPr>
              <w:jc w:val="both"/>
              <w:rPr>
                <w:rFonts w:ascii="Arial" w:hAnsi="Arial" w:cs="Arial"/>
                <w:szCs w:val="24"/>
              </w:rPr>
            </w:pPr>
          </w:p>
          <w:p w:rsidR="00EC352D" w:rsidRPr="00CD28C3" w:rsidRDefault="00653556" w:rsidP="000757C8">
            <w:pPr>
              <w:jc w:val="both"/>
              <w:rPr>
                <w:rFonts w:ascii="Arial" w:hAnsi="Arial" w:cs="Arial"/>
                <w:szCs w:val="24"/>
              </w:rPr>
            </w:pPr>
            <w:r>
              <w:rPr>
                <w:rFonts w:ascii="Arial" w:hAnsi="Arial" w:cs="Arial"/>
                <w:szCs w:val="24"/>
              </w:rPr>
              <w:t>3.3</w:t>
            </w:r>
          </w:p>
        </w:tc>
        <w:tc>
          <w:tcPr>
            <w:tcW w:w="8789" w:type="dxa"/>
          </w:tcPr>
          <w:p w:rsidR="00653556" w:rsidRDefault="00653556" w:rsidP="000757C8">
            <w:pPr>
              <w:contextualSpacing/>
              <w:jc w:val="both"/>
              <w:rPr>
                <w:rFonts w:ascii="Arial" w:hAnsi="Arial" w:cs="Arial"/>
                <w:szCs w:val="24"/>
              </w:rPr>
            </w:pPr>
            <w:r>
              <w:rPr>
                <w:rFonts w:ascii="Arial" w:hAnsi="Arial" w:cs="Arial"/>
                <w:szCs w:val="24"/>
              </w:rPr>
              <w:t>The out-turn figur</w:t>
            </w:r>
            <w:r w:rsidR="005256D7">
              <w:rPr>
                <w:rFonts w:ascii="Arial" w:hAnsi="Arial" w:cs="Arial"/>
                <w:szCs w:val="24"/>
              </w:rPr>
              <w:t>e for the period to 30 June 2018</w:t>
            </w:r>
            <w:r>
              <w:rPr>
                <w:rFonts w:ascii="Arial" w:hAnsi="Arial" w:cs="Arial"/>
                <w:szCs w:val="24"/>
              </w:rPr>
              <w:t xml:space="preserve"> has been prepared</w:t>
            </w:r>
            <w:r w:rsidR="00342F9D">
              <w:rPr>
                <w:rFonts w:ascii="Arial" w:hAnsi="Arial" w:cs="Arial"/>
                <w:szCs w:val="24"/>
              </w:rPr>
              <w:t>.</w:t>
            </w:r>
          </w:p>
          <w:p w:rsidR="00653556" w:rsidRDefault="00653556" w:rsidP="000757C8">
            <w:pPr>
              <w:contextualSpacing/>
              <w:jc w:val="both"/>
              <w:rPr>
                <w:rFonts w:ascii="Arial" w:hAnsi="Arial" w:cs="Arial"/>
                <w:szCs w:val="24"/>
              </w:rPr>
            </w:pPr>
          </w:p>
          <w:p w:rsidR="000757C8" w:rsidRPr="000757C8" w:rsidRDefault="00635750" w:rsidP="000757C8">
            <w:pPr>
              <w:contextualSpacing/>
              <w:jc w:val="both"/>
              <w:rPr>
                <w:rFonts w:ascii="Arial" w:eastAsia="Calibri" w:hAnsi="Arial" w:cs="Arial"/>
                <w:b/>
                <w:szCs w:val="24"/>
                <w:lang w:eastAsia="en-US"/>
              </w:rPr>
            </w:pPr>
            <w:r>
              <w:rPr>
                <w:rFonts w:ascii="Arial" w:hAnsi="Arial" w:cs="Arial"/>
                <w:szCs w:val="24"/>
              </w:rPr>
              <w:t xml:space="preserve">The </w:t>
            </w:r>
            <w:r w:rsidR="00342F9D">
              <w:rPr>
                <w:rFonts w:ascii="Arial" w:hAnsi="Arial" w:cs="Arial"/>
                <w:szCs w:val="24"/>
              </w:rPr>
              <w:t>c</w:t>
            </w:r>
            <w:r w:rsidR="00653556">
              <w:rPr>
                <w:rFonts w:ascii="Arial" w:hAnsi="Arial" w:cs="Arial"/>
                <w:szCs w:val="24"/>
              </w:rPr>
              <w:t>onsolidated financial performance</w:t>
            </w:r>
            <w:r w:rsidR="000757C8" w:rsidRPr="000757C8">
              <w:rPr>
                <w:rFonts w:ascii="Arial" w:eastAsia="Calibri" w:hAnsi="Arial" w:cs="Arial"/>
                <w:szCs w:val="24"/>
                <w:lang w:eastAsia="en-US"/>
              </w:rPr>
              <w:t xml:space="preserve">, </w:t>
            </w:r>
            <w:r w:rsidR="007D22CE">
              <w:rPr>
                <w:rFonts w:ascii="Arial" w:eastAsia="Calibri" w:hAnsi="Arial" w:cs="Arial"/>
                <w:szCs w:val="24"/>
                <w:lang w:eastAsia="en-US"/>
              </w:rPr>
              <w:t>report</w:t>
            </w:r>
            <w:r w:rsidR="00653556">
              <w:rPr>
                <w:rFonts w:ascii="Arial" w:eastAsia="Calibri" w:hAnsi="Arial" w:cs="Arial"/>
                <w:szCs w:val="24"/>
                <w:lang w:eastAsia="en-US"/>
              </w:rPr>
              <w:t>s</w:t>
            </w:r>
            <w:r w:rsidR="007D22CE">
              <w:rPr>
                <w:rFonts w:ascii="Arial" w:eastAsia="Calibri" w:hAnsi="Arial" w:cs="Arial"/>
                <w:szCs w:val="24"/>
                <w:lang w:eastAsia="en-US"/>
              </w:rPr>
              <w:t xml:space="preserve"> £</w:t>
            </w:r>
            <w:r w:rsidR="00BA3ED8">
              <w:rPr>
                <w:rFonts w:ascii="Arial" w:eastAsia="Calibri" w:hAnsi="Arial" w:cs="Arial"/>
                <w:szCs w:val="24"/>
                <w:lang w:eastAsia="en-US"/>
              </w:rPr>
              <w:t>71,446</w:t>
            </w:r>
            <w:r w:rsidR="00CF5E97">
              <w:rPr>
                <w:rFonts w:ascii="Arial" w:eastAsia="Calibri" w:hAnsi="Arial" w:cs="Arial"/>
                <w:szCs w:val="24"/>
                <w:lang w:eastAsia="en-US"/>
              </w:rPr>
              <w:t xml:space="preserve"> positive to budget</w:t>
            </w:r>
            <w:r w:rsidR="007D22CE">
              <w:rPr>
                <w:rFonts w:ascii="Arial" w:eastAsia="Calibri" w:hAnsi="Arial" w:cs="Arial"/>
                <w:szCs w:val="24"/>
                <w:lang w:eastAsia="en-US"/>
              </w:rPr>
              <w:t xml:space="preserve"> as detailed in </w:t>
            </w:r>
            <w:r w:rsidR="000757C8" w:rsidRPr="000757C8">
              <w:rPr>
                <w:rFonts w:ascii="Arial" w:eastAsia="Calibri" w:hAnsi="Arial" w:cs="Arial"/>
                <w:b/>
                <w:szCs w:val="24"/>
                <w:lang w:eastAsia="en-US"/>
              </w:rPr>
              <w:t xml:space="preserve">Appendix A. </w:t>
            </w:r>
            <w:r w:rsidR="000757C8" w:rsidRPr="000757C8">
              <w:rPr>
                <w:rFonts w:ascii="Arial" w:eastAsia="Calibri" w:hAnsi="Arial" w:cs="Arial"/>
                <w:szCs w:val="24"/>
                <w:lang w:eastAsia="en-US"/>
              </w:rPr>
              <w:t xml:space="preserve">The results for the </w:t>
            </w:r>
            <w:r w:rsidR="007D22CE">
              <w:rPr>
                <w:rFonts w:ascii="Arial" w:eastAsia="Calibri" w:hAnsi="Arial" w:cs="Arial"/>
                <w:szCs w:val="24"/>
                <w:lang w:eastAsia="en-US"/>
              </w:rPr>
              <w:t xml:space="preserve">quarter </w:t>
            </w:r>
            <w:r w:rsidR="000757C8" w:rsidRPr="000757C8">
              <w:rPr>
                <w:rFonts w:ascii="Arial" w:eastAsia="Calibri" w:hAnsi="Arial" w:cs="Arial"/>
                <w:szCs w:val="24"/>
                <w:lang w:eastAsia="en-US"/>
              </w:rPr>
              <w:t>are further split by cost categor</w:t>
            </w:r>
            <w:r w:rsidR="00E6115F">
              <w:rPr>
                <w:rFonts w:ascii="Arial" w:eastAsia="Calibri" w:hAnsi="Arial" w:cs="Arial"/>
                <w:szCs w:val="24"/>
                <w:lang w:eastAsia="en-US"/>
              </w:rPr>
              <w:t xml:space="preserve">y (revenues, staff costs, </w:t>
            </w:r>
            <w:proofErr w:type="gramStart"/>
            <w:r w:rsidR="00E6115F">
              <w:rPr>
                <w:rFonts w:ascii="Arial" w:eastAsia="Calibri" w:hAnsi="Arial" w:cs="Arial"/>
                <w:szCs w:val="24"/>
                <w:lang w:eastAsia="en-US"/>
              </w:rPr>
              <w:t>other</w:t>
            </w:r>
            <w:proofErr w:type="gramEnd"/>
            <w:r w:rsidR="00E6115F">
              <w:rPr>
                <w:rFonts w:ascii="Arial" w:eastAsia="Calibri" w:hAnsi="Arial" w:cs="Arial"/>
                <w:szCs w:val="24"/>
                <w:lang w:eastAsia="en-US"/>
              </w:rPr>
              <w:t xml:space="preserve"> </w:t>
            </w:r>
            <w:r w:rsidR="000757C8" w:rsidRPr="000757C8">
              <w:rPr>
                <w:rFonts w:ascii="Arial" w:eastAsia="Calibri" w:hAnsi="Arial" w:cs="Arial"/>
                <w:szCs w:val="24"/>
                <w:lang w:eastAsia="en-US"/>
              </w:rPr>
              <w:t xml:space="preserve">costs) and the 9 business areas in </w:t>
            </w:r>
            <w:r w:rsidR="00FD0010">
              <w:rPr>
                <w:rFonts w:ascii="Arial" w:eastAsia="Calibri" w:hAnsi="Arial" w:cs="Arial"/>
                <w:b/>
                <w:szCs w:val="24"/>
                <w:lang w:eastAsia="en-US"/>
              </w:rPr>
              <w:t>Appendices</w:t>
            </w:r>
            <w:r w:rsidR="000757C8" w:rsidRPr="000757C8">
              <w:rPr>
                <w:rFonts w:ascii="Arial" w:eastAsia="Calibri" w:hAnsi="Arial" w:cs="Arial"/>
                <w:b/>
                <w:szCs w:val="24"/>
                <w:lang w:eastAsia="en-US"/>
              </w:rPr>
              <w:t xml:space="preserve"> B</w:t>
            </w:r>
            <w:r w:rsidR="00FD0010">
              <w:rPr>
                <w:rFonts w:ascii="Arial" w:eastAsia="Calibri" w:hAnsi="Arial" w:cs="Arial"/>
                <w:b/>
                <w:szCs w:val="24"/>
                <w:lang w:eastAsia="en-US"/>
              </w:rPr>
              <w:t xml:space="preserve"> and C</w:t>
            </w:r>
            <w:r w:rsidR="00A57DCC">
              <w:rPr>
                <w:rFonts w:ascii="Arial" w:eastAsia="Calibri" w:hAnsi="Arial" w:cs="Arial"/>
                <w:szCs w:val="24"/>
                <w:lang w:eastAsia="en-US"/>
              </w:rPr>
              <w:t>.</w:t>
            </w:r>
          </w:p>
          <w:p w:rsidR="00B0145D" w:rsidRDefault="00635750" w:rsidP="00635750">
            <w:pPr>
              <w:jc w:val="both"/>
              <w:rPr>
                <w:rFonts w:ascii="Arial" w:hAnsi="Arial" w:cs="Arial"/>
                <w:szCs w:val="24"/>
              </w:rPr>
            </w:pPr>
            <w:r>
              <w:rPr>
                <w:rFonts w:ascii="Arial" w:hAnsi="Arial" w:cs="Arial"/>
                <w:szCs w:val="24"/>
              </w:rPr>
              <w:t xml:space="preserve">  </w:t>
            </w:r>
          </w:p>
          <w:p w:rsidR="00342F9D" w:rsidRDefault="00653556" w:rsidP="00FD0010">
            <w:pPr>
              <w:jc w:val="both"/>
              <w:rPr>
                <w:rFonts w:ascii="Arial" w:hAnsi="Arial" w:cs="Arial"/>
                <w:szCs w:val="24"/>
              </w:rPr>
            </w:pPr>
            <w:r w:rsidRPr="00532972">
              <w:rPr>
                <w:rFonts w:ascii="Arial" w:hAnsi="Arial" w:cs="Arial"/>
                <w:szCs w:val="24"/>
              </w:rPr>
              <w:t>A commentary on the major variances (over £5K) is provided at</w:t>
            </w:r>
            <w:r w:rsidRPr="0032499A">
              <w:rPr>
                <w:rFonts w:ascii="Arial" w:hAnsi="Arial" w:cs="Arial"/>
                <w:i/>
                <w:szCs w:val="24"/>
              </w:rPr>
              <w:t xml:space="preserve"> </w:t>
            </w:r>
            <w:r w:rsidRPr="00635750">
              <w:rPr>
                <w:rFonts w:ascii="Arial" w:hAnsi="Arial" w:cs="Arial"/>
                <w:b/>
                <w:szCs w:val="24"/>
              </w:rPr>
              <w:t xml:space="preserve">Appendix </w:t>
            </w:r>
            <w:r w:rsidR="00FD0010">
              <w:rPr>
                <w:rFonts w:ascii="Arial" w:hAnsi="Arial" w:cs="Arial"/>
                <w:b/>
                <w:szCs w:val="24"/>
              </w:rPr>
              <w:t>D</w:t>
            </w:r>
            <w:r>
              <w:rPr>
                <w:rFonts w:ascii="Arial" w:hAnsi="Arial" w:cs="Arial"/>
                <w:szCs w:val="24"/>
              </w:rPr>
              <w:t>.</w:t>
            </w:r>
          </w:p>
          <w:p w:rsidR="00B568F0" w:rsidRPr="002D76CB" w:rsidRDefault="00B568F0" w:rsidP="00FD0010">
            <w:pPr>
              <w:jc w:val="both"/>
              <w:rPr>
                <w:rFonts w:ascii="Arial" w:hAnsi="Arial" w:cs="Arial"/>
                <w:szCs w:val="24"/>
              </w:rPr>
            </w:pPr>
          </w:p>
        </w:tc>
      </w:tr>
      <w:tr w:rsidR="007152A1" w:rsidRPr="0089449E" w:rsidTr="001B2922">
        <w:tc>
          <w:tcPr>
            <w:tcW w:w="817" w:type="dxa"/>
          </w:tcPr>
          <w:p w:rsidR="007152A1" w:rsidRDefault="004A471D" w:rsidP="00B410B3">
            <w:pPr>
              <w:autoSpaceDE w:val="0"/>
              <w:autoSpaceDN w:val="0"/>
              <w:adjustRightInd w:val="0"/>
              <w:rPr>
                <w:rFonts w:ascii="Arial" w:hAnsi="Arial" w:cs="Arial"/>
                <w:b/>
              </w:rPr>
            </w:pPr>
            <w:r>
              <w:rPr>
                <w:rFonts w:ascii="Arial" w:hAnsi="Arial" w:cs="Arial"/>
                <w:b/>
              </w:rPr>
              <w:lastRenderedPageBreak/>
              <w:t>4</w:t>
            </w:r>
            <w:r w:rsidR="007152A1" w:rsidRPr="008A3353">
              <w:rPr>
                <w:rFonts w:ascii="Arial" w:hAnsi="Arial" w:cs="Arial"/>
                <w:b/>
              </w:rPr>
              <w:t>.</w:t>
            </w:r>
          </w:p>
          <w:p w:rsidR="007152A1" w:rsidRDefault="007152A1" w:rsidP="00B410B3">
            <w:pPr>
              <w:autoSpaceDE w:val="0"/>
              <w:autoSpaceDN w:val="0"/>
              <w:adjustRightInd w:val="0"/>
              <w:rPr>
                <w:rFonts w:ascii="Arial" w:hAnsi="Arial" w:cs="Arial"/>
                <w:b/>
              </w:rPr>
            </w:pPr>
          </w:p>
          <w:p w:rsidR="007152A1" w:rsidRDefault="004A471D" w:rsidP="00B410B3">
            <w:pPr>
              <w:autoSpaceDE w:val="0"/>
              <w:autoSpaceDN w:val="0"/>
              <w:adjustRightInd w:val="0"/>
              <w:rPr>
                <w:rFonts w:ascii="Arial" w:hAnsi="Arial" w:cs="Arial"/>
              </w:rPr>
            </w:pPr>
            <w:r>
              <w:rPr>
                <w:rFonts w:ascii="Arial" w:hAnsi="Arial" w:cs="Arial"/>
              </w:rPr>
              <w:t>4</w:t>
            </w:r>
            <w:r w:rsidR="007152A1">
              <w:rPr>
                <w:rFonts w:ascii="Arial" w:hAnsi="Arial" w:cs="Arial"/>
              </w:rPr>
              <w:t>.1</w:t>
            </w:r>
          </w:p>
          <w:p w:rsidR="00866F3D" w:rsidRPr="00C23166" w:rsidRDefault="00866F3D" w:rsidP="00B410B3">
            <w:pPr>
              <w:autoSpaceDE w:val="0"/>
              <w:autoSpaceDN w:val="0"/>
              <w:adjustRightInd w:val="0"/>
              <w:rPr>
                <w:rFonts w:ascii="Arial" w:hAnsi="Arial" w:cs="Arial"/>
              </w:rPr>
            </w:pPr>
          </w:p>
        </w:tc>
        <w:tc>
          <w:tcPr>
            <w:tcW w:w="8789" w:type="dxa"/>
          </w:tcPr>
          <w:p w:rsidR="007152A1" w:rsidRDefault="007152A1" w:rsidP="007152A1">
            <w:pPr>
              <w:autoSpaceDE w:val="0"/>
              <w:autoSpaceDN w:val="0"/>
              <w:adjustRightInd w:val="0"/>
              <w:jc w:val="both"/>
              <w:rPr>
                <w:rFonts w:ascii="Arial" w:hAnsi="Arial" w:cs="Arial"/>
                <w:b/>
                <w:szCs w:val="24"/>
              </w:rPr>
            </w:pPr>
            <w:r>
              <w:rPr>
                <w:rFonts w:ascii="Arial" w:hAnsi="Arial" w:cs="Arial"/>
                <w:b/>
                <w:szCs w:val="24"/>
              </w:rPr>
              <w:t xml:space="preserve">Procurement - </w:t>
            </w:r>
            <w:r w:rsidRPr="00554631">
              <w:rPr>
                <w:rFonts w:ascii="Arial" w:hAnsi="Arial" w:cs="Arial"/>
                <w:b/>
                <w:szCs w:val="24"/>
              </w:rPr>
              <w:t>Tenders Approved/Contracts Awarded</w:t>
            </w:r>
          </w:p>
          <w:p w:rsidR="00940C80" w:rsidRDefault="00940C80" w:rsidP="007152A1">
            <w:pPr>
              <w:autoSpaceDE w:val="0"/>
              <w:autoSpaceDN w:val="0"/>
              <w:adjustRightInd w:val="0"/>
              <w:jc w:val="both"/>
              <w:rPr>
                <w:rFonts w:ascii="Arial" w:hAnsi="Arial" w:cs="Arial"/>
                <w:b/>
                <w:szCs w:val="24"/>
              </w:rPr>
            </w:pPr>
          </w:p>
          <w:tbl>
            <w:tblPr>
              <w:tblStyle w:val="TableGrid"/>
              <w:tblW w:w="84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50"/>
              <w:gridCol w:w="3779"/>
              <w:gridCol w:w="1843"/>
            </w:tblGrid>
            <w:tr w:rsidR="00D30448" w:rsidRPr="00AC7F09" w:rsidTr="00A6695F">
              <w:tc>
                <w:tcPr>
                  <w:tcW w:w="2850" w:type="dxa"/>
                </w:tcPr>
                <w:p w:rsidR="00D30448" w:rsidRPr="00B568F0" w:rsidRDefault="00B568F0" w:rsidP="00CB3E48">
                  <w:pPr>
                    <w:rPr>
                      <w:rFonts w:ascii="Arial" w:hAnsi="Arial" w:cs="Arial"/>
                      <w:color w:val="000000" w:themeColor="text1"/>
                      <w:szCs w:val="24"/>
                    </w:rPr>
                  </w:pPr>
                  <w:r w:rsidRPr="00B568F0">
                    <w:rPr>
                      <w:rFonts w:ascii="Arial" w:hAnsi="Arial" w:cs="Arial"/>
                      <w:color w:val="000000" w:themeColor="text1"/>
                      <w:szCs w:val="24"/>
                    </w:rPr>
                    <w:t>Ad Hoc Library Materials</w:t>
                  </w:r>
                </w:p>
              </w:tc>
              <w:tc>
                <w:tcPr>
                  <w:tcW w:w="3779" w:type="dxa"/>
                </w:tcPr>
                <w:p w:rsidR="00D30448" w:rsidRPr="00B568F0" w:rsidRDefault="00B568F0" w:rsidP="00CB3E48">
                  <w:pPr>
                    <w:rPr>
                      <w:rFonts w:ascii="Arial" w:hAnsi="Arial" w:cs="Arial"/>
                      <w:color w:val="000000" w:themeColor="text1"/>
                      <w:szCs w:val="24"/>
                    </w:rPr>
                  </w:pPr>
                  <w:proofErr w:type="spellStart"/>
                  <w:r w:rsidRPr="00B568F0">
                    <w:rPr>
                      <w:rFonts w:ascii="Arial" w:hAnsi="Arial" w:cs="Arial"/>
                      <w:color w:val="000000" w:themeColor="text1"/>
                      <w:szCs w:val="24"/>
                    </w:rPr>
                    <w:t>Achins</w:t>
                  </w:r>
                  <w:proofErr w:type="spellEnd"/>
                  <w:r w:rsidRPr="00B568F0">
                    <w:rPr>
                      <w:rFonts w:ascii="Arial" w:hAnsi="Arial" w:cs="Arial"/>
                      <w:color w:val="000000" w:themeColor="text1"/>
                      <w:szCs w:val="24"/>
                    </w:rPr>
                    <w:t xml:space="preserve"> Bookshop</w:t>
                  </w:r>
                </w:p>
              </w:tc>
              <w:tc>
                <w:tcPr>
                  <w:tcW w:w="1843" w:type="dxa"/>
                </w:tcPr>
                <w:p w:rsidR="00D30448" w:rsidRPr="00B568F0" w:rsidRDefault="00B568F0" w:rsidP="00A44567">
                  <w:pPr>
                    <w:rPr>
                      <w:rFonts w:ascii="Arial" w:hAnsi="Arial" w:cs="Arial"/>
                      <w:color w:val="000000" w:themeColor="text1"/>
                      <w:szCs w:val="24"/>
                    </w:rPr>
                  </w:pPr>
                  <w:r w:rsidRPr="00B568F0">
                    <w:rPr>
                      <w:rFonts w:ascii="Arial" w:hAnsi="Arial" w:cs="Arial"/>
                      <w:color w:val="000000" w:themeColor="text1"/>
                      <w:szCs w:val="24"/>
                    </w:rPr>
                    <w:t>£50K</w:t>
                  </w:r>
                </w:p>
              </w:tc>
            </w:tr>
          </w:tbl>
          <w:p w:rsidR="00DE661F" w:rsidRDefault="00DE661F" w:rsidP="007152A1">
            <w:pPr>
              <w:rPr>
                <w:rFonts w:ascii="Arial" w:hAnsi="Arial" w:cs="Arial"/>
                <w:b/>
              </w:rPr>
            </w:pPr>
          </w:p>
        </w:tc>
      </w:tr>
      <w:tr w:rsidR="00E5302E" w:rsidRPr="0089449E" w:rsidTr="001B2922">
        <w:tc>
          <w:tcPr>
            <w:tcW w:w="817" w:type="dxa"/>
          </w:tcPr>
          <w:p w:rsidR="00E5302E" w:rsidRPr="00BA3ED8" w:rsidRDefault="00BA3ED8" w:rsidP="00846D14">
            <w:pPr>
              <w:jc w:val="both"/>
              <w:rPr>
                <w:rFonts w:ascii="Arial" w:hAnsi="Arial" w:cs="Arial"/>
                <w:b/>
                <w:szCs w:val="24"/>
              </w:rPr>
            </w:pPr>
            <w:r w:rsidRPr="00BA3ED8">
              <w:rPr>
                <w:rFonts w:ascii="Arial" w:hAnsi="Arial" w:cs="Arial"/>
                <w:b/>
                <w:szCs w:val="24"/>
              </w:rPr>
              <w:t>5.</w:t>
            </w:r>
          </w:p>
        </w:tc>
        <w:tc>
          <w:tcPr>
            <w:tcW w:w="8789" w:type="dxa"/>
          </w:tcPr>
          <w:p w:rsidR="005256D7" w:rsidRDefault="00BA3ED8" w:rsidP="006909C6">
            <w:pPr>
              <w:autoSpaceDE w:val="0"/>
              <w:autoSpaceDN w:val="0"/>
              <w:adjustRightInd w:val="0"/>
              <w:jc w:val="both"/>
              <w:rPr>
                <w:rFonts w:ascii="Arial" w:hAnsi="Arial" w:cs="Arial"/>
                <w:b/>
              </w:rPr>
            </w:pPr>
            <w:r>
              <w:rPr>
                <w:rFonts w:ascii="Arial" w:hAnsi="Arial" w:cs="Arial"/>
                <w:b/>
              </w:rPr>
              <w:t>Internal Controls</w:t>
            </w:r>
          </w:p>
          <w:p w:rsidR="00BA3ED8" w:rsidRPr="00BA3ED8" w:rsidRDefault="00BA3ED8" w:rsidP="006909C6">
            <w:pPr>
              <w:autoSpaceDE w:val="0"/>
              <w:autoSpaceDN w:val="0"/>
              <w:adjustRightInd w:val="0"/>
              <w:jc w:val="both"/>
              <w:rPr>
                <w:rFonts w:ascii="Arial" w:hAnsi="Arial" w:cs="Arial"/>
                <w:b/>
              </w:rPr>
            </w:pPr>
          </w:p>
        </w:tc>
      </w:tr>
      <w:tr w:rsidR="00BA3ED8" w:rsidRPr="0089449E" w:rsidTr="001B2922">
        <w:tc>
          <w:tcPr>
            <w:tcW w:w="817" w:type="dxa"/>
          </w:tcPr>
          <w:p w:rsidR="00BA3ED8" w:rsidRPr="00BA3ED8" w:rsidRDefault="00BA3ED8" w:rsidP="00846D14">
            <w:pPr>
              <w:jc w:val="both"/>
              <w:rPr>
                <w:rFonts w:ascii="Arial" w:hAnsi="Arial" w:cs="Arial"/>
                <w:szCs w:val="24"/>
              </w:rPr>
            </w:pPr>
            <w:r w:rsidRPr="00BA3ED8">
              <w:rPr>
                <w:rFonts w:ascii="Arial" w:hAnsi="Arial" w:cs="Arial"/>
                <w:szCs w:val="24"/>
              </w:rPr>
              <w:t>5.1</w:t>
            </w:r>
          </w:p>
        </w:tc>
        <w:tc>
          <w:tcPr>
            <w:tcW w:w="8789" w:type="dxa"/>
          </w:tcPr>
          <w:p w:rsidR="00BA3ED8" w:rsidRDefault="00BA3ED8" w:rsidP="006909C6">
            <w:pPr>
              <w:autoSpaceDE w:val="0"/>
              <w:autoSpaceDN w:val="0"/>
              <w:adjustRightInd w:val="0"/>
              <w:jc w:val="both"/>
              <w:rPr>
                <w:rFonts w:ascii="Arial" w:hAnsi="Arial" w:cs="Arial"/>
              </w:rPr>
            </w:pPr>
            <w:r w:rsidRPr="00BA3ED8">
              <w:rPr>
                <w:rFonts w:ascii="Arial" w:hAnsi="Arial" w:cs="Arial"/>
              </w:rPr>
              <w:t>There was no breach of internal controls to report in the quarter.</w:t>
            </w:r>
          </w:p>
          <w:p w:rsidR="008E71BB" w:rsidRPr="00BA3ED8" w:rsidRDefault="008E71BB" w:rsidP="006909C6">
            <w:pPr>
              <w:autoSpaceDE w:val="0"/>
              <w:autoSpaceDN w:val="0"/>
              <w:adjustRightInd w:val="0"/>
              <w:jc w:val="both"/>
              <w:rPr>
                <w:rFonts w:ascii="Arial" w:hAnsi="Arial" w:cs="Arial"/>
              </w:rPr>
            </w:pPr>
          </w:p>
        </w:tc>
      </w:tr>
      <w:tr w:rsidR="00BA3ED8" w:rsidRPr="0089449E" w:rsidTr="001B2922">
        <w:tc>
          <w:tcPr>
            <w:tcW w:w="817" w:type="dxa"/>
          </w:tcPr>
          <w:p w:rsidR="008E71BB" w:rsidRDefault="008E71BB" w:rsidP="00846D14">
            <w:pPr>
              <w:jc w:val="both"/>
              <w:rPr>
                <w:rFonts w:ascii="Arial" w:hAnsi="Arial" w:cs="Arial"/>
                <w:b/>
                <w:szCs w:val="24"/>
              </w:rPr>
            </w:pPr>
            <w:r>
              <w:rPr>
                <w:rFonts w:ascii="Arial" w:hAnsi="Arial" w:cs="Arial"/>
                <w:b/>
                <w:szCs w:val="24"/>
              </w:rPr>
              <w:t>6.</w:t>
            </w:r>
          </w:p>
        </w:tc>
        <w:tc>
          <w:tcPr>
            <w:tcW w:w="8789" w:type="dxa"/>
          </w:tcPr>
          <w:p w:rsidR="008E71BB" w:rsidRDefault="008E71BB" w:rsidP="006909C6">
            <w:pPr>
              <w:autoSpaceDE w:val="0"/>
              <w:autoSpaceDN w:val="0"/>
              <w:adjustRightInd w:val="0"/>
              <w:jc w:val="both"/>
              <w:rPr>
                <w:rFonts w:ascii="Arial" w:hAnsi="Arial" w:cs="Arial"/>
                <w:b/>
              </w:rPr>
            </w:pPr>
            <w:r>
              <w:rPr>
                <w:rFonts w:ascii="Arial" w:hAnsi="Arial" w:cs="Arial"/>
                <w:b/>
              </w:rPr>
              <w:t>Teckal Compliance – Annual Statement</w:t>
            </w:r>
          </w:p>
          <w:p w:rsidR="008E71BB" w:rsidRDefault="008E71BB" w:rsidP="006909C6">
            <w:pPr>
              <w:autoSpaceDE w:val="0"/>
              <w:autoSpaceDN w:val="0"/>
              <w:adjustRightInd w:val="0"/>
              <w:jc w:val="both"/>
              <w:rPr>
                <w:rFonts w:ascii="Arial" w:hAnsi="Arial" w:cs="Arial"/>
                <w:b/>
              </w:rPr>
            </w:pPr>
          </w:p>
        </w:tc>
      </w:tr>
      <w:tr w:rsidR="00BA3ED8" w:rsidRPr="0089449E" w:rsidTr="001B2922">
        <w:tc>
          <w:tcPr>
            <w:tcW w:w="817" w:type="dxa"/>
          </w:tcPr>
          <w:p w:rsidR="008E71BB" w:rsidRPr="008E71BB" w:rsidRDefault="008E71BB" w:rsidP="00846D14">
            <w:pPr>
              <w:jc w:val="both"/>
              <w:rPr>
                <w:rFonts w:ascii="Arial" w:hAnsi="Arial" w:cs="Arial"/>
                <w:szCs w:val="24"/>
              </w:rPr>
            </w:pPr>
            <w:r>
              <w:rPr>
                <w:rFonts w:ascii="Arial" w:hAnsi="Arial" w:cs="Arial"/>
                <w:szCs w:val="24"/>
              </w:rPr>
              <w:t>6.1</w:t>
            </w:r>
          </w:p>
        </w:tc>
        <w:tc>
          <w:tcPr>
            <w:tcW w:w="8789" w:type="dxa"/>
          </w:tcPr>
          <w:p w:rsidR="00BA3ED8" w:rsidRDefault="008E71BB" w:rsidP="006909C6">
            <w:pPr>
              <w:autoSpaceDE w:val="0"/>
              <w:autoSpaceDN w:val="0"/>
              <w:adjustRightInd w:val="0"/>
              <w:jc w:val="both"/>
              <w:rPr>
                <w:rFonts w:ascii="Arial" w:hAnsi="Arial" w:cs="Arial"/>
              </w:rPr>
            </w:pPr>
            <w:r>
              <w:rPr>
                <w:rFonts w:ascii="Arial" w:hAnsi="Arial" w:cs="Arial"/>
              </w:rPr>
              <w:t>Among other requirements, an Arm’s Length Organisation such as HLH is “Teckal Compliant” if at least 80% of the activity (turnover) of the Teckal company is for its public sector owners.  This allows for up to 20% trading with third parties outside of their “Teckal” contract.</w:t>
            </w:r>
          </w:p>
          <w:p w:rsidR="008E71BB" w:rsidRPr="008E71BB" w:rsidRDefault="008E71BB" w:rsidP="006909C6">
            <w:pPr>
              <w:autoSpaceDE w:val="0"/>
              <w:autoSpaceDN w:val="0"/>
              <w:adjustRightInd w:val="0"/>
              <w:jc w:val="both"/>
              <w:rPr>
                <w:rFonts w:ascii="Arial" w:hAnsi="Arial" w:cs="Arial"/>
              </w:rPr>
            </w:pPr>
          </w:p>
        </w:tc>
      </w:tr>
      <w:tr w:rsidR="00BA3ED8" w:rsidRPr="0089449E" w:rsidTr="001B2922">
        <w:tc>
          <w:tcPr>
            <w:tcW w:w="817" w:type="dxa"/>
          </w:tcPr>
          <w:p w:rsidR="00BA3ED8" w:rsidRDefault="008E71BB" w:rsidP="00846D14">
            <w:pPr>
              <w:jc w:val="both"/>
              <w:rPr>
                <w:rFonts w:ascii="Arial" w:hAnsi="Arial" w:cs="Arial"/>
                <w:szCs w:val="24"/>
              </w:rPr>
            </w:pPr>
            <w:r>
              <w:rPr>
                <w:rFonts w:ascii="Arial" w:hAnsi="Arial" w:cs="Arial"/>
                <w:szCs w:val="24"/>
              </w:rPr>
              <w:t>6.2</w:t>
            </w:r>
          </w:p>
          <w:p w:rsidR="008E71BB" w:rsidRPr="008E71BB" w:rsidRDefault="008E71BB" w:rsidP="00846D14">
            <w:pPr>
              <w:jc w:val="both"/>
              <w:rPr>
                <w:rFonts w:ascii="Arial" w:hAnsi="Arial" w:cs="Arial"/>
                <w:szCs w:val="24"/>
              </w:rPr>
            </w:pPr>
          </w:p>
        </w:tc>
        <w:tc>
          <w:tcPr>
            <w:tcW w:w="8789" w:type="dxa"/>
          </w:tcPr>
          <w:p w:rsidR="00BA3ED8" w:rsidRDefault="008E71BB" w:rsidP="006909C6">
            <w:pPr>
              <w:autoSpaceDE w:val="0"/>
              <w:autoSpaceDN w:val="0"/>
              <w:adjustRightInd w:val="0"/>
              <w:jc w:val="both"/>
              <w:rPr>
                <w:rFonts w:ascii="Arial" w:hAnsi="Arial" w:cs="Arial"/>
              </w:rPr>
            </w:pPr>
            <w:r>
              <w:rPr>
                <w:rFonts w:ascii="Arial" w:hAnsi="Arial" w:cs="Arial"/>
              </w:rPr>
              <w:t>An assessment, as part of the year end procedure, was carried out to ensure that HLH is operating within the so called Teckal parameters in respect of the two key tests 1) Control test and 2) Functional test.</w:t>
            </w:r>
          </w:p>
          <w:p w:rsidR="008E71BB" w:rsidRPr="008E71BB" w:rsidRDefault="008E71BB" w:rsidP="006909C6">
            <w:pPr>
              <w:autoSpaceDE w:val="0"/>
              <w:autoSpaceDN w:val="0"/>
              <w:adjustRightInd w:val="0"/>
              <w:jc w:val="both"/>
              <w:rPr>
                <w:rFonts w:ascii="Arial" w:hAnsi="Arial" w:cs="Arial"/>
              </w:rPr>
            </w:pPr>
          </w:p>
        </w:tc>
      </w:tr>
      <w:tr w:rsidR="008E71BB" w:rsidRPr="0089449E" w:rsidTr="001B2922">
        <w:tc>
          <w:tcPr>
            <w:tcW w:w="817" w:type="dxa"/>
          </w:tcPr>
          <w:p w:rsidR="008E71BB" w:rsidRDefault="008E71BB" w:rsidP="00846D14">
            <w:pPr>
              <w:jc w:val="both"/>
              <w:rPr>
                <w:rFonts w:ascii="Arial" w:hAnsi="Arial" w:cs="Arial"/>
                <w:szCs w:val="24"/>
              </w:rPr>
            </w:pPr>
            <w:r>
              <w:rPr>
                <w:rFonts w:ascii="Arial" w:hAnsi="Arial" w:cs="Arial"/>
                <w:szCs w:val="24"/>
              </w:rPr>
              <w:t>6.3</w:t>
            </w:r>
          </w:p>
        </w:tc>
        <w:tc>
          <w:tcPr>
            <w:tcW w:w="8789" w:type="dxa"/>
          </w:tcPr>
          <w:p w:rsidR="008E71BB" w:rsidRDefault="008E71BB" w:rsidP="006909C6">
            <w:pPr>
              <w:autoSpaceDE w:val="0"/>
              <w:autoSpaceDN w:val="0"/>
              <w:adjustRightInd w:val="0"/>
              <w:jc w:val="both"/>
              <w:rPr>
                <w:rFonts w:ascii="Arial" w:hAnsi="Arial" w:cs="Arial"/>
              </w:rPr>
            </w:pPr>
            <w:r>
              <w:rPr>
                <w:rFonts w:ascii="Arial" w:hAnsi="Arial" w:cs="Arial"/>
              </w:rPr>
              <w:t>The assessment confirms that 99% of HLH turnover for 2017/18 was generated as a result of work undertaken for The Highland Council and that HLH is operating well within the parameters with the 2018/19 budget projecting a similar level of operation.</w:t>
            </w:r>
          </w:p>
        </w:tc>
      </w:tr>
      <w:tr w:rsidR="006909C6" w:rsidRPr="0089449E" w:rsidTr="001B2922">
        <w:tc>
          <w:tcPr>
            <w:tcW w:w="817" w:type="dxa"/>
          </w:tcPr>
          <w:p w:rsidR="004159F5" w:rsidRDefault="004159F5" w:rsidP="00846D14">
            <w:pPr>
              <w:jc w:val="both"/>
              <w:rPr>
                <w:rFonts w:ascii="Arial" w:hAnsi="Arial" w:cs="Arial"/>
                <w:b/>
                <w:szCs w:val="24"/>
              </w:rPr>
            </w:pPr>
          </w:p>
          <w:p w:rsidR="006909C6" w:rsidRDefault="008E71BB" w:rsidP="00846D14">
            <w:pPr>
              <w:jc w:val="both"/>
              <w:rPr>
                <w:rFonts w:ascii="Arial" w:hAnsi="Arial" w:cs="Arial"/>
                <w:b/>
                <w:szCs w:val="24"/>
              </w:rPr>
            </w:pPr>
            <w:r>
              <w:rPr>
                <w:rFonts w:ascii="Arial" w:hAnsi="Arial" w:cs="Arial"/>
                <w:b/>
                <w:szCs w:val="24"/>
              </w:rPr>
              <w:t>7</w:t>
            </w:r>
            <w:r w:rsidR="006909C6">
              <w:rPr>
                <w:rFonts w:ascii="Arial" w:hAnsi="Arial" w:cs="Arial"/>
                <w:b/>
                <w:szCs w:val="24"/>
              </w:rPr>
              <w:t>.</w:t>
            </w:r>
          </w:p>
        </w:tc>
        <w:tc>
          <w:tcPr>
            <w:tcW w:w="8789" w:type="dxa"/>
          </w:tcPr>
          <w:p w:rsidR="004159F5" w:rsidRDefault="004159F5" w:rsidP="006909C6">
            <w:pPr>
              <w:autoSpaceDE w:val="0"/>
              <w:autoSpaceDN w:val="0"/>
              <w:adjustRightInd w:val="0"/>
              <w:jc w:val="both"/>
              <w:rPr>
                <w:rFonts w:ascii="Arial" w:hAnsi="Arial" w:cs="Arial"/>
                <w:b/>
              </w:rPr>
            </w:pPr>
          </w:p>
          <w:p w:rsidR="006909C6" w:rsidRDefault="006909C6" w:rsidP="006909C6">
            <w:pPr>
              <w:autoSpaceDE w:val="0"/>
              <w:autoSpaceDN w:val="0"/>
              <w:adjustRightInd w:val="0"/>
              <w:jc w:val="both"/>
              <w:rPr>
                <w:rFonts w:ascii="Arial" w:hAnsi="Arial" w:cs="Arial"/>
                <w:b/>
              </w:rPr>
            </w:pPr>
            <w:r w:rsidRPr="008A3353">
              <w:rPr>
                <w:rFonts w:ascii="Arial" w:hAnsi="Arial" w:cs="Arial"/>
                <w:b/>
              </w:rPr>
              <w:t>Implications</w:t>
            </w:r>
          </w:p>
          <w:p w:rsidR="006909C6" w:rsidRPr="008A3353" w:rsidRDefault="006909C6" w:rsidP="00B410B3">
            <w:pPr>
              <w:autoSpaceDE w:val="0"/>
              <w:autoSpaceDN w:val="0"/>
              <w:adjustRightInd w:val="0"/>
              <w:jc w:val="both"/>
              <w:rPr>
                <w:rFonts w:ascii="Arial" w:hAnsi="Arial" w:cs="Arial"/>
                <w:b/>
              </w:rPr>
            </w:pPr>
          </w:p>
        </w:tc>
      </w:tr>
      <w:tr w:rsidR="006909C6" w:rsidRPr="006909C6" w:rsidTr="001B2922">
        <w:tc>
          <w:tcPr>
            <w:tcW w:w="817" w:type="dxa"/>
          </w:tcPr>
          <w:p w:rsidR="006909C6" w:rsidRPr="00342F9D" w:rsidRDefault="008E71BB" w:rsidP="004159F5">
            <w:pPr>
              <w:rPr>
                <w:rFonts w:ascii="Arial" w:hAnsi="Arial" w:cs="Arial"/>
              </w:rPr>
            </w:pPr>
            <w:r>
              <w:rPr>
                <w:rFonts w:ascii="Arial" w:hAnsi="Arial" w:cs="Arial"/>
              </w:rPr>
              <w:t>7</w:t>
            </w:r>
            <w:r w:rsidR="00941634" w:rsidRPr="00342F9D">
              <w:rPr>
                <w:rFonts w:ascii="Arial" w:hAnsi="Arial" w:cs="Arial"/>
              </w:rPr>
              <w:t>.</w:t>
            </w:r>
            <w:r w:rsidR="006909C6" w:rsidRPr="00342F9D">
              <w:rPr>
                <w:rFonts w:ascii="Arial" w:hAnsi="Arial" w:cs="Arial"/>
              </w:rPr>
              <w:t>1</w:t>
            </w:r>
          </w:p>
          <w:p w:rsidR="006909C6" w:rsidRPr="006909C6" w:rsidRDefault="006909C6" w:rsidP="00472040">
            <w:pPr>
              <w:jc w:val="both"/>
              <w:rPr>
                <w:rFonts w:ascii="Arial" w:hAnsi="Arial" w:cs="Arial"/>
                <w:szCs w:val="24"/>
              </w:rPr>
            </w:pPr>
          </w:p>
          <w:p w:rsidR="000C449D" w:rsidRDefault="000C449D" w:rsidP="00472040">
            <w:pPr>
              <w:jc w:val="both"/>
              <w:rPr>
                <w:rFonts w:ascii="Arial" w:hAnsi="Arial" w:cs="Arial"/>
                <w:szCs w:val="24"/>
              </w:rPr>
            </w:pPr>
          </w:p>
          <w:p w:rsidR="006909C6" w:rsidRPr="006909C6" w:rsidRDefault="008E71BB" w:rsidP="00472040">
            <w:pPr>
              <w:jc w:val="both"/>
              <w:rPr>
                <w:rFonts w:ascii="Arial" w:hAnsi="Arial" w:cs="Arial"/>
                <w:szCs w:val="24"/>
              </w:rPr>
            </w:pPr>
            <w:r>
              <w:rPr>
                <w:rFonts w:ascii="Arial" w:hAnsi="Arial" w:cs="Arial"/>
                <w:szCs w:val="24"/>
              </w:rPr>
              <w:t>7</w:t>
            </w:r>
            <w:r w:rsidR="0055791C">
              <w:rPr>
                <w:rFonts w:ascii="Arial" w:hAnsi="Arial" w:cs="Arial"/>
                <w:szCs w:val="24"/>
              </w:rPr>
              <w:t>.</w:t>
            </w:r>
            <w:r w:rsidR="006909C6" w:rsidRPr="006909C6">
              <w:rPr>
                <w:rFonts w:ascii="Arial" w:hAnsi="Arial" w:cs="Arial"/>
                <w:szCs w:val="24"/>
              </w:rPr>
              <w:t>2</w:t>
            </w:r>
          </w:p>
          <w:p w:rsidR="006909C6" w:rsidRPr="006909C6" w:rsidRDefault="006909C6" w:rsidP="00472040">
            <w:pPr>
              <w:jc w:val="both"/>
              <w:rPr>
                <w:rFonts w:ascii="Arial" w:hAnsi="Arial" w:cs="Arial"/>
                <w:szCs w:val="24"/>
              </w:rPr>
            </w:pPr>
          </w:p>
          <w:p w:rsidR="006909C6" w:rsidRPr="006909C6" w:rsidRDefault="006909C6" w:rsidP="00472040">
            <w:pPr>
              <w:jc w:val="both"/>
              <w:rPr>
                <w:rFonts w:ascii="Arial" w:hAnsi="Arial" w:cs="Arial"/>
                <w:szCs w:val="24"/>
              </w:rPr>
            </w:pPr>
          </w:p>
          <w:p w:rsidR="006909C6" w:rsidRPr="006909C6" w:rsidRDefault="008E71BB" w:rsidP="00344232">
            <w:pPr>
              <w:jc w:val="both"/>
              <w:rPr>
                <w:rFonts w:ascii="Arial" w:hAnsi="Arial" w:cs="Arial"/>
                <w:szCs w:val="24"/>
              </w:rPr>
            </w:pPr>
            <w:r>
              <w:rPr>
                <w:rFonts w:ascii="Arial" w:hAnsi="Arial" w:cs="Arial"/>
                <w:szCs w:val="24"/>
              </w:rPr>
              <w:t>7</w:t>
            </w:r>
            <w:r w:rsidR="000D70EE">
              <w:rPr>
                <w:rFonts w:ascii="Arial" w:hAnsi="Arial" w:cs="Arial"/>
                <w:szCs w:val="24"/>
              </w:rPr>
              <w:t>.3</w:t>
            </w:r>
          </w:p>
        </w:tc>
        <w:tc>
          <w:tcPr>
            <w:tcW w:w="8789" w:type="dxa"/>
          </w:tcPr>
          <w:p w:rsidR="000C449D" w:rsidRPr="009B0904" w:rsidRDefault="000C449D" w:rsidP="000C449D">
            <w:pPr>
              <w:autoSpaceDE w:val="0"/>
              <w:autoSpaceDN w:val="0"/>
              <w:adjustRightInd w:val="0"/>
              <w:jc w:val="both"/>
              <w:rPr>
                <w:rFonts w:ascii="Arial" w:hAnsi="Arial" w:cs="Arial"/>
              </w:rPr>
            </w:pPr>
            <w:r>
              <w:rPr>
                <w:rFonts w:ascii="Arial" w:hAnsi="Arial" w:cs="Arial"/>
              </w:rPr>
              <w:t xml:space="preserve">Resource Implications – </w:t>
            </w:r>
            <w:r w:rsidRPr="009B0904">
              <w:rPr>
                <w:rFonts w:ascii="Arial" w:hAnsi="Arial" w:cs="Arial"/>
              </w:rPr>
              <w:t>there are no new resource implications arising from the content of this report</w:t>
            </w:r>
          </w:p>
          <w:p w:rsidR="005A3624" w:rsidRPr="006909C6" w:rsidRDefault="005A3624" w:rsidP="006909C6">
            <w:pPr>
              <w:autoSpaceDE w:val="0"/>
              <w:autoSpaceDN w:val="0"/>
              <w:adjustRightInd w:val="0"/>
              <w:jc w:val="both"/>
              <w:rPr>
                <w:rFonts w:ascii="Arial" w:hAnsi="Arial" w:cs="Arial"/>
              </w:rPr>
            </w:pPr>
          </w:p>
          <w:p w:rsidR="006909C6" w:rsidRPr="006909C6" w:rsidRDefault="006909C6" w:rsidP="006909C6">
            <w:pPr>
              <w:autoSpaceDE w:val="0"/>
              <w:autoSpaceDN w:val="0"/>
              <w:adjustRightInd w:val="0"/>
              <w:jc w:val="both"/>
              <w:rPr>
                <w:rFonts w:ascii="Arial" w:hAnsi="Arial" w:cs="Arial"/>
              </w:rPr>
            </w:pPr>
            <w:r w:rsidRPr="006909C6">
              <w:rPr>
                <w:rFonts w:ascii="Arial" w:hAnsi="Arial" w:cs="Arial"/>
              </w:rPr>
              <w:t>Legal Implications – there are no new legal implications arising from the content of this report.</w:t>
            </w:r>
          </w:p>
          <w:p w:rsidR="006909C6" w:rsidRPr="006909C6" w:rsidRDefault="006909C6" w:rsidP="006909C6">
            <w:pPr>
              <w:autoSpaceDE w:val="0"/>
              <w:autoSpaceDN w:val="0"/>
              <w:adjustRightInd w:val="0"/>
              <w:jc w:val="both"/>
              <w:rPr>
                <w:rFonts w:ascii="Arial" w:hAnsi="Arial" w:cs="Arial"/>
              </w:rPr>
            </w:pPr>
          </w:p>
          <w:p w:rsidR="006909C6" w:rsidRPr="006909C6" w:rsidRDefault="006909C6" w:rsidP="008E71BB">
            <w:pPr>
              <w:autoSpaceDE w:val="0"/>
              <w:autoSpaceDN w:val="0"/>
              <w:adjustRightInd w:val="0"/>
              <w:jc w:val="both"/>
              <w:rPr>
                <w:rFonts w:ascii="Arial" w:hAnsi="Arial" w:cs="Arial"/>
              </w:rPr>
            </w:pPr>
            <w:r w:rsidRPr="006909C6">
              <w:rPr>
                <w:rFonts w:ascii="Arial" w:hAnsi="Arial" w:cs="Arial"/>
              </w:rPr>
              <w:t xml:space="preserve">Risk Implications – </w:t>
            </w:r>
            <w:r w:rsidR="005A3624">
              <w:rPr>
                <w:rFonts w:ascii="Arial" w:hAnsi="Arial" w:cs="Arial"/>
              </w:rPr>
              <w:t xml:space="preserve">there </w:t>
            </w:r>
            <w:r w:rsidR="008E71BB">
              <w:rPr>
                <w:rFonts w:ascii="Arial" w:hAnsi="Arial" w:cs="Arial"/>
              </w:rPr>
              <w:t>are no new risk implications arising from the content of this report.</w:t>
            </w:r>
          </w:p>
        </w:tc>
      </w:tr>
    </w:tbl>
    <w:p w:rsidR="00E6170C" w:rsidRDefault="00E6170C" w:rsidP="00532972">
      <w:pPr>
        <w:tabs>
          <w:tab w:val="left" w:pos="1701"/>
        </w:tabs>
        <w:rPr>
          <w:rFonts w:ascii="Arial" w:hAnsi="Arial" w:cs="Arial"/>
          <w:szCs w:val="24"/>
        </w:rPr>
      </w:pPr>
    </w:p>
    <w:tbl>
      <w:tblPr>
        <w:tblStyle w:val="TableGrid"/>
        <w:tblW w:w="0" w:type="auto"/>
        <w:tblLook w:val="04A0" w:firstRow="1" w:lastRow="0" w:firstColumn="1" w:lastColumn="0" w:noHBand="0" w:noVBand="1"/>
      </w:tblPr>
      <w:tblGrid>
        <w:gridCol w:w="9242"/>
      </w:tblGrid>
      <w:tr w:rsidR="00E6170C" w:rsidTr="00542E12">
        <w:tc>
          <w:tcPr>
            <w:tcW w:w="9242" w:type="dxa"/>
          </w:tcPr>
          <w:p w:rsidR="00E6170C" w:rsidRPr="0089449E" w:rsidRDefault="00E6170C" w:rsidP="00542E12">
            <w:pPr>
              <w:pStyle w:val="Heading2"/>
              <w:jc w:val="both"/>
              <w:outlineLvl w:val="1"/>
              <w:rPr>
                <w:rFonts w:ascii="Arial" w:hAnsi="Arial" w:cs="Arial"/>
                <w:b/>
                <w:szCs w:val="24"/>
                <w:u w:val="none"/>
              </w:rPr>
            </w:pPr>
            <w:r>
              <w:rPr>
                <w:rFonts w:ascii="Arial" w:hAnsi="Arial" w:cs="Arial"/>
                <w:b/>
                <w:szCs w:val="24"/>
                <w:u w:val="none"/>
              </w:rPr>
              <w:t>Recommendations</w:t>
            </w:r>
          </w:p>
          <w:p w:rsidR="00E6170C" w:rsidRDefault="00E6170C" w:rsidP="00542E12">
            <w:pPr>
              <w:jc w:val="both"/>
              <w:rPr>
                <w:rFonts w:ascii="Arial" w:hAnsi="Arial" w:cs="Arial"/>
                <w:szCs w:val="24"/>
              </w:rPr>
            </w:pPr>
          </w:p>
          <w:p w:rsidR="008E71BB" w:rsidRPr="000F2276" w:rsidRDefault="008E71BB" w:rsidP="008E71BB">
            <w:pPr>
              <w:jc w:val="both"/>
              <w:rPr>
                <w:rFonts w:ascii="Arial" w:hAnsi="Arial" w:cs="Arial"/>
              </w:rPr>
            </w:pPr>
            <w:r w:rsidRPr="000F2276">
              <w:rPr>
                <w:rFonts w:ascii="Arial" w:hAnsi="Arial" w:cs="Arial"/>
              </w:rPr>
              <w:t>I</w:t>
            </w:r>
            <w:r>
              <w:rPr>
                <w:rFonts w:ascii="Arial" w:hAnsi="Arial" w:cs="Arial"/>
              </w:rPr>
              <w:t>t is recommended that Directors note</w:t>
            </w:r>
            <w:r w:rsidRPr="000F2276">
              <w:rPr>
                <w:rFonts w:ascii="Arial" w:hAnsi="Arial" w:cs="Arial"/>
              </w:rPr>
              <w:t>:</w:t>
            </w:r>
          </w:p>
          <w:p w:rsidR="008E71BB" w:rsidRPr="000F2276" w:rsidRDefault="008E71BB" w:rsidP="008E71BB">
            <w:pPr>
              <w:jc w:val="both"/>
              <w:rPr>
                <w:rFonts w:ascii="Arial" w:hAnsi="Arial" w:cs="Arial"/>
              </w:rPr>
            </w:pPr>
          </w:p>
          <w:p w:rsidR="008E71BB" w:rsidRDefault="008E71BB" w:rsidP="008E71BB">
            <w:pPr>
              <w:numPr>
                <w:ilvl w:val="0"/>
                <w:numId w:val="44"/>
              </w:numPr>
              <w:contextualSpacing/>
              <w:jc w:val="both"/>
              <w:rPr>
                <w:rFonts w:ascii="Arial" w:eastAsia="Calibri" w:hAnsi="Arial" w:cs="Arial"/>
                <w:szCs w:val="24"/>
              </w:rPr>
            </w:pPr>
            <w:r>
              <w:rPr>
                <w:rFonts w:ascii="Arial" w:hAnsi="Arial" w:cs="Arial"/>
                <w:szCs w:val="24"/>
              </w:rPr>
              <w:t>t</w:t>
            </w:r>
            <w:r w:rsidRPr="00CB55D1">
              <w:rPr>
                <w:rFonts w:ascii="Arial" w:hAnsi="Arial" w:cs="Arial"/>
                <w:szCs w:val="24"/>
              </w:rPr>
              <w:t>he</w:t>
            </w:r>
            <w:r>
              <w:rPr>
                <w:rFonts w:ascii="Arial" w:eastAsia="Calibri" w:hAnsi="Arial" w:cs="Arial"/>
                <w:szCs w:val="24"/>
              </w:rPr>
              <w:t xml:space="preserve"> results for the first quarter report a positive variance of £71,446 as detailed in </w:t>
            </w:r>
            <w:r w:rsidRPr="00BA3ED8">
              <w:rPr>
                <w:rFonts w:ascii="Arial" w:eastAsia="Calibri" w:hAnsi="Arial" w:cs="Arial"/>
                <w:b/>
                <w:szCs w:val="24"/>
              </w:rPr>
              <w:t>Appendix A</w:t>
            </w:r>
            <w:r>
              <w:rPr>
                <w:rFonts w:ascii="Arial" w:eastAsia="Calibri" w:hAnsi="Arial" w:cs="Arial"/>
                <w:szCs w:val="24"/>
              </w:rPr>
              <w:t>;</w:t>
            </w:r>
          </w:p>
          <w:p w:rsidR="008E71BB" w:rsidRPr="007A2BD4" w:rsidRDefault="008E71BB" w:rsidP="008E71BB">
            <w:pPr>
              <w:pStyle w:val="ListParagraph"/>
              <w:numPr>
                <w:ilvl w:val="0"/>
                <w:numId w:val="44"/>
              </w:numPr>
              <w:jc w:val="both"/>
              <w:rPr>
                <w:rFonts w:ascii="Arial" w:hAnsi="Arial" w:cs="Arial"/>
                <w:szCs w:val="24"/>
              </w:rPr>
            </w:pPr>
            <w:r w:rsidRPr="00A95BB7">
              <w:rPr>
                <w:rFonts w:ascii="Arial" w:hAnsi="Arial" w:cs="Arial"/>
                <w:sz w:val="24"/>
                <w:szCs w:val="24"/>
              </w:rPr>
              <w:t>the projected final out-turn for the year remains on target to the approved budget</w:t>
            </w:r>
            <w:r>
              <w:rPr>
                <w:rFonts w:ascii="Arial" w:hAnsi="Arial" w:cs="Arial"/>
                <w:sz w:val="24"/>
                <w:szCs w:val="24"/>
              </w:rPr>
              <w:t xml:space="preserve">; </w:t>
            </w:r>
          </w:p>
          <w:p w:rsidR="008E71BB" w:rsidRPr="00342F9D" w:rsidRDefault="008E71BB" w:rsidP="008E71BB">
            <w:pPr>
              <w:pStyle w:val="ListParagraph"/>
              <w:numPr>
                <w:ilvl w:val="0"/>
                <w:numId w:val="44"/>
              </w:numPr>
              <w:jc w:val="both"/>
              <w:rPr>
                <w:rFonts w:ascii="Arial" w:hAnsi="Arial" w:cs="Arial"/>
                <w:sz w:val="24"/>
                <w:szCs w:val="24"/>
              </w:rPr>
            </w:pPr>
            <w:r w:rsidRPr="00137D7A">
              <w:rPr>
                <w:rFonts w:ascii="Arial" w:hAnsi="Arial" w:cs="Arial"/>
                <w:sz w:val="24"/>
                <w:szCs w:val="24"/>
              </w:rPr>
              <w:t xml:space="preserve">the award of contract </w:t>
            </w:r>
            <w:r>
              <w:rPr>
                <w:rFonts w:ascii="Arial" w:hAnsi="Arial" w:cs="Arial"/>
                <w:sz w:val="24"/>
                <w:szCs w:val="24"/>
              </w:rPr>
              <w:t xml:space="preserve">to </w:t>
            </w:r>
            <w:proofErr w:type="spellStart"/>
            <w:r w:rsidR="00B568F0">
              <w:rPr>
                <w:rFonts w:ascii="Arial" w:hAnsi="Arial" w:cs="Arial"/>
                <w:sz w:val="24"/>
                <w:szCs w:val="24"/>
              </w:rPr>
              <w:t>Achins</w:t>
            </w:r>
            <w:proofErr w:type="spellEnd"/>
            <w:r w:rsidR="00B568F0">
              <w:rPr>
                <w:rFonts w:ascii="Arial" w:hAnsi="Arial" w:cs="Arial"/>
                <w:sz w:val="24"/>
                <w:szCs w:val="24"/>
              </w:rPr>
              <w:t xml:space="preserve"> Bookshop</w:t>
            </w:r>
            <w:r>
              <w:rPr>
                <w:rFonts w:ascii="Arial" w:hAnsi="Arial" w:cs="Arial"/>
                <w:sz w:val="24"/>
                <w:szCs w:val="24"/>
              </w:rPr>
              <w:t xml:space="preserve"> </w:t>
            </w:r>
            <w:r w:rsidRPr="00137D7A">
              <w:rPr>
                <w:rFonts w:ascii="Arial" w:hAnsi="Arial" w:cs="Arial"/>
                <w:sz w:val="24"/>
                <w:szCs w:val="24"/>
              </w:rPr>
              <w:t xml:space="preserve">as detailed in </w:t>
            </w:r>
            <w:r w:rsidRPr="00CB63C6">
              <w:rPr>
                <w:rFonts w:ascii="Arial" w:hAnsi="Arial" w:cs="Arial"/>
                <w:b/>
                <w:sz w:val="24"/>
                <w:szCs w:val="24"/>
              </w:rPr>
              <w:t>paragraph</w:t>
            </w:r>
            <w:r w:rsidRPr="00137D7A">
              <w:rPr>
                <w:rFonts w:ascii="Arial" w:hAnsi="Arial" w:cs="Arial"/>
                <w:b/>
                <w:sz w:val="24"/>
                <w:szCs w:val="24"/>
              </w:rPr>
              <w:t xml:space="preserve"> </w:t>
            </w:r>
            <w:r>
              <w:rPr>
                <w:rFonts w:ascii="Arial" w:hAnsi="Arial" w:cs="Arial"/>
                <w:b/>
                <w:sz w:val="24"/>
                <w:szCs w:val="24"/>
              </w:rPr>
              <w:t>4</w:t>
            </w:r>
            <w:r>
              <w:rPr>
                <w:rFonts w:ascii="Arial" w:hAnsi="Arial" w:cs="Arial"/>
                <w:sz w:val="24"/>
                <w:szCs w:val="24"/>
              </w:rPr>
              <w:t xml:space="preserve"> of this report; </w:t>
            </w:r>
          </w:p>
          <w:p w:rsidR="008E71BB" w:rsidRDefault="008E71BB" w:rsidP="008E71BB">
            <w:pPr>
              <w:pStyle w:val="ListParagraph"/>
              <w:numPr>
                <w:ilvl w:val="0"/>
                <w:numId w:val="44"/>
              </w:numPr>
              <w:jc w:val="both"/>
              <w:rPr>
                <w:rFonts w:ascii="Arial" w:hAnsi="Arial" w:cs="Arial"/>
                <w:sz w:val="24"/>
                <w:szCs w:val="24"/>
              </w:rPr>
            </w:pPr>
            <w:r>
              <w:rPr>
                <w:rFonts w:ascii="Arial" w:hAnsi="Arial" w:cs="Arial"/>
                <w:sz w:val="24"/>
                <w:szCs w:val="24"/>
              </w:rPr>
              <w:t>there has been no breach of internal controls to report for the quarter; and</w:t>
            </w:r>
          </w:p>
          <w:p w:rsidR="00E6170C" w:rsidRPr="008E71BB" w:rsidRDefault="008E71BB" w:rsidP="008E71BB">
            <w:pPr>
              <w:pStyle w:val="ListParagraph"/>
              <w:numPr>
                <w:ilvl w:val="0"/>
                <w:numId w:val="44"/>
              </w:numPr>
              <w:jc w:val="both"/>
              <w:rPr>
                <w:rFonts w:ascii="Arial" w:hAnsi="Arial" w:cs="Arial"/>
                <w:sz w:val="24"/>
                <w:szCs w:val="24"/>
              </w:rPr>
            </w:pPr>
            <w:proofErr w:type="gramStart"/>
            <w:r>
              <w:rPr>
                <w:rFonts w:ascii="Arial" w:hAnsi="Arial" w:cs="Arial"/>
                <w:sz w:val="24"/>
                <w:szCs w:val="24"/>
              </w:rPr>
              <w:t>the</w:t>
            </w:r>
            <w:proofErr w:type="gramEnd"/>
            <w:r>
              <w:rPr>
                <w:rFonts w:ascii="Arial" w:hAnsi="Arial" w:cs="Arial"/>
                <w:sz w:val="24"/>
                <w:szCs w:val="24"/>
              </w:rPr>
              <w:t xml:space="preserve"> charity remains Teckal compliant.</w:t>
            </w:r>
          </w:p>
        </w:tc>
      </w:tr>
    </w:tbl>
    <w:p w:rsidR="00E6170C" w:rsidRDefault="00E6170C" w:rsidP="00532972">
      <w:pPr>
        <w:tabs>
          <w:tab w:val="left" w:pos="1701"/>
        </w:tabs>
        <w:rPr>
          <w:rFonts w:ascii="Arial" w:hAnsi="Arial" w:cs="Arial"/>
          <w:szCs w:val="24"/>
        </w:rPr>
      </w:pPr>
    </w:p>
    <w:p w:rsidR="0039450A" w:rsidRDefault="0039450A" w:rsidP="00532972">
      <w:pPr>
        <w:tabs>
          <w:tab w:val="left" w:pos="1701"/>
        </w:tabs>
        <w:rPr>
          <w:rFonts w:ascii="Arial" w:hAnsi="Arial" w:cs="Arial"/>
          <w:szCs w:val="24"/>
        </w:rPr>
      </w:pPr>
      <w:r w:rsidRPr="009B0904">
        <w:rPr>
          <w:rFonts w:ascii="Arial" w:hAnsi="Arial" w:cs="Arial"/>
          <w:szCs w:val="24"/>
        </w:rPr>
        <w:t>Designation:</w:t>
      </w:r>
      <w:r w:rsidR="0067538A" w:rsidRPr="009B0904">
        <w:rPr>
          <w:rFonts w:ascii="Arial" w:hAnsi="Arial" w:cs="Arial"/>
          <w:szCs w:val="24"/>
        </w:rPr>
        <w:tab/>
        <w:t>Chief Executive</w:t>
      </w:r>
    </w:p>
    <w:p w:rsidR="00A6695F" w:rsidRPr="009B0904" w:rsidRDefault="00A6695F" w:rsidP="00532972">
      <w:pPr>
        <w:tabs>
          <w:tab w:val="left" w:pos="1701"/>
        </w:tabs>
        <w:rPr>
          <w:rFonts w:ascii="Arial" w:hAnsi="Arial" w:cs="Arial"/>
          <w:szCs w:val="24"/>
        </w:rPr>
      </w:pPr>
    </w:p>
    <w:p w:rsidR="00E6170C" w:rsidRDefault="00532972" w:rsidP="006909C6">
      <w:pPr>
        <w:tabs>
          <w:tab w:val="left" w:pos="1701"/>
        </w:tabs>
        <w:rPr>
          <w:rFonts w:ascii="Arial" w:hAnsi="Arial" w:cs="Arial"/>
          <w:szCs w:val="24"/>
        </w:rPr>
      </w:pPr>
      <w:r>
        <w:rPr>
          <w:rFonts w:ascii="Arial" w:hAnsi="Arial" w:cs="Arial"/>
          <w:szCs w:val="24"/>
        </w:rPr>
        <w:t>Date:</w:t>
      </w:r>
      <w:r>
        <w:rPr>
          <w:rFonts w:ascii="Arial" w:hAnsi="Arial" w:cs="Arial"/>
          <w:szCs w:val="24"/>
        </w:rPr>
        <w:tab/>
      </w:r>
      <w:proofErr w:type="gramStart"/>
      <w:r w:rsidR="00A6695F">
        <w:rPr>
          <w:rFonts w:ascii="Arial" w:hAnsi="Arial" w:cs="Arial"/>
          <w:szCs w:val="24"/>
        </w:rPr>
        <w:t xml:space="preserve">15 </w:t>
      </w:r>
      <w:r w:rsidR="00F3113E">
        <w:rPr>
          <w:rFonts w:ascii="Arial" w:hAnsi="Arial" w:cs="Arial"/>
          <w:szCs w:val="24"/>
        </w:rPr>
        <w:t xml:space="preserve"> August</w:t>
      </w:r>
      <w:proofErr w:type="gramEnd"/>
      <w:r w:rsidR="00F3113E">
        <w:rPr>
          <w:rFonts w:ascii="Arial" w:hAnsi="Arial" w:cs="Arial"/>
          <w:szCs w:val="24"/>
        </w:rPr>
        <w:t xml:space="preserve"> 2018</w:t>
      </w:r>
    </w:p>
    <w:p w:rsidR="00E6170C" w:rsidRDefault="00E6170C" w:rsidP="006909C6">
      <w:pPr>
        <w:tabs>
          <w:tab w:val="left" w:pos="1701"/>
        </w:tabs>
        <w:rPr>
          <w:rFonts w:ascii="Arial" w:hAnsi="Arial" w:cs="Arial"/>
          <w:szCs w:val="24"/>
        </w:rPr>
        <w:sectPr w:rsidR="00E6170C" w:rsidSect="00A6695F">
          <w:pgSz w:w="11906" w:h="16838"/>
          <w:pgMar w:top="993" w:right="1440" w:bottom="851" w:left="1440" w:header="720" w:footer="720" w:gutter="0"/>
          <w:cols w:space="720"/>
        </w:sectPr>
      </w:pPr>
    </w:p>
    <w:p w:rsidR="00290EB5" w:rsidRDefault="00290EB5" w:rsidP="00290EB5">
      <w:pPr>
        <w:rPr>
          <w:rFonts w:ascii="Arial" w:hAnsi="Arial" w:cs="Arial"/>
          <w:szCs w:val="24"/>
        </w:rPr>
      </w:pPr>
    </w:p>
    <w:p w:rsidR="008E71BB" w:rsidRPr="008E71BB" w:rsidRDefault="008E71BB" w:rsidP="008E71BB">
      <w:pPr>
        <w:spacing w:after="200" w:line="276" w:lineRule="auto"/>
        <w:rPr>
          <w:rFonts w:ascii="Arial" w:eastAsia="Calibri" w:hAnsi="Arial" w:cs="Arial"/>
          <w:b/>
          <w:szCs w:val="24"/>
          <w:lang w:eastAsia="en-US"/>
        </w:rPr>
      </w:pPr>
      <w:r w:rsidRPr="008E71BB">
        <w:rPr>
          <w:rFonts w:ascii="Arial" w:eastAsia="Calibri" w:hAnsi="Arial" w:cs="Arial"/>
          <w:b/>
          <w:szCs w:val="24"/>
          <w:lang w:eastAsia="en-US"/>
        </w:rPr>
        <w:t>Consolidated</w:t>
      </w:r>
      <w:r w:rsidRPr="008E71BB">
        <w:rPr>
          <w:rFonts w:ascii="Arial" w:eastAsia="Calibri" w:hAnsi="Arial" w:cs="Arial"/>
          <w:szCs w:val="24"/>
          <w:lang w:eastAsia="en-US"/>
        </w:rPr>
        <w:t xml:space="preserve"> </w:t>
      </w:r>
      <w:r w:rsidRPr="008E71BB">
        <w:rPr>
          <w:rFonts w:ascii="Arial" w:eastAsia="Calibri" w:hAnsi="Arial" w:cs="Arial"/>
          <w:szCs w:val="24"/>
          <w:lang w:eastAsia="en-US"/>
        </w:rPr>
        <w:tab/>
      </w:r>
      <w:r w:rsidRPr="008E71BB">
        <w:rPr>
          <w:rFonts w:ascii="Arial" w:eastAsia="Calibri" w:hAnsi="Arial" w:cs="Arial"/>
          <w:b/>
          <w:szCs w:val="24"/>
          <w:lang w:eastAsia="en-US"/>
        </w:rPr>
        <w:t xml:space="preserve">2018/19: April – June  </w:t>
      </w:r>
      <w:r w:rsidRPr="008E71BB">
        <w:rPr>
          <w:rFonts w:ascii="Arial" w:eastAsia="Calibri" w:hAnsi="Arial" w:cs="Arial"/>
          <w:szCs w:val="24"/>
          <w:lang w:eastAsia="en-US"/>
        </w:rPr>
        <w:tab/>
      </w:r>
      <w:r w:rsidRPr="008E71BB">
        <w:rPr>
          <w:rFonts w:ascii="Arial" w:eastAsia="Calibri" w:hAnsi="Arial" w:cs="Arial"/>
          <w:szCs w:val="24"/>
          <w:lang w:eastAsia="en-US"/>
        </w:rPr>
        <w:tab/>
      </w:r>
      <w:r w:rsidRPr="008E71BB">
        <w:rPr>
          <w:rFonts w:ascii="Arial" w:eastAsia="Calibri" w:hAnsi="Arial" w:cs="Arial"/>
          <w:szCs w:val="24"/>
          <w:lang w:eastAsia="en-US"/>
        </w:rPr>
        <w:tab/>
      </w:r>
      <w:r w:rsidRPr="008E71BB">
        <w:rPr>
          <w:rFonts w:ascii="Arial" w:eastAsia="Calibri" w:hAnsi="Arial" w:cs="Arial"/>
          <w:szCs w:val="24"/>
          <w:lang w:eastAsia="en-US"/>
        </w:rPr>
        <w:tab/>
      </w:r>
      <w:r w:rsidRPr="008E71BB">
        <w:rPr>
          <w:rFonts w:ascii="Arial" w:eastAsia="Calibri" w:hAnsi="Arial" w:cs="Arial"/>
          <w:szCs w:val="24"/>
          <w:lang w:eastAsia="en-US"/>
        </w:rPr>
        <w:tab/>
      </w:r>
      <w:r w:rsidRPr="008E71BB">
        <w:rPr>
          <w:rFonts w:ascii="Arial" w:eastAsia="Calibri" w:hAnsi="Arial" w:cs="Arial"/>
          <w:szCs w:val="24"/>
          <w:lang w:eastAsia="en-US"/>
        </w:rPr>
        <w:tab/>
        <w:t xml:space="preserve">                                                     </w:t>
      </w:r>
      <w:r w:rsidRPr="008E71BB">
        <w:rPr>
          <w:rFonts w:ascii="Arial" w:eastAsia="Calibri" w:hAnsi="Arial" w:cs="Arial"/>
          <w:b/>
          <w:szCs w:val="24"/>
          <w:lang w:eastAsia="en-US"/>
        </w:rPr>
        <w:t>APPENDIX A</w:t>
      </w:r>
      <w:r w:rsidRPr="008E71BB">
        <w:rPr>
          <w:rFonts w:ascii="Arial" w:eastAsia="Calibri" w:hAnsi="Arial" w:cs="Arial"/>
          <w:szCs w:val="24"/>
          <w:lang w:eastAsia="en-US"/>
        </w:rPr>
        <w:tab/>
      </w:r>
      <w:r w:rsidRPr="008E71BB">
        <w:rPr>
          <w:rFonts w:ascii="Arial" w:eastAsia="Calibri" w:hAnsi="Arial" w:cs="Arial"/>
          <w:b/>
          <w:szCs w:val="24"/>
          <w:lang w:eastAsia="en-US"/>
        </w:rPr>
        <w:t xml:space="preserve"> </w:t>
      </w:r>
    </w:p>
    <w:p w:rsidR="008E71BB" w:rsidRPr="008E71BB" w:rsidRDefault="008E71BB" w:rsidP="008E71BB">
      <w:pPr>
        <w:spacing w:after="200" w:line="276" w:lineRule="auto"/>
        <w:rPr>
          <w:rFonts w:ascii="Calibri" w:eastAsia="Calibri" w:hAnsi="Calibri"/>
          <w:sz w:val="20"/>
        </w:rPr>
      </w:pPr>
      <w:r w:rsidRPr="008E71BB">
        <w:rPr>
          <w:rFonts w:ascii="Arial" w:eastAsia="Calibri" w:hAnsi="Arial" w:cs="Arial"/>
          <w:b/>
          <w:szCs w:val="24"/>
          <w:lang w:eastAsia="en-US"/>
        </w:rPr>
        <w:fldChar w:fldCharType="begin"/>
      </w:r>
      <w:r w:rsidRPr="008E71BB">
        <w:rPr>
          <w:rFonts w:ascii="Arial" w:eastAsia="Calibri" w:hAnsi="Arial" w:cs="Arial"/>
          <w:b/>
          <w:szCs w:val="24"/>
          <w:lang w:eastAsia="en-US"/>
        </w:rPr>
        <w:instrText xml:space="preserve"> LINK </w:instrText>
      </w:r>
      <w:r w:rsidR="00A6695F">
        <w:rPr>
          <w:rFonts w:ascii="Arial" w:eastAsia="Calibri" w:hAnsi="Arial" w:cs="Arial"/>
          <w:b/>
          <w:szCs w:val="24"/>
          <w:lang w:eastAsia="en-US"/>
        </w:rPr>
        <w:instrText xml:space="preserve">Excel.SheetMacroEnabled.12 "\\\\ntfileserv2\\finance\\Monitoring\\18-19\\03 Jun\\Monitoring (Jun-18) F&amp;A Version.xlsm" "Appendix A!R1C1:R5C5" </w:instrText>
      </w:r>
      <w:r w:rsidRPr="008E71BB">
        <w:rPr>
          <w:rFonts w:ascii="Arial" w:eastAsia="Calibri" w:hAnsi="Arial" w:cs="Arial"/>
          <w:b/>
          <w:szCs w:val="24"/>
          <w:lang w:eastAsia="en-US"/>
        </w:rPr>
        <w:instrText xml:space="preserve">\a \f 5 \h  \* MERGEFORMAT </w:instrText>
      </w:r>
      <w:r w:rsidRPr="008E71BB">
        <w:rPr>
          <w:rFonts w:ascii="Arial" w:eastAsia="Calibri" w:hAnsi="Arial" w:cs="Arial"/>
          <w:b/>
          <w:szCs w:val="24"/>
          <w:lang w:eastAsia="en-US"/>
        </w:rPr>
        <w:fldChar w:fldCharType="separate"/>
      </w:r>
    </w:p>
    <w:p w:rsidR="008E71BB" w:rsidRPr="008E71BB" w:rsidRDefault="008E71BB" w:rsidP="008E71BB">
      <w:pPr>
        <w:spacing w:after="200" w:line="276" w:lineRule="auto"/>
        <w:rPr>
          <w:rFonts w:ascii="Arial" w:eastAsia="Calibri" w:hAnsi="Arial" w:cs="Arial"/>
          <w:b/>
          <w:szCs w:val="24"/>
          <w:lang w:eastAsia="en-US"/>
        </w:rPr>
      </w:pPr>
      <w:r w:rsidRPr="008E71BB">
        <w:rPr>
          <w:rFonts w:ascii="Arial" w:eastAsia="Calibri" w:hAnsi="Arial" w:cs="Arial"/>
          <w:b/>
          <w:szCs w:val="24"/>
          <w:lang w:eastAsia="en-US"/>
        </w:rPr>
        <w:fldChar w:fldCharType="end"/>
      </w:r>
    </w:p>
    <w:tbl>
      <w:tblPr>
        <w:tblW w:w="0" w:type="auto"/>
        <w:tblInd w:w="93" w:type="dxa"/>
        <w:tblLook w:val="04A0" w:firstRow="1" w:lastRow="0" w:firstColumn="1" w:lastColumn="0" w:noHBand="0" w:noVBand="1"/>
      </w:tblPr>
      <w:tblGrid>
        <w:gridCol w:w="2203"/>
        <w:gridCol w:w="1923"/>
        <w:gridCol w:w="1750"/>
        <w:gridCol w:w="1656"/>
        <w:gridCol w:w="1924"/>
      </w:tblGrid>
      <w:tr w:rsidR="008E71BB" w:rsidRPr="008E71BB" w:rsidTr="00BF726C">
        <w:trPr>
          <w:trHeight w:val="315"/>
        </w:trPr>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b/>
                <w:bCs/>
                <w:color w:val="FFFFCC"/>
                <w:szCs w:val="24"/>
              </w:rPr>
            </w:pPr>
            <w:r w:rsidRPr="008E71BB">
              <w:rPr>
                <w:rFonts w:ascii="Arial" w:hAnsi="Arial" w:cs="Arial"/>
                <w:b/>
                <w:bCs/>
                <w:color w:val="FFFFCC"/>
                <w:szCs w:val="24"/>
              </w:rPr>
              <w:t> </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rPr>
                <w:rFonts w:ascii="Arial" w:hAnsi="Arial" w:cs="Arial"/>
                <w:b/>
                <w:bCs/>
                <w:color w:val="FFFFCC"/>
                <w:szCs w:val="24"/>
              </w:rPr>
            </w:pPr>
            <w:r w:rsidRPr="008E71BB">
              <w:rPr>
                <w:rFonts w:ascii="Arial" w:hAnsi="Arial" w:cs="Arial"/>
                <w:b/>
                <w:bCs/>
                <w:color w:val="FFFFCC"/>
                <w:szCs w:val="24"/>
              </w:rPr>
              <w:t>Annual Budget</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rPr>
                <w:rFonts w:ascii="Arial" w:hAnsi="Arial" w:cs="Arial"/>
                <w:b/>
                <w:bCs/>
                <w:color w:val="FFFFCC"/>
                <w:szCs w:val="24"/>
              </w:rPr>
            </w:pPr>
            <w:r w:rsidRPr="008E71BB">
              <w:rPr>
                <w:rFonts w:ascii="Arial" w:hAnsi="Arial" w:cs="Arial"/>
                <w:b/>
                <w:bCs/>
                <w:color w:val="FFFFCC"/>
                <w:szCs w:val="24"/>
              </w:rPr>
              <w:t>Budget (YTD)</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rPr>
                <w:rFonts w:ascii="Arial" w:hAnsi="Arial" w:cs="Arial"/>
                <w:b/>
                <w:bCs/>
                <w:color w:val="FFFFCC"/>
                <w:szCs w:val="24"/>
              </w:rPr>
            </w:pPr>
            <w:r w:rsidRPr="008E71BB">
              <w:rPr>
                <w:rFonts w:ascii="Arial" w:hAnsi="Arial" w:cs="Arial"/>
                <w:b/>
                <w:bCs/>
                <w:color w:val="FFFFCC"/>
                <w:szCs w:val="24"/>
              </w:rPr>
              <w:t>Actual (YTD)</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rPr>
                <w:rFonts w:ascii="Arial" w:hAnsi="Arial" w:cs="Arial"/>
                <w:b/>
                <w:bCs/>
                <w:color w:val="FFFFCC"/>
                <w:szCs w:val="24"/>
              </w:rPr>
            </w:pPr>
            <w:r w:rsidRPr="008E71BB">
              <w:rPr>
                <w:rFonts w:ascii="Arial" w:hAnsi="Arial" w:cs="Arial"/>
                <w:b/>
                <w:bCs/>
                <w:color w:val="FFFFCC"/>
                <w:szCs w:val="24"/>
              </w:rPr>
              <w:t>Variance (YTD)</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Income</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30,092,841 </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6,929,713 </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6,928,045 </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(1,668)</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Other Costs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(8,265,511)</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(1,850,390)</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(1,868,692)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(18,302)</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Staff Costs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(22,939,833)</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(5,684,738)</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(5,593,322)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91,416 </w:t>
            </w:r>
          </w:p>
        </w:tc>
      </w:tr>
      <w:tr w:rsidR="008E71BB" w:rsidRPr="008E71BB" w:rsidTr="00BF726C">
        <w:trPr>
          <w:trHeight w:val="315"/>
        </w:trPr>
        <w:tc>
          <w:tcPr>
            <w:tcW w:w="0" w:type="auto"/>
            <w:tcBorders>
              <w:top w:val="nil"/>
              <w:left w:val="single" w:sz="4" w:space="0" w:color="auto"/>
              <w:bottom w:val="single" w:sz="4" w:space="0" w:color="auto"/>
              <w:right w:val="single" w:sz="4" w:space="0" w:color="auto"/>
            </w:tcBorders>
            <w:shd w:val="clear" w:color="DCE6F1" w:fill="DCE6F1"/>
            <w:noWrap/>
            <w:vAlign w:val="bottom"/>
            <w:hideMark/>
          </w:tcPr>
          <w:p w:rsidR="008E71BB" w:rsidRPr="008E71BB" w:rsidRDefault="008E71BB" w:rsidP="008E71BB">
            <w:pPr>
              <w:rPr>
                <w:rFonts w:ascii="Arial" w:hAnsi="Arial" w:cs="Arial"/>
                <w:b/>
                <w:bCs/>
                <w:szCs w:val="24"/>
              </w:rPr>
            </w:pPr>
            <w:r w:rsidRPr="008E71BB">
              <w:rPr>
                <w:rFonts w:ascii="Arial" w:hAnsi="Arial" w:cs="Arial"/>
                <w:b/>
                <w:bCs/>
                <w:szCs w:val="24"/>
              </w:rPr>
              <w:t>Surplus / (Deficit)</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color w:val="FF0000"/>
                <w:szCs w:val="24"/>
              </w:rPr>
              <w:t>(1,112,503)</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color w:val="FF0000"/>
                <w:szCs w:val="24"/>
              </w:rPr>
              <w:t>(605,415)</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color w:val="FF0000"/>
                <w:szCs w:val="24"/>
              </w:rPr>
              <w:t>(533,969)</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szCs w:val="24"/>
              </w:rPr>
              <w:t xml:space="preserve">71,446 </w:t>
            </w:r>
          </w:p>
        </w:tc>
      </w:tr>
    </w:tbl>
    <w:p w:rsidR="008E71BB" w:rsidRPr="008E71BB" w:rsidRDefault="008E71BB" w:rsidP="008E71BB">
      <w:pPr>
        <w:spacing w:after="200" w:line="276" w:lineRule="auto"/>
        <w:rPr>
          <w:rFonts w:ascii="Calibri" w:eastAsia="Calibri" w:hAnsi="Calibri"/>
          <w:sz w:val="20"/>
        </w:rPr>
      </w:pPr>
      <w:r w:rsidRPr="008E71BB">
        <w:rPr>
          <w:rFonts w:ascii="Arial" w:eastAsia="Calibri" w:hAnsi="Arial" w:cs="Arial"/>
          <w:b/>
          <w:szCs w:val="24"/>
          <w:lang w:eastAsia="en-US"/>
        </w:rPr>
        <w:fldChar w:fldCharType="begin"/>
      </w:r>
      <w:r w:rsidRPr="008E71BB">
        <w:rPr>
          <w:rFonts w:ascii="Arial" w:eastAsia="Calibri" w:hAnsi="Arial" w:cs="Arial"/>
          <w:b/>
          <w:szCs w:val="24"/>
          <w:lang w:eastAsia="en-US"/>
        </w:rPr>
        <w:instrText xml:space="preserve"> LINK </w:instrText>
      </w:r>
      <w:r w:rsidR="00A6695F">
        <w:rPr>
          <w:rFonts w:ascii="Arial" w:eastAsia="Calibri" w:hAnsi="Arial" w:cs="Arial"/>
          <w:b/>
          <w:szCs w:val="24"/>
          <w:lang w:eastAsia="en-US"/>
        </w:rPr>
        <w:instrText xml:space="preserve">Excel.SheetMacroEnabled.12 "\\\\ntfileserv2\\finance\\Monitoring\\18-19\\03 Jun\\Monitoring (Jun-18) F&amp;A Version.xlsm" "Appendix A!R1C1:R5C5" </w:instrText>
      </w:r>
      <w:r w:rsidRPr="008E71BB">
        <w:rPr>
          <w:rFonts w:ascii="Arial" w:eastAsia="Calibri" w:hAnsi="Arial" w:cs="Arial"/>
          <w:b/>
          <w:szCs w:val="24"/>
          <w:lang w:eastAsia="en-US"/>
        </w:rPr>
        <w:instrText xml:space="preserve">\a \f 5 \h  \* MERGEFORMAT </w:instrText>
      </w:r>
      <w:r w:rsidRPr="008E71BB">
        <w:rPr>
          <w:rFonts w:ascii="Arial" w:eastAsia="Calibri" w:hAnsi="Arial" w:cs="Arial"/>
          <w:b/>
          <w:szCs w:val="24"/>
          <w:lang w:eastAsia="en-US"/>
        </w:rPr>
        <w:fldChar w:fldCharType="separate"/>
      </w:r>
    </w:p>
    <w:p w:rsidR="008E71BB" w:rsidRPr="008E71BB" w:rsidRDefault="008E71BB" w:rsidP="008E71BB">
      <w:pPr>
        <w:spacing w:after="200" w:line="276" w:lineRule="auto"/>
        <w:rPr>
          <w:rFonts w:ascii="Arial" w:eastAsia="Calibri" w:hAnsi="Arial" w:cs="Arial"/>
          <w:b/>
          <w:szCs w:val="24"/>
          <w:lang w:eastAsia="en-US"/>
        </w:rPr>
      </w:pPr>
      <w:r w:rsidRPr="008E71BB">
        <w:rPr>
          <w:rFonts w:ascii="Arial" w:eastAsia="Calibri" w:hAnsi="Arial" w:cs="Arial"/>
          <w:b/>
          <w:szCs w:val="24"/>
          <w:lang w:eastAsia="en-US"/>
        </w:rPr>
        <w:fldChar w:fldCharType="end"/>
      </w:r>
    </w:p>
    <w:p w:rsidR="008E71BB" w:rsidRPr="008E71BB" w:rsidRDefault="008E71BB" w:rsidP="008E71BB">
      <w:pPr>
        <w:spacing w:after="200" w:line="276" w:lineRule="auto"/>
        <w:rPr>
          <w:rFonts w:ascii="Calibri" w:eastAsia="Calibri" w:hAnsi="Calibri"/>
          <w:b/>
          <w:sz w:val="22"/>
          <w:szCs w:val="22"/>
          <w:lang w:eastAsia="en-US"/>
        </w:rPr>
      </w:pPr>
    </w:p>
    <w:p w:rsidR="008E71BB" w:rsidRPr="008E71BB" w:rsidRDefault="008E71BB" w:rsidP="008E71BB">
      <w:pPr>
        <w:spacing w:after="200" w:line="276" w:lineRule="auto"/>
        <w:rPr>
          <w:rFonts w:ascii="Calibri" w:eastAsia="Calibri" w:hAnsi="Calibri"/>
          <w:b/>
          <w:sz w:val="22"/>
          <w:szCs w:val="22"/>
          <w:lang w:eastAsia="en-US"/>
        </w:rPr>
      </w:pPr>
    </w:p>
    <w:p w:rsidR="008E71BB" w:rsidRPr="008E71BB" w:rsidRDefault="008E71BB" w:rsidP="008E71BB">
      <w:pPr>
        <w:spacing w:after="200" w:line="276" w:lineRule="auto"/>
        <w:rPr>
          <w:rFonts w:ascii="Arial" w:eastAsia="Calibri" w:hAnsi="Arial" w:cs="Arial"/>
          <w:b/>
          <w:szCs w:val="24"/>
          <w:lang w:eastAsia="en-US"/>
        </w:rPr>
      </w:pPr>
      <w:r w:rsidRPr="008E71BB">
        <w:rPr>
          <w:rFonts w:ascii="Calibri" w:eastAsia="Calibri" w:hAnsi="Calibri"/>
          <w:b/>
          <w:sz w:val="22"/>
          <w:szCs w:val="22"/>
          <w:lang w:eastAsia="en-US"/>
        </w:rPr>
        <w:br w:type="page"/>
      </w:r>
      <w:r w:rsidRPr="008E71BB">
        <w:rPr>
          <w:rFonts w:ascii="Calibri" w:eastAsia="Calibri" w:hAnsi="Calibri"/>
          <w:b/>
          <w:sz w:val="22"/>
          <w:szCs w:val="22"/>
          <w:lang w:eastAsia="en-US"/>
        </w:rPr>
        <w:lastRenderedPageBreak/>
        <w:t xml:space="preserve">  </w:t>
      </w:r>
      <w:r w:rsidRPr="008E71BB">
        <w:rPr>
          <w:rFonts w:ascii="Arial" w:eastAsia="Calibri" w:hAnsi="Arial" w:cs="Arial"/>
          <w:b/>
          <w:szCs w:val="24"/>
          <w:lang w:eastAsia="en-US"/>
        </w:rPr>
        <w:t xml:space="preserve">          </w:t>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r>
      <w:r w:rsidRPr="008E71BB">
        <w:rPr>
          <w:rFonts w:ascii="Arial" w:eastAsia="Calibri" w:hAnsi="Arial" w:cs="Arial"/>
          <w:b/>
          <w:szCs w:val="24"/>
          <w:lang w:eastAsia="en-US"/>
        </w:rPr>
        <w:tab/>
        <w:t xml:space="preserve"> </w:t>
      </w:r>
      <w:r w:rsidRPr="008E71BB">
        <w:rPr>
          <w:rFonts w:ascii="Arial" w:eastAsia="Calibri" w:hAnsi="Arial" w:cs="Arial"/>
          <w:b/>
          <w:szCs w:val="24"/>
          <w:lang w:eastAsia="en-US"/>
        </w:rPr>
        <w:tab/>
        <w:t>APPENDIX B</w:t>
      </w:r>
    </w:p>
    <w:p w:rsidR="008E71BB" w:rsidRPr="008E71BB" w:rsidRDefault="008E71BB" w:rsidP="008E71BB">
      <w:pPr>
        <w:spacing w:after="200" w:line="276" w:lineRule="auto"/>
        <w:rPr>
          <w:rFonts w:ascii="Arial" w:eastAsia="Calibri" w:hAnsi="Arial" w:cs="Arial"/>
          <w:b/>
          <w:szCs w:val="24"/>
          <w:lang w:eastAsia="en-US"/>
        </w:rPr>
      </w:pPr>
      <w:r w:rsidRPr="008E71BB">
        <w:rPr>
          <w:rFonts w:ascii="Arial" w:eastAsia="Calibri" w:hAnsi="Arial" w:cs="Arial"/>
          <w:b/>
          <w:szCs w:val="24"/>
          <w:lang w:eastAsia="en-US"/>
        </w:rPr>
        <w:t xml:space="preserve">  Variance by Sector</w:t>
      </w:r>
    </w:p>
    <w:p w:rsidR="008E71BB" w:rsidRPr="008E71BB" w:rsidRDefault="008E71BB" w:rsidP="008E71BB">
      <w:pPr>
        <w:spacing w:after="200" w:line="276" w:lineRule="auto"/>
        <w:rPr>
          <w:rFonts w:ascii="Arial" w:eastAsia="Calibri" w:hAnsi="Arial" w:cs="Arial"/>
          <w:b/>
          <w:sz w:val="22"/>
          <w:szCs w:val="22"/>
          <w:lang w:eastAsia="en-US"/>
        </w:rPr>
      </w:pPr>
    </w:p>
    <w:tbl>
      <w:tblPr>
        <w:tblW w:w="0" w:type="auto"/>
        <w:tblInd w:w="93" w:type="dxa"/>
        <w:tblLook w:val="04A0" w:firstRow="1" w:lastRow="0" w:firstColumn="1" w:lastColumn="0" w:noHBand="0" w:noVBand="1"/>
      </w:tblPr>
      <w:tblGrid>
        <w:gridCol w:w="1630"/>
        <w:gridCol w:w="1923"/>
        <w:gridCol w:w="1750"/>
        <w:gridCol w:w="1656"/>
        <w:gridCol w:w="1924"/>
      </w:tblGrid>
      <w:tr w:rsidR="008E71BB" w:rsidRPr="008E71BB" w:rsidTr="00BF726C">
        <w:trPr>
          <w:trHeight w:val="315"/>
        </w:trPr>
        <w:tc>
          <w:tcPr>
            <w:tcW w:w="0" w:type="auto"/>
            <w:tcBorders>
              <w:top w:val="single" w:sz="4" w:space="0" w:color="auto"/>
              <w:left w:val="single" w:sz="4" w:space="0" w:color="auto"/>
              <w:bottom w:val="single" w:sz="4" w:space="0" w:color="auto"/>
              <w:right w:val="single" w:sz="4" w:space="0" w:color="auto"/>
            </w:tcBorders>
            <w:shd w:val="clear" w:color="000000" w:fill="006600"/>
            <w:noWrap/>
            <w:vAlign w:val="bottom"/>
            <w:hideMark/>
          </w:tcPr>
          <w:p w:rsidR="008E71BB" w:rsidRPr="008E71BB" w:rsidRDefault="008E71BB" w:rsidP="008E71BB">
            <w:pPr>
              <w:rPr>
                <w:rFonts w:ascii="Arial" w:hAnsi="Arial" w:cs="Arial"/>
                <w:b/>
                <w:bCs/>
                <w:color w:val="FFFFCC"/>
                <w:szCs w:val="24"/>
              </w:rPr>
            </w:pPr>
            <w:r w:rsidRPr="008E71BB">
              <w:rPr>
                <w:rFonts w:ascii="Arial" w:hAnsi="Arial" w:cs="Arial"/>
                <w:b/>
                <w:bCs/>
                <w:color w:val="FFFFCC"/>
                <w:szCs w:val="24"/>
              </w:rPr>
              <w:t>Sector</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Annual Budget</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Budget (YTD)</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Actual (YTD)</w:t>
            </w:r>
          </w:p>
        </w:tc>
        <w:tc>
          <w:tcPr>
            <w:tcW w:w="0" w:type="auto"/>
            <w:tcBorders>
              <w:top w:val="single" w:sz="4" w:space="0" w:color="auto"/>
              <w:left w:val="nil"/>
              <w:bottom w:val="single" w:sz="4" w:space="0" w:color="auto"/>
              <w:right w:val="single" w:sz="4" w:space="0" w:color="auto"/>
            </w:tcBorders>
            <w:shd w:val="clear" w:color="000000" w:fill="006600"/>
            <w:noWrap/>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Variance (YTD)</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Adult</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(674,114)</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(159,954)</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(140,288)</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19,666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Archives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(596,507)</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(172,382)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(141,777)</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30,605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Arts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(272,024)</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(78,095)</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(75,842)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2,253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Facilities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(1,854,961)</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(547,732)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(552,595)</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(4,863)</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Libraries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(3,417,755)</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(781,265)</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(775,766)</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5,499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Management</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(2,604,656)</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(691,529)</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(681,493)</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10,036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Museums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(631,491)</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(137,177)</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(136,542)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635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Music Tuition</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(1,372,164)</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(427,511)</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(423,426)</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4,085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Outdoor</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(557,828)</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(112,577)</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(109,859)</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2,718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SLA</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12,946,974 </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3,236,744 </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3,236,744 </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0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r w:rsidRPr="008E71BB">
              <w:rPr>
                <w:rFonts w:ascii="Arial" w:hAnsi="Arial" w:cs="Arial"/>
                <w:szCs w:val="24"/>
              </w:rPr>
              <w:t>Sports</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(591,692)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(364,144)</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(360,780)</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szCs w:val="24"/>
              </w:rPr>
              <w:t xml:space="preserve">3,364 </w:t>
            </w:r>
          </w:p>
        </w:tc>
      </w:tr>
      <w:tr w:rsidR="008E71BB" w:rsidRPr="008E71BB" w:rsidTr="00BF726C">
        <w:trPr>
          <w:trHeight w:val="300"/>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szCs w:val="24"/>
              </w:rPr>
            </w:pPr>
            <w:proofErr w:type="spellStart"/>
            <w:r w:rsidRPr="008E71BB">
              <w:rPr>
                <w:rFonts w:ascii="Arial" w:hAnsi="Arial" w:cs="Arial"/>
                <w:szCs w:val="24"/>
              </w:rPr>
              <w:t>Youthwork</w:t>
            </w:r>
            <w:proofErr w:type="spellEnd"/>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(1,486,285)</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(369,792)</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(372,344)</w:t>
            </w:r>
          </w:p>
        </w:tc>
        <w:tc>
          <w:tcPr>
            <w:tcW w:w="0" w:type="auto"/>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szCs w:val="24"/>
              </w:rPr>
            </w:pPr>
            <w:r w:rsidRPr="008E71BB">
              <w:rPr>
                <w:rFonts w:ascii="Arial" w:hAnsi="Arial" w:cs="Arial"/>
                <w:color w:val="FF0000"/>
                <w:szCs w:val="24"/>
              </w:rPr>
              <w:t>(2,552)</w:t>
            </w:r>
          </w:p>
        </w:tc>
      </w:tr>
      <w:tr w:rsidR="008E71BB" w:rsidRPr="008E71BB" w:rsidTr="00BF726C">
        <w:trPr>
          <w:trHeight w:val="315"/>
        </w:trPr>
        <w:tc>
          <w:tcPr>
            <w:tcW w:w="0" w:type="auto"/>
            <w:tcBorders>
              <w:top w:val="nil"/>
              <w:left w:val="single" w:sz="4" w:space="0" w:color="auto"/>
              <w:bottom w:val="single" w:sz="4" w:space="0" w:color="auto"/>
              <w:right w:val="single" w:sz="4" w:space="0" w:color="auto"/>
            </w:tcBorders>
            <w:shd w:val="clear" w:color="DCE6F1" w:fill="DCE6F1"/>
            <w:noWrap/>
            <w:vAlign w:val="bottom"/>
            <w:hideMark/>
          </w:tcPr>
          <w:p w:rsidR="008E71BB" w:rsidRPr="008E71BB" w:rsidRDefault="008E71BB" w:rsidP="008E71BB">
            <w:pPr>
              <w:rPr>
                <w:rFonts w:ascii="Arial" w:hAnsi="Arial" w:cs="Arial"/>
                <w:b/>
                <w:bCs/>
                <w:szCs w:val="24"/>
              </w:rPr>
            </w:pPr>
            <w:r w:rsidRPr="008E71BB">
              <w:rPr>
                <w:rFonts w:ascii="Arial" w:hAnsi="Arial" w:cs="Arial"/>
                <w:b/>
                <w:bCs/>
                <w:szCs w:val="24"/>
              </w:rPr>
              <w:t>Grand Total</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color w:val="FF0000"/>
                <w:szCs w:val="24"/>
              </w:rPr>
              <w:t>(1,112,503)</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color w:val="FF0000"/>
                <w:szCs w:val="24"/>
              </w:rPr>
              <w:t>(605,415)</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color w:val="FF0000"/>
                <w:szCs w:val="24"/>
              </w:rPr>
              <w:t>(533,969)</w:t>
            </w:r>
          </w:p>
        </w:tc>
        <w:tc>
          <w:tcPr>
            <w:tcW w:w="0" w:type="auto"/>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szCs w:val="24"/>
              </w:rPr>
            </w:pPr>
            <w:r w:rsidRPr="008E71BB">
              <w:rPr>
                <w:rFonts w:ascii="Arial" w:hAnsi="Arial" w:cs="Arial"/>
                <w:b/>
                <w:bCs/>
                <w:szCs w:val="24"/>
              </w:rPr>
              <w:t xml:space="preserve">71,446 </w:t>
            </w:r>
          </w:p>
        </w:tc>
      </w:tr>
    </w:tbl>
    <w:p w:rsidR="008E71BB" w:rsidRP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p>
    <w:p w:rsidR="008E71BB" w:rsidRDefault="008E71BB" w:rsidP="008E71BB">
      <w:pPr>
        <w:spacing w:after="200" w:line="276" w:lineRule="auto"/>
        <w:rPr>
          <w:rFonts w:ascii="Arial" w:eastAsia="Calibri" w:hAnsi="Arial" w:cs="Arial"/>
          <w:b/>
          <w:sz w:val="22"/>
          <w:szCs w:val="22"/>
          <w:lang w:eastAsia="en-US"/>
        </w:rPr>
      </w:pPr>
    </w:p>
    <w:p w:rsid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p>
    <w:p w:rsidR="008E71BB" w:rsidRPr="008E71BB" w:rsidRDefault="008E71BB" w:rsidP="008E71BB">
      <w:pPr>
        <w:spacing w:after="200" w:line="276" w:lineRule="auto"/>
        <w:rPr>
          <w:rFonts w:ascii="Arial" w:eastAsia="Calibri" w:hAnsi="Arial" w:cs="Arial"/>
          <w:b/>
          <w:sz w:val="22"/>
          <w:szCs w:val="22"/>
          <w:lang w:eastAsia="en-US"/>
        </w:rPr>
      </w:pPr>
      <w:r w:rsidRPr="008E71BB">
        <w:rPr>
          <w:rFonts w:ascii="Arial" w:eastAsia="Calibri" w:hAnsi="Arial" w:cs="Arial"/>
          <w:b/>
          <w:sz w:val="22"/>
          <w:szCs w:val="22"/>
          <w:lang w:eastAsia="en-US"/>
        </w:rPr>
        <w:t>Variance by Category                                                                                                                                                                         APPENDIX C</w:t>
      </w:r>
    </w:p>
    <w:p w:rsidR="008E71BB" w:rsidRPr="008E71BB" w:rsidRDefault="008E71BB" w:rsidP="008E71BB">
      <w:pPr>
        <w:spacing w:line="276" w:lineRule="auto"/>
        <w:rPr>
          <w:rFonts w:ascii="Calibri" w:eastAsia="Calibri" w:hAnsi="Calibri"/>
          <w:vanish/>
          <w:sz w:val="22"/>
          <w:szCs w:val="22"/>
          <w:lang w:eastAsia="en-US"/>
        </w:rPr>
      </w:pPr>
    </w:p>
    <w:tbl>
      <w:tblPr>
        <w:tblW w:w="12180" w:type="dxa"/>
        <w:tblInd w:w="93" w:type="dxa"/>
        <w:tblLook w:val="04A0" w:firstRow="1" w:lastRow="0" w:firstColumn="1" w:lastColumn="0" w:noHBand="0" w:noVBand="1"/>
      </w:tblPr>
      <w:tblGrid>
        <w:gridCol w:w="2140"/>
        <w:gridCol w:w="222"/>
        <w:gridCol w:w="1340"/>
        <w:gridCol w:w="1217"/>
        <w:gridCol w:w="830"/>
        <w:gridCol w:w="222"/>
        <w:gridCol w:w="1444"/>
        <w:gridCol w:w="1217"/>
        <w:gridCol w:w="830"/>
        <w:gridCol w:w="222"/>
        <w:gridCol w:w="1444"/>
        <w:gridCol w:w="1217"/>
        <w:gridCol w:w="1080"/>
      </w:tblGrid>
      <w:tr w:rsidR="008E71BB" w:rsidRPr="008E71BB" w:rsidTr="00BF726C">
        <w:trPr>
          <w:trHeight w:val="300"/>
        </w:trPr>
        <w:tc>
          <w:tcPr>
            <w:tcW w:w="214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2960" w:type="dxa"/>
            <w:gridSpan w:val="3"/>
            <w:tcBorders>
              <w:top w:val="single" w:sz="4" w:space="0" w:color="auto"/>
              <w:left w:val="single" w:sz="4" w:space="0" w:color="auto"/>
              <w:bottom w:val="nil"/>
              <w:right w:val="single" w:sz="4" w:space="0" w:color="000000"/>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Income</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3180" w:type="dxa"/>
            <w:gridSpan w:val="3"/>
            <w:tcBorders>
              <w:top w:val="single" w:sz="4" w:space="0" w:color="auto"/>
              <w:left w:val="single" w:sz="4" w:space="0" w:color="auto"/>
              <w:bottom w:val="nil"/>
              <w:right w:val="single" w:sz="4" w:space="0" w:color="000000"/>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Staff Costs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3600" w:type="dxa"/>
            <w:gridSpan w:val="3"/>
            <w:tcBorders>
              <w:top w:val="single" w:sz="4" w:space="0" w:color="auto"/>
              <w:left w:val="single" w:sz="4" w:space="0" w:color="auto"/>
              <w:bottom w:val="nil"/>
              <w:right w:val="single" w:sz="4" w:space="0" w:color="000000"/>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Other Costs</w:t>
            </w:r>
          </w:p>
        </w:tc>
      </w:tr>
      <w:tr w:rsidR="008E71BB" w:rsidRPr="008E71BB" w:rsidTr="00BF726C">
        <w:trPr>
          <w:trHeight w:val="600"/>
        </w:trPr>
        <w:tc>
          <w:tcPr>
            <w:tcW w:w="2140" w:type="dxa"/>
            <w:tcBorders>
              <w:top w:val="single" w:sz="4" w:space="0" w:color="auto"/>
              <w:left w:val="single" w:sz="4" w:space="0" w:color="auto"/>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Sector</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single" w:sz="4" w:space="0" w:color="auto"/>
              <w:left w:val="single" w:sz="4" w:space="0" w:color="auto"/>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Budget (YTD)</w:t>
            </w:r>
          </w:p>
        </w:tc>
        <w:tc>
          <w:tcPr>
            <w:tcW w:w="960" w:type="dxa"/>
            <w:tcBorders>
              <w:top w:val="single" w:sz="4" w:space="0" w:color="auto"/>
              <w:left w:val="nil"/>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Variance (YTD)</w:t>
            </w:r>
          </w:p>
        </w:tc>
        <w:tc>
          <w:tcPr>
            <w:tcW w:w="660" w:type="dxa"/>
            <w:tcBorders>
              <w:top w:val="nil"/>
              <w:left w:val="nil"/>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single" w:sz="4" w:space="0" w:color="auto"/>
              <w:left w:val="single" w:sz="4" w:space="0" w:color="auto"/>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Budget (YTD)</w:t>
            </w:r>
          </w:p>
        </w:tc>
        <w:tc>
          <w:tcPr>
            <w:tcW w:w="1080" w:type="dxa"/>
            <w:tcBorders>
              <w:top w:val="single" w:sz="4" w:space="0" w:color="auto"/>
              <w:left w:val="nil"/>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Variance (YTD)</w:t>
            </w:r>
          </w:p>
        </w:tc>
        <w:tc>
          <w:tcPr>
            <w:tcW w:w="660" w:type="dxa"/>
            <w:tcBorders>
              <w:top w:val="single" w:sz="4" w:space="0" w:color="auto"/>
              <w:left w:val="nil"/>
              <w:bottom w:val="single" w:sz="4" w:space="0" w:color="auto"/>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single" w:sz="4" w:space="0" w:color="auto"/>
              <w:left w:val="single" w:sz="4" w:space="0" w:color="auto"/>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Budget (YTD)</w:t>
            </w:r>
          </w:p>
        </w:tc>
        <w:tc>
          <w:tcPr>
            <w:tcW w:w="1080" w:type="dxa"/>
            <w:tcBorders>
              <w:top w:val="single" w:sz="4" w:space="0" w:color="auto"/>
              <w:left w:val="nil"/>
              <w:bottom w:val="nil"/>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Variance (YTD)</w:t>
            </w:r>
          </w:p>
        </w:tc>
        <w:tc>
          <w:tcPr>
            <w:tcW w:w="1080" w:type="dxa"/>
            <w:tcBorders>
              <w:top w:val="single" w:sz="4" w:space="0" w:color="auto"/>
              <w:left w:val="nil"/>
              <w:bottom w:val="single" w:sz="4" w:space="0" w:color="auto"/>
              <w:right w:val="single" w:sz="4" w:space="0" w:color="auto"/>
            </w:tcBorders>
            <w:shd w:val="clear" w:color="000000" w:fill="006600"/>
            <w:vAlign w:val="bottom"/>
            <w:hideMark/>
          </w:tcPr>
          <w:p w:rsidR="008E71BB" w:rsidRPr="008E71BB" w:rsidRDefault="008E71BB" w:rsidP="008E71BB">
            <w:pPr>
              <w:jc w:val="center"/>
              <w:rPr>
                <w:rFonts w:ascii="Arial" w:hAnsi="Arial" w:cs="Arial"/>
                <w:b/>
                <w:bCs/>
                <w:color w:val="FFFFCC"/>
                <w:szCs w:val="24"/>
              </w:rPr>
            </w:pPr>
            <w:r w:rsidRPr="008E71BB">
              <w:rPr>
                <w:rFonts w:ascii="Arial" w:hAnsi="Arial" w:cs="Arial"/>
                <w:b/>
                <w:bCs/>
                <w:color w:val="FFFFCC"/>
                <w:szCs w:val="24"/>
              </w:rPr>
              <w:t>%</w:t>
            </w:r>
          </w:p>
        </w:tc>
      </w:tr>
      <w:tr w:rsidR="008E71BB" w:rsidRPr="008E71BB" w:rsidTr="00BF726C">
        <w:trPr>
          <w:trHeight w:val="285"/>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Adult</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1,781 </w:t>
            </w:r>
          </w:p>
        </w:tc>
        <w:tc>
          <w:tcPr>
            <w:tcW w:w="960" w:type="dxa"/>
            <w:tcBorders>
              <w:top w:val="single" w:sz="4" w:space="0" w:color="auto"/>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907 </w:t>
            </w:r>
          </w:p>
        </w:tc>
        <w:tc>
          <w:tcPr>
            <w:tcW w:w="660" w:type="dxa"/>
            <w:tcBorders>
              <w:top w:val="single" w:sz="4" w:space="0" w:color="auto"/>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151%</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(148,749)</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16,597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89%</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(12,986)</w:t>
            </w:r>
          </w:p>
        </w:tc>
        <w:tc>
          <w:tcPr>
            <w:tcW w:w="1080" w:type="dxa"/>
            <w:tcBorders>
              <w:top w:val="single" w:sz="4" w:space="0" w:color="auto"/>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2,162 </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83%</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Archives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57,870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(12,381)</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79%</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(217,959)</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40,854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81%</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(12,293)</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2,132 </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83%</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Arts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1,488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3,090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308%</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(58,479)</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3,759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94%</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(21,104)</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(4,596)</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122%</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Facilities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2,573,978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(13,605)</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99%</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(2,577,759)</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(9,311)</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(543,951)</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18,053 </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97%</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Libraries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27,097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(9,782)</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64%</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(661,857)</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16,918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97%</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(146,505)</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(1,637)</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101%</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Management</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24,617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1,615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107%</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(427,725)</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13,948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97%</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(288,421)</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(5,527)</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102%</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Museums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218,040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5,543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103%</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(220,595)</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(1,347)</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101%</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(134,622)</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(3,561)</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103%</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Music Tuition</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117,489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(732)</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99%</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(515,000)</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1,172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(30,000)</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3,645 </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88%</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Outdoor</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31,525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152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(127,867)</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5,848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95%</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(16,235)</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(3,282)</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120%</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SLA</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3,819,625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0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(582,882)</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0 </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100%</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r w:rsidRPr="008E71BB">
              <w:rPr>
                <w:rFonts w:ascii="Arial" w:hAnsi="Arial" w:cs="Arial"/>
                <w:color w:val="000000"/>
                <w:szCs w:val="24"/>
              </w:rPr>
              <w:t>Sports</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34,255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17,222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150%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(377,063)</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(1,831)</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100%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(21,336)</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(12,027)</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156%</w:t>
            </w:r>
          </w:p>
        </w:tc>
      </w:tr>
      <w:tr w:rsidR="008E71BB" w:rsidRPr="008E71BB" w:rsidTr="00BF726C">
        <w:trPr>
          <w:trHeight w:val="285"/>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color w:val="000000"/>
                <w:szCs w:val="24"/>
              </w:rPr>
            </w:pPr>
            <w:proofErr w:type="spellStart"/>
            <w:r w:rsidRPr="008E71BB">
              <w:rPr>
                <w:rFonts w:ascii="Arial" w:hAnsi="Arial" w:cs="Arial"/>
                <w:color w:val="000000"/>
                <w:szCs w:val="24"/>
              </w:rPr>
              <w:t>Youthwork</w:t>
            </w:r>
            <w:proofErr w:type="spellEnd"/>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21,948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6,303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129%</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(351,685)</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 xml:space="preserve">4,809 </w:t>
            </w:r>
          </w:p>
        </w:tc>
        <w:tc>
          <w:tcPr>
            <w:tcW w:w="6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99%</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(40,055)</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FF0000"/>
                <w:szCs w:val="24"/>
              </w:rPr>
              <w:t>(13,664)</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color w:val="000000"/>
                <w:szCs w:val="24"/>
              </w:rPr>
            </w:pPr>
            <w:r w:rsidRPr="008E71BB">
              <w:rPr>
                <w:rFonts w:ascii="Arial" w:hAnsi="Arial" w:cs="Arial"/>
                <w:color w:val="000000"/>
                <w:szCs w:val="24"/>
              </w:rPr>
              <w:t>134%</w:t>
            </w:r>
          </w:p>
        </w:tc>
      </w:tr>
      <w:tr w:rsidR="008E71BB" w:rsidRPr="008E71BB" w:rsidTr="00BF726C">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rPr>
                <w:rFonts w:ascii="Arial" w:hAnsi="Arial" w:cs="Arial"/>
                <w:b/>
                <w:bCs/>
                <w:color w:val="000000"/>
                <w:szCs w:val="24"/>
              </w:rPr>
            </w:pPr>
            <w:r w:rsidRPr="008E71BB">
              <w:rPr>
                <w:rFonts w:ascii="Arial" w:hAnsi="Arial" w:cs="Arial"/>
                <w:b/>
                <w:bCs/>
                <w:color w:val="000000"/>
                <w:szCs w:val="24"/>
              </w:rPr>
              <w:t>Surplus / (Deficit)</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b/>
                <w:bCs/>
                <w:color w:val="000000"/>
                <w:szCs w:val="24"/>
              </w:rPr>
            </w:pPr>
          </w:p>
        </w:tc>
        <w:tc>
          <w:tcPr>
            <w:tcW w:w="13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000000"/>
                <w:szCs w:val="24"/>
              </w:rPr>
              <w:t xml:space="preserve">6,929,713 </w:t>
            </w:r>
          </w:p>
        </w:tc>
        <w:tc>
          <w:tcPr>
            <w:tcW w:w="96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FF0000"/>
                <w:szCs w:val="24"/>
              </w:rPr>
              <w:t>(1,668)</w:t>
            </w:r>
          </w:p>
        </w:tc>
        <w:tc>
          <w:tcPr>
            <w:tcW w:w="660" w:type="dxa"/>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000000"/>
                <w:szCs w:val="24"/>
              </w:rPr>
              <w:t>100%</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b/>
                <w:bCs/>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FF0000"/>
                <w:szCs w:val="24"/>
              </w:rPr>
              <w:t>(5,684,738)</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000000"/>
                <w:szCs w:val="24"/>
              </w:rPr>
              <w:t xml:space="preserve">91,416 </w:t>
            </w:r>
          </w:p>
        </w:tc>
        <w:tc>
          <w:tcPr>
            <w:tcW w:w="660" w:type="dxa"/>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000000"/>
                <w:szCs w:val="24"/>
              </w:rPr>
              <w:t>98%</w:t>
            </w:r>
          </w:p>
        </w:tc>
        <w:tc>
          <w:tcPr>
            <w:tcW w:w="100" w:type="dxa"/>
            <w:tcBorders>
              <w:top w:val="nil"/>
              <w:left w:val="nil"/>
              <w:bottom w:val="nil"/>
              <w:right w:val="nil"/>
            </w:tcBorders>
            <w:shd w:val="clear" w:color="auto" w:fill="auto"/>
            <w:noWrap/>
            <w:vAlign w:val="bottom"/>
            <w:hideMark/>
          </w:tcPr>
          <w:p w:rsidR="008E71BB" w:rsidRPr="008E71BB" w:rsidRDefault="008E71BB" w:rsidP="008E71BB">
            <w:pPr>
              <w:rPr>
                <w:rFonts w:ascii="Arial" w:hAnsi="Arial" w:cs="Arial"/>
                <w:b/>
                <w:bCs/>
                <w:color w:val="000000"/>
                <w:szCs w:val="24"/>
              </w:rPr>
            </w:pPr>
          </w:p>
        </w:tc>
        <w:tc>
          <w:tcPr>
            <w:tcW w:w="1440" w:type="dxa"/>
            <w:tcBorders>
              <w:top w:val="nil"/>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FF0000"/>
                <w:szCs w:val="24"/>
              </w:rPr>
              <w:t>(1,850,390)</w:t>
            </w:r>
          </w:p>
        </w:tc>
        <w:tc>
          <w:tcPr>
            <w:tcW w:w="1080" w:type="dxa"/>
            <w:tcBorders>
              <w:top w:val="nil"/>
              <w:left w:val="nil"/>
              <w:bottom w:val="single" w:sz="4" w:space="0" w:color="auto"/>
              <w:right w:val="single" w:sz="4" w:space="0" w:color="auto"/>
            </w:tcBorders>
            <w:shd w:val="clear" w:color="auto" w:fill="auto"/>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FF0000"/>
                <w:szCs w:val="24"/>
              </w:rPr>
              <w:t>(18,302)</w:t>
            </w:r>
          </w:p>
        </w:tc>
        <w:tc>
          <w:tcPr>
            <w:tcW w:w="1080" w:type="dxa"/>
            <w:tcBorders>
              <w:top w:val="nil"/>
              <w:left w:val="nil"/>
              <w:bottom w:val="single" w:sz="4" w:space="0" w:color="auto"/>
              <w:right w:val="single" w:sz="4" w:space="0" w:color="auto"/>
            </w:tcBorders>
            <w:shd w:val="clear" w:color="DCE6F1" w:fill="DCE6F1"/>
            <w:noWrap/>
            <w:vAlign w:val="bottom"/>
            <w:hideMark/>
          </w:tcPr>
          <w:p w:rsidR="008E71BB" w:rsidRPr="008E71BB" w:rsidRDefault="008E71BB" w:rsidP="008E71BB">
            <w:pPr>
              <w:jc w:val="right"/>
              <w:rPr>
                <w:rFonts w:ascii="Arial" w:hAnsi="Arial" w:cs="Arial"/>
                <w:b/>
                <w:bCs/>
                <w:color w:val="000000"/>
                <w:szCs w:val="24"/>
              </w:rPr>
            </w:pPr>
            <w:r w:rsidRPr="008E71BB">
              <w:rPr>
                <w:rFonts w:ascii="Arial" w:hAnsi="Arial" w:cs="Arial"/>
                <w:b/>
                <w:bCs/>
                <w:color w:val="000000"/>
                <w:szCs w:val="24"/>
              </w:rPr>
              <w:t>101%</w:t>
            </w:r>
          </w:p>
        </w:tc>
      </w:tr>
    </w:tbl>
    <w:p w:rsidR="008E71BB" w:rsidRPr="008E71BB" w:rsidRDefault="008E71BB" w:rsidP="008E71BB">
      <w:pPr>
        <w:spacing w:line="276" w:lineRule="auto"/>
        <w:rPr>
          <w:rFonts w:ascii="Calibri" w:eastAsia="Calibri" w:hAnsi="Calibri"/>
          <w:vanish/>
          <w:sz w:val="22"/>
          <w:szCs w:val="22"/>
          <w:lang w:eastAsia="en-US"/>
        </w:rPr>
      </w:pPr>
    </w:p>
    <w:p w:rsidR="008E71BB" w:rsidRPr="008E71BB" w:rsidRDefault="008E71BB" w:rsidP="008E71BB">
      <w:pPr>
        <w:spacing w:after="200" w:line="276" w:lineRule="auto"/>
        <w:rPr>
          <w:rFonts w:ascii="Calibri" w:eastAsia="Calibri" w:hAnsi="Calibri"/>
          <w:sz w:val="22"/>
          <w:szCs w:val="22"/>
          <w:lang w:eastAsia="en-US"/>
        </w:rPr>
      </w:pPr>
      <w:r w:rsidRPr="008E71BB">
        <w:rPr>
          <w:rFonts w:ascii="Arial" w:eastAsia="Calibri" w:hAnsi="Arial" w:cs="Arial"/>
          <w:b/>
          <w:sz w:val="22"/>
          <w:szCs w:val="22"/>
          <w:lang w:eastAsia="en-US"/>
        </w:rPr>
        <w:br w:type="page"/>
        <w:t xml:space="preserve">                                                                                                                                                                                                                  APPENDIX D</w:t>
      </w:r>
    </w:p>
    <w:p w:rsidR="008E71BB" w:rsidRPr="008E71BB" w:rsidRDefault="008E71BB" w:rsidP="008E71BB">
      <w:pPr>
        <w:spacing w:after="200" w:line="276" w:lineRule="auto"/>
        <w:rPr>
          <w:rFonts w:ascii="Arial" w:eastAsia="Calibri" w:hAnsi="Arial" w:cs="Arial"/>
          <w:b/>
          <w:szCs w:val="24"/>
          <w:lang w:eastAsia="en-US"/>
        </w:rPr>
      </w:pPr>
      <w:r w:rsidRPr="008E71BB">
        <w:rPr>
          <w:rFonts w:ascii="Arial" w:eastAsia="Calibri" w:hAnsi="Arial" w:cs="Arial"/>
          <w:b/>
          <w:szCs w:val="24"/>
          <w:lang w:eastAsia="en-US"/>
        </w:rPr>
        <w:t>Variances over £5,000</w:t>
      </w:r>
    </w:p>
    <w:tbl>
      <w:tblPr>
        <w:tblW w:w="14458" w:type="dxa"/>
        <w:tblInd w:w="392" w:type="dxa"/>
        <w:tblLook w:val="04A0" w:firstRow="1" w:lastRow="0" w:firstColumn="1" w:lastColumn="0" w:noHBand="0" w:noVBand="1"/>
      </w:tblPr>
      <w:tblGrid>
        <w:gridCol w:w="1617"/>
        <w:gridCol w:w="2268"/>
        <w:gridCol w:w="10631"/>
      </w:tblGrid>
      <w:tr w:rsidR="008E71BB" w:rsidRPr="008E71BB" w:rsidTr="008E71BB">
        <w:trPr>
          <w:trHeight w:val="422"/>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8E71BB" w:rsidRPr="008E71BB" w:rsidRDefault="008E71BB" w:rsidP="008E71BB">
            <w:pPr>
              <w:spacing w:after="200" w:line="276" w:lineRule="auto"/>
              <w:jc w:val="center"/>
              <w:rPr>
                <w:rFonts w:ascii="Arial" w:eastAsia="Calibri" w:hAnsi="Arial" w:cs="Arial"/>
                <w:b/>
                <w:bCs/>
                <w:sz w:val="22"/>
                <w:szCs w:val="22"/>
                <w:lang w:eastAsia="en-US"/>
              </w:rPr>
            </w:pPr>
            <w:r w:rsidRPr="008E71BB">
              <w:rPr>
                <w:rFonts w:ascii="Arial" w:eastAsia="Calibri" w:hAnsi="Arial" w:cs="Arial"/>
                <w:b/>
                <w:bCs/>
                <w:sz w:val="22"/>
                <w:szCs w:val="22"/>
                <w:lang w:eastAsia="en-US"/>
              </w:rPr>
              <w:t>Sector</w:t>
            </w:r>
          </w:p>
        </w:tc>
        <w:tc>
          <w:tcPr>
            <w:tcW w:w="2268" w:type="dxa"/>
            <w:tcBorders>
              <w:top w:val="single" w:sz="4" w:space="0" w:color="auto"/>
              <w:left w:val="nil"/>
              <w:bottom w:val="single" w:sz="4" w:space="0" w:color="auto"/>
              <w:right w:val="single" w:sz="4" w:space="0" w:color="auto"/>
            </w:tcBorders>
            <w:shd w:val="clear" w:color="auto" w:fill="auto"/>
            <w:noWrap/>
            <w:vAlign w:val="bottom"/>
            <w:hideMark/>
          </w:tcPr>
          <w:p w:rsidR="008E71BB" w:rsidRPr="008E71BB" w:rsidRDefault="008E71BB" w:rsidP="008E71BB">
            <w:pPr>
              <w:spacing w:after="200" w:line="276" w:lineRule="auto"/>
              <w:jc w:val="center"/>
              <w:rPr>
                <w:rFonts w:ascii="Arial" w:eastAsia="Calibri" w:hAnsi="Arial" w:cs="Arial"/>
                <w:b/>
                <w:bCs/>
                <w:sz w:val="22"/>
                <w:szCs w:val="22"/>
                <w:lang w:eastAsia="en-US"/>
              </w:rPr>
            </w:pPr>
            <w:r w:rsidRPr="008E71BB">
              <w:rPr>
                <w:rFonts w:ascii="Arial" w:eastAsia="Calibri" w:hAnsi="Arial" w:cs="Arial"/>
                <w:b/>
                <w:bCs/>
                <w:sz w:val="22"/>
                <w:szCs w:val="22"/>
                <w:lang w:eastAsia="en-US"/>
              </w:rPr>
              <w:t>Variance</w:t>
            </w:r>
          </w:p>
        </w:tc>
        <w:tc>
          <w:tcPr>
            <w:tcW w:w="10631" w:type="dxa"/>
            <w:tcBorders>
              <w:top w:val="single" w:sz="4" w:space="0" w:color="auto"/>
              <w:left w:val="nil"/>
              <w:bottom w:val="single" w:sz="4" w:space="0" w:color="auto"/>
              <w:right w:val="single" w:sz="4" w:space="0" w:color="auto"/>
            </w:tcBorders>
            <w:shd w:val="clear" w:color="auto" w:fill="auto"/>
            <w:noWrap/>
            <w:vAlign w:val="bottom"/>
            <w:hideMark/>
          </w:tcPr>
          <w:p w:rsidR="008E71BB" w:rsidRPr="008E71BB" w:rsidRDefault="008E71BB" w:rsidP="008E71BB">
            <w:pPr>
              <w:spacing w:after="200" w:line="276" w:lineRule="auto"/>
              <w:jc w:val="center"/>
              <w:rPr>
                <w:rFonts w:ascii="Arial" w:eastAsia="Calibri" w:hAnsi="Arial" w:cs="Arial"/>
                <w:b/>
                <w:bCs/>
                <w:sz w:val="22"/>
                <w:szCs w:val="22"/>
                <w:lang w:eastAsia="en-US"/>
              </w:rPr>
            </w:pPr>
            <w:r w:rsidRPr="008E71BB">
              <w:rPr>
                <w:rFonts w:ascii="Arial" w:eastAsia="Calibri" w:hAnsi="Arial" w:cs="Arial"/>
                <w:b/>
                <w:bCs/>
                <w:sz w:val="22"/>
                <w:szCs w:val="22"/>
                <w:lang w:eastAsia="en-US"/>
              </w:rPr>
              <w:t>Note</w:t>
            </w:r>
          </w:p>
        </w:tc>
      </w:tr>
      <w:tr w:rsidR="008E71BB" w:rsidRPr="008E71BB" w:rsidTr="008E71BB">
        <w:trPr>
          <w:trHeight w:val="558"/>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eastAsia="Calibri" w:hAnsi="Arial" w:cs="Arial"/>
                <w:szCs w:val="24"/>
                <w:lang w:eastAsia="en-US"/>
              </w:rPr>
            </w:pPr>
            <w:r w:rsidRPr="008E71BB">
              <w:rPr>
                <w:rFonts w:ascii="Arial" w:eastAsia="Calibri" w:hAnsi="Arial" w:cs="Arial"/>
                <w:szCs w:val="24"/>
                <w:lang w:eastAsia="en-US"/>
              </w:rPr>
              <w:t>Adult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hAnsi="Arial" w:cs="Arial"/>
                <w:color w:val="000000"/>
                <w:szCs w:val="24"/>
              </w:rPr>
            </w:pPr>
            <w:r w:rsidRPr="008E71BB">
              <w:rPr>
                <w:rFonts w:ascii="Arial" w:hAnsi="Arial" w:cs="Arial"/>
                <w:color w:val="000000"/>
                <w:szCs w:val="24"/>
              </w:rPr>
              <w:t>19,666</w:t>
            </w:r>
          </w:p>
        </w:tc>
        <w:tc>
          <w:tcPr>
            <w:tcW w:w="10631" w:type="dxa"/>
            <w:tcBorders>
              <w:top w:val="single" w:sz="4" w:space="0" w:color="auto"/>
              <w:left w:val="nil"/>
              <w:bottom w:val="single" w:sz="4" w:space="0" w:color="auto"/>
              <w:right w:val="single" w:sz="4" w:space="0" w:color="auto"/>
            </w:tcBorders>
            <w:shd w:val="clear" w:color="auto" w:fill="auto"/>
            <w:noWrap/>
          </w:tcPr>
          <w:p w:rsidR="008E71BB" w:rsidRPr="008E71BB" w:rsidRDefault="008E71BB" w:rsidP="008E71BB">
            <w:pPr>
              <w:spacing w:after="200" w:line="276" w:lineRule="auto"/>
              <w:jc w:val="both"/>
              <w:rPr>
                <w:rFonts w:ascii="Arial" w:eastAsia="Calibri" w:hAnsi="Arial" w:cs="Arial"/>
                <w:szCs w:val="24"/>
                <w:lang w:eastAsia="en-US"/>
              </w:rPr>
            </w:pPr>
            <w:r w:rsidRPr="008E71BB">
              <w:rPr>
                <w:rFonts w:ascii="Arial" w:eastAsia="Calibri" w:hAnsi="Arial" w:cs="Arial"/>
                <w:szCs w:val="24"/>
                <w:lang w:eastAsia="en-US"/>
              </w:rPr>
              <w:t>Positive variance due to staff vacancies in Lochaber and Skye. The new Area Learning Co-ordinator in Lochaber took up their post on 18</w:t>
            </w:r>
            <w:r w:rsidRPr="008E71BB">
              <w:rPr>
                <w:rFonts w:ascii="Arial" w:eastAsia="Calibri" w:hAnsi="Arial" w:cs="Arial"/>
                <w:szCs w:val="24"/>
                <w:vertAlign w:val="superscript"/>
                <w:lang w:eastAsia="en-US"/>
              </w:rPr>
              <w:t>th</w:t>
            </w:r>
            <w:r w:rsidRPr="008E71BB">
              <w:rPr>
                <w:rFonts w:ascii="Arial" w:eastAsia="Calibri" w:hAnsi="Arial" w:cs="Arial"/>
                <w:szCs w:val="24"/>
                <w:lang w:eastAsia="en-US"/>
              </w:rPr>
              <w:t xml:space="preserve"> June whilst the Skye post will be filled at the start of August.             </w:t>
            </w:r>
          </w:p>
        </w:tc>
      </w:tr>
      <w:tr w:rsidR="008E71BB" w:rsidRPr="008E71BB" w:rsidTr="008E71BB">
        <w:trPr>
          <w:trHeight w:val="558"/>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eastAsia="Calibri" w:hAnsi="Arial" w:cs="Arial"/>
                <w:szCs w:val="24"/>
                <w:lang w:eastAsia="en-US"/>
              </w:rPr>
            </w:pPr>
            <w:r w:rsidRPr="008E71BB">
              <w:rPr>
                <w:rFonts w:ascii="Arial" w:eastAsia="Calibri" w:hAnsi="Arial" w:cs="Arial"/>
                <w:szCs w:val="24"/>
                <w:lang w:eastAsia="en-US"/>
              </w:rPr>
              <w:t>Archives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hAnsi="Arial" w:cs="Arial"/>
                <w:color w:val="000000"/>
                <w:szCs w:val="24"/>
              </w:rPr>
            </w:pPr>
            <w:r w:rsidRPr="008E71BB">
              <w:rPr>
                <w:rFonts w:ascii="Arial" w:hAnsi="Arial" w:cs="Arial"/>
                <w:color w:val="000000"/>
                <w:szCs w:val="24"/>
              </w:rPr>
              <w:t>30,605</w:t>
            </w:r>
          </w:p>
        </w:tc>
        <w:tc>
          <w:tcPr>
            <w:tcW w:w="10631" w:type="dxa"/>
            <w:tcBorders>
              <w:top w:val="single" w:sz="4" w:space="0" w:color="auto"/>
              <w:left w:val="nil"/>
              <w:bottom w:val="single" w:sz="4" w:space="0" w:color="auto"/>
              <w:right w:val="single" w:sz="4" w:space="0" w:color="auto"/>
            </w:tcBorders>
            <w:shd w:val="clear" w:color="auto" w:fill="auto"/>
            <w:noWrap/>
          </w:tcPr>
          <w:p w:rsidR="008E71BB" w:rsidRPr="008E71BB" w:rsidRDefault="008E71BB" w:rsidP="008E71BB">
            <w:pPr>
              <w:spacing w:after="200" w:line="276" w:lineRule="auto"/>
              <w:jc w:val="both"/>
              <w:rPr>
                <w:rFonts w:ascii="Arial" w:eastAsia="Calibri" w:hAnsi="Arial" w:cs="Arial"/>
                <w:szCs w:val="24"/>
                <w:lang w:eastAsia="en-US"/>
              </w:rPr>
            </w:pPr>
            <w:r w:rsidRPr="008E71BB">
              <w:rPr>
                <w:rFonts w:ascii="Arial" w:eastAsia="Calibri" w:hAnsi="Arial" w:cs="Arial"/>
                <w:szCs w:val="24"/>
                <w:lang w:eastAsia="en-US"/>
              </w:rPr>
              <w:t xml:space="preserve">Staff savings have been realised due to vacancies in Inverness, Skye and Lochaber.  The new Archivist in Lochaber starts in September with an October start date predicted for the Skye post.                </w:t>
            </w:r>
          </w:p>
        </w:tc>
      </w:tr>
      <w:tr w:rsidR="008E71BB" w:rsidRPr="008E71BB" w:rsidTr="008E71BB">
        <w:trPr>
          <w:trHeight w:val="58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eastAsia="Calibri" w:hAnsi="Arial" w:cs="Arial"/>
                <w:szCs w:val="24"/>
                <w:lang w:eastAsia="en-US"/>
              </w:rPr>
            </w:pPr>
            <w:r w:rsidRPr="008E71BB">
              <w:rPr>
                <w:rFonts w:ascii="Arial" w:eastAsia="Calibri" w:hAnsi="Arial" w:cs="Arial"/>
                <w:szCs w:val="24"/>
                <w:lang w:eastAsia="en-US"/>
              </w:rPr>
              <w:t>Libraries</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hAnsi="Arial" w:cs="Arial"/>
                <w:color w:val="000000"/>
                <w:szCs w:val="24"/>
              </w:rPr>
            </w:pPr>
            <w:r w:rsidRPr="008E71BB">
              <w:rPr>
                <w:rFonts w:ascii="Arial" w:hAnsi="Arial" w:cs="Arial"/>
                <w:color w:val="000000"/>
                <w:szCs w:val="24"/>
              </w:rPr>
              <w:t>5,499</w:t>
            </w:r>
          </w:p>
        </w:tc>
        <w:tc>
          <w:tcPr>
            <w:tcW w:w="10631" w:type="dxa"/>
            <w:tcBorders>
              <w:top w:val="single" w:sz="4" w:space="0" w:color="auto"/>
              <w:left w:val="nil"/>
              <w:bottom w:val="single" w:sz="4" w:space="0" w:color="auto"/>
              <w:right w:val="single" w:sz="4" w:space="0" w:color="auto"/>
            </w:tcBorders>
            <w:shd w:val="clear" w:color="auto" w:fill="auto"/>
          </w:tcPr>
          <w:p w:rsidR="008E71BB" w:rsidRPr="008E71BB" w:rsidRDefault="008E71BB" w:rsidP="008E71BB">
            <w:pPr>
              <w:spacing w:after="200" w:line="276" w:lineRule="auto"/>
              <w:jc w:val="both"/>
              <w:rPr>
                <w:rFonts w:ascii="Arial" w:eastAsia="Calibri" w:hAnsi="Arial" w:cs="Arial"/>
                <w:szCs w:val="24"/>
                <w:lang w:eastAsia="en-US"/>
              </w:rPr>
            </w:pPr>
            <w:r w:rsidRPr="008E71BB">
              <w:rPr>
                <w:rFonts w:ascii="Arial" w:eastAsia="Calibri" w:hAnsi="Arial" w:cs="Arial"/>
                <w:szCs w:val="24"/>
                <w:lang w:eastAsia="en-US"/>
              </w:rPr>
              <w:t xml:space="preserve">Lower than anticipated income from fines and audio-visual lending charges offset against vacancies at Inverness Library and Library Support Unit which have now been filled.    </w:t>
            </w:r>
          </w:p>
        </w:tc>
      </w:tr>
      <w:tr w:rsidR="008E71BB" w:rsidRPr="008E71BB" w:rsidTr="008E71BB">
        <w:trPr>
          <w:trHeight w:val="585"/>
        </w:trPr>
        <w:tc>
          <w:tcPr>
            <w:tcW w:w="1559" w:type="dxa"/>
            <w:tcBorders>
              <w:top w:val="single" w:sz="4" w:space="0" w:color="auto"/>
              <w:left w:val="single" w:sz="4" w:space="0" w:color="auto"/>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eastAsia="Calibri" w:hAnsi="Arial" w:cs="Arial"/>
                <w:szCs w:val="24"/>
                <w:lang w:eastAsia="en-US"/>
              </w:rPr>
            </w:pPr>
            <w:r w:rsidRPr="008E71BB">
              <w:rPr>
                <w:rFonts w:ascii="Arial" w:eastAsia="Calibri" w:hAnsi="Arial" w:cs="Arial"/>
                <w:szCs w:val="24"/>
                <w:lang w:eastAsia="en-US"/>
              </w:rPr>
              <w:t>Management</w:t>
            </w:r>
          </w:p>
        </w:tc>
        <w:tc>
          <w:tcPr>
            <w:tcW w:w="2268" w:type="dxa"/>
            <w:tcBorders>
              <w:top w:val="single" w:sz="4" w:space="0" w:color="auto"/>
              <w:left w:val="nil"/>
              <w:bottom w:val="single" w:sz="4" w:space="0" w:color="auto"/>
              <w:right w:val="single" w:sz="4" w:space="0" w:color="auto"/>
            </w:tcBorders>
            <w:shd w:val="clear" w:color="auto" w:fill="auto"/>
            <w:noWrap/>
            <w:vAlign w:val="center"/>
          </w:tcPr>
          <w:p w:rsidR="008E71BB" w:rsidRPr="008E71BB" w:rsidRDefault="008E71BB" w:rsidP="008E71BB">
            <w:pPr>
              <w:spacing w:after="200" w:line="276" w:lineRule="auto"/>
              <w:jc w:val="center"/>
              <w:rPr>
                <w:rFonts w:ascii="Arial" w:hAnsi="Arial" w:cs="Arial"/>
                <w:color w:val="000000"/>
                <w:szCs w:val="24"/>
              </w:rPr>
            </w:pPr>
            <w:r w:rsidRPr="008E71BB">
              <w:rPr>
                <w:rFonts w:ascii="Arial" w:hAnsi="Arial" w:cs="Arial"/>
                <w:color w:val="000000"/>
                <w:szCs w:val="24"/>
              </w:rPr>
              <w:t>10,036</w:t>
            </w:r>
          </w:p>
        </w:tc>
        <w:tc>
          <w:tcPr>
            <w:tcW w:w="10631" w:type="dxa"/>
            <w:tcBorders>
              <w:top w:val="single" w:sz="4" w:space="0" w:color="auto"/>
              <w:left w:val="nil"/>
              <w:bottom w:val="single" w:sz="4" w:space="0" w:color="auto"/>
              <w:right w:val="single" w:sz="4" w:space="0" w:color="auto"/>
            </w:tcBorders>
            <w:shd w:val="clear" w:color="auto" w:fill="auto"/>
          </w:tcPr>
          <w:p w:rsidR="008E71BB" w:rsidRPr="008E71BB" w:rsidRDefault="008E71BB" w:rsidP="008E71BB">
            <w:pPr>
              <w:spacing w:after="200" w:line="276" w:lineRule="auto"/>
              <w:jc w:val="both"/>
              <w:rPr>
                <w:rFonts w:ascii="Arial" w:eastAsia="Calibri" w:hAnsi="Arial" w:cs="Arial"/>
                <w:szCs w:val="24"/>
                <w:lang w:eastAsia="en-US"/>
              </w:rPr>
            </w:pPr>
            <w:r w:rsidRPr="008E71BB">
              <w:rPr>
                <w:rFonts w:ascii="Arial" w:eastAsia="Calibri" w:hAnsi="Arial" w:cs="Arial"/>
                <w:szCs w:val="24"/>
                <w:lang w:eastAsia="en-US"/>
              </w:rPr>
              <w:t xml:space="preserve">Staff savings due to vacancies in Finance and maternity leave in Business Support in the first quarter.                </w:t>
            </w:r>
          </w:p>
        </w:tc>
      </w:tr>
    </w:tbl>
    <w:p w:rsidR="008E71BB" w:rsidRPr="008E71BB" w:rsidRDefault="008E71BB" w:rsidP="008E71BB">
      <w:pPr>
        <w:spacing w:after="200" w:line="276" w:lineRule="auto"/>
        <w:rPr>
          <w:rFonts w:ascii="Arial" w:eastAsia="Calibri" w:hAnsi="Arial" w:cs="Arial"/>
          <w:b/>
          <w:szCs w:val="24"/>
          <w:lang w:eastAsia="en-US"/>
        </w:rPr>
      </w:pPr>
    </w:p>
    <w:p w:rsidR="00532972" w:rsidRDefault="00532972" w:rsidP="00290EB5">
      <w:pPr>
        <w:rPr>
          <w:rFonts w:ascii="Arial" w:hAnsi="Arial" w:cs="Arial"/>
          <w:b/>
          <w:szCs w:val="24"/>
        </w:rPr>
      </w:pPr>
    </w:p>
    <w:sectPr w:rsidR="00532972" w:rsidSect="00EF19DA">
      <w:pgSz w:w="16838" w:h="11906" w:orient="landscape" w:code="9"/>
      <w:pgMar w:top="992" w:right="992" w:bottom="992" w:left="851"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608B" w:rsidRDefault="0016608B">
      <w:r>
        <w:separator/>
      </w:r>
    </w:p>
  </w:endnote>
  <w:endnote w:type="continuationSeparator" w:id="0">
    <w:p w:rsidR="0016608B" w:rsidRDefault="001660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608B" w:rsidRDefault="0016608B">
      <w:r>
        <w:separator/>
      </w:r>
    </w:p>
  </w:footnote>
  <w:footnote w:type="continuationSeparator" w:id="0">
    <w:p w:rsidR="0016608B" w:rsidRDefault="001660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A3431"/>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nsid w:val="0E395F57"/>
    <w:multiLevelType w:val="hybridMultilevel"/>
    <w:tmpl w:val="A802FFE8"/>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nsid w:val="1293429C"/>
    <w:multiLevelType w:val="hybridMultilevel"/>
    <w:tmpl w:val="4216D7A2"/>
    <w:lvl w:ilvl="0" w:tplc="08090013">
      <w:start w:val="1"/>
      <w:numFmt w:val="upp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3">
    <w:nsid w:val="12D109A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
    <w:nsid w:val="1A752B5A"/>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1ACF3B47"/>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nsid w:val="1B9670BC"/>
    <w:multiLevelType w:val="hybridMultilevel"/>
    <w:tmpl w:val="50505CE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nsid w:val="1C715A80"/>
    <w:multiLevelType w:val="hybridMultilevel"/>
    <w:tmpl w:val="43601BE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FCD3580"/>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nsid w:val="21C121EC"/>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nsid w:val="23AA56ED"/>
    <w:multiLevelType w:val="hybridMultilevel"/>
    <w:tmpl w:val="3830E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737993"/>
    <w:multiLevelType w:val="hybridMultilevel"/>
    <w:tmpl w:val="87DC7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4AB5F6B"/>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CCD027F"/>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nsid w:val="2CE21FEF"/>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nsid w:val="30821E21"/>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13D2F1A"/>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68A0CD2"/>
    <w:multiLevelType w:val="hybridMultilevel"/>
    <w:tmpl w:val="BA4C8956"/>
    <w:lvl w:ilvl="0" w:tplc="F538168E">
      <w:numFmt w:val="bullet"/>
      <w:lvlText w:val="-"/>
      <w:lvlJc w:val="left"/>
      <w:pPr>
        <w:ind w:left="720" w:hanging="360"/>
      </w:pPr>
      <w:rPr>
        <w:rFonts w:ascii="Calibri" w:eastAsia="Calibri"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nsid w:val="3B671643"/>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9">
    <w:nsid w:val="3C294455"/>
    <w:multiLevelType w:val="hybridMultilevel"/>
    <w:tmpl w:val="B2D89C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08D355E"/>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1C44059"/>
    <w:multiLevelType w:val="hybridMultilevel"/>
    <w:tmpl w:val="C39C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51F0635"/>
    <w:multiLevelType w:val="hybridMultilevel"/>
    <w:tmpl w:val="897E41CA"/>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461F5040"/>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91C0C95"/>
    <w:multiLevelType w:val="hybridMultilevel"/>
    <w:tmpl w:val="CB3C34B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5">
    <w:nsid w:val="4D155A2B"/>
    <w:multiLevelType w:val="hybridMultilevel"/>
    <w:tmpl w:val="C04A8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221874"/>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
    <w:nsid w:val="55F6757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8">
    <w:nsid w:val="56251B61"/>
    <w:multiLevelType w:val="hybridMultilevel"/>
    <w:tmpl w:val="3A9E3DD0"/>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nsid w:val="57465B73"/>
    <w:multiLevelType w:val="hybridMultilevel"/>
    <w:tmpl w:val="DFC082A4"/>
    <w:lvl w:ilvl="0" w:tplc="BF92CEE6">
      <w:start w:val="1"/>
      <w:numFmt w:val="lowerRoman"/>
      <w:lvlText w:val="%1."/>
      <w:lvlJc w:val="righ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nsid w:val="5DF4201D"/>
    <w:multiLevelType w:val="hybridMultilevel"/>
    <w:tmpl w:val="87A438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16E0E6E"/>
    <w:multiLevelType w:val="hybridMultilevel"/>
    <w:tmpl w:val="A3FA3590"/>
    <w:lvl w:ilvl="0" w:tplc="587CDE3A">
      <w:start w:val="1"/>
      <w:numFmt w:val="bullet"/>
      <w:lvlText w:val="•"/>
      <w:lvlJc w:val="left"/>
      <w:pPr>
        <w:tabs>
          <w:tab w:val="num" w:pos="720"/>
        </w:tabs>
        <w:ind w:left="720" w:hanging="360"/>
      </w:pPr>
      <w:rPr>
        <w:rFonts w:ascii="Arial" w:hAnsi="Arial" w:hint="default"/>
      </w:rPr>
    </w:lvl>
    <w:lvl w:ilvl="1" w:tplc="F1A6374C" w:tentative="1">
      <w:start w:val="1"/>
      <w:numFmt w:val="bullet"/>
      <w:lvlText w:val="•"/>
      <w:lvlJc w:val="left"/>
      <w:pPr>
        <w:tabs>
          <w:tab w:val="num" w:pos="1440"/>
        </w:tabs>
        <w:ind w:left="1440" w:hanging="360"/>
      </w:pPr>
      <w:rPr>
        <w:rFonts w:ascii="Arial" w:hAnsi="Arial" w:hint="default"/>
      </w:rPr>
    </w:lvl>
    <w:lvl w:ilvl="2" w:tplc="A8B016AA" w:tentative="1">
      <w:start w:val="1"/>
      <w:numFmt w:val="bullet"/>
      <w:lvlText w:val="•"/>
      <w:lvlJc w:val="left"/>
      <w:pPr>
        <w:tabs>
          <w:tab w:val="num" w:pos="2160"/>
        </w:tabs>
        <w:ind w:left="2160" w:hanging="360"/>
      </w:pPr>
      <w:rPr>
        <w:rFonts w:ascii="Arial" w:hAnsi="Arial" w:hint="default"/>
      </w:rPr>
    </w:lvl>
    <w:lvl w:ilvl="3" w:tplc="D676EC5C" w:tentative="1">
      <w:start w:val="1"/>
      <w:numFmt w:val="bullet"/>
      <w:lvlText w:val="•"/>
      <w:lvlJc w:val="left"/>
      <w:pPr>
        <w:tabs>
          <w:tab w:val="num" w:pos="2880"/>
        </w:tabs>
        <w:ind w:left="2880" w:hanging="360"/>
      </w:pPr>
      <w:rPr>
        <w:rFonts w:ascii="Arial" w:hAnsi="Arial" w:hint="default"/>
      </w:rPr>
    </w:lvl>
    <w:lvl w:ilvl="4" w:tplc="3F064E46" w:tentative="1">
      <w:start w:val="1"/>
      <w:numFmt w:val="bullet"/>
      <w:lvlText w:val="•"/>
      <w:lvlJc w:val="left"/>
      <w:pPr>
        <w:tabs>
          <w:tab w:val="num" w:pos="3600"/>
        </w:tabs>
        <w:ind w:left="3600" w:hanging="360"/>
      </w:pPr>
      <w:rPr>
        <w:rFonts w:ascii="Arial" w:hAnsi="Arial" w:hint="default"/>
      </w:rPr>
    </w:lvl>
    <w:lvl w:ilvl="5" w:tplc="26EA34CE" w:tentative="1">
      <w:start w:val="1"/>
      <w:numFmt w:val="bullet"/>
      <w:lvlText w:val="•"/>
      <w:lvlJc w:val="left"/>
      <w:pPr>
        <w:tabs>
          <w:tab w:val="num" w:pos="4320"/>
        </w:tabs>
        <w:ind w:left="4320" w:hanging="360"/>
      </w:pPr>
      <w:rPr>
        <w:rFonts w:ascii="Arial" w:hAnsi="Arial" w:hint="default"/>
      </w:rPr>
    </w:lvl>
    <w:lvl w:ilvl="6" w:tplc="49FA8C32" w:tentative="1">
      <w:start w:val="1"/>
      <w:numFmt w:val="bullet"/>
      <w:lvlText w:val="•"/>
      <w:lvlJc w:val="left"/>
      <w:pPr>
        <w:tabs>
          <w:tab w:val="num" w:pos="5040"/>
        </w:tabs>
        <w:ind w:left="5040" w:hanging="360"/>
      </w:pPr>
      <w:rPr>
        <w:rFonts w:ascii="Arial" w:hAnsi="Arial" w:hint="default"/>
      </w:rPr>
    </w:lvl>
    <w:lvl w:ilvl="7" w:tplc="ECE80ED4" w:tentative="1">
      <w:start w:val="1"/>
      <w:numFmt w:val="bullet"/>
      <w:lvlText w:val="•"/>
      <w:lvlJc w:val="left"/>
      <w:pPr>
        <w:tabs>
          <w:tab w:val="num" w:pos="5760"/>
        </w:tabs>
        <w:ind w:left="5760" w:hanging="360"/>
      </w:pPr>
      <w:rPr>
        <w:rFonts w:ascii="Arial" w:hAnsi="Arial" w:hint="default"/>
      </w:rPr>
    </w:lvl>
    <w:lvl w:ilvl="8" w:tplc="55D441B8" w:tentative="1">
      <w:start w:val="1"/>
      <w:numFmt w:val="bullet"/>
      <w:lvlText w:val="•"/>
      <w:lvlJc w:val="left"/>
      <w:pPr>
        <w:tabs>
          <w:tab w:val="num" w:pos="6480"/>
        </w:tabs>
        <w:ind w:left="6480" w:hanging="360"/>
      </w:pPr>
      <w:rPr>
        <w:rFonts w:ascii="Arial" w:hAnsi="Arial" w:hint="default"/>
      </w:rPr>
    </w:lvl>
  </w:abstractNum>
  <w:abstractNum w:abstractNumId="32">
    <w:nsid w:val="64084F00"/>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654973F7"/>
    <w:multiLevelType w:val="hybridMultilevel"/>
    <w:tmpl w:val="87A4388C"/>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83B5B72"/>
    <w:multiLevelType w:val="hybridMultilevel"/>
    <w:tmpl w:val="76CAA9A6"/>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5">
    <w:nsid w:val="6978711F"/>
    <w:multiLevelType w:val="hybridMultilevel"/>
    <w:tmpl w:val="EFCAD098"/>
    <w:lvl w:ilvl="0" w:tplc="08EEF714">
      <w:start w:val="1"/>
      <w:numFmt w:val="bullet"/>
      <w:lvlText w:val="•"/>
      <w:lvlJc w:val="left"/>
      <w:pPr>
        <w:tabs>
          <w:tab w:val="num" w:pos="720"/>
        </w:tabs>
        <w:ind w:left="720" w:hanging="360"/>
      </w:pPr>
      <w:rPr>
        <w:rFonts w:ascii="Arial" w:hAnsi="Arial" w:hint="default"/>
      </w:rPr>
    </w:lvl>
    <w:lvl w:ilvl="1" w:tplc="7FB4C0C0" w:tentative="1">
      <w:start w:val="1"/>
      <w:numFmt w:val="bullet"/>
      <w:lvlText w:val="•"/>
      <w:lvlJc w:val="left"/>
      <w:pPr>
        <w:tabs>
          <w:tab w:val="num" w:pos="1440"/>
        </w:tabs>
        <w:ind w:left="1440" w:hanging="360"/>
      </w:pPr>
      <w:rPr>
        <w:rFonts w:ascii="Arial" w:hAnsi="Arial" w:hint="default"/>
      </w:rPr>
    </w:lvl>
    <w:lvl w:ilvl="2" w:tplc="0C28971C" w:tentative="1">
      <w:start w:val="1"/>
      <w:numFmt w:val="bullet"/>
      <w:lvlText w:val="•"/>
      <w:lvlJc w:val="left"/>
      <w:pPr>
        <w:tabs>
          <w:tab w:val="num" w:pos="2160"/>
        </w:tabs>
        <w:ind w:left="2160" w:hanging="360"/>
      </w:pPr>
      <w:rPr>
        <w:rFonts w:ascii="Arial" w:hAnsi="Arial" w:hint="default"/>
      </w:rPr>
    </w:lvl>
    <w:lvl w:ilvl="3" w:tplc="836C6192" w:tentative="1">
      <w:start w:val="1"/>
      <w:numFmt w:val="bullet"/>
      <w:lvlText w:val="•"/>
      <w:lvlJc w:val="left"/>
      <w:pPr>
        <w:tabs>
          <w:tab w:val="num" w:pos="2880"/>
        </w:tabs>
        <w:ind w:left="2880" w:hanging="360"/>
      </w:pPr>
      <w:rPr>
        <w:rFonts w:ascii="Arial" w:hAnsi="Arial" w:hint="default"/>
      </w:rPr>
    </w:lvl>
    <w:lvl w:ilvl="4" w:tplc="9280E2A4" w:tentative="1">
      <w:start w:val="1"/>
      <w:numFmt w:val="bullet"/>
      <w:lvlText w:val="•"/>
      <w:lvlJc w:val="left"/>
      <w:pPr>
        <w:tabs>
          <w:tab w:val="num" w:pos="3600"/>
        </w:tabs>
        <w:ind w:left="3600" w:hanging="360"/>
      </w:pPr>
      <w:rPr>
        <w:rFonts w:ascii="Arial" w:hAnsi="Arial" w:hint="default"/>
      </w:rPr>
    </w:lvl>
    <w:lvl w:ilvl="5" w:tplc="5570FA46" w:tentative="1">
      <w:start w:val="1"/>
      <w:numFmt w:val="bullet"/>
      <w:lvlText w:val="•"/>
      <w:lvlJc w:val="left"/>
      <w:pPr>
        <w:tabs>
          <w:tab w:val="num" w:pos="4320"/>
        </w:tabs>
        <w:ind w:left="4320" w:hanging="360"/>
      </w:pPr>
      <w:rPr>
        <w:rFonts w:ascii="Arial" w:hAnsi="Arial" w:hint="default"/>
      </w:rPr>
    </w:lvl>
    <w:lvl w:ilvl="6" w:tplc="19261CF8" w:tentative="1">
      <w:start w:val="1"/>
      <w:numFmt w:val="bullet"/>
      <w:lvlText w:val="•"/>
      <w:lvlJc w:val="left"/>
      <w:pPr>
        <w:tabs>
          <w:tab w:val="num" w:pos="5040"/>
        </w:tabs>
        <w:ind w:left="5040" w:hanging="360"/>
      </w:pPr>
      <w:rPr>
        <w:rFonts w:ascii="Arial" w:hAnsi="Arial" w:hint="default"/>
      </w:rPr>
    </w:lvl>
    <w:lvl w:ilvl="7" w:tplc="DF6E1564" w:tentative="1">
      <w:start w:val="1"/>
      <w:numFmt w:val="bullet"/>
      <w:lvlText w:val="•"/>
      <w:lvlJc w:val="left"/>
      <w:pPr>
        <w:tabs>
          <w:tab w:val="num" w:pos="5760"/>
        </w:tabs>
        <w:ind w:left="5760" w:hanging="360"/>
      </w:pPr>
      <w:rPr>
        <w:rFonts w:ascii="Arial" w:hAnsi="Arial" w:hint="default"/>
      </w:rPr>
    </w:lvl>
    <w:lvl w:ilvl="8" w:tplc="EBBAD7F4" w:tentative="1">
      <w:start w:val="1"/>
      <w:numFmt w:val="bullet"/>
      <w:lvlText w:val="•"/>
      <w:lvlJc w:val="left"/>
      <w:pPr>
        <w:tabs>
          <w:tab w:val="num" w:pos="6480"/>
        </w:tabs>
        <w:ind w:left="6480" w:hanging="360"/>
      </w:pPr>
      <w:rPr>
        <w:rFonts w:ascii="Arial" w:hAnsi="Arial" w:hint="default"/>
      </w:rPr>
    </w:lvl>
  </w:abstractNum>
  <w:abstractNum w:abstractNumId="36">
    <w:nsid w:val="6B781BD7"/>
    <w:multiLevelType w:val="hybridMultilevel"/>
    <w:tmpl w:val="B2D89C82"/>
    <w:lvl w:ilvl="0" w:tplc="08090013">
      <w:start w:val="1"/>
      <w:numFmt w:val="upp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D96539C"/>
    <w:multiLevelType w:val="hybridMultilevel"/>
    <w:tmpl w:val="AE9AD8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6100637"/>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9">
    <w:nsid w:val="763E7DB7"/>
    <w:multiLevelType w:val="hybridMultilevel"/>
    <w:tmpl w:val="3AE862E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6974C84"/>
    <w:multiLevelType w:val="hybridMultilevel"/>
    <w:tmpl w:val="B27CBCD2"/>
    <w:lvl w:ilvl="0" w:tplc="0809001B">
      <w:start w:val="1"/>
      <w:numFmt w:val="lowerRoman"/>
      <w:lvlText w:val="%1."/>
      <w:lvlJc w:val="righ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7787736"/>
    <w:multiLevelType w:val="hybridMultilevel"/>
    <w:tmpl w:val="1846A1E4"/>
    <w:lvl w:ilvl="0" w:tplc="56660C6E">
      <w:start w:val="1"/>
      <w:numFmt w:val="decimal"/>
      <w:lvlText w:val="%1."/>
      <w:lvlJc w:val="left"/>
      <w:pPr>
        <w:ind w:left="819" w:hanging="360"/>
      </w:pPr>
      <w:rPr>
        <w:rFonts w:hint="default"/>
      </w:rPr>
    </w:lvl>
    <w:lvl w:ilvl="1" w:tplc="08090019" w:tentative="1">
      <w:start w:val="1"/>
      <w:numFmt w:val="lowerLetter"/>
      <w:lvlText w:val="%2."/>
      <w:lvlJc w:val="left"/>
      <w:pPr>
        <w:ind w:left="1539" w:hanging="360"/>
      </w:pPr>
    </w:lvl>
    <w:lvl w:ilvl="2" w:tplc="0809001B" w:tentative="1">
      <w:start w:val="1"/>
      <w:numFmt w:val="lowerRoman"/>
      <w:lvlText w:val="%3."/>
      <w:lvlJc w:val="right"/>
      <w:pPr>
        <w:ind w:left="2259" w:hanging="180"/>
      </w:pPr>
    </w:lvl>
    <w:lvl w:ilvl="3" w:tplc="0809000F" w:tentative="1">
      <w:start w:val="1"/>
      <w:numFmt w:val="decimal"/>
      <w:lvlText w:val="%4."/>
      <w:lvlJc w:val="left"/>
      <w:pPr>
        <w:ind w:left="2979" w:hanging="360"/>
      </w:pPr>
    </w:lvl>
    <w:lvl w:ilvl="4" w:tplc="08090019" w:tentative="1">
      <w:start w:val="1"/>
      <w:numFmt w:val="lowerLetter"/>
      <w:lvlText w:val="%5."/>
      <w:lvlJc w:val="left"/>
      <w:pPr>
        <w:ind w:left="3699" w:hanging="360"/>
      </w:pPr>
    </w:lvl>
    <w:lvl w:ilvl="5" w:tplc="0809001B" w:tentative="1">
      <w:start w:val="1"/>
      <w:numFmt w:val="lowerRoman"/>
      <w:lvlText w:val="%6."/>
      <w:lvlJc w:val="right"/>
      <w:pPr>
        <w:ind w:left="4419" w:hanging="180"/>
      </w:pPr>
    </w:lvl>
    <w:lvl w:ilvl="6" w:tplc="0809000F" w:tentative="1">
      <w:start w:val="1"/>
      <w:numFmt w:val="decimal"/>
      <w:lvlText w:val="%7."/>
      <w:lvlJc w:val="left"/>
      <w:pPr>
        <w:ind w:left="5139" w:hanging="360"/>
      </w:pPr>
    </w:lvl>
    <w:lvl w:ilvl="7" w:tplc="08090019" w:tentative="1">
      <w:start w:val="1"/>
      <w:numFmt w:val="lowerLetter"/>
      <w:lvlText w:val="%8."/>
      <w:lvlJc w:val="left"/>
      <w:pPr>
        <w:ind w:left="5859" w:hanging="360"/>
      </w:pPr>
    </w:lvl>
    <w:lvl w:ilvl="8" w:tplc="0809001B" w:tentative="1">
      <w:start w:val="1"/>
      <w:numFmt w:val="lowerRoman"/>
      <w:lvlText w:val="%9."/>
      <w:lvlJc w:val="right"/>
      <w:pPr>
        <w:ind w:left="6579" w:hanging="180"/>
      </w:pPr>
    </w:lvl>
  </w:abstractNum>
  <w:abstractNum w:abstractNumId="42">
    <w:nsid w:val="7BA06C94"/>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3">
    <w:nsid w:val="7DCC5699"/>
    <w:multiLevelType w:val="hybridMultilevel"/>
    <w:tmpl w:val="1DE8B96E"/>
    <w:lvl w:ilvl="0" w:tplc="BF92CEE6">
      <w:start w:val="1"/>
      <w:numFmt w:val="lowerRoman"/>
      <w:lvlText w:val="%1."/>
      <w:lvlJc w:val="righ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39"/>
  </w:num>
  <w:num w:numId="2">
    <w:abstractNumId w:val="34"/>
  </w:num>
  <w:num w:numId="3">
    <w:abstractNumId w:val="24"/>
  </w:num>
  <w:num w:numId="4">
    <w:abstractNumId w:val="26"/>
  </w:num>
  <w:num w:numId="5">
    <w:abstractNumId w:val="4"/>
  </w:num>
  <w:num w:numId="6">
    <w:abstractNumId w:val="41"/>
  </w:num>
  <w:num w:numId="7">
    <w:abstractNumId w:val="25"/>
  </w:num>
  <w:num w:numId="8">
    <w:abstractNumId w:val="29"/>
  </w:num>
  <w:num w:numId="9">
    <w:abstractNumId w:val="5"/>
  </w:num>
  <w:num w:numId="10">
    <w:abstractNumId w:val="6"/>
  </w:num>
  <w:num w:numId="11">
    <w:abstractNumId w:val="2"/>
  </w:num>
  <w:num w:numId="12">
    <w:abstractNumId w:val="10"/>
  </w:num>
  <w:num w:numId="13">
    <w:abstractNumId w:val="37"/>
  </w:num>
  <w:num w:numId="14">
    <w:abstractNumId w:val="11"/>
  </w:num>
  <w:num w:numId="15">
    <w:abstractNumId w:val="31"/>
  </w:num>
  <w:num w:numId="16">
    <w:abstractNumId w:val="35"/>
  </w:num>
  <w:num w:numId="17">
    <w:abstractNumId w:val="17"/>
  </w:num>
  <w:num w:numId="18">
    <w:abstractNumId w:val="21"/>
  </w:num>
  <w:num w:numId="19">
    <w:abstractNumId w:val="30"/>
  </w:num>
  <w:num w:numId="20">
    <w:abstractNumId w:val="28"/>
  </w:num>
  <w:num w:numId="21">
    <w:abstractNumId w:val="19"/>
  </w:num>
  <w:num w:numId="22">
    <w:abstractNumId w:val="33"/>
  </w:num>
  <w:num w:numId="23">
    <w:abstractNumId w:val="36"/>
  </w:num>
  <w:num w:numId="24">
    <w:abstractNumId w:val="12"/>
  </w:num>
  <w:num w:numId="25">
    <w:abstractNumId w:val="40"/>
  </w:num>
  <w:num w:numId="26">
    <w:abstractNumId w:val="23"/>
  </w:num>
  <w:num w:numId="27">
    <w:abstractNumId w:val="22"/>
  </w:num>
  <w:num w:numId="28">
    <w:abstractNumId w:val="15"/>
  </w:num>
  <w:num w:numId="29">
    <w:abstractNumId w:val="20"/>
  </w:num>
  <w:num w:numId="30">
    <w:abstractNumId w:val="16"/>
  </w:num>
  <w:num w:numId="31">
    <w:abstractNumId w:val="32"/>
  </w:num>
  <w:num w:numId="32">
    <w:abstractNumId w:val="7"/>
  </w:num>
  <w:num w:numId="33">
    <w:abstractNumId w:val="38"/>
  </w:num>
  <w:num w:numId="34">
    <w:abstractNumId w:val="1"/>
  </w:num>
  <w:num w:numId="35">
    <w:abstractNumId w:val="8"/>
  </w:num>
  <w:num w:numId="36">
    <w:abstractNumId w:val="14"/>
  </w:num>
  <w:num w:numId="37">
    <w:abstractNumId w:val="43"/>
  </w:num>
  <w:num w:numId="38">
    <w:abstractNumId w:val="0"/>
  </w:num>
  <w:num w:numId="39">
    <w:abstractNumId w:val="13"/>
  </w:num>
  <w:num w:numId="40">
    <w:abstractNumId w:val="3"/>
  </w:num>
  <w:num w:numId="41">
    <w:abstractNumId w:val="9"/>
  </w:num>
  <w:num w:numId="42">
    <w:abstractNumId w:val="18"/>
  </w:num>
  <w:num w:numId="43">
    <w:abstractNumId w:val="42"/>
  </w:num>
  <w:num w:numId="44">
    <w:abstractNumId w:val="27"/>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23E37"/>
    <w:rsid w:val="0002445B"/>
    <w:rsid w:val="000261C0"/>
    <w:rsid w:val="00031D1E"/>
    <w:rsid w:val="0005207E"/>
    <w:rsid w:val="00052FB7"/>
    <w:rsid w:val="00054DE1"/>
    <w:rsid w:val="000551EE"/>
    <w:rsid w:val="000757C8"/>
    <w:rsid w:val="00096240"/>
    <w:rsid w:val="000B0A7F"/>
    <w:rsid w:val="000C449D"/>
    <w:rsid w:val="000D0078"/>
    <w:rsid w:val="000D0878"/>
    <w:rsid w:val="000D70EE"/>
    <w:rsid w:val="000E4637"/>
    <w:rsid w:val="000F2276"/>
    <w:rsid w:val="000F274B"/>
    <w:rsid w:val="000F29AC"/>
    <w:rsid w:val="000F6071"/>
    <w:rsid w:val="00102BA1"/>
    <w:rsid w:val="00104179"/>
    <w:rsid w:val="0010458D"/>
    <w:rsid w:val="001072B4"/>
    <w:rsid w:val="00116476"/>
    <w:rsid w:val="00125239"/>
    <w:rsid w:val="00131281"/>
    <w:rsid w:val="00135749"/>
    <w:rsid w:val="00137D7A"/>
    <w:rsid w:val="00143618"/>
    <w:rsid w:val="00144B3B"/>
    <w:rsid w:val="001575A7"/>
    <w:rsid w:val="001641A6"/>
    <w:rsid w:val="0016608B"/>
    <w:rsid w:val="00167E3E"/>
    <w:rsid w:val="001766FB"/>
    <w:rsid w:val="00186D8B"/>
    <w:rsid w:val="001A356D"/>
    <w:rsid w:val="001B2922"/>
    <w:rsid w:val="001B4B03"/>
    <w:rsid w:val="001B7F3F"/>
    <w:rsid w:val="001C4993"/>
    <w:rsid w:val="001C4B5C"/>
    <w:rsid w:val="001D1D38"/>
    <w:rsid w:val="001D3067"/>
    <w:rsid w:val="001D5EE7"/>
    <w:rsid w:val="001E4086"/>
    <w:rsid w:val="001E6629"/>
    <w:rsid w:val="001F1ECE"/>
    <w:rsid w:val="001F5FF5"/>
    <w:rsid w:val="00201710"/>
    <w:rsid w:val="00216B0B"/>
    <w:rsid w:val="00226235"/>
    <w:rsid w:val="00226B15"/>
    <w:rsid w:val="00227B07"/>
    <w:rsid w:val="0023686E"/>
    <w:rsid w:val="0024004B"/>
    <w:rsid w:val="0024242C"/>
    <w:rsid w:val="00255FAF"/>
    <w:rsid w:val="00274BCC"/>
    <w:rsid w:val="00280068"/>
    <w:rsid w:val="00281BD6"/>
    <w:rsid w:val="00283C8A"/>
    <w:rsid w:val="00290EB5"/>
    <w:rsid w:val="00291E51"/>
    <w:rsid w:val="0029314E"/>
    <w:rsid w:val="002A050E"/>
    <w:rsid w:val="002A21D3"/>
    <w:rsid w:val="002A660A"/>
    <w:rsid w:val="002B078E"/>
    <w:rsid w:val="002B567A"/>
    <w:rsid w:val="002B7DC4"/>
    <w:rsid w:val="002C5CF0"/>
    <w:rsid w:val="002D16F2"/>
    <w:rsid w:val="002D76CB"/>
    <w:rsid w:val="002D7E65"/>
    <w:rsid w:val="003105C9"/>
    <w:rsid w:val="00311342"/>
    <w:rsid w:val="00312F45"/>
    <w:rsid w:val="00315D04"/>
    <w:rsid w:val="0031751B"/>
    <w:rsid w:val="0032499A"/>
    <w:rsid w:val="00326648"/>
    <w:rsid w:val="003341BE"/>
    <w:rsid w:val="0033499A"/>
    <w:rsid w:val="00342F9D"/>
    <w:rsid w:val="0034407D"/>
    <w:rsid w:val="00344232"/>
    <w:rsid w:val="00345B42"/>
    <w:rsid w:val="00346D32"/>
    <w:rsid w:val="00350BC6"/>
    <w:rsid w:val="00351BDC"/>
    <w:rsid w:val="00356332"/>
    <w:rsid w:val="00356B53"/>
    <w:rsid w:val="003707BB"/>
    <w:rsid w:val="00373946"/>
    <w:rsid w:val="00380CBD"/>
    <w:rsid w:val="003823A3"/>
    <w:rsid w:val="00383762"/>
    <w:rsid w:val="003924C9"/>
    <w:rsid w:val="0039450A"/>
    <w:rsid w:val="003A269D"/>
    <w:rsid w:val="003A6965"/>
    <w:rsid w:val="003B0964"/>
    <w:rsid w:val="003B450B"/>
    <w:rsid w:val="003C66EA"/>
    <w:rsid w:val="003D2A83"/>
    <w:rsid w:val="003D4E84"/>
    <w:rsid w:val="003D57C3"/>
    <w:rsid w:val="003D776A"/>
    <w:rsid w:val="003E6B08"/>
    <w:rsid w:val="00400D9D"/>
    <w:rsid w:val="0040230A"/>
    <w:rsid w:val="00402985"/>
    <w:rsid w:val="00411F29"/>
    <w:rsid w:val="00412E79"/>
    <w:rsid w:val="00413592"/>
    <w:rsid w:val="00414B67"/>
    <w:rsid w:val="004159F5"/>
    <w:rsid w:val="00416BFF"/>
    <w:rsid w:val="00420554"/>
    <w:rsid w:val="004264D6"/>
    <w:rsid w:val="004353F3"/>
    <w:rsid w:val="0043645F"/>
    <w:rsid w:val="00437756"/>
    <w:rsid w:val="004402AB"/>
    <w:rsid w:val="00445D1F"/>
    <w:rsid w:val="00451724"/>
    <w:rsid w:val="0046574A"/>
    <w:rsid w:val="00472040"/>
    <w:rsid w:val="004749D1"/>
    <w:rsid w:val="004829CD"/>
    <w:rsid w:val="00485C73"/>
    <w:rsid w:val="004925E7"/>
    <w:rsid w:val="004A13CB"/>
    <w:rsid w:val="004A471D"/>
    <w:rsid w:val="004B3658"/>
    <w:rsid w:val="004C0A19"/>
    <w:rsid w:val="004D3C32"/>
    <w:rsid w:val="004E2042"/>
    <w:rsid w:val="004F0001"/>
    <w:rsid w:val="004F0983"/>
    <w:rsid w:val="004F4D60"/>
    <w:rsid w:val="004F6740"/>
    <w:rsid w:val="00504936"/>
    <w:rsid w:val="005256D7"/>
    <w:rsid w:val="00532972"/>
    <w:rsid w:val="00540480"/>
    <w:rsid w:val="00541767"/>
    <w:rsid w:val="00542E12"/>
    <w:rsid w:val="005458DE"/>
    <w:rsid w:val="00554631"/>
    <w:rsid w:val="0055791C"/>
    <w:rsid w:val="00561999"/>
    <w:rsid w:val="00562183"/>
    <w:rsid w:val="00562EB1"/>
    <w:rsid w:val="00570528"/>
    <w:rsid w:val="00576020"/>
    <w:rsid w:val="00581415"/>
    <w:rsid w:val="00590256"/>
    <w:rsid w:val="00590C36"/>
    <w:rsid w:val="0059426B"/>
    <w:rsid w:val="00597AF6"/>
    <w:rsid w:val="005A19A5"/>
    <w:rsid w:val="005A3624"/>
    <w:rsid w:val="005A64AF"/>
    <w:rsid w:val="005B050B"/>
    <w:rsid w:val="005C11FC"/>
    <w:rsid w:val="005C5F9B"/>
    <w:rsid w:val="005D09D1"/>
    <w:rsid w:val="005E23D5"/>
    <w:rsid w:val="005E693A"/>
    <w:rsid w:val="005F513E"/>
    <w:rsid w:val="005F73D9"/>
    <w:rsid w:val="006137E3"/>
    <w:rsid w:val="0061518E"/>
    <w:rsid w:val="006306AD"/>
    <w:rsid w:val="006342FC"/>
    <w:rsid w:val="0063477B"/>
    <w:rsid w:val="00635750"/>
    <w:rsid w:val="00642DF4"/>
    <w:rsid w:val="00646283"/>
    <w:rsid w:val="00646F67"/>
    <w:rsid w:val="00653556"/>
    <w:rsid w:val="00655F80"/>
    <w:rsid w:val="00663093"/>
    <w:rsid w:val="00664A83"/>
    <w:rsid w:val="0067538A"/>
    <w:rsid w:val="006753D0"/>
    <w:rsid w:val="0067745D"/>
    <w:rsid w:val="00686F9F"/>
    <w:rsid w:val="0069001D"/>
    <w:rsid w:val="006909C6"/>
    <w:rsid w:val="0069681F"/>
    <w:rsid w:val="006A137F"/>
    <w:rsid w:val="006B6192"/>
    <w:rsid w:val="006C287F"/>
    <w:rsid w:val="006D0028"/>
    <w:rsid w:val="006D29ED"/>
    <w:rsid w:val="006D2C4F"/>
    <w:rsid w:val="006D4204"/>
    <w:rsid w:val="006E348F"/>
    <w:rsid w:val="006F7CC2"/>
    <w:rsid w:val="0070225D"/>
    <w:rsid w:val="00707C87"/>
    <w:rsid w:val="007118F2"/>
    <w:rsid w:val="007152A1"/>
    <w:rsid w:val="007161EF"/>
    <w:rsid w:val="00716DD2"/>
    <w:rsid w:val="007214D1"/>
    <w:rsid w:val="007273AE"/>
    <w:rsid w:val="0074360E"/>
    <w:rsid w:val="0074470A"/>
    <w:rsid w:val="00755B8E"/>
    <w:rsid w:val="007566B0"/>
    <w:rsid w:val="00757433"/>
    <w:rsid w:val="00764050"/>
    <w:rsid w:val="007723DB"/>
    <w:rsid w:val="00773952"/>
    <w:rsid w:val="00774ABC"/>
    <w:rsid w:val="00776884"/>
    <w:rsid w:val="00777921"/>
    <w:rsid w:val="007A2BD4"/>
    <w:rsid w:val="007A353F"/>
    <w:rsid w:val="007D22CE"/>
    <w:rsid w:val="007D3CAA"/>
    <w:rsid w:val="007D52F9"/>
    <w:rsid w:val="007E2203"/>
    <w:rsid w:val="007E4E27"/>
    <w:rsid w:val="007F31EC"/>
    <w:rsid w:val="00800D2C"/>
    <w:rsid w:val="00802484"/>
    <w:rsid w:val="008035C2"/>
    <w:rsid w:val="0081070E"/>
    <w:rsid w:val="00811A6F"/>
    <w:rsid w:val="008173B1"/>
    <w:rsid w:val="00817421"/>
    <w:rsid w:val="00824F07"/>
    <w:rsid w:val="008257AD"/>
    <w:rsid w:val="00825FD9"/>
    <w:rsid w:val="0083012E"/>
    <w:rsid w:val="008301D0"/>
    <w:rsid w:val="00831A88"/>
    <w:rsid w:val="0083625F"/>
    <w:rsid w:val="0084154D"/>
    <w:rsid w:val="00846D14"/>
    <w:rsid w:val="00861ABD"/>
    <w:rsid w:val="00866F3D"/>
    <w:rsid w:val="0087113C"/>
    <w:rsid w:val="0089449E"/>
    <w:rsid w:val="008A058F"/>
    <w:rsid w:val="008A1F14"/>
    <w:rsid w:val="008A3353"/>
    <w:rsid w:val="008A5A80"/>
    <w:rsid w:val="008A685F"/>
    <w:rsid w:val="008B4D54"/>
    <w:rsid w:val="008B7A0C"/>
    <w:rsid w:val="008C5158"/>
    <w:rsid w:val="008D53BA"/>
    <w:rsid w:val="008E6DEF"/>
    <w:rsid w:val="008E71BB"/>
    <w:rsid w:val="008F5A22"/>
    <w:rsid w:val="00905B0C"/>
    <w:rsid w:val="009060C3"/>
    <w:rsid w:val="00915A05"/>
    <w:rsid w:val="009246B4"/>
    <w:rsid w:val="0093240A"/>
    <w:rsid w:val="009361C3"/>
    <w:rsid w:val="00937BFB"/>
    <w:rsid w:val="0094048F"/>
    <w:rsid w:val="00940C80"/>
    <w:rsid w:val="00941634"/>
    <w:rsid w:val="00952DDB"/>
    <w:rsid w:val="009663B6"/>
    <w:rsid w:val="0097099E"/>
    <w:rsid w:val="00981955"/>
    <w:rsid w:val="00982461"/>
    <w:rsid w:val="009875B5"/>
    <w:rsid w:val="00997DBB"/>
    <w:rsid w:val="009A5D16"/>
    <w:rsid w:val="009B0904"/>
    <w:rsid w:val="009B223B"/>
    <w:rsid w:val="009C61CE"/>
    <w:rsid w:val="009C6BF1"/>
    <w:rsid w:val="009D1CEF"/>
    <w:rsid w:val="009D3BFC"/>
    <w:rsid w:val="009E3437"/>
    <w:rsid w:val="009E3DB8"/>
    <w:rsid w:val="009E6856"/>
    <w:rsid w:val="009F701B"/>
    <w:rsid w:val="00A04E17"/>
    <w:rsid w:val="00A122DA"/>
    <w:rsid w:val="00A26CE5"/>
    <w:rsid w:val="00A332F9"/>
    <w:rsid w:val="00A3726F"/>
    <w:rsid w:val="00A37942"/>
    <w:rsid w:val="00A40F8E"/>
    <w:rsid w:val="00A43167"/>
    <w:rsid w:val="00A47A09"/>
    <w:rsid w:val="00A53534"/>
    <w:rsid w:val="00A57DCC"/>
    <w:rsid w:val="00A57EC6"/>
    <w:rsid w:val="00A6213E"/>
    <w:rsid w:val="00A6695F"/>
    <w:rsid w:val="00A8159A"/>
    <w:rsid w:val="00A90002"/>
    <w:rsid w:val="00A95BB7"/>
    <w:rsid w:val="00AA1CCB"/>
    <w:rsid w:val="00AA2492"/>
    <w:rsid w:val="00AA54D9"/>
    <w:rsid w:val="00AC146F"/>
    <w:rsid w:val="00AD0502"/>
    <w:rsid w:val="00AD0CDF"/>
    <w:rsid w:val="00AD0D67"/>
    <w:rsid w:val="00AD129D"/>
    <w:rsid w:val="00AE62F7"/>
    <w:rsid w:val="00AF02B6"/>
    <w:rsid w:val="00AF7FD6"/>
    <w:rsid w:val="00B0145D"/>
    <w:rsid w:val="00B06EDD"/>
    <w:rsid w:val="00B074BD"/>
    <w:rsid w:val="00B118D6"/>
    <w:rsid w:val="00B12596"/>
    <w:rsid w:val="00B40A81"/>
    <w:rsid w:val="00B410B3"/>
    <w:rsid w:val="00B437C8"/>
    <w:rsid w:val="00B43C0F"/>
    <w:rsid w:val="00B4511E"/>
    <w:rsid w:val="00B45842"/>
    <w:rsid w:val="00B4768B"/>
    <w:rsid w:val="00B50A8C"/>
    <w:rsid w:val="00B52BA6"/>
    <w:rsid w:val="00B568F0"/>
    <w:rsid w:val="00B56CDC"/>
    <w:rsid w:val="00B65EFA"/>
    <w:rsid w:val="00B65F30"/>
    <w:rsid w:val="00B705B3"/>
    <w:rsid w:val="00B71D3A"/>
    <w:rsid w:val="00B71E7C"/>
    <w:rsid w:val="00B75400"/>
    <w:rsid w:val="00B76551"/>
    <w:rsid w:val="00B84929"/>
    <w:rsid w:val="00B8688B"/>
    <w:rsid w:val="00B9658E"/>
    <w:rsid w:val="00BA3ED8"/>
    <w:rsid w:val="00BB1FEA"/>
    <w:rsid w:val="00BB271A"/>
    <w:rsid w:val="00BB4A08"/>
    <w:rsid w:val="00BC1EA8"/>
    <w:rsid w:val="00BD07BA"/>
    <w:rsid w:val="00BD357C"/>
    <w:rsid w:val="00BD6973"/>
    <w:rsid w:val="00BF6128"/>
    <w:rsid w:val="00C029AC"/>
    <w:rsid w:val="00C17981"/>
    <w:rsid w:val="00C22F15"/>
    <w:rsid w:val="00C23166"/>
    <w:rsid w:val="00C234B4"/>
    <w:rsid w:val="00C343AE"/>
    <w:rsid w:val="00C43EA6"/>
    <w:rsid w:val="00C443BA"/>
    <w:rsid w:val="00C51396"/>
    <w:rsid w:val="00C51930"/>
    <w:rsid w:val="00C533AA"/>
    <w:rsid w:val="00C65D64"/>
    <w:rsid w:val="00C73DE0"/>
    <w:rsid w:val="00C75BFB"/>
    <w:rsid w:val="00C8005D"/>
    <w:rsid w:val="00C832DB"/>
    <w:rsid w:val="00C86921"/>
    <w:rsid w:val="00C92F7F"/>
    <w:rsid w:val="00C965A1"/>
    <w:rsid w:val="00C97A35"/>
    <w:rsid w:val="00CA48CC"/>
    <w:rsid w:val="00CA7682"/>
    <w:rsid w:val="00CB21D1"/>
    <w:rsid w:val="00CB55D1"/>
    <w:rsid w:val="00CB63C6"/>
    <w:rsid w:val="00CD28C3"/>
    <w:rsid w:val="00CD4E51"/>
    <w:rsid w:val="00CE1288"/>
    <w:rsid w:val="00CE3569"/>
    <w:rsid w:val="00CE375E"/>
    <w:rsid w:val="00CE4D7F"/>
    <w:rsid w:val="00CF10FD"/>
    <w:rsid w:val="00CF250B"/>
    <w:rsid w:val="00CF5E97"/>
    <w:rsid w:val="00D01DB1"/>
    <w:rsid w:val="00D15130"/>
    <w:rsid w:val="00D30448"/>
    <w:rsid w:val="00D34E6E"/>
    <w:rsid w:val="00D35C5C"/>
    <w:rsid w:val="00D424DE"/>
    <w:rsid w:val="00D54220"/>
    <w:rsid w:val="00D560AC"/>
    <w:rsid w:val="00D57CDF"/>
    <w:rsid w:val="00D658D1"/>
    <w:rsid w:val="00D72885"/>
    <w:rsid w:val="00D72D2F"/>
    <w:rsid w:val="00D76EA7"/>
    <w:rsid w:val="00D842DB"/>
    <w:rsid w:val="00D91DC8"/>
    <w:rsid w:val="00D92939"/>
    <w:rsid w:val="00D932CA"/>
    <w:rsid w:val="00DA76B5"/>
    <w:rsid w:val="00DB3601"/>
    <w:rsid w:val="00DC004C"/>
    <w:rsid w:val="00DC4F28"/>
    <w:rsid w:val="00DD10C8"/>
    <w:rsid w:val="00DD646D"/>
    <w:rsid w:val="00DD6E3A"/>
    <w:rsid w:val="00DE1E6C"/>
    <w:rsid w:val="00DE3803"/>
    <w:rsid w:val="00DE5F32"/>
    <w:rsid w:val="00DE661F"/>
    <w:rsid w:val="00DE7361"/>
    <w:rsid w:val="00DE7C73"/>
    <w:rsid w:val="00E2541B"/>
    <w:rsid w:val="00E25D85"/>
    <w:rsid w:val="00E345B1"/>
    <w:rsid w:val="00E36F6C"/>
    <w:rsid w:val="00E41E4E"/>
    <w:rsid w:val="00E52429"/>
    <w:rsid w:val="00E5302E"/>
    <w:rsid w:val="00E61075"/>
    <w:rsid w:val="00E6115F"/>
    <w:rsid w:val="00E61416"/>
    <w:rsid w:val="00E6170C"/>
    <w:rsid w:val="00E7529E"/>
    <w:rsid w:val="00E76D4F"/>
    <w:rsid w:val="00E812AE"/>
    <w:rsid w:val="00E82BE9"/>
    <w:rsid w:val="00E841CF"/>
    <w:rsid w:val="00E85F0B"/>
    <w:rsid w:val="00EA48CA"/>
    <w:rsid w:val="00EA70C6"/>
    <w:rsid w:val="00EB47AD"/>
    <w:rsid w:val="00EC352D"/>
    <w:rsid w:val="00EC455A"/>
    <w:rsid w:val="00ED5D49"/>
    <w:rsid w:val="00EE431A"/>
    <w:rsid w:val="00EE4D04"/>
    <w:rsid w:val="00EE6C0C"/>
    <w:rsid w:val="00EF19DA"/>
    <w:rsid w:val="00EF519D"/>
    <w:rsid w:val="00F02B5D"/>
    <w:rsid w:val="00F04708"/>
    <w:rsid w:val="00F067E4"/>
    <w:rsid w:val="00F070CF"/>
    <w:rsid w:val="00F12AD6"/>
    <w:rsid w:val="00F13F0F"/>
    <w:rsid w:val="00F1595B"/>
    <w:rsid w:val="00F2002B"/>
    <w:rsid w:val="00F222EC"/>
    <w:rsid w:val="00F22C6B"/>
    <w:rsid w:val="00F24875"/>
    <w:rsid w:val="00F3113E"/>
    <w:rsid w:val="00F316BC"/>
    <w:rsid w:val="00F32670"/>
    <w:rsid w:val="00F41E17"/>
    <w:rsid w:val="00F555A2"/>
    <w:rsid w:val="00F66E63"/>
    <w:rsid w:val="00F778E4"/>
    <w:rsid w:val="00F77C28"/>
    <w:rsid w:val="00FA053D"/>
    <w:rsid w:val="00FA5BC7"/>
    <w:rsid w:val="00FA6E90"/>
    <w:rsid w:val="00FA7E93"/>
    <w:rsid w:val="00FB11B3"/>
    <w:rsid w:val="00FB408D"/>
    <w:rsid w:val="00FB7E98"/>
    <w:rsid w:val="00FC5923"/>
    <w:rsid w:val="00FD0010"/>
    <w:rsid w:val="00FD3F7E"/>
    <w:rsid w:val="00FE4736"/>
    <w:rsid w:val="00FE4D79"/>
    <w:rsid w:val="00FF42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749D1"/>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character" w:styleId="Hyperlink">
    <w:name w:val="Hyperlink"/>
    <w:uiPriority w:val="99"/>
    <w:unhideWhenUsed/>
    <w:rsid w:val="00356B53"/>
    <w:rPr>
      <w:color w:val="0000FF"/>
      <w:u w:val="single"/>
    </w:rPr>
  </w:style>
  <w:style w:type="paragraph" w:styleId="BalloonText">
    <w:name w:val="Balloon Text"/>
    <w:basedOn w:val="Normal"/>
    <w:link w:val="BalloonTextChar"/>
    <w:uiPriority w:val="99"/>
    <w:semiHidden/>
    <w:unhideWhenUsed/>
    <w:rsid w:val="00472040"/>
    <w:rPr>
      <w:rFonts w:ascii="Tahoma" w:hAnsi="Tahoma" w:cs="Tahoma"/>
      <w:sz w:val="16"/>
      <w:szCs w:val="16"/>
    </w:rPr>
  </w:style>
  <w:style w:type="character" w:customStyle="1" w:styleId="BalloonTextChar">
    <w:name w:val="Balloon Text Char"/>
    <w:link w:val="BalloonText"/>
    <w:uiPriority w:val="99"/>
    <w:semiHidden/>
    <w:rsid w:val="00472040"/>
    <w:rPr>
      <w:rFonts w:ascii="Tahoma" w:hAnsi="Tahoma" w:cs="Tahoma"/>
      <w:sz w:val="16"/>
      <w:szCs w:val="16"/>
    </w:rPr>
  </w:style>
  <w:style w:type="paragraph" w:styleId="ListParagraph">
    <w:name w:val="List Paragraph"/>
    <w:basedOn w:val="Normal"/>
    <w:uiPriority w:val="34"/>
    <w:qFormat/>
    <w:rsid w:val="00C51930"/>
    <w:pPr>
      <w:spacing w:after="200" w:line="276" w:lineRule="auto"/>
      <w:ind w:left="720"/>
      <w:contextualSpacing/>
    </w:pPr>
    <w:rPr>
      <w:rFonts w:ascii="Calibri" w:eastAsia="Calibri" w:hAnsi="Calibri"/>
      <w:sz w:val="22"/>
      <w:szCs w:val="22"/>
      <w:lang w:eastAsia="en-US"/>
    </w:rPr>
  </w:style>
  <w:style w:type="table" w:styleId="TableGrid">
    <w:name w:val="Table Grid"/>
    <w:basedOn w:val="TableNormal"/>
    <w:uiPriority w:val="59"/>
    <w:rsid w:val="00F66E6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D0878"/>
    <w:rPr>
      <w:sz w:val="16"/>
      <w:szCs w:val="16"/>
    </w:rPr>
  </w:style>
  <w:style w:type="paragraph" w:styleId="CommentText">
    <w:name w:val="annotation text"/>
    <w:basedOn w:val="Normal"/>
    <w:link w:val="CommentTextChar"/>
    <w:uiPriority w:val="99"/>
    <w:semiHidden/>
    <w:unhideWhenUsed/>
    <w:rsid w:val="000D0878"/>
    <w:rPr>
      <w:sz w:val="20"/>
    </w:rPr>
  </w:style>
  <w:style w:type="character" w:customStyle="1" w:styleId="CommentTextChar">
    <w:name w:val="Comment Text Char"/>
    <w:basedOn w:val="DefaultParagraphFont"/>
    <w:link w:val="CommentText"/>
    <w:uiPriority w:val="99"/>
    <w:semiHidden/>
    <w:rsid w:val="000D0878"/>
  </w:style>
  <w:style w:type="paragraph" w:styleId="CommentSubject">
    <w:name w:val="annotation subject"/>
    <w:basedOn w:val="CommentText"/>
    <w:next w:val="CommentText"/>
    <w:link w:val="CommentSubjectChar"/>
    <w:uiPriority w:val="99"/>
    <w:semiHidden/>
    <w:unhideWhenUsed/>
    <w:rsid w:val="000D0878"/>
    <w:rPr>
      <w:b/>
      <w:bCs/>
    </w:rPr>
  </w:style>
  <w:style w:type="character" w:customStyle="1" w:styleId="CommentSubjectChar">
    <w:name w:val="Comment Subject Char"/>
    <w:basedOn w:val="CommentTextChar"/>
    <w:link w:val="CommentSubject"/>
    <w:uiPriority w:val="99"/>
    <w:semiHidden/>
    <w:rsid w:val="000D0878"/>
    <w:rPr>
      <w:b/>
      <w:bCs/>
    </w:rPr>
  </w:style>
  <w:style w:type="table" w:customStyle="1" w:styleId="TableGrid1">
    <w:name w:val="Table Grid1"/>
    <w:basedOn w:val="TableNormal"/>
    <w:next w:val="TableGrid"/>
    <w:uiPriority w:val="59"/>
    <w:rsid w:val="0043645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572195">
      <w:bodyDiv w:val="1"/>
      <w:marLeft w:val="0"/>
      <w:marRight w:val="0"/>
      <w:marTop w:val="0"/>
      <w:marBottom w:val="0"/>
      <w:divBdr>
        <w:top w:val="none" w:sz="0" w:space="0" w:color="auto"/>
        <w:left w:val="none" w:sz="0" w:space="0" w:color="auto"/>
        <w:bottom w:val="none" w:sz="0" w:space="0" w:color="auto"/>
        <w:right w:val="none" w:sz="0" w:space="0" w:color="auto"/>
      </w:divBdr>
    </w:div>
    <w:div w:id="138888276">
      <w:bodyDiv w:val="1"/>
      <w:marLeft w:val="0"/>
      <w:marRight w:val="0"/>
      <w:marTop w:val="0"/>
      <w:marBottom w:val="0"/>
      <w:divBdr>
        <w:top w:val="none" w:sz="0" w:space="0" w:color="auto"/>
        <w:left w:val="none" w:sz="0" w:space="0" w:color="auto"/>
        <w:bottom w:val="none" w:sz="0" w:space="0" w:color="auto"/>
        <w:right w:val="none" w:sz="0" w:space="0" w:color="auto"/>
      </w:divBdr>
    </w:div>
    <w:div w:id="145245038">
      <w:bodyDiv w:val="1"/>
      <w:marLeft w:val="0"/>
      <w:marRight w:val="0"/>
      <w:marTop w:val="0"/>
      <w:marBottom w:val="0"/>
      <w:divBdr>
        <w:top w:val="none" w:sz="0" w:space="0" w:color="auto"/>
        <w:left w:val="none" w:sz="0" w:space="0" w:color="auto"/>
        <w:bottom w:val="none" w:sz="0" w:space="0" w:color="auto"/>
        <w:right w:val="none" w:sz="0" w:space="0" w:color="auto"/>
      </w:divBdr>
    </w:div>
    <w:div w:id="159203626">
      <w:bodyDiv w:val="1"/>
      <w:marLeft w:val="0"/>
      <w:marRight w:val="0"/>
      <w:marTop w:val="0"/>
      <w:marBottom w:val="0"/>
      <w:divBdr>
        <w:top w:val="none" w:sz="0" w:space="0" w:color="auto"/>
        <w:left w:val="none" w:sz="0" w:space="0" w:color="auto"/>
        <w:bottom w:val="none" w:sz="0" w:space="0" w:color="auto"/>
        <w:right w:val="none" w:sz="0" w:space="0" w:color="auto"/>
      </w:divBdr>
    </w:div>
    <w:div w:id="167986271">
      <w:bodyDiv w:val="1"/>
      <w:marLeft w:val="0"/>
      <w:marRight w:val="0"/>
      <w:marTop w:val="0"/>
      <w:marBottom w:val="0"/>
      <w:divBdr>
        <w:top w:val="none" w:sz="0" w:space="0" w:color="auto"/>
        <w:left w:val="none" w:sz="0" w:space="0" w:color="auto"/>
        <w:bottom w:val="none" w:sz="0" w:space="0" w:color="auto"/>
        <w:right w:val="none" w:sz="0" w:space="0" w:color="auto"/>
      </w:divBdr>
    </w:div>
    <w:div w:id="201943978">
      <w:bodyDiv w:val="1"/>
      <w:marLeft w:val="0"/>
      <w:marRight w:val="0"/>
      <w:marTop w:val="0"/>
      <w:marBottom w:val="0"/>
      <w:divBdr>
        <w:top w:val="none" w:sz="0" w:space="0" w:color="auto"/>
        <w:left w:val="none" w:sz="0" w:space="0" w:color="auto"/>
        <w:bottom w:val="none" w:sz="0" w:space="0" w:color="auto"/>
        <w:right w:val="none" w:sz="0" w:space="0" w:color="auto"/>
      </w:divBdr>
    </w:div>
    <w:div w:id="202905148">
      <w:bodyDiv w:val="1"/>
      <w:marLeft w:val="0"/>
      <w:marRight w:val="0"/>
      <w:marTop w:val="0"/>
      <w:marBottom w:val="0"/>
      <w:divBdr>
        <w:top w:val="none" w:sz="0" w:space="0" w:color="auto"/>
        <w:left w:val="none" w:sz="0" w:space="0" w:color="auto"/>
        <w:bottom w:val="none" w:sz="0" w:space="0" w:color="auto"/>
        <w:right w:val="none" w:sz="0" w:space="0" w:color="auto"/>
      </w:divBdr>
    </w:div>
    <w:div w:id="226190575">
      <w:bodyDiv w:val="1"/>
      <w:marLeft w:val="0"/>
      <w:marRight w:val="0"/>
      <w:marTop w:val="0"/>
      <w:marBottom w:val="0"/>
      <w:divBdr>
        <w:top w:val="none" w:sz="0" w:space="0" w:color="auto"/>
        <w:left w:val="none" w:sz="0" w:space="0" w:color="auto"/>
        <w:bottom w:val="none" w:sz="0" w:space="0" w:color="auto"/>
        <w:right w:val="none" w:sz="0" w:space="0" w:color="auto"/>
      </w:divBdr>
    </w:div>
    <w:div w:id="231086354">
      <w:bodyDiv w:val="1"/>
      <w:marLeft w:val="0"/>
      <w:marRight w:val="0"/>
      <w:marTop w:val="0"/>
      <w:marBottom w:val="0"/>
      <w:divBdr>
        <w:top w:val="none" w:sz="0" w:space="0" w:color="auto"/>
        <w:left w:val="none" w:sz="0" w:space="0" w:color="auto"/>
        <w:bottom w:val="none" w:sz="0" w:space="0" w:color="auto"/>
        <w:right w:val="none" w:sz="0" w:space="0" w:color="auto"/>
      </w:divBdr>
    </w:div>
    <w:div w:id="282925118">
      <w:bodyDiv w:val="1"/>
      <w:marLeft w:val="0"/>
      <w:marRight w:val="0"/>
      <w:marTop w:val="0"/>
      <w:marBottom w:val="0"/>
      <w:divBdr>
        <w:top w:val="none" w:sz="0" w:space="0" w:color="auto"/>
        <w:left w:val="none" w:sz="0" w:space="0" w:color="auto"/>
        <w:bottom w:val="none" w:sz="0" w:space="0" w:color="auto"/>
        <w:right w:val="none" w:sz="0" w:space="0" w:color="auto"/>
      </w:divBdr>
    </w:div>
    <w:div w:id="298073383">
      <w:bodyDiv w:val="1"/>
      <w:marLeft w:val="0"/>
      <w:marRight w:val="0"/>
      <w:marTop w:val="0"/>
      <w:marBottom w:val="0"/>
      <w:divBdr>
        <w:top w:val="none" w:sz="0" w:space="0" w:color="auto"/>
        <w:left w:val="none" w:sz="0" w:space="0" w:color="auto"/>
        <w:bottom w:val="none" w:sz="0" w:space="0" w:color="auto"/>
        <w:right w:val="none" w:sz="0" w:space="0" w:color="auto"/>
      </w:divBdr>
    </w:div>
    <w:div w:id="300499965">
      <w:bodyDiv w:val="1"/>
      <w:marLeft w:val="0"/>
      <w:marRight w:val="0"/>
      <w:marTop w:val="0"/>
      <w:marBottom w:val="0"/>
      <w:divBdr>
        <w:top w:val="none" w:sz="0" w:space="0" w:color="auto"/>
        <w:left w:val="none" w:sz="0" w:space="0" w:color="auto"/>
        <w:bottom w:val="none" w:sz="0" w:space="0" w:color="auto"/>
        <w:right w:val="none" w:sz="0" w:space="0" w:color="auto"/>
      </w:divBdr>
    </w:div>
    <w:div w:id="301468466">
      <w:bodyDiv w:val="1"/>
      <w:marLeft w:val="0"/>
      <w:marRight w:val="0"/>
      <w:marTop w:val="0"/>
      <w:marBottom w:val="0"/>
      <w:divBdr>
        <w:top w:val="none" w:sz="0" w:space="0" w:color="auto"/>
        <w:left w:val="none" w:sz="0" w:space="0" w:color="auto"/>
        <w:bottom w:val="none" w:sz="0" w:space="0" w:color="auto"/>
        <w:right w:val="none" w:sz="0" w:space="0" w:color="auto"/>
      </w:divBdr>
    </w:div>
    <w:div w:id="309017030">
      <w:bodyDiv w:val="1"/>
      <w:marLeft w:val="0"/>
      <w:marRight w:val="0"/>
      <w:marTop w:val="0"/>
      <w:marBottom w:val="0"/>
      <w:divBdr>
        <w:top w:val="none" w:sz="0" w:space="0" w:color="auto"/>
        <w:left w:val="none" w:sz="0" w:space="0" w:color="auto"/>
        <w:bottom w:val="none" w:sz="0" w:space="0" w:color="auto"/>
        <w:right w:val="none" w:sz="0" w:space="0" w:color="auto"/>
      </w:divBdr>
    </w:div>
    <w:div w:id="320012386">
      <w:bodyDiv w:val="1"/>
      <w:marLeft w:val="0"/>
      <w:marRight w:val="0"/>
      <w:marTop w:val="0"/>
      <w:marBottom w:val="0"/>
      <w:divBdr>
        <w:top w:val="none" w:sz="0" w:space="0" w:color="auto"/>
        <w:left w:val="none" w:sz="0" w:space="0" w:color="auto"/>
        <w:bottom w:val="none" w:sz="0" w:space="0" w:color="auto"/>
        <w:right w:val="none" w:sz="0" w:space="0" w:color="auto"/>
      </w:divBdr>
    </w:div>
    <w:div w:id="332605641">
      <w:bodyDiv w:val="1"/>
      <w:marLeft w:val="0"/>
      <w:marRight w:val="0"/>
      <w:marTop w:val="0"/>
      <w:marBottom w:val="0"/>
      <w:divBdr>
        <w:top w:val="none" w:sz="0" w:space="0" w:color="auto"/>
        <w:left w:val="none" w:sz="0" w:space="0" w:color="auto"/>
        <w:bottom w:val="none" w:sz="0" w:space="0" w:color="auto"/>
        <w:right w:val="none" w:sz="0" w:space="0" w:color="auto"/>
      </w:divBdr>
    </w:div>
    <w:div w:id="341778871">
      <w:bodyDiv w:val="1"/>
      <w:marLeft w:val="0"/>
      <w:marRight w:val="0"/>
      <w:marTop w:val="0"/>
      <w:marBottom w:val="0"/>
      <w:divBdr>
        <w:top w:val="none" w:sz="0" w:space="0" w:color="auto"/>
        <w:left w:val="none" w:sz="0" w:space="0" w:color="auto"/>
        <w:bottom w:val="none" w:sz="0" w:space="0" w:color="auto"/>
        <w:right w:val="none" w:sz="0" w:space="0" w:color="auto"/>
      </w:divBdr>
    </w:div>
    <w:div w:id="400713386">
      <w:bodyDiv w:val="1"/>
      <w:marLeft w:val="0"/>
      <w:marRight w:val="0"/>
      <w:marTop w:val="0"/>
      <w:marBottom w:val="0"/>
      <w:divBdr>
        <w:top w:val="none" w:sz="0" w:space="0" w:color="auto"/>
        <w:left w:val="none" w:sz="0" w:space="0" w:color="auto"/>
        <w:bottom w:val="none" w:sz="0" w:space="0" w:color="auto"/>
        <w:right w:val="none" w:sz="0" w:space="0" w:color="auto"/>
      </w:divBdr>
    </w:div>
    <w:div w:id="427430718">
      <w:bodyDiv w:val="1"/>
      <w:marLeft w:val="0"/>
      <w:marRight w:val="0"/>
      <w:marTop w:val="0"/>
      <w:marBottom w:val="0"/>
      <w:divBdr>
        <w:top w:val="none" w:sz="0" w:space="0" w:color="auto"/>
        <w:left w:val="none" w:sz="0" w:space="0" w:color="auto"/>
        <w:bottom w:val="none" w:sz="0" w:space="0" w:color="auto"/>
        <w:right w:val="none" w:sz="0" w:space="0" w:color="auto"/>
      </w:divBdr>
    </w:div>
    <w:div w:id="428551397">
      <w:bodyDiv w:val="1"/>
      <w:marLeft w:val="0"/>
      <w:marRight w:val="0"/>
      <w:marTop w:val="0"/>
      <w:marBottom w:val="0"/>
      <w:divBdr>
        <w:top w:val="none" w:sz="0" w:space="0" w:color="auto"/>
        <w:left w:val="none" w:sz="0" w:space="0" w:color="auto"/>
        <w:bottom w:val="none" w:sz="0" w:space="0" w:color="auto"/>
        <w:right w:val="none" w:sz="0" w:space="0" w:color="auto"/>
      </w:divBdr>
    </w:div>
    <w:div w:id="442581055">
      <w:bodyDiv w:val="1"/>
      <w:marLeft w:val="0"/>
      <w:marRight w:val="0"/>
      <w:marTop w:val="0"/>
      <w:marBottom w:val="0"/>
      <w:divBdr>
        <w:top w:val="none" w:sz="0" w:space="0" w:color="auto"/>
        <w:left w:val="none" w:sz="0" w:space="0" w:color="auto"/>
        <w:bottom w:val="none" w:sz="0" w:space="0" w:color="auto"/>
        <w:right w:val="none" w:sz="0" w:space="0" w:color="auto"/>
      </w:divBdr>
    </w:div>
    <w:div w:id="487212207">
      <w:bodyDiv w:val="1"/>
      <w:marLeft w:val="0"/>
      <w:marRight w:val="0"/>
      <w:marTop w:val="0"/>
      <w:marBottom w:val="0"/>
      <w:divBdr>
        <w:top w:val="none" w:sz="0" w:space="0" w:color="auto"/>
        <w:left w:val="none" w:sz="0" w:space="0" w:color="auto"/>
        <w:bottom w:val="none" w:sz="0" w:space="0" w:color="auto"/>
        <w:right w:val="none" w:sz="0" w:space="0" w:color="auto"/>
      </w:divBdr>
    </w:div>
    <w:div w:id="500051774">
      <w:bodyDiv w:val="1"/>
      <w:marLeft w:val="0"/>
      <w:marRight w:val="0"/>
      <w:marTop w:val="0"/>
      <w:marBottom w:val="0"/>
      <w:divBdr>
        <w:top w:val="none" w:sz="0" w:space="0" w:color="auto"/>
        <w:left w:val="none" w:sz="0" w:space="0" w:color="auto"/>
        <w:bottom w:val="none" w:sz="0" w:space="0" w:color="auto"/>
        <w:right w:val="none" w:sz="0" w:space="0" w:color="auto"/>
      </w:divBdr>
    </w:div>
    <w:div w:id="509024157">
      <w:bodyDiv w:val="1"/>
      <w:marLeft w:val="0"/>
      <w:marRight w:val="0"/>
      <w:marTop w:val="0"/>
      <w:marBottom w:val="0"/>
      <w:divBdr>
        <w:top w:val="none" w:sz="0" w:space="0" w:color="auto"/>
        <w:left w:val="none" w:sz="0" w:space="0" w:color="auto"/>
        <w:bottom w:val="none" w:sz="0" w:space="0" w:color="auto"/>
        <w:right w:val="none" w:sz="0" w:space="0" w:color="auto"/>
      </w:divBdr>
    </w:div>
    <w:div w:id="543106814">
      <w:bodyDiv w:val="1"/>
      <w:marLeft w:val="0"/>
      <w:marRight w:val="0"/>
      <w:marTop w:val="0"/>
      <w:marBottom w:val="0"/>
      <w:divBdr>
        <w:top w:val="none" w:sz="0" w:space="0" w:color="auto"/>
        <w:left w:val="none" w:sz="0" w:space="0" w:color="auto"/>
        <w:bottom w:val="none" w:sz="0" w:space="0" w:color="auto"/>
        <w:right w:val="none" w:sz="0" w:space="0" w:color="auto"/>
      </w:divBdr>
    </w:div>
    <w:div w:id="552429831">
      <w:bodyDiv w:val="1"/>
      <w:marLeft w:val="0"/>
      <w:marRight w:val="0"/>
      <w:marTop w:val="0"/>
      <w:marBottom w:val="0"/>
      <w:divBdr>
        <w:top w:val="none" w:sz="0" w:space="0" w:color="auto"/>
        <w:left w:val="none" w:sz="0" w:space="0" w:color="auto"/>
        <w:bottom w:val="none" w:sz="0" w:space="0" w:color="auto"/>
        <w:right w:val="none" w:sz="0" w:space="0" w:color="auto"/>
      </w:divBdr>
    </w:div>
    <w:div w:id="578565495">
      <w:bodyDiv w:val="1"/>
      <w:marLeft w:val="0"/>
      <w:marRight w:val="0"/>
      <w:marTop w:val="0"/>
      <w:marBottom w:val="0"/>
      <w:divBdr>
        <w:top w:val="none" w:sz="0" w:space="0" w:color="auto"/>
        <w:left w:val="none" w:sz="0" w:space="0" w:color="auto"/>
        <w:bottom w:val="none" w:sz="0" w:space="0" w:color="auto"/>
        <w:right w:val="none" w:sz="0" w:space="0" w:color="auto"/>
      </w:divBdr>
    </w:div>
    <w:div w:id="586352200">
      <w:bodyDiv w:val="1"/>
      <w:marLeft w:val="0"/>
      <w:marRight w:val="0"/>
      <w:marTop w:val="0"/>
      <w:marBottom w:val="0"/>
      <w:divBdr>
        <w:top w:val="none" w:sz="0" w:space="0" w:color="auto"/>
        <w:left w:val="none" w:sz="0" w:space="0" w:color="auto"/>
        <w:bottom w:val="none" w:sz="0" w:space="0" w:color="auto"/>
        <w:right w:val="none" w:sz="0" w:space="0" w:color="auto"/>
      </w:divBdr>
    </w:div>
    <w:div w:id="641891343">
      <w:bodyDiv w:val="1"/>
      <w:marLeft w:val="0"/>
      <w:marRight w:val="0"/>
      <w:marTop w:val="0"/>
      <w:marBottom w:val="0"/>
      <w:divBdr>
        <w:top w:val="none" w:sz="0" w:space="0" w:color="auto"/>
        <w:left w:val="none" w:sz="0" w:space="0" w:color="auto"/>
        <w:bottom w:val="none" w:sz="0" w:space="0" w:color="auto"/>
        <w:right w:val="none" w:sz="0" w:space="0" w:color="auto"/>
      </w:divBdr>
    </w:div>
    <w:div w:id="658656845">
      <w:bodyDiv w:val="1"/>
      <w:marLeft w:val="0"/>
      <w:marRight w:val="0"/>
      <w:marTop w:val="0"/>
      <w:marBottom w:val="0"/>
      <w:divBdr>
        <w:top w:val="none" w:sz="0" w:space="0" w:color="auto"/>
        <w:left w:val="none" w:sz="0" w:space="0" w:color="auto"/>
        <w:bottom w:val="none" w:sz="0" w:space="0" w:color="auto"/>
        <w:right w:val="none" w:sz="0" w:space="0" w:color="auto"/>
      </w:divBdr>
    </w:div>
    <w:div w:id="675034500">
      <w:bodyDiv w:val="1"/>
      <w:marLeft w:val="0"/>
      <w:marRight w:val="0"/>
      <w:marTop w:val="0"/>
      <w:marBottom w:val="0"/>
      <w:divBdr>
        <w:top w:val="none" w:sz="0" w:space="0" w:color="auto"/>
        <w:left w:val="none" w:sz="0" w:space="0" w:color="auto"/>
        <w:bottom w:val="none" w:sz="0" w:space="0" w:color="auto"/>
        <w:right w:val="none" w:sz="0" w:space="0" w:color="auto"/>
      </w:divBdr>
    </w:div>
    <w:div w:id="707023867">
      <w:bodyDiv w:val="1"/>
      <w:marLeft w:val="0"/>
      <w:marRight w:val="0"/>
      <w:marTop w:val="0"/>
      <w:marBottom w:val="0"/>
      <w:divBdr>
        <w:top w:val="none" w:sz="0" w:space="0" w:color="auto"/>
        <w:left w:val="none" w:sz="0" w:space="0" w:color="auto"/>
        <w:bottom w:val="none" w:sz="0" w:space="0" w:color="auto"/>
        <w:right w:val="none" w:sz="0" w:space="0" w:color="auto"/>
      </w:divBdr>
    </w:div>
    <w:div w:id="736629043">
      <w:bodyDiv w:val="1"/>
      <w:marLeft w:val="0"/>
      <w:marRight w:val="0"/>
      <w:marTop w:val="0"/>
      <w:marBottom w:val="0"/>
      <w:divBdr>
        <w:top w:val="none" w:sz="0" w:space="0" w:color="auto"/>
        <w:left w:val="none" w:sz="0" w:space="0" w:color="auto"/>
        <w:bottom w:val="none" w:sz="0" w:space="0" w:color="auto"/>
        <w:right w:val="none" w:sz="0" w:space="0" w:color="auto"/>
      </w:divBdr>
    </w:div>
    <w:div w:id="761296691">
      <w:bodyDiv w:val="1"/>
      <w:marLeft w:val="0"/>
      <w:marRight w:val="0"/>
      <w:marTop w:val="0"/>
      <w:marBottom w:val="0"/>
      <w:divBdr>
        <w:top w:val="none" w:sz="0" w:space="0" w:color="auto"/>
        <w:left w:val="none" w:sz="0" w:space="0" w:color="auto"/>
        <w:bottom w:val="none" w:sz="0" w:space="0" w:color="auto"/>
        <w:right w:val="none" w:sz="0" w:space="0" w:color="auto"/>
      </w:divBdr>
    </w:div>
    <w:div w:id="764113712">
      <w:bodyDiv w:val="1"/>
      <w:marLeft w:val="0"/>
      <w:marRight w:val="0"/>
      <w:marTop w:val="0"/>
      <w:marBottom w:val="0"/>
      <w:divBdr>
        <w:top w:val="none" w:sz="0" w:space="0" w:color="auto"/>
        <w:left w:val="none" w:sz="0" w:space="0" w:color="auto"/>
        <w:bottom w:val="none" w:sz="0" w:space="0" w:color="auto"/>
        <w:right w:val="none" w:sz="0" w:space="0" w:color="auto"/>
      </w:divBdr>
    </w:div>
    <w:div w:id="771167131">
      <w:bodyDiv w:val="1"/>
      <w:marLeft w:val="0"/>
      <w:marRight w:val="0"/>
      <w:marTop w:val="0"/>
      <w:marBottom w:val="0"/>
      <w:divBdr>
        <w:top w:val="none" w:sz="0" w:space="0" w:color="auto"/>
        <w:left w:val="none" w:sz="0" w:space="0" w:color="auto"/>
        <w:bottom w:val="none" w:sz="0" w:space="0" w:color="auto"/>
        <w:right w:val="none" w:sz="0" w:space="0" w:color="auto"/>
      </w:divBdr>
    </w:div>
    <w:div w:id="782461193">
      <w:bodyDiv w:val="1"/>
      <w:marLeft w:val="0"/>
      <w:marRight w:val="0"/>
      <w:marTop w:val="0"/>
      <w:marBottom w:val="0"/>
      <w:divBdr>
        <w:top w:val="none" w:sz="0" w:space="0" w:color="auto"/>
        <w:left w:val="none" w:sz="0" w:space="0" w:color="auto"/>
        <w:bottom w:val="none" w:sz="0" w:space="0" w:color="auto"/>
        <w:right w:val="none" w:sz="0" w:space="0" w:color="auto"/>
      </w:divBdr>
    </w:div>
    <w:div w:id="788546677">
      <w:bodyDiv w:val="1"/>
      <w:marLeft w:val="0"/>
      <w:marRight w:val="0"/>
      <w:marTop w:val="0"/>
      <w:marBottom w:val="0"/>
      <w:divBdr>
        <w:top w:val="none" w:sz="0" w:space="0" w:color="auto"/>
        <w:left w:val="none" w:sz="0" w:space="0" w:color="auto"/>
        <w:bottom w:val="none" w:sz="0" w:space="0" w:color="auto"/>
        <w:right w:val="none" w:sz="0" w:space="0" w:color="auto"/>
      </w:divBdr>
    </w:div>
    <w:div w:id="800146640">
      <w:bodyDiv w:val="1"/>
      <w:marLeft w:val="0"/>
      <w:marRight w:val="0"/>
      <w:marTop w:val="0"/>
      <w:marBottom w:val="0"/>
      <w:divBdr>
        <w:top w:val="none" w:sz="0" w:space="0" w:color="auto"/>
        <w:left w:val="none" w:sz="0" w:space="0" w:color="auto"/>
        <w:bottom w:val="none" w:sz="0" w:space="0" w:color="auto"/>
        <w:right w:val="none" w:sz="0" w:space="0" w:color="auto"/>
      </w:divBdr>
    </w:div>
    <w:div w:id="807094713">
      <w:bodyDiv w:val="1"/>
      <w:marLeft w:val="0"/>
      <w:marRight w:val="0"/>
      <w:marTop w:val="0"/>
      <w:marBottom w:val="0"/>
      <w:divBdr>
        <w:top w:val="none" w:sz="0" w:space="0" w:color="auto"/>
        <w:left w:val="none" w:sz="0" w:space="0" w:color="auto"/>
        <w:bottom w:val="none" w:sz="0" w:space="0" w:color="auto"/>
        <w:right w:val="none" w:sz="0" w:space="0" w:color="auto"/>
      </w:divBdr>
    </w:div>
    <w:div w:id="864095465">
      <w:bodyDiv w:val="1"/>
      <w:marLeft w:val="0"/>
      <w:marRight w:val="0"/>
      <w:marTop w:val="0"/>
      <w:marBottom w:val="0"/>
      <w:divBdr>
        <w:top w:val="none" w:sz="0" w:space="0" w:color="auto"/>
        <w:left w:val="none" w:sz="0" w:space="0" w:color="auto"/>
        <w:bottom w:val="none" w:sz="0" w:space="0" w:color="auto"/>
        <w:right w:val="none" w:sz="0" w:space="0" w:color="auto"/>
      </w:divBdr>
    </w:div>
    <w:div w:id="883712576">
      <w:bodyDiv w:val="1"/>
      <w:marLeft w:val="0"/>
      <w:marRight w:val="0"/>
      <w:marTop w:val="0"/>
      <w:marBottom w:val="0"/>
      <w:divBdr>
        <w:top w:val="none" w:sz="0" w:space="0" w:color="auto"/>
        <w:left w:val="none" w:sz="0" w:space="0" w:color="auto"/>
        <w:bottom w:val="none" w:sz="0" w:space="0" w:color="auto"/>
        <w:right w:val="none" w:sz="0" w:space="0" w:color="auto"/>
      </w:divBdr>
    </w:div>
    <w:div w:id="918978295">
      <w:bodyDiv w:val="1"/>
      <w:marLeft w:val="0"/>
      <w:marRight w:val="0"/>
      <w:marTop w:val="0"/>
      <w:marBottom w:val="0"/>
      <w:divBdr>
        <w:top w:val="none" w:sz="0" w:space="0" w:color="auto"/>
        <w:left w:val="none" w:sz="0" w:space="0" w:color="auto"/>
        <w:bottom w:val="none" w:sz="0" w:space="0" w:color="auto"/>
        <w:right w:val="none" w:sz="0" w:space="0" w:color="auto"/>
      </w:divBdr>
    </w:div>
    <w:div w:id="923345867">
      <w:bodyDiv w:val="1"/>
      <w:marLeft w:val="0"/>
      <w:marRight w:val="0"/>
      <w:marTop w:val="0"/>
      <w:marBottom w:val="0"/>
      <w:divBdr>
        <w:top w:val="none" w:sz="0" w:space="0" w:color="auto"/>
        <w:left w:val="none" w:sz="0" w:space="0" w:color="auto"/>
        <w:bottom w:val="none" w:sz="0" w:space="0" w:color="auto"/>
        <w:right w:val="none" w:sz="0" w:space="0" w:color="auto"/>
      </w:divBdr>
    </w:div>
    <w:div w:id="938759144">
      <w:bodyDiv w:val="1"/>
      <w:marLeft w:val="0"/>
      <w:marRight w:val="0"/>
      <w:marTop w:val="0"/>
      <w:marBottom w:val="0"/>
      <w:divBdr>
        <w:top w:val="none" w:sz="0" w:space="0" w:color="auto"/>
        <w:left w:val="none" w:sz="0" w:space="0" w:color="auto"/>
        <w:bottom w:val="none" w:sz="0" w:space="0" w:color="auto"/>
        <w:right w:val="none" w:sz="0" w:space="0" w:color="auto"/>
      </w:divBdr>
    </w:div>
    <w:div w:id="943076195">
      <w:bodyDiv w:val="1"/>
      <w:marLeft w:val="0"/>
      <w:marRight w:val="0"/>
      <w:marTop w:val="0"/>
      <w:marBottom w:val="0"/>
      <w:divBdr>
        <w:top w:val="none" w:sz="0" w:space="0" w:color="auto"/>
        <w:left w:val="none" w:sz="0" w:space="0" w:color="auto"/>
        <w:bottom w:val="none" w:sz="0" w:space="0" w:color="auto"/>
        <w:right w:val="none" w:sz="0" w:space="0" w:color="auto"/>
      </w:divBdr>
    </w:div>
    <w:div w:id="967510151">
      <w:bodyDiv w:val="1"/>
      <w:marLeft w:val="0"/>
      <w:marRight w:val="0"/>
      <w:marTop w:val="0"/>
      <w:marBottom w:val="0"/>
      <w:divBdr>
        <w:top w:val="none" w:sz="0" w:space="0" w:color="auto"/>
        <w:left w:val="none" w:sz="0" w:space="0" w:color="auto"/>
        <w:bottom w:val="none" w:sz="0" w:space="0" w:color="auto"/>
        <w:right w:val="none" w:sz="0" w:space="0" w:color="auto"/>
      </w:divBdr>
    </w:div>
    <w:div w:id="979647480">
      <w:bodyDiv w:val="1"/>
      <w:marLeft w:val="0"/>
      <w:marRight w:val="0"/>
      <w:marTop w:val="0"/>
      <w:marBottom w:val="0"/>
      <w:divBdr>
        <w:top w:val="none" w:sz="0" w:space="0" w:color="auto"/>
        <w:left w:val="none" w:sz="0" w:space="0" w:color="auto"/>
        <w:bottom w:val="none" w:sz="0" w:space="0" w:color="auto"/>
        <w:right w:val="none" w:sz="0" w:space="0" w:color="auto"/>
      </w:divBdr>
    </w:div>
    <w:div w:id="1003705210">
      <w:bodyDiv w:val="1"/>
      <w:marLeft w:val="0"/>
      <w:marRight w:val="0"/>
      <w:marTop w:val="0"/>
      <w:marBottom w:val="0"/>
      <w:divBdr>
        <w:top w:val="none" w:sz="0" w:space="0" w:color="auto"/>
        <w:left w:val="none" w:sz="0" w:space="0" w:color="auto"/>
        <w:bottom w:val="none" w:sz="0" w:space="0" w:color="auto"/>
        <w:right w:val="none" w:sz="0" w:space="0" w:color="auto"/>
      </w:divBdr>
    </w:div>
    <w:div w:id="1005786341">
      <w:bodyDiv w:val="1"/>
      <w:marLeft w:val="0"/>
      <w:marRight w:val="0"/>
      <w:marTop w:val="0"/>
      <w:marBottom w:val="0"/>
      <w:divBdr>
        <w:top w:val="none" w:sz="0" w:space="0" w:color="auto"/>
        <w:left w:val="none" w:sz="0" w:space="0" w:color="auto"/>
        <w:bottom w:val="none" w:sz="0" w:space="0" w:color="auto"/>
        <w:right w:val="none" w:sz="0" w:space="0" w:color="auto"/>
      </w:divBdr>
    </w:div>
    <w:div w:id="1030493468">
      <w:bodyDiv w:val="1"/>
      <w:marLeft w:val="0"/>
      <w:marRight w:val="0"/>
      <w:marTop w:val="0"/>
      <w:marBottom w:val="0"/>
      <w:divBdr>
        <w:top w:val="none" w:sz="0" w:space="0" w:color="auto"/>
        <w:left w:val="none" w:sz="0" w:space="0" w:color="auto"/>
        <w:bottom w:val="none" w:sz="0" w:space="0" w:color="auto"/>
        <w:right w:val="none" w:sz="0" w:space="0" w:color="auto"/>
      </w:divBdr>
    </w:div>
    <w:div w:id="1046221852">
      <w:bodyDiv w:val="1"/>
      <w:marLeft w:val="0"/>
      <w:marRight w:val="0"/>
      <w:marTop w:val="0"/>
      <w:marBottom w:val="0"/>
      <w:divBdr>
        <w:top w:val="none" w:sz="0" w:space="0" w:color="auto"/>
        <w:left w:val="none" w:sz="0" w:space="0" w:color="auto"/>
        <w:bottom w:val="none" w:sz="0" w:space="0" w:color="auto"/>
        <w:right w:val="none" w:sz="0" w:space="0" w:color="auto"/>
      </w:divBdr>
    </w:div>
    <w:div w:id="1070229875">
      <w:bodyDiv w:val="1"/>
      <w:marLeft w:val="0"/>
      <w:marRight w:val="0"/>
      <w:marTop w:val="0"/>
      <w:marBottom w:val="0"/>
      <w:divBdr>
        <w:top w:val="none" w:sz="0" w:space="0" w:color="auto"/>
        <w:left w:val="none" w:sz="0" w:space="0" w:color="auto"/>
        <w:bottom w:val="none" w:sz="0" w:space="0" w:color="auto"/>
        <w:right w:val="none" w:sz="0" w:space="0" w:color="auto"/>
      </w:divBdr>
    </w:div>
    <w:div w:id="1091269548">
      <w:bodyDiv w:val="1"/>
      <w:marLeft w:val="0"/>
      <w:marRight w:val="0"/>
      <w:marTop w:val="0"/>
      <w:marBottom w:val="0"/>
      <w:divBdr>
        <w:top w:val="none" w:sz="0" w:space="0" w:color="auto"/>
        <w:left w:val="none" w:sz="0" w:space="0" w:color="auto"/>
        <w:bottom w:val="none" w:sz="0" w:space="0" w:color="auto"/>
        <w:right w:val="none" w:sz="0" w:space="0" w:color="auto"/>
      </w:divBdr>
    </w:div>
    <w:div w:id="1101218852">
      <w:bodyDiv w:val="1"/>
      <w:marLeft w:val="0"/>
      <w:marRight w:val="0"/>
      <w:marTop w:val="0"/>
      <w:marBottom w:val="0"/>
      <w:divBdr>
        <w:top w:val="none" w:sz="0" w:space="0" w:color="auto"/>
        <w:left w:val="none" w:sz="0" w:space="0" w:color="auto"/>
        <w:bottom w:val="none" w:sz="0" w:space="0" w:color="auto"/>
        <w:right w:val="none" w:sz="0" w:space="0" w:color="auto"/>
      </w:divBdr>
    </w:div>
    <w:div w:id="1154642365">
      <w:bodyDiv w:val="1"/>
      <w:marLeft w:val="0"/>
      <w:marRight w:val="0"/>
      <w:marTop w:val="0"/>
      <w:marBottom w:val="0"/>
      <w:divBdr>
        <w:top w:val="none" w:sz="0" w:space="0" w:color="auto"/>
        <w:left w:val="none" w:sz="0" w:space="0" w:color="auto"/>
        <w:bottom w:val="none" w:sz="0" w:space="0" w:color="auto"/>
        <w:right w:val="none" w:sz="0" w:space="0" w:color="auto"/>
      </w:divBdr>
    </w:div>
    <w:div w:id="1162501373">
      <w:bodyDiv w:val="1"/>
      <w:marLeft w:val="0"/>
      <w:marRight w:val="0"/>
      <w:marTop w:val="0"/>
      <w:marBottom w:val="0"/>
      <w:divBdr>
        <w:top w:val="none" w:sz="0" w:space="0" w:color="auto"/>
        <w:left w:val="none" w:sz="0" w:space="0" w:color="auto"/>
        <w:bottom w:val="none" w:sz="0" w:space="0" w:color="auto"/>
        <w:right w:val="none" w:sz="0" w:space="0" w:color="auto"/>
      </w:divBdr>
    </w:div>
    <w:div w:id="1164903397">
      <w:bodyDiv w:val="1"/>
      <w:marLeft w:val="0"/>
      <w:marRight w:val="0"/>
      <w:marTop w:val="0"/>
      <w:marBottom w:val="0"/>
      <w:divBdr>
        <w:top w:val="none" w:sz="0" w:space="0" w:color="auto"/>
        <w:left w:val="none" w:sz="0" w:space="0" w:color="auto"/>
        <w:bottom w:val="none" w:sz="0" w:space="0" w:color="auto"/>
        <w:right w:val="none" w:sz="0" w:space="0" w:color="auto"/>
      </w:divBdr>
    </w:div>
    <w:div w:id="1187672761">
      <w:bodyDiv w:val="1"/>
      <w:marLeft w:val="0"/>
      <w:marRight w:val="0"/>
      <w:marTop w:val="0"/>
      <w:marBottom w:val="0"/>
      <w:divBdr>
        <w:top w:val="none" w:sz="0" w:space="0" w:color="auto"/>
        <w:left w:val="none" w:sz="0" w:space="0" w:color="auto"/>
        <w:bottom w:val="none" w:sz="0" w:space="0" w:color="auto"/>
        <w:right w:val="none" w:sz="0" w:space="0" w:color="auto"/>
      </w:divBdr>
    </w:div>
    <w:div w:id="1190609557">
      <w:bodyDiv w:val="1"/>
      <w:marLeft w:val="0"/>
      <w:marRight w:val="0"/>
      <w:marTop w:val="0"/>
      <w:marBottom w:val="0"/>
      <w:divBdr>
        <w:top w:val="none" w:sz="0" w:space="0" w:color="auto"/>
        <w:left w:val="none" w:sz="0" w:space="0" w:color="auto"/>
        <w:bottom w:val="none" w:sz="0" w:space="0" w:color="auto"/>
        <w:right w:val="none" w:sz="0" w:space="0" w:color="auto"/>
      </w:divBdr>
    </w:div>
    <w:div w:id="1205293394">
      <w:bodyDiv w:val="1"/>
      <w:marLeft w:val="0"/>
      <w:marRight w:val="0"/>
      <w:marTop w:val="0"/>
      <w:marBottom w:val="0"/>
      <w:divBdr>
        <w:top w:val="none" w:sz="0" w:space="0" w:color="auto"/>
        <w:left w:val="none" w:sz="0" w:space="0" w:color="auto"/>
        <w:bottom w:val="none" w:sz="0" w:space="0" w:color="auto"/>
        <w:right w:val="none" w:sz="0" w:space="0" w:color="auto"/>
      </w:divBdr>
    </w:div>
    <w:div w:id="1206941258">
      <w:bodyDiv w:val="1"/>
      <w:marLeft w:val="0"/>
      <w:marRight w:val="0"/>
      <w:marTop w:val="0"/>
      <w:marBottom w:val="0"/>
      <w:divBdr>
        <w:top w:val="none" w:sz="0" w:space="0" w:color="auto"/>
        <w:left w:val="none" w:sz="0" w:space="0" w:color="auto"/>
        <w:bottom w:val="none" w:sz="0" w:space="0" w:color="auto"/>
        <w:right w:val="none" w:sz="0" w:space="0" w:color="auto"/>
      </w:divBdr>
    </w:div>
    <w:div w:id="1251349403">
      <w:bodyDiv w:val="1"/>
      <w:marLeft w:val="0"/>
      <w:marRight w:val="0"/>
      <w:marTop w:val="0"/>
      <w:marBottom w:val="0"/>
      <w:divBdr>
        <w:top w:val="none" w:sz="0" w:space="0" w:color="auto"/>
        <w:left w:val="none" w:sz="0" w:space="0" w:color="auto"/>
        <w:bottom w:val="none" w:sz="0" w:space="0" w:color="auto"/>
        <w:right w:val="none" w:sz="0" w:space="0" w:color="auto"/>
      </w:divBdr>
    </w:div>
    <w:div w:id="1254974342">
      <w:bodyDiv w:val="1"/>
      <w:marLeft w:val="0"/>
      <w:marRight w:val="0"/>
      <w:marTop w:val="0"/>
      <w:marBottom w:val="0"/>
      <w:divBdr>
        <w:top w:val="none" w:sz="0" w:space="0" w:color="auto"/>
        <w:left w:val="none" w:sz="0" w:space="0" w:color="auto"/>
        <w:bottom w:val="none" w:sz="0" w:space="0" w:color="auto"/>
        <w:right w:val="none" w:sz="0" w:space="0" w:color="auto"/>
      </w:divBdr>
    </w:div>
    <w:div w:id="1275282819">
      <w:bodyDiv w:val="1"/>
      <w:marLeft w:val="0"/>
      <w:marRight w:val="0"/>
      <w:marTop w:val="0"/>
      <w:marBottom w:val="0"/>
      <w:divBdr>
        <w:top w:val="none" w:sz="0" w:space="0" w:color="auto"/>
        <w:left w:val="none" w:sz="0" w:space="0" w:color="auto"/>
        <w:bottom w:val="none" w:sz="0" w:space="0" w:color="auto"/>
        <w:right w:val="none" w:sz="0" w:space="0" w:color="auto"/>
      </w:divBdr>
    </w:div>
    <w:div w:id="1290428521">
      <w:bodyDiv w:val="1"/>
      <w:marLeft w:val="0"/>
      <w:marRight w:val="0"/>
      <w:marTop w:val="0"/>
      <w:marBottom w:val="0"/>
      <w:divBdr>
        <w:top w:val="none" w:sz="0" w:space="0" w:color="auto"/>
        <w:left w:val="none" w:sz="0" w:space="0" w:color="auto"/>
        <w:bottom w:val="none" w:sz="0" w:space="0" w:color="auto"/>
        <w:right w:val="none" w:sz="0" w:space="0" w:color="auto"/>
      </w:divBdr>
    </w:div>
    <w:div w:id="1298027070">
      <w:bodyDiv w:val="1"/>
      <w:marLeft w:val="0"/>
      <w:marRight w:val="0"/>
      <w:marTop w:val="0"/>
      <w:marBottom w:val="0"/>
      <w:divBdr>
        <w:top w:val="none" w:sz="0" w:space="0" w:color="auto"/>
        <w:left w:val="none" w:sz="0" w:space="0" w:color="auto"/>
        <w:bottom w:val="none" w:sz="0" w:space="0" w:color="auto"/>
        <w:right w:val="none" w:sz="0" w:space="0" w:color="auto"/>
      </w:divBdr>
    </w:div>
    <w:div w:id="1304964254">
      <w:bodyDiv w:val="1"/>
      <w:marLeft w:val="0"/>
      <w:marRight w:val="0"/>
      <w:marTop w:val="0"/>
      <w:marBottom w:val="0"/>
      <w:divBdr>
        <w:top w:val="none" w:sz="0" w:space="0" w:color="auto"/>
        <w:left w:val="none" w:sz="0" w:space="0" w:color="auto"/>
        <w:bottom w:val="none" w:sz="0" w:space="0" w:color="auto"/>
        <w:right w:val="none" w:sz="0" w:space="0" w:color="auto"/>
      </w:divBdr>
    </w:div>
    <w:div w:id="1306423505">
      <w:bodyDiv w:val="1"/>
      <w:marLeft w:val="0"/>
      <w:marRight w:val="0"/>
      <w:marTop w:val="0"/>
      <w:marBottom w:val="0"/>
      <w:divBdr>
        <w:top w:val="none" w:sz="0" w:space="0" w:color="auto"/>
        <w:left w:val="none" w:sz="0" w:space="0" w:color="auto"/>
        <w:bottom w:val="none" w:sz="0" w:space="0" w:color="auto"/>
        <w:right w:val="none" w:sz="0" w:space="0" w:color="auto"/>
      </w:divBdr>
    </w:div>
    <w:div w:id="1324701138">
      <w:bodyDiv w:val="1"/>
      <w:marLeft w:val="0"/>
      <w:marRight w:val="0"/>
      <w:marTop w:val="0"/>
      <w:marBottom w:val="0"/>
      <w:divBdr>
        <w:top w:val="none" w:sz="0" w:space="0" w:color="auto"/>
        <w:left w:val="none" w:sz="0" w:space="0" w:color="auto"/>
        <w:bottom w:val="none" w:sz="0" w:space="0" w:color="auto"/>
        <w:right w:val="none" w:sz="0" w:space="0" w:color="auto"/>
      </w:divBdr>
    </w:div>
    <w:div w:id="1341195795">
      <w:bodyDiv w:val="1"/>
      <w:marLeft w:val="0"/>
      <w:marRight w:val="0"/>
      <w:marTop w:val="0"/>
      <w:marBottom w:val="0"/>
      <w:divBdr>
        <w:top w:val="none" w:sz="0" w:space="0" w:color="auto"/>
        <w:left w:val="none" w:sz="0" w:space="0" w:color="auto"/>
        <w:bottom w:val="none" w:sz="0" w:space="0" w:color="auto"/>
        <w:right w:val="none" w:sz="0" w:space="0" w:color="auto"/>
      </w:divBdr>
    </w:div>
    <w:div w:id="1364596383">
      <w:bodyDiv w:val="1"/>
      <w:marLeft w:val="0"/>
      <w:marRight w:val="0"/>
      <w:marTop w:val="0"/>
      <w:marBottom w:val="0"/>
      <w:divBdr>
        <w:top w:val="none" w:sz="0" w:space="0" w:color="auto"/>
        <w:left w:val="none" w:sz="0" w:space="0" w:color="auto"/>
        <w:bottom w:val="none" w:sz="0" w:space="0" w:color="auto"/>
        <w:right w:val="none" w:sz="0" w:space="0" w:color="auto"/>
      </w:divBdr>
    </w:div>
    <w:div w:id="1366366267">
      <w:bodyDiv w:val="1"/>
      <w:marLeft w:val="0"/>
      <w:marRight w:val="0"/>
      <w:marTop w:val="0"/>
      <w:marBottom w:val="0"/>
      <w:divBdr>
        <w:top w:val="none" w:sz="0" w:space="0" w:color="auto"/>
        <w:left w:val="none" w:sz="0" w:space="0" w:color="auto"/>
        <w:bottom w:val="none" w:sz="0" w:space="0" w:color="auto"/>
        <w:right w:val="none" w:sz="0" w:space="0" w:color="auto"/>
      </w:divBdr>
    </w:div>
    <w:div w:id="1370372115">
      <w:bodyDiv w:val="1"/>
      <w:marLeft w:val="0"/>
      <w:marRight w:val="0"/>
      <w:marTop w:val="0"/>
      <w:marBottom w:val="0"/>
      <w:divBdr>
        <w:top w:val="none" w:sz="0" w:space="0" w:color="auto"/>
        <w:left w:val="none" w:sz="0" w:space="0" w:color="auto"/>
        <w:bottom w:val="none" w:sz="0" w:space="0" w:color="auto"/>
        <w:right w:val="none" w:sz="0" w:space="0" w:color="auto"/>
      </w:divBdr>
    </w:div>
    <w:div w:id="1418408110">
      <w:bodyDiv w:val="1"/>
      <w:marLeft w:val="0"/>
      <w:marRight w:val="0"/>
      <w:marTop w:val="0"/>
      <w:marBottom w:val="0"/>
      <w:divBdr>
        <w:top w:val="none" w:sz="0" w:space="0" w:color="auto"/>
        <w:left w:val="none" w:sz="0" w:space="0" w:color="auto"/>
        <w:bottom w:val="none" w:sz="0" w:space="0" w:color="auto"/>
        <w:right w:val="none" w:sz="0" w:space="0" w:color="auto"/>
      </w:divBdr>
    </w:div>
    <w:div w:id="1428424124">
      <w:bodyDiv w:val="1"/>
      <w:marLeft w:val="0"/>
      <w:marRight w:val="0"/>
      <w:marTop w:val="0"/>
      <w:marBottom w:val="0"/>
      <w:divBdr>
        <w:top w:val="none" w:sz="0" w:space="0" w:color="auto"/>
        <w:left w:val="none" w:sz="0" w:space="0" w:color="auto"/>
        <w:bottom w:val="none" w:sz="0" w:space="0" w:color="auto"/>
        <w:right w:val="none" w:sz="0" w:space="0" w:color="auto"/>
      </w:divBdr>
    </w:div>
    <w:div w:id="1443301173">
      <w:bodyDiv w:val="1"/>
      <w:marLeft w:val="0"/>
      <w:marRight w:val="0"/>
      <w:marTop w:val="0"/>
      <w:marBottom w:val="0"/>
      <w:divBdr>
        <w:top w:val="none" w:sz="0" w:space="0" w:color="auto"/>
        <w:left w:val="none" w:sz="0" w:space="0" w:color="auto"/>
        <w:bottom w:val="none" w:sz="0" w:space="0" w:color="auto"/>
        <w:right w:val="none" w:sz="0" w:space="0" w:color="auto"/>
      </w:divBdr>
    </w:div>
    <w:div w:id="1444112972">
      <w:bodyDiv w:val="1"/>
      <w:marLeft w:val="0"/>
      <w:marRight w:val="0"/>
      <w:marTop w:val="0"/>
      <w:marBottom w:val="0"/>
      <w:divBdr>
        <w:top w:val="none" w:sz="0" w:space="0" w:color="auto"/>
        <w:left w:val="none" w:sz="0" w:space="0" w:color="auto"/>
        <w:bottom w:val="none" w:sz="0" w:space="0" w:color="auto"/>
        <w:right w:val="none" w:sz="0" w:space="0" w:color="auto"/>
      </w:divBdr>
    </w:div>
    <w:div w:id="1452088702">
      <w:bodyDiv w:val="1"/>
      <w:marLeft w:val="0"/>
      <w:marRight w:val="0"/>
      <w:marTop w:val="0"/>
      <w:marBottom w:val="0"/>
      <w:divBdr>
        <w:top w:val="none" w:sz="0" w:space="0" w:color="auto"/>
        <w:left w:val="none" w:sz="0" w:space="0" w:color="auto"/>
        <w:bottom w:val="none" w:sz="0" w:space="0" w:color="auto"/>
        <w:right w:val="none" w:sz="0" w:space="0" w:color="auto"/>
      </w:divBdr>
    </w:div>
    <w:div w:id="1470827875">
      <w:bodyDiv w:val="1"/>
      <w:marLeft w:val="0"/>
      <w:marRight w:val="0"/>
      <w:marTop w:val="0"/>
      <w:marBottom w:val="0"/>
      <w:divBdr>
        <w:top w:val="none" w:sz="0" w:space="0" w:color="auto"/>
        <w:left w:val="none" w:sz="0" w:space="0" w:color="auto"/>
        <w:bottom w:val="none" w:sz="0" w:space="0" w:color="auto"/>
        <w:right w:val="none" w:sz="0" w:space="0" w:color="auto"/>
      </w:divBdr>
    </w:div>
    <w:div w:id="1472135189">
      <w:bodyDiv w:val="1"/>
      <w:marLeft w:val="0"/>
      <w:marRight w:val="0"/>
      <w:marTop w:val="0"/>
      <w:marBottom w:val="0"/>
      <w:divBdr>
        <w:top w:val="none" w:sz="0" w:space="0" w:color="auto"/>
        <w:left w:val="none" w:sz="0" w:space="0" w:color="auto"/>
        <w:bottom w:val="none" w:sz="0" w:space="0" w:color="auto"/>
        <w:right w:val="none" w:sz="0" w:space="0" w:color="auto"/>
      </w:divBdr>
    </w:div>
    <w:div w:id="1473404444">
      <w:bodyDiv w:val="1"/>
      <w:marLeft w:val="0"/>
      <w:marRight w:val="0"/>
      <w:marTop w:val="0"/>
      <w:marBottom w:val="0"/>
      <w:divBdr>
        <w:top w:val="none" w:sz="0" w:space="0" w:color="auto"/>
        <w:left w:val="none" w:sz="0" w:space="0" w:color="auto"/>
        <w:bottom w:val="none" w:sz="0" w:space="0" w:color="auto"/>
        <w:right w:val="none" w:sz="0" w:space="0" w:color="auto"/>
      </w:divBdr>
    </w:div>
    <w:div w:id="1473450702">
      <w:bodyDiv w:val="1"/>
      <w:marLeft w:val="0"/>
      <w:marRight w:val="0"/>
      <w:marTop w:val="0"/>
      <w:marBottom w:val="0"/>
      <w:divBdr>
        <w:top w:val="none" w:sz="0" w:space="0" w:color="auto"/>
        <w:left w:val="none" w:sz="0" w:space="0" w:color="auto"/>
        <w:bottom w:val="none" w:sz="0" w:space="0" w:color="auto"/>
        <w:right w:val="none" w:sz="0" w:space="0" w:color="auto"/>
      </w:divBdr>
    </w:div>
    <w:div w:id="1495339360">
      <w:bodyDiv w:val="1"/>
      <w:marLeft w:val="0"/>
      <w:marRight w:val="0"/>
      <w:marTop w:val="0"/>
      <w:marBottom w:val="0"/>
      <w:divBdr>
        <w:top w:val="none" w:sz="0" w:space="0" w:color="auto"/>
        <w:left w:val="none" w:sz="0" w:space="0" w:color="auto"/>
        <w:bottom w:val="none" w:sz="0" w:space="0" w:color="auto"/>
        <w:right w:val="none" w:sz="0" w:space="0" w:color="auto"/>
      </w:divBdr>
    </w:div>
    <w:div w:id="1505508745">
      <w:bodyDiv w:val="1"/>
      <w:marLeft w:val="0"/>
      <w:marRight w:val="0"/>
      <w:marTop w:val="0"/>
      <w:marBottom w:val="0"/>
      <w:divBdr>
        <w:top w:val="none" w:sz="0" w:space="0" w:color="auto"/>
        <w:left w:val="none" w:sz="0" w:space="0" w:color="auto"/>
        <w:bottom w:val="none" w:sz="0" w:space="0" w:color="auto"/>
        <w:right w:val="none" w:sz="0" w:space="0" w:color="auto"/>
      </w:divBdr>
    </w:div>
    <w:div w:id="1515221703">
      <w:bodyDiv w:val="1"/>
      <w:marLeft w:val="0"/>
      <w:marRight w:val="0"/>
      <w:marTop w:val="0"/>
      <w:marBottom w:val="0"/>
      <w:divBdr>
        <w:top w:val="none" w:sz="0" w:space="0" w:color="auto"/>
        <w:left w:val="none" w:sz="0" w:space="0" w:color="auto"/>
        <w:bottom w:val="none" w:sz="0" w:space="0" w:color="auto"/>
        <w:right w:val="none" w:sz="0" w:space="0" w:color="auto"/>
      </w:divBdr>
    </w:div>
    <w:div w:id="1519931014">
      <w:bodyDiv w:val="1"/>
      <w:marLeft w:val="0"/>
      <w:marRight w:val="0"/>
      <w:marTop w:val="0"/>
      <w:marBottom w:val="0"/>
      <w:divBdr>
        <w:top w:val="none" w:sz="0" w:space="0" w:color="auto"/>
        <w:left w:val="none" w:sz="0" w:space="0" w:color="auto"/>
        <w:bottom w:val="none" w:sz="0" w:space="0" w:color="auto"/>
        <w:right w:val="none" w:sz="0" w:space="0" w:color="auto"/>
      </w:divBdr>
    </w:div>
    <w:div w:id="1568567730">
      <w:bodyDiv w:val="1"/>
      <w:marLeft w:val="0"/>
      <w:marRight w:val="0"/>
      <w:marTop w:val="0"/>
      <w:marBottom w:val="0"/>
      <w:divBdr>
        <w:top w:val="none" w:sz="0" w:space="0" w:color="auto"/>
        <w:left w:val="none" w:sz="0" w:space="0" w:color="auto"/>
        <w:bottom w:val="none" w:sz="0" w:space="0" w:color="auto"/>
        <w:right w:val="none" w:sz="0" w:space="0" w:color="auto"/>
      </w:divBdr>
    </w:div>
    <w:div w:id="1578903649">
      <w:bodyDiv w:val="1"/>
      <w:marLeft w:val="0"/>
      <w:marRight w:val="0"/>
      <w:marTop w:val="0"/>
      <w:marBottom w:val="0"/>
      <w:divBdr>
        <w:top w:val="none" w:sz="0" w:space="0" w:color="auto"/>
        <w:left w:val="none" w:sz="0" w:space="0" w:color="auto"/>
        <w:bottom w:val="none" w:sz="0" w:space="0" w:color="auto"/>
        <w:right w:val="none" w:sz="0" w:space="0" w:color="auto"/>
      </w:divBdr>
    </w:div>
    <w:div w:id="1579749295">
      <w:bodyDiv w:val="1"/>
      <w:marLeft w:val="0"/>
      <w:marRight w:val="0"/>
      <w:marTop w:val="0"/>
      <w:marBottom w:val="0"/>
      <w:divBdr>
        <w:top w:val="none" w:sz="0" w:space="0" w:color="auto"/>
        <w:left w:val="none" w:sz="0" w:space="0" w:color="auto"/>
        <w:bottom w:val="none" w:sz="0" w:space="0" w:color="auto"/>
        <w:right w:val="none" w:sz="0" w:space="0" w:color="auto"/>
      </w:divBdr>
    </w:div>
    <w:div w:id="1587762108">
      <w:bodyDiv w:val="1"/>
      <w:marLeft w:val="0"/>
      <w:marRight w:val="0"/>
      <w:marTop w:val="0"/>
      <w:marBottom w:val="0"/>
      <w:divBdr>
        <w:top w:val="none" w:sz="0" w:space="0" w:color="auto"/>
        <w:left w:val="none" w:sz="0" w:space="0" w:color="auto"/>
        <w:bottom w:val="none" w:sz="0" w:space="0" w:color="auto"/>
        <w:right w:val="none" w:sz="0" w:space="0" w:color="auto"/>
      </w:divBdr>
    </w:div>
    <w:div w:id="1598442845">
      <w:bodyDiv w:val="1"/>
      <w:marLeft w:val="0"/>
      <w:marRight w:val="0"/>
      <w:marTop w:val="0"/>
      <w:marBottom w:val="0"/>
      <w:divBdr>
        <w:top w:val="none" w:sz="0" w:space="0" w:color="auto"/>
        <w:left w:val="none" w:sz="0" w:space="0" w:color="auto"/>
        <w:bottom w:val="none" w:sz="0" w:space="0" w:color="auto"/>
        <w:right w:val="none" w:sz="0" w:space="0" w:color="auto"/>
      </w:divBdr>
    </w:div>
    <w:div w:id="1609117166">
      <w:bodyDiv w:val="1"/>
      <w:marLeft w:val="0"/>
      <w:marRight w:val="0"/>
      <w:marTop w:val="0"/>
      <w:marBottom w:val="0"/>
      <w:divBdr>
        <w:top w:val="none" w:sz="0" w:space="0" w:color="auto"/>
        <w:left w:val="none" w:sz="0" w:space="0" w:color="auto"/>
        <w:bottom w:val="none" w:sz="0" w:space="0" w:color="auto"/>
        <w:right w:val="none" w:sz="0" w:space="0" w:color="auto"/>
      </w:divBdr>
    </w:div>
    <w:div w:id="1610820606">
      <w:bodyDiv w:val="1"/>
      <w:marLeft w:val="0"/>
      <w:marRight w:val="0"/>
      <w:marTop w:val="0"/>
      <w:marBottom w:val="0"/>
      <w:divBdr>
        <w:top w:val="none" w:sz="0" w:space="0" w:color="auto"/>
        <w:left w:val="none" w:sz="0" w:space="0" w:color="auto"/>
        <w:bottom w:val="none" w:sz="0" w:space="0" w:color="auto"/>
        <w:right w:val="none" w:sz="0" w:space="0" w:color="auto"/>
      </w:divBdr>
    </w:div>
    <w:div w:id="1630818448">
      <w:bodyDiv w:val="1"/>
      <w:marLeft w:val="0"/>
      <w:marRight w:val="0"/>
      <w:marTop w:val="0"/>
      <w:marBottom w:val="0"/>
      <w:divBdr>
        <w:top w:val="none" w:sz="0" w:space="0" w:color="auto"/>
        <w:left w:val="none" w:sz="0" w:space="0" w:color="auto"/>
        <w:bottom w:val="none" w:sz="0" w:space="0" w:color="auto"/>
        <w:right w:val="none" w:sz="0" w:space="0" w:color="auto"/>
      </w:divBdr>
    </w:div>
    <w:div w:id="1652632645">
      <w:bodyDiv w:val="1"/>
      <w:marLeft w:val="0"/>
      <w:marRight w:val="0"/>
      <w:marTop w:val="0"/>
      <w:marBottom w:val="0"/>
      <w:divBdr>
        <w:top w:val="none" w:sz="0" w:space="0" w:color="auto"/>
        <w:left w:val="none" w:sz="0" w:space="0" w:color="auto"/>
        <w:bottom w:val="none" w:sz="0" w:space="0" w:color="auto"/>
        <w:right w:val="none" w:sz="0" w:space="0" w:color="auto"/>
      </w:divBdr>
    </w:div>
    <w:div w:id="1680042875">
      <w:bodyDiv w:val="1"/>
      <w:marLeft w:val="0"/>
      <w:marRight w:val="0"/>
      <w:marTop w:val="0"/>
      <w:marBottom w:val="0"/>
      <w:divBdr>
        <w:top w:val="none" w:sz="0" w:space="0" w:color="auto"/>
        <w:left w:val="none" w:sz="0" w:space="0" w:color="auto"/>
        <w:bottom w:val="none" w:sz="0" w:space="0" w:color="auto"/>
        <w:right w:val="none" w:sz="0" w:space="0" w:color="auto"/>
      </w:divBdr>
    </w:div>
    <w:div w:id="1696887343">
      <w:bodyDiv w:val="1"/>
      <w:marLeft w:val="0"/>
      <w:marRight w:val="0"/>
      <w:marTop w:val="0"/>
      <w:marBottom w:val="0"/>
      <w:divBdr>
        <w:top w:val="none" w:sz="0" w:space="0" w:color="auto"/>
        <w:left w:val="none" w:sz="0" w:space="0" w:color="auto"/>
        <w:bottom w:val="none" w:sz="0" w:space="0" w:color="auto"/>
        <w:right w:val="none" w:sz="0" w:space="0" w:color="auto"/>
      </w:divBdr>
    </w:div>
    <w:div w:id="1729257465">
      <w:bodyDiv w:val="1"/>
      <w:marLeft w:val="0"/>
      <w:marRight w:val="0"/>
      <w:marTop w:val="0"/>
      <w:marBottom w:val="0"/>
      <w:divBdr>
        <w:top w:val="none" w:sz="0" w:space="0" w:color="auto"/>
        <w:left w:val="none" w:sz="0" w:space="0" w:color="auto"/>
        <w:bottom w:val="none" w:sz="0" w:space="0" w:color="auto"/>
        <w:right w:val="none" w:sz="0" w:space="0" w:color="auto"/>
      </w:divBdr>
    </w:div>
    <w:div w:id="1734818060">
      <w:bodyDiv w:val="1"/>
      <w:marLeft w:val="0"/>
      <w:marRight w:val="0"/>
      <w:marTop w:val="0"/>
      <w:marBottom w:val="0"/>
      <w:divBdr>
        <w:top w:val="none" w:sz="0" w:space="0" w:color="auto"/>
        <w:left w:val="none" w:sz="0" w:space="0" w:color="auto"/>
        <w:bottom w:val="none" w:sz="0" w:space="0" w:color="auto"/>
        <w:right w:val="none" w:sz="0" w:space="0" w:color="auto"/>
      </w:divBdr>
    </w:div>
    <w:div w:id="1750879732">
      <w:bodyDiv w:val="1"/>
      <w:marLeft w:val="0"/>
      <w:marRight w:val="0"/>
      <w:marTop w:val="0"/>
      <w:marBottom w:val="0"/>
      <w:divBdr>
        <w:top w:val="none" w:sz="0" w:space="0" w:color="auto"/>
        <w:left w:val="none" w:sz="0" w:space="0" w:color="auto"/>
        <w:bottom w:val="none" w:sz="0" w:space="0" w:color="auto"/>
        <w:right w:val="none" w:sz="0" w:space="0" w:color="auto"/>
      </w:divBdr>
    </w:div>
    <w:div w:id="1794129751">
      <w:bodyDiv w:val="1"/>
      <w:marLeft w:val="0"/>
      <w:marRight w:val="0"/>
      <w:marTop w:val="0"/>
      <w:marBottom w:val="0"/>
      <w:divBdr>
        <w:top w:val="none" w:sz="0" w:space="0" w:color="auto"/>
        <w:left w:val="none" w:sz="0" w:space="0" w:color="auto"/>
        <w:bottom w:val="none" w:sz="0" w:space="0" w:color="auto"/>
        <w:right w:val="none" w:sz="0" w:space="0" w:color="auto"/>
      </w:divBdr>
    </w:div>
    <w:div w:id="1885091538">
      <w:bodyDiv w:val="1"/>
      <w:marLeft w:val="0"/>
      <w:marRight w:val="0"/>
      <w:marTop w:val="0"/>
      <w:marBottom w:val="0"/>
      <w:divBdr>
        <w:top w:val="none" w:sz="0" w:space="0" w:color="auto"/>
        <w:left w:val="none" w:sz="0" w:space="0" w:color="auto"/>
        <w:bottom w:val="none" w:sz="0" w:space="0" w:color="auto"/>
        <w:right w:val="none" w:sz="0" w:space="0" w:color="auto"/>
      </w:divBdr>
    </w:div>
    <w:div w:id="1895892260">
      <w:bodyDiv w:val="1"/>
      <w:marLeft w:val="0"/>
      <w:marRight w:val="0"/>
      <w:marTop w:val="0"/>
      <w:marBottom w:val="0"/>
      <w:divBdr>
        <w:top w:val="none" w:sz="0" w:space="0" w:color="auto"/>
        <w:left w:val="none" w:sz="0" w:space="0" w:color="auto"/>
        <w:bottom w:val="none" w:sz="0" w:space="0" w:color="auto"/>
        <w:right w:val="none" w:sz="0" w:space="0" w:color="auto"/>
      </w:divBdr>
    </w:div>
    <w:div w:id="1924876020">
      <w:bodyDiv w:val="1"/>
      <w:marLeft w:val="0"/>
      <w:marRight w:val="0"/>
      <w:marTop w:val="0"/>
      <w:marBottom w:val="0"/>
      <w:divBdr>
        <w:top w:val="none" w:sz="0" w:space="0" w:color="auto"/>
        <w:left w:val="none" w:sz="0" w:space="0" w:color="auto"/>
        <w:bottom w:val="none" w:sz="0" w:space="0" w:color="auto"/>
        <w:right w:val="none" w:sz="0" w:space="0" w:color="auto"/>
      </w:divBdr>
    </w:div>
    <w:div w:id="1940483819">
      <w:bodyDiv w:val="1"/>
      <w:marLeft w:val="0"/>
      <w:marRight w:val="0"/>
      <w:marTop w:val="0"/>
      <w:marBottom w:val="0"/>
      <w:divBdr>
        <w:top w:val="none" w:sz="0" w:space="0" w:color="auto"/>
        <w:left w:val="none" w:sz="0" w:space="0" w:color="auto"/>
        <w:bottom w:val="none" w:sz="0" w:space="0" w:color="auto"/>
        <w:right w:val="none" w:sz="0" w:space="0" w:color="auto"/>
      </w:divBdr>
    </w:div>
    <w:div w:id="1942256925">
      <w:bodyDiv w:val="1"/>
      <w:marLeft w:val="0"/>
      <w:marRight w:val="0"/>
      <w:marTop w:val="0"/>
      <w:marBottom w:val="0"/>
      <w:divBdr>
        <w:top w:val="none" w:sz="0" w:space="0" w:color="auto"/>
        <w:left w:val="none" w:sz="0" w:space="0" w:color="auto"/>
        <w:bottom w:val="none" w:sz="0" w:space="0" w:color="auto"/>
        <w:right w:val="none" w:sz="0" w:space="0" w:color="auto"/>
      </w:divBdr>
    </w:div>
    <w:div w:id="1959944131">
      <w:bodyDiv w:val="1"/>
      <w:marLeft w:val="0"/>
      <w:marRight w:val="0"/>
      <w:marTop w:val="0"/>
      <w:marBottom w:val="0"/>
      <w:divBdr>
        <w:top w:val="none" w:sz="0" w:space="0" w:color="auto"/>
        <w:left w:val="none" w:sz="0" w:space="0" w:color="auto"/>
        <w:bottom w:val="none" w:sz="0" w:space="0" w:color="auto"/>
        <w:right w:val="none" w:sz="0" w:space="0" w:color="auto"/>
      </w:divBdr>
    </w:div>
    <w:div w:id="1985741486">
      <w:bodyDiv w:val="1"/>
      <w:marLeft w:val="0"/>
      <w:marRight w:val="0"/>
      <w:marTop w:val="0"/>
      <w:marBottom w:val="0"/>
      <w:divBdr>
        <w:top w:val="none" w:sz="0" w:space="0" w:color="auto"/>
        <w:left w:val="none" w:sz="0" w:space="0" w:color="auto"/>
        <w:bottom w:val="none" w:sz="0" w:space="0" w:color="auto"/>
        <w:right w:val="none" w:sz="0" w:space="0" w:color="auto"/>
      </w:divBdr>
    </w:div>
    <w:div w:id="1986548490">
      <w:bodyDiv w:val="1"/>
      <w:marLeft w:val="0"/>
      <w:marRight w:val="0"/>
      <w:marTop w:val="0"/>
      <w:marBottom w:val="0"/>
      <w:divBdr>
        <w:top w:val="none" w:sz="0" w:space="0" w:color="auto"/>
        <w:left w:val="none" w:sz="0" w:space="0" w:color="auto"/>
        <w:bottom w:val="none" w:sz="0" w:space="0" w:color="auto"/>
        <w:right w:val="none" w:sz="0" w:space="0" w:color="auto"/>
      </w:divBdr>
    </w:div>
    <w:div w:id="2010058490">
      <w:bodyDiv w:val="1"/>
      <w:marLeft w:val="0"/>
      <w:marRight w:val="0"/>
      <w:marTop w:val="0"/>
      <w:marBottom w:val="0"/>
      <w:divBdr>
        <w:top w:val="none" w:sz="0" w:space="0" w:color="auto"/>
        <w:left w:val="none" w:sz="0" w:space="0" w:color="auto"/>
        <w:bottom w:val="none" w:sz="0" w:space="0" w:color="auto"/>
        <w:right w:val="none" w:sz="0" w:space="0" w:color="auto"/>
      </w:divBdr>
    </w:div>
    <w:div w:id="2014259961">
      <w:bodyDiv w:val="1"/>
      <w:marLeft w:val="0"/>
      <w:marRight w:val="0"/>
      <w:marTop w:val="0"/>
      <w:marBottom w:val="0"/>
      <w:divBdr>
        <w:top w:val="none" w:sz="0" w:space="0" w:color="auto"/>
        <w:left w:val="none" w:sz="0" w:space="0" w:color="auto"/>
        <w:bottom w:val="none" w:sz="0" w:space="0" w:color="auto"/>
        <w:right w:val="none" w:sz="0" w:space="0" w:color="auto"/>
      </w:divBdr>
    </w:div>
    <w:div w:id="2035955888">
      <w:bodyDiv w:val="1"/>
      <w:marLeft w:val="0"/>
      <w:marRight w:val="0"/>
      <w:marTop w:val="0"/>
      <w:marBottom w:val="0"/>
      <w:divBdr>
        <w:top w:val="none" w:sz="0" w:space="0" w:color="auto"/>
        <w:left w:val="none" w:sz="0" w:space="0" w:color="auto"/>
        <w:bottom w:val="none" w:sz="0" w:space="0" w:color="auto"/>
        <w:right w:val="none" w:sz="0" w:space="0" w:color="auto"/>
      </w:divBdr>
    </w:div>
    <w:div w:id="2040351849">
      <w:bodyDiv w:val="1"/>
      <w:marLeft w:val="0"/>
      <w:marRight w:val="0"/>
      <w:marTop w:val="0"/>
      <w:marBottom w:val="0"/>
      <w:divBdr>
        <w:top w:val="none" w:sz="0" w:space="0" w:color="auto"/>
        <w:left w:val="none" w:sz="0" w:space="0" w:color="auto"/>
        <w:bottom w:val="none" w:sz="0" w:space="0" w:color="auto"/>
        <w:right w:val="none" w:sz="0" w:space="0" w:color="auto"/>
      </w:divBdr>
    </w:div>
    <w:div w:id="2051294742">
      <w:bodyDiv w:val="1"/>
      <w:marLeft w:val="0"/>
      <w:marRight w:val="0"/>
      <w:marTop w:val="0"/>
      <w:marBottom w:val="0"/>
      <w:divBdr>
        <w:top w:val="none" w:sz="0" w:space="0" w:color="auto"/>
        <w:left w:val="none" w:sz="0" w:space="0" w:color="auto"/>
        <w:bottom w:val="none" w:sz="0" w:space="0" w:color="auto"/>
        <w:right w:val="none" w:sz="0" w:space="0" w:color="auto"/>
      </w:divBdr>
    </w:div>
    <w:div w:id="2104910772">
      <w:bodyDiv w:val="1"/>
      <w:marLeft w:val="0"/>
      <w:marRight w:val="0"/>
      <w:marTop w:val="0"/>
      <w:marBottom w:val="0"/>
      <w:divBdr>
        <w:top w:val="none" w:sz="0" w:space="0" w:color="auto"/>
        <w:left w:val="none" w:sz="0" w:space="0" w:color="auto"/>
        <w:bottom w:val="none" w:sz="0" w:space="0" w:color="auto"/>
        <w:right w:val="none" w:sz="0" w:space="0" w:color="auto"/>
      </w:divBdr>
    </w:div>
    <w:div w:id="2139375807">
      <w:bodyDiv w:val="1"/>
      <w:marLeft w:val="0"/>
      <w:marRight w:val="0"/>
      <w:marTop w:val="0"/>
      <w:marBottom w:val="0"/>
      <w:divBdr>
        <w:top w:val="none" w:sz="0" w:space="0" w:color="auto"/>
        <w:left w:val="none" w:sz="0" w:space="0" w:color="auto"/>
        <w:bottom w:val="none" w:sz="0" w:space="0" w:color="auto"/>
        <w:right w:val="none" w:sz="0" w:space="0" w:color="auto"/>
      </w:divBdr>
    </w:div>
    <w:div w:id="2144540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A5A5-28E0-4DF2-9770-2CB9B08A0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551</TotalTime>
  <Pages>6</Pages>
  <Words>1003</Words>
  <Characters>6616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THE HIGHLAND COUNCIL</vt:lpstr>
    </vt:vector>
  </TitlesOfParts>
  <Company>.</Company>
  <LinksUpToDate>false</LinksUpToDate>
  <CharactersWithSpaces>7604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HIGHLAND COUNCIL</dc:title>
  <dc:creator>donnamd</dc:creator>
  <cp:lastModifiedBy>Lorraine Hourston</cp:lastModifiedBy>
  <cp:revision>80</cp:revision>
  <cp:lastPrinted>2018-08-17T10:51:00Z</cp:lastPrinted>
  <dcterms:created xsi:type="dcterms:W3CDTF">2016-03-14T11:30:00Z</dcterms:created>
  <dcterms:modified xsi:type="dcterms:W3CDTF">2018-08-17T10:53:00Z</dcterms:modified>
</cp:coreProperties>
</file>