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60608D" w:rsidP="002B7DC4">
            <w:pPr>
              <w:pStyle w:val="BodyText"/>
              <w:jc w:val="left"/>
              <w:rPr>
                <w:rFonts w:ascii="Arial" w:hAnsi="Arial" w:cs="Arial"/>
                <w:szCs w:val="24"/>
              </w:rPr>
            </w:pPr>
            <w:r>
              <w:rPr>
                <w:rFonts w:ascii="Arial" w:hAnsi="Arial" w:cs="Arial"/>
                <w:szCs w:val="24"/>
              </w:rPr>
              <w:t>14 June</w:t>
            </w:r>
            <w:r w:rsidR="00BD7355">
              <w:rPr>
                <w:rFonts w:ascii="Arial" w:hAnsi="Arial" w:cs="Arial"/>
                <w:szCs w:val="24"/>
              </w:rPr>
              <w:t xml:space="preserve"> 2018</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60608D">
            <w:pPr>
              <w:rPr>
                <w:rFonts w:ascii="Arial" w:hAnsi="Arial" w:cs="Arial"/>
                <w:szCs w:val="24"/>
              </w:rPr>
            </w:pPr>
            <w:r>
              <w:rPr>
                <w:rFonts w:ascii="Arial" w:hAnsi="Arial" w:cs="Arial"/>
                <w:szCs w:val="24"/>
              </w:rPr>
              <w:t>AGENDA ITEM</w:t>
            </w:r>
            <w:r w:rsidR="00AB2B69">
              <w:rPr>
                <w:rFonts w:ascii="Arial" w:hAnsi="Arial" w:cs="Arial"/>
                <w:szCs w:val="24"/>
              </w:rPr>
              <w:t xml:space="preserve"> </w:t>
            </w:r>
            <w:r w:rsidR="00B84929">
              <w:rPr>
                <w:rFonts w:ascii="Arial" w:hAnsi="Arial" w:cs="Arial"/>
                <w:szCs w:val="24"/>
              </w:rPr>
              <w:t xml:space="preserve"> REPORT No HLH</w:t>
            </w:r>
            <w:r w:rsidR="0060608D">
              <w:rPr>
                <w:rFonts w:ascii="Arial" w:hAnsi="Arial" w:cs="Arial"/>
                <w:szCs w:val="24"/>
              </w:rPr>
              <w:t xml:space="preserve">  </w:t>
            </w:r>
            <w:r w:rsidR="0042698E">
              <w:rPr>
                <w:rFonts w:ascii="Arial" w:hAnsi="Arial" w:cs="Arial"/>
                <w:szCs w:val="24"/>
              </w:rPr>
              <w:t>/1</w:t>
            </w:r>
            <w:r w:rsidR="00BD7355">
              <w:rPr>
                <w:rFonts w:ascii="Arial" w:hAnsi="Arial" w:cs="Arial"/>
                <w:szCs w:val="24"/>
              </w:rPr>
              <w:t>8</w:t>
            </w:r>
          </w:p>
        </w:tc>
      </w:tr>
    </w:tbl>
    <w:p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r w:rsidR="00720B5B">
              <w:rPr>
                <w:rFonts w:ascii="Arial" w:hAnsi="Arial" w:cs="Arial"/>
                <w:b/>
                <w:szCs w:val="24"/>
                <w:u w:val="none"/>
              </w:rPr>
              <w:t xml:space="preserve"> </w:t>
            </w:r>
          </w:p>
          <w:p w:rsidR="001C41BF" w:rsidRDefault="00460DE4" w:rsidP="00AB2B69">
            <w:pPr>
              <w:spacing w:before="100" w:beforeAutospacing="1" w:after="100" w:afterAutospacing="1"/>
              <w:jc w:val="both"/>
              <w:rPr>
                <w:rFonts w:ascii="Arial" w:hAnsi="Arial" w:cs="Arial"/>
              </w:rPr>
            </w:pPr>
            <w:r>
              <w:rPr>
                <w:rFonts w:ascii="Arial" w:hAnsi="Arial" w:cs="Arial"/>
              </w:rPr>
              <w:t>The purpose of this report is to update Directors on Human Resources activity</w:t>
            </w:r>
            <w:r w:rsidR="00C44DE0">
              <w:rPr>
                <w:rFonts w:ascii="Arial" w:hAnsi="Arial" w:cs="Arial"/>
              </w:rPr>
              <w:t xml:space="preserve"> for </w:t>
            </w:r>
            <w:r w:rsidR="00383500">
              <w:rPr>
                <w:rFonts w:ascii="Arial" w:hAnsi="Arial" w:cs="Arial"/>
              </w:rPr>
              <w:t xml:space="preserve">the period </w:t>
            </w:r>
            <w:r w:rsidR="0060608D">
              <w:rPr>
                <w:rFonts w:ascii="Arial" w:hAnsi="Arial" w:cs="Arial"/>
              </w:rPr>
              <w:t>January</w:t>
            </w:r>
            <w:r w:rsidR="00E74E2C">
              <w:rPr>
                <w:rFonts w:ascii="Arial" w:hAnsi="Arial" w:cs="Arial"/>
              </w:rPr>
              <w:t xml:space="preserve"> to </w:t>
            </w:r>
            <w:r w:rsidR="0060608D">
              <w:rPr>
                <w:rFonts w:ascii="Arial" w:hAnsi="Arial" w:cs="Arial"/>
              </w:rPr>
              <w:t>March</w:t>
            </w:r>
            <w:r w:rsidR="005D6F6C">
              <w:rPr>
                <w:rFonts w:ascii="Arial" w:hAnsi="Arial" w:cs="Arial"/>
              </w:rPr>
              <w:t xml:space="preserve"> 201</w:t>
            </w:r>
            <w:r w:rsidR="0060608D">
              <w:rPr>
                <w:rFonts w:ascii="Arial" w:hAnsi="Arial" w:cs="Arial"/>
              </w:rPr>
              <w:t>8</w:t>
            </w:r>
            <w:r>
              <w:rPr>
                <w:rFonts w:ascii="Arial" w:hAnsi="Arial" w:cs="Arial"/>
              </w:rPr>
              <w:t xml:space="preserve"> </w:t>
            </w:r>
            <w:r w:rsidR="00383500">
              <w:rPr>
                <w:rFonts w:ascii="Arial" w:hAnsi="Arial" w:cs="Arial"/>
              </w:rPr>
              <w:t>which includes information relating to</w:t>
            </w:r>
            <w:r>
              <w:rPr>
                <w:rFonts w:ascii="Arial" w:hAnsi="Arial" w:cs="Arial"/>
              </w:rPr>
              <w:t xml:space="preserve"> absence, disciplinary and grievance issues</w:t>
            </w:r>
            <w:r w:rsidR="00383500">
              <w:rPr>
                <w:rFonts w:ascii="Arial" w:hAnsi="Arial" w:cs="Arial"/>
              </w:rPr>
              <w:t xml:space="preserve"> during this period</w:t>
            </w:r>
            <w:r>
              <w:rPr>
                <w:rFonts w:ascii="Arial" w:hAnsi="Arial" w:cs="Arial"/>
              </w:rPr>
              <w:t xml:space="preserve">.  </w:t>
            </w:r>
          </w:p>
          <w:p w:rsidR="00754394" w:rsidRDefault="00460DE4" w:rsidP="00AB2B69">
            <w:pPr>
              <w:spacing w:before="100" w:beforeAutospacing="1" w:after="100" w:afterAutospacing="1"/>
              <w:jc w:val="both"/>
              <w:rPr>
                <w:rFonts w:ascii="Arial" w:hAnsi="Arial" w:cs="Arial"/>
                <w:szCs w:val="24"/>
              </w:rPr>
            </w:pPr>
            <w:r>
              <w:rPr>
                <w:rFonts w:ascii="Arial" w:hAnsi="Arial" w:cs="Arial"/>
              </w:rPr>
              <w:t>It is recommen</w:t>
            </w:r>
            <w:r w:rsidRPr="007D45D7">
              <w:rPr>
                <w:rFonts w:ascii="Arial" w:hAnsi="Arial" w:cs="Arial"/>
                <w:szCs w:val="24"/>
              </w:rPr>
              <w:t>ded that Directors</w:t>
            </w:r>
            <w:r w:rsidR="00754394">
              <w:rPr>
                <w:rFonts w:ascii="Arial" w:hAnsi="Arial" w:cs="Arial"/>
                <w:szCs w:val="24"/>
              </w:rPr>
              <w:t>:</w:t>
            </w:r>
          </w:p>
          <w:p w:rsidR="00383500" w:rsidRDefault="00460DE4" w:rsidP="004120A6">
            <w:pPr>
              <w:pStyle w:val="ListParagraph"/>
              <w:numPr>
                <w:ilvl w:val="0"/>
                <w:numId w:val="4"/>
              </w:numPr>
              <w:spacing w:before="100" w:beforeAutospacing="1" w:after="100" w:afterAutospacing="1" w:line="240" w:lineRule="auto"/>
              <w:ind w:left="567" w:hanging="283"/>
              <w:jc w:val="both"/>
              <w:rPr>
                <w:rFonts w:ascii="Arial" w:hAnsi="Arial" w:cs="Arial"/>
                <w:sz w:val="24"/>
                <w:szCs w:val="24"/>
              </w:rPr>
            </w:pPr>
            <w:r w:rsidRPr="008F41D8">
              <w:rPr>
                <w:rFonts w:ascii="Arial" w:hAnsi="Arial" w:cs="Arial"/>
                <w:sz w:val="24"/>
                <w:szCs w:val="24"/>
              </w:rPr>
              <w:t xml:space="preserve">note </w:t>
            </w:r>
            <w:r w:rsidR="00E45F94" w:rsidRPr="008F41D8">
              <w:rPr>
                <w:rFonts w:ascii="Arial" w:hAnsi="Arial" w:cs="Arial"/>
                <w:sz w:val="24"/>
                <w:szCs w:val="24"/>
              </w:rPr>
              <w:t xml:space="preserve">and comment on </w:t>
            </w:r>
            <w:r w:rsidRPr="008F41D8">
              <w:rPr>
                <w:rFonts w:ascii="Arial" w:hAnsi="Arial" w:cs="Arial"/>
                <w:sz w:val="24"/>
                <w:szCs w:val="24"/>
              </w:rPr>
              <w:t xml:space="preserve">the content of the quarterly </w:t>
            </w:r>
            <w:r w:rsidR="008F41D8">
              <w:rPr>
                <w:rFonts w:ascii="Arial" w:hAnsi="Arial" w:cs="Arial"/>
                <w:sz w:val="24"/>
                <w:szCs w:val="24"/>
              </w:rPr>
              <w:t xml:space="preserve">HR </w:t>
            </w:r>
            <w:r w:rsidRPr="008F41D8">
              <w:rPr>
                <w:rFonts w:ascii="Arial" w:hAnsi="Arial" w:cs="Arial"/>
                <w:sz w:val="24"/>
                <w:szCs w:val="24"/>
              </w:rPr>
              <w:t>report including the update on the staffing establishment</w:t>
            </w:r>
            <w:r w:rsidR="00383500">
              <w:rPr>
                <w:rFonts w:ascii="Arial" w:hAnsi="Arial" w:cs="Arial"/>
                <w:sz w:val="24"/>
                <w:szCs w:val="24"/>
              </w:rPr>
              <w:t>; and</w:t>
            </w:r>
          </w:p>
          <w:p w:rsidR="00721569" w:rsidRPr="00AB2B69" w:rsidRDefault="00383500" w:rsidP="00383500">
            <w:pPr>
              <w:pStyle w:val="ListParagraph"/>
              <w:numPr>
                <w:ilvl w:val="0"/>
                <w:numId w:val="4"/>
              </w:numPr>
              <w:spacing w:before="100" w:beforeAutospacing="1" w:after="100" w:afterAutospacing="1" w:line="240" w:lineRule="auto"/>
              <w:ind w:left="567" w:hanging="283"/>
              <w:jc w:val="both"/>
              <w:rPr>
                <w:rFonts w:ascii="Arial" w:hAnsi="Arial" w:cs="Arial"/>
                <w:sz w:val="24"/>
                <w:szCs w:val="24"/>
              </w:rPr>
            </w:pPr>
            <w:r>
              <w:rPr>
                <w:rFonts w:ascii="Arial" w:hAnsi="Arial" w:cs="Arial"/>
                <w:sz w:val="24"/>
                <w:szCs w:val="24"/>
              </w:rPr>
              <w:t>approve the u</w:t>
            </w:r>
            <w:r w:rsidR="00B859CD">
              <w:rPr>
                <w:rFonts w:ascii="Arial" w:hAnsi="Arial" w:cs="Arial"/>
                <w:sz w:val="24"/>
                <w:szCs w:val="24"/>
              </w:rPr>
              <w:t>pdates to the Service Equality P</w:t>
            </w:r>
            <w:r>
              <w:rPr>
                <w:rFonts w:ascii="Arial" w:hAnsi="Arial" w:cs="Arial"/>
                <w:sz w:val="24"/>
                <w:szCs w:val="24"/>
              </w:rPr>
              <w:t>olicy</w:t>
            </w:r>
            <w:r w:rsidR="00F839E2">
              <w:rPr>
                <w:rFonts w:ascii="Arial" w:hAnsi="Arial" w:cs="Arial"/>
                <w:sz w:val="24"/>
                <w:szCs w:val="24"/>
              </w:rPr>
              <w:t xml:space="preserve"> at </w:t>
            </w:r>
            <w:r w:rsidR="00F839E2" w:rsidRPr="00F839E2">
              <w:rPr>
                <w:rFonts w:ascii="Arial" w:hAnsi="Arial" w:cs="Arial"/>
                <w:b/>
                <w:sz w:val="24"/>
                <w:szCs w:val="24"/>
              </w:rPr>
              <w:t>Appendix B</w:t>
            </w:r>
            <w:r>
              <w:rPr>
                <w:rFonts w:ascii="Arial" w:hAnsi="Arial" w:cs="Arial"/>
                <w:sz w:val="24"/>
                <w:szCs w:val="24"/>
              </w:rPr>
              <w:t>.</w:t>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6F5801" w:rsidRPr="007214D1" w:rsidTr="00BA0979">
        <w:tc>
          <w:tcPr>
            <w:tcW w:w="817" w:type="dxa"/>
          </w:tcPr>
          <w:p w:rsidR="006F5801" w:rsidRPr="007214D1" w:rsidRDefault="006F5801" w:rsidP="00416BFF">
            <w:pPr>
              <w:rPr>
                <w:rFonts w:ascii="Arial" w:hAnsi="Arial" w:cs="Arial"/>
                <w:b/>
                <w:szCs w:val="24"/>
              </w:rPr>
            </w:pPr>
            <w:r>
              <w:rPr>
                <w:rFonts w:ascii="Arial" w:hAnsi="Arial" w:cs="Arial"/>
                <w:b/>
                <w:szCs w:val="24"/>
              </w:rPr>
              <w:t>1.</w:t>
            </w:r>
          </w:p>
        </w:tc>
        <w:tc>
          <w:tcPr>
            <w:tcW w:w="8647" w:type="dxa"/>
          </w:tcPr>
          <w:p w:rsidR="006F5801" w:rsidRDefault="006F5801" w:rsidP="006F5801">
            <w:pPr>
              <w:jc w:val="both"/>
              <w:rPr>
                <w:rFonts w:ascii="Arial" w:hAnsi="Arial" w:cs="Arial"/>
                <w:b/>
                <w:szCs w:val="24"/>
              </w:rPr>
            </w:pPr>
            <w:r w:rsidRPr="00E66429">
              <w:rPr>
                <w:rFonts w:ascii="Arial" w:hAnsi="Arial" w:cs="Arial"/>
                <w:b/>
                <w:szCs w:val="24"/>
              </w:rPr>
              <w:t>Business Plan Contribution</w:t>
            </w:r>
          </w:p>
          <w:p w:rsidR="006F5801" w:rsidRPr="007214D1" w:rsidRDefault="006F5801" w:rsidP="00474274">
            <w:pPr>
              <w:pStyle w:val="Heading3"/>
              <w:rPr>
                <w:rFonts w:ascii="Arial" w:hAnsi="Arial" w:cs="Arial"/>
                <w:b/>
                <w:szCs w:val="24"/>
                <w:u w:val="none"/>
              </w:rPr>
            </w:pPr>
          </w:p>
        </w:tc>
      </w:tr>
      <w:tr w:rsidR="006F5801" w:rsidRPr="007214D1" w:rsidTr="00BA0979">
        <w:tc>
          <w:tcPr>
            <w:tcW w:w="817"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647" w:type="dxa"/>
          </w:tcPr>
          <w:p w:rsidR="009C0A57" w:rsidRPr="008C37C8" w:rsidRDefault="009C0A57" w:rsidP="009C0A57">
            <w:pPr>
              <w:jc w:val="both"/>
              <w:rPr>
                <w:rFonts w:ascii="Arial" w:hAnsi="Arial" w:cs="Arial"/>
              </w:rPr>
            </w:pPr>
            <w:r w:rsidRPr="008C37C8">
              <w:rPr>
                <w:rFonts w:ascii="Arial" w:hAnsi="Arial" w:cs="Arial"/>
              </w:rPr>
              <w:t>This report supports the highlighted Business Outcomes from the High Life Highland (HLH) Business Plan:</w:t>
            </w:r>
          </w:p>
          <w:p w:rsidR="009C0A57" w:rsidRPr="008C37C8" w:rsidRDefault="009C0A57" w:rsidP="009C0A57">
            <w:pPr>
              <w:jc w:val="both"/>
              <w:rPr>
                <w:rFonts w:ascii="Arial" w:hAnsi="Arial" w:cs="Arial"/>
              </w:rPr>
            </w:pP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To advance sustainable growth and financial sustainability</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Deliver the Service Delivery Contract with THC</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staff satisfaction</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customer satisfaction</w:t>
            </w:r>
          </w:p>
          <w:p w:rsidR="00C3461A" w:rsidRPr="005A67CE" w:rsidRDefault="00C3461A" w:rsidP="00A45F54">
            <w:pPr>
              <w:pStyle w:val="ListParagraph"/>
              <w:numPr>
                <w:ilvl w:val="0"/>
                <w:numId w:val="1"/>
              </w:numPr>
              <w:spacing w:after="0" w:line="240" w:lineRule="auto"/>
              <w:jc w:val="both"/>
              <w:rPr>
                <w:rFonts w:ascii="Arial" w:hAnsi="Arial" w:cs="Arial"/>
                <w:b/>
                <w:sz w:val="24"/>
                <w:szCs w:val="24"/>
              </w:rPr>
            </w:pPr>
            <w:r w:rsidRPr="005A67CE">
              <w:rPr>
                <w:rFonts w:ascii="Arial" w:hAnsi="Arial" w:cs="Arial"/>
                <w:b/>
                <w:sz w:val="24"/>
                <w:szCs w:val="24"/>
              </w:rPr>
              <w:t>A positive company image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Services designed around customers and through market opportunities</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Sustain a good health and safety performance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A trusted partner</w:t>
            </w:r>
          </w:p>
          <w:p w:rsidR="006F5801" w:rsidRPr="00460DE4" w:rsidRDefault="006F5801" w:rsidP="009C0A57">
            <w:pPr>
              <w:jc w:val="both"/>
              <w:rPr>
                <w:rFonts w:ascii="Arial" w:hAnsi="Arial" w:cs="Arial"/>
                <w:szCs w:val="24"/>
              </w:rPr>
            </w:pPr>
          </w:p>
        </w:tc>
      </w:tr>
      <w:tr w:rsidR="006F5801" w:rsidRPr="007214D1" w:rsidTr="00BA0979">
        <w:tc>
          <w:tcPr>
            <w:tcW w:w="817" w:type="dxa"/>
          </w:tcPr>
          <w:p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647" w:type="dxa"/>
          </w:tcPr>
          <w:p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rsidR="006F5801" w:rsidRPr="00474274" w:rsidRDefault="006F5801" w:rsidP="00474274">
            <w:pPr>
              <w:jc w:val="both"/>
            </w:pPr>
          </w:p>
        </w:tc>
      </w:tr>
      <w:tr w:rsidR="006F5801" w:rsidRPr="007214D1" w:rsidTr="00BA0979">
        <w:trPr>
          <w:trHeight w:val="542"/>
        </w:trPr>
        <w:tc>
          <w:tcPr>
            <w:tcW w:w="817"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42B9E" w:rsidRPr="00E66429" w:rsidRDefault="00742B9E" w:rsidP="00416BFF">
            <w:pPr>
              <w:rPr>
                <w:rFonts w:ascii="Arial" w:hAnsi="Arial" w:cs="Arial"/>
                <w:szCs w:val="24"/>
              </w:rPr>
            </w:pPr>
          </w:p>
        </w:tc>
        <w:tc>
          <w:tcPr>
            <w:tcW w:w="8647" w:type="dxa"/>
          </w:tcPr>
          <w:p w:rsidR="004120A6" w:rsidRDefault="006F5801" w:rsidP="00141185">
            <w:pPr>
              <w:jc w:val="both"/>
              <w:rPr>
                <w:rFonts w:ascii="Arial" w:hAnsi="Arial" w:cs="Arial"/>
                <w:szCs w:val="24"/>
              </w:rPr>
            </w:pPr>
            <w:r>
              <w:rPr>
                <w:rFonts w:ascii="Arial" w:hAnsi="Arial" w:cs="Arial"/>
                <w:szCs w:val="24"/>
              </w:rPr>
              <w:t xml:space="preserve">The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w:t>
            </w:r>
            <w:r w:rsidR="004120A6">
              <w:rPr>
                <w:rFonts w:ascii="Arial" w:hAnsi="Arial" w:cs="Arial"/>
                <w:szCs w:val="24"/>
              </w:rPr>
              <w:t xml:space="preserve"> offering an</w:t>
            </w:r>
            <w:r>
              <w:rPr>
                <w:rFonts w:ascii="Arial" w:hAnsi="Arial" w:cs="Arial"/>
                <w:szCs w:val="24"/>
              </w:rPr>
              <w:t xml:space="preserve"> update on current staff numbers </w:t>
            </w:r>
            <w:r w:rsidR="004120A6">
              <w:rPr>
                <w:rFonts w:ascii="Arial" w:hAnsi="Arial" w:cs="Arial"/>
                <w:szCs w:val="24"/>
              </w:rPr>
              <w:t>along with</w:t>
            </w:r>
            <w:r>
              <w:rPr>
                <w:rFonts w:ascii="Arial" w:hAnsi="Arial" w:cs="Arial"/>
                <w:szCs w:val="24"/>
              </w:rPr>
              <w:t xml:space="preserve"> any change from previous reports.  There is also a</w:t>
            </w:r>
            <w:r w:rsidR="00141185">
              <w:rPr>
                <w:rFonts w:ascii="Arial" w:hAnsi="Arial" w:cs="Arial"/>
                <w:szCs w:val="24"/>
              </w:rPr>
              <w:t>n outline of the absence levels</w:t>
            </w:r>
            <w:r w:rsidR="004120A6">
              <w:rPr>
                <w:rFonts w:ascii="Arial" w:hAnsi="Arial" w:cs="Arial"/>
                <w:szCs w:val="24"/>
              </w:rPr>
              <w:t xml:space="preserve"> (which for the first time are sub-sectioned into short and long-term absence</w:t>
            </w:r>
            <w:r w:rsidR="00383500">
              <w:rPr>
                <w:rFonts w:ascii="Arial" w:hAnsi="Arial" w:cs="Arial"/>
                <w:szCs w:val="24"/>
              </w:rPr>
              <w:t xml:space="preserve"> in this report</w:t>
            </w:r>
            <w:r w:rsidR="004120A6">
              <w:rPr>
                <w:rFonts w:ascii="Arial" w:hAnsi="Arial" w:cs="Arial"/>
                <w:szCs w:val="24"/>
              </w:rPr>
              <w:t>)</w:t>
            </w:r>
            <w:r w:rsidR="00141185">
              <w:rPr>
                <w:rFonts w:ascii="Arial" w:hAnsi="Arial" w:cs="Arial"/>
                <w:szCs w:val="24"/>
              </w:rPr>
              <w:t>;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rsidR="00782718" w:rsidRPr="007214D1" w:rsidRDefault="00782718" w:rsidP="00782718">
            <w:pPr>
              <w:jc w:val="both"/>
              <w:rPr>
                <w:rFonts w:ascii="Arial" w:hAnsi="Arial" w:cs="Arial"/>
                <w:szCs w:val="24"/>
              </w:rPr>
            </w:pPr>
          </w:p>
        </w:tc>
      </w:tr>
      <w:tr w:rsidR="006F5801" w:rsidRPr="007214D1" w:rsidTr="00BA0979">
        <w:tc>
          <w:tcPr>
            <w:tcW w:w="817" w:type="dxa"/>
          </w:tcPr>
          <w:p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rsidR="0045618C" w:rsidRDefault="0045618C" w:rsidP="00416BFF">
            <w:pPr>
              <w:rPr>
                <w:rFonts w:ascii="Arial" w:hAnsi="Arial" w:cs="Arial"/>
                <w:b/>
                <w:szCs w:val="24"/>
              </w:rPr>
            </w:pPr>
          </w:p>
          <w:p w:rsidR="0045618C" w:rsidRPr="0045618C" w:rsidRDefault="0045618C" w:rsidP="00416BFF">
            <w:pPr>
              <w:rPr>
                <w:rFonts w:ascii="Arial" w:hAnsi="Arial" w:cs="Arial"/>
                <w:szCs w:val="24"/>
              </w:rPr>
            </w:pPr>
            <w:r w:rsidRPr="0045618C">
              <w:rPr>
                <w:rFonts w:ascii="Arial" w:hAnsi="Arial" w:cs="Arial"/>
                <w:szCs w:val="24"/>
              </w:rPr>
              <w:t>3.1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r w:rsidRPr="0045618C">
              <w:rPr>
                <w:rFonts w:ascii="Arial" w:hAnsi="Arial" w:cs="Arial"/>
                <w:szCs w:val="24"/>
              </w:rPr>
              <w:t>3.1.1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p>
          <w:p w:rsidR="000F5A33" w:rsidRDefault="000F5A33" w:rsidP="00416BFF">
            <w:pPr>
              <w:rPr>
                <w:rFonts w:ascii="Arial" w:hAnsi="Arial" w:cs="Arial"/>
                <w:szCs w:val="24"/>
              </w:rPr>
            </w:pPr>
          </w:p>
          <w:p w:rsidR="00AB4988" w:rsidRDefault="00AB4988" w:rsidP="00416BFF">
            <w:pPr>
              <w:rPr>
                <w:rFonts w:ascii="Arial" w:hAnsi="Arial" w:cs="Arial"/>
                <w:szCs w:val="24"/>
              </w:rPr>
            </w:pPr>
          </w:p>
          <w:p w:rsidR="00AB4988" w:rsidRDefault="00AB4988" w:rsidP="00416BFF">
            <w:pPr>
              <w:rPr>
                <w:rFonts w:ascii="Arial" w:hAnsi="Arial" w:cs="Arial"/>
                <w:szCs w:val="24"/>
              </w:rPr>
            </w:pPr>
          </w:p>
          <w:p w:rsidR="0045618C" w:rsidRDefault="0045618C" w:rsidP="00416BFF">
            <w:pPr>
              <w:rPr>
                <w:rFonts w:ascii="Arial" w:hAnsi="Arial" w:cs="Arial"/>
                <w:szCs w:val="24"/>
              </w:rPr>
            </w:pPr>
            <w:r w:rsidRPr="0045618C">
              <w:rPr>
                <w:rFonts w:ascii="Arial" w:hAnsi="Arial" w:cs="Arial"/>
                <w:szCs w:val="24"/>
              </w:rPr>
              <w:t>3.1.2</w:t>
            </w:r>
          </w:p>
          <w:p w:rsidR="00314D66" w:rsidRDefault="00314D66" w:rsidP="00416BFF">
            <w:pPr>
              <w:rPr>
                <w:rFonts w:ascii="Arial" w:hAnsi="Arial" w:cs="Arial"/>
                <w:b/>
                <w:szCs w:val="24"/>
              </w:rPr>
            </w:pPr>
          </w:p>
          <w:p w:rsidR="00314D66" w:rsidRDefault="00314D66" w:rsidP="00416BFF">
            <w:pPr>
              <w:rPr>
                <w:rFonts w:ascii="Arial" w:hAnsi="Arial" w:cs="Arial"/>
                <w:b/>
                <w:szCs w:val="24"/>
              </w:rPr>
            </w:pPr>
          </w:p>
          <w:p w:rsidR="00314D66" w:rsidRPr="00314D66" w:rsidRDefault="00314D66" w:rsidP="00416BFF">
            <w:pPr>
              <w:rPr>
                <w:rFonts w:ascii="Arial" w:hAnsi="Arial" w:cs="Arial"/>
                <w:szCs w:val="24"/>
              </w:rPr>
            </w:pPr>
            <w:r w:rsidRPr="00314D66">
              <w:rPr>
                <w:rFonts w:ascii="Arial" w:hAnsi="Arial" w:cs="Arial"/>
                <w:szCs w:val="24"/>
              </w:rPr>
              <w:t>3.1.3</w:t>
            </w:r>
          </w:p>
        </w:tc>
        <w:tc>
          <w:tcPr>
            <w:tcW w:w="8647" w:type="dxa"/>
          </w:tcPr>
          <w:p w:rsidR="006F5801" w:rsidRDefault="006F5801" w:rsidP="00474274">
            <w:pPr>
              <w:jc w:val="both"/>
              <w:rPr>
                <w:rFonts w:ascii="Arial" w:hAnsi="Arial" w:cs="Arial"/>
                <w:b/>
                <w:szCs w:val="24"/>
              </w:rPr>
            </w:pPr>
            <w:r>
              <w:rPr>
                <w:rFonts w:ascii="Arial" w:hAnsi="Arial" w:cs="Arial"/>
                <w:b/>
                <w:szCs w:val="24"/>
              </w:rPr>
              <w:lastRenderedPageBreak/>
              <w:t xml:space="preserve">Human Resources Report: </w:t>
            </w:r>
            <w:r w:rsidR="0060608D">
              <w:rPr>
                <w:rFonts w:ascii="Arial" w:hAnsi="Arial" w:cs="Arial"/>
                <w:b/>
                <w:szCs w:val="24"/>
              </w:rPr>
              <w:t>January to March 2018</w:t>
            </w:r>
          </w:p>
          <w:p w:rsidR="006F5801" w:rsidRDefault="006F5801" w:rsidP="00474274">
            <w:pPr>
              <w:jc w:val="both"/>
              <w:rPr>
                <w:rFonts w:ascii="Arial" w:hAnsi="Arial" w:cs="Arial"/>
                <w:szCs w:val="24"/>
              </w:rPr>
            </w:pPr>
          </w:p>
          <w:p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rsidR="0045618C" w:rsidRDefault="0045618C" w:rsidP="0045618C">
            <w:pPr>
              <w:jc w:val="both"/>
              <w:rPr>
                <w:rFonts w:ascii="Arial" w:hAnsi="Arial" w:cs="Arial"/>
                <w:szCs w:val="24"/>
                <w:u w:val="single"/>
              </w:rPr>
            </w:pPr>
          </w:p>
          <w:p w:rsidR="000F5A33" w:rsidRDefault="000F5A33" w:rsidP="0045618C">
            <w:pPr>
              <w:jc w:val="both"/>
              <w:rPr>
                <w:rFonts w:ascii="Arial" w:hAnsi="Arial" w:cs="Arial"/>
                <w:szCs w:val="24"/>
              </w:rPr>
            </w:pPr>
            <w:r>
              <w:rPr>
                <w:rFonts w:ascii="Arial" w:hAnsi="Arial" w:cs="Arial"/>
                <w:szCs w:val="24"/>
              </w:rPr>
              <w:t>Directors should note the changes to establishment in full-time equivalents (FTE):</w:t>
            </w:r>
          </w:p>
          <w:p w:rsidR="000F5A33" w:rsidRDefault="000F5A33" w:rsidP="0045618C">
            <w:pPr>
              <w:jc w:val="both"/>
              <w:rPr>
                <w:rFonts w:ascii="Arial" w:hAnsi="Arial" w:cs="Arial"/>
                <w:szCs w:val="24"/>
              </w:rPr>
            </w:pPr>
          </w:p>
          <w:p w:rsidR="000F5A33" w:rsidRDefault="000F5A33" w:rsidP="0045618C">
            <w:pPr>
              <w:jc w:val="both"/>
              <w:rPr>
                <w:rFonts w:ascii="Arial" w:hAnsi="Arial" w:cs="Arial"/>
                <w:szCs w:val="24"/>
              </w:rPr>
            </w:pPr>
            <w:r>
              <w:rPr>
                <w:rFonts w:ascii="Arial" w:hAnsi="Arial" w:cs="Arial"/>
                <w:szCs w:val="24"/>
              </w:rPr>
              <w:t xml:space="preserve">Establishment at end of </w:t>
            </w:r>
            <w:r w:rsidRPr="004120A6">
              <w:rPr>
                <w:rFonts w:ascii="Arial" w:hAnsi="Arial" w:cs="Arial"/>
                <w:b/>
                <w:szCs w:val="24"/>
              </w:rPr>
              <w:t xml:space="preserve">Quarter </w:t>
            </w:r>
            <w:r w:rsidR="0060608D" w:rsidRPr="004120A6">
              <w:rPr>
                <w:rFonts w:ascii="Arial" w:hAnsi="Arial" w:cs="Arial"/>
                <w:b/>
                <w:szCs w:val="24"/>
              </w:rPr>
              <w:t>3</w:t>
            </w:r>
            <w:r>
              <w:rPr>
                <w:rFonts w:ascii="Arial" w:hAnsi="Arial" w:cs="Arial"/>
                <w:szCs w:val="24"/>
              </w:rPr>
              <w:t xml:space="preserve"> </w:t>
            </w:r>
            <w:r w:rsidR="0060608D">
              <w:rPr>
                <w:rFonts w:ascii="Arial" w:hAnsi="Arial" w:cs="Arial"/>
                <w:szCs w:val="24"/>
              </w:rPr>
              <w:t xml:space="preserve">(October to December 2017) = </w:t>
            </w:r>
            <w:r w:rsidR="0060608D" w:rsidRPr="00AB4988">
              <w:rPr>
                <w:rFonts w:ascii="Arial" w:hAnsi="Arial" w:cs="Arial"/>
                <w:b/>
                <w:szCs w:val="24"/>
              </w:rPr>
              <w:t>623.3</w:t>
            </w:r>
            <w:r w:rsidR="004120A6">
              <w:rPr>
                <w:rFonts w:ascii="Arial" w:hAnsi="Arial" w:cs="Arial"/>
                <w:b/>
                <w:szCs w:val="24"/>
              </w:rPr>
              <w:t>0</w:t>
            </w:r>
          </w:p>
          <w:p w:rsidR="000F5A33" w:rsidRDefault="000F5A33" w:rsidP="0045618C">
            <w:pPr>
              <w:jc w:val="both"/>
              <w:rPr>
                <w:rFonts w:ascii="Arial" w:hAnsi="Arial" w:cs="Arial"/>
                <w:szCs w:val="24"/>
              </w:rPr>
            </w:pPr>
            <w:r>
              <w:rPr>
                <w:rFonts w:ascii="Arial" w:hAnsi="Arial" w:cs="Arial"/>
                <w:szCs w:val="24"/>
              </w:rPr>
              <w:t xml:space="preserve">Establishment at end of </w:t>
            </w:r>
            <w:r w:rsidRPr="004120A6">
              <w:rPr>
                <w:rFonts w:ascii="Arial" w:hAnsi="Arial" w:cs="Arial"/>
                <w:b/>
                <w:szCs w:val="24"/>
              </w:rPr>
              <w:t xml:space="preserve">Quarter </w:t>
            </w:r>
            <w:r w:rsidR="0060608D" w:rsidRPr="004120A6">
              <w:rPr>
                <w:rFonts w:ascii="Arial" w:hAnsi="Arial" w:cs="Arial"/>
                <w:b/>
                <w:szCs w:val="24"/>
              </w:rPr>
              <w:t>4</w:t>
            </w:r>
            <w:r>
              <w:rPr>
                <w:rFonts w:ascii="Arial" w:hAnsi="Arial" w:cs="Arial"/>
                <w:szCs w:val="24"/>
              </w:rPr>
              <w:t xml:space="preserve"> </w:t>
            </w:r>
            <w:r w:rsidR="0060608D">
              <w:rPr>
                <w:rFonts w:ascii="Arial" w:hAnsi="Arial" w:cs="Arial"/>
                <w:szCs w:val="24"/>
              </w:rPr>
              <w:t xml:space="preserve">(January to March 2018) = </w:t>
            </w:r>
            <w:r w:rsidR="0060608D" w:rsidRPr="0060608D">
              <w:rPr>
                <w:rFonts w:ascii="Arial" w:hAnsi="Arial" w:cs="Arial"/>
                <w:b/>
                <w:szCs w:val="24"/>
              </w:rPr>
              <w:t>627.93</w:t>
            </w:r>
          </w:p>
          <w:p w:rsidR="000F5A33" w:rsidRDefault="000F5A33" w:rsidP="0045618C">
            <w:pPr>
              <w:jc w:val="both"/>
              <w:rPr>
                <w:rFonts w:ascii="Arial" w:hAnsi="Arial" w:cs="Arial"/>
                <w:szCs w:val="24"/>
              </w:rPr>
            </w:pPr>
          </w:p>
          <w:p w:rsidR="000F5A33" w:rsidRDefault="000F5A33" w:rsidP="00F00F06">
            <w:pPr>
              <w:jc w:val="both"/>
              <w:rPr>
                <w:rFonts w:ascii="Arial" w:hAnsi="Arial" w:cs="Arial"/>
                <w:szCs w:val="24"/>
              </w:rPr>
            </w:pPr>
            <w:r>
              <w:rPr>
                <w:rFonts w:ascii="Arial" w:hAnsi="Arial" w:cs="Arial"/>
                <w:szCs w:val="24"/>
              </w:rPr>
              <w:t xml:space="preserve">Changes to the establishment in last Quarter </w:t>
            </w:r>
            <w:r w:rsidR="00C8333C">
              <w:rPr>
                <w:rFonts w:ascii="Arial" w:hAnsi="Arial" w:cs="Arial"/>
                <w:szCs w:val="24"/>
              </w:rPr>
              <w:t xml:space="preserve">detailed in </w:t>
            </w:r>
            <w:r w:rsidR="00C8333C" w:rsidRPr="00C8333C">
              <w:rPr>
                <w:rFonts w:ascii="Arial" w:hAnsi="Arial" w:cs="Arial"/>
                <w:b/>
                <w:szCs w:val="24"/>
              </w:rPr>
              <w:t>Appendix A</w:t>
            </w:r>
            <w:r w:rsidR="00C8333C">
              <w:rPr>
                <w:rFonts w:ascii="Arial" w:hAnsi="Arial" w:cs="Arial"/>
                <w:szCs w:val="24"/>
              </w:rPr>
              <w:t xml:space="preserve"> show an </w:t>
            </w:r>
            <w:r w:rsidR="00C8333C">
              <w:rPr>
                <w:rFonts w:ascii="Arial" w:hAnsi="Arial" w:cs="Arial"/>
                <w:szCs w:val="24"/>
              </w:rPr>
              <w:lastRenderedPageBreak/>
              <w:t xml:space="preserve">increase of </w:t>
            </w:r>
            <w:r w:rsidR="0060608D">
              <w:rPr>
                <w:rFonts w:ascii="Arial" w:hAnsi="Arial" w:cs="Arial"/>
                <w:b/>
                <w:szCs w:val="24"/>
              </w:rPr>
              <w:t>4.63</w:t>
            </w:r>
            <w:r>
              <w:rPr>
                <w:rFonts w:ascii="Arial" w:hAnsi="Arial" w:cs="Arial"/>
                <w:szCs w:val="24"/>
              </w:rPr>
              <w:t xml:space="preserve"> FTE</w:t>
            </w:r>
            <w:r w:rsidR="00C8333C">
              <w:rPr>
                <w:rFonts w:ascii="Arial" w:hAnsi="Arial" w:cs="Arial"/>
                <w:szCs w:val="24"/>
              </w:rPr>
              <w:t>.</w:t>
            </w:r>
          </w:p>
          <w:p w:rsidR="00F00F06" w:rsidRDefault="00F00F06" w:rsidP="00AB4988">
            <w:pPr>
              <w:jc w:val="both"/>
              <w:rPr>
                <w:rFonts w:ascii="Arial" w:hAnsi="Arial" w:cs="Arial"/>
                <w:szCs w:val="24"/>
              </w:rPr>
            </w:pPr>
          </w:p>
          <w:p w:rsidR="00314D66" w:rsidRDefault="00383500" w:rsidP="00314D66">
            <w:pPr>
              <w:jc w:val="both"/>
              <w:rPr>
                <w:rFonts w:ascii="Arial" w:hAnsi="Arial" w:cs="Arial"/>
                <w:szCs w:val="24"/>
              </w:rPr>
            </w:pPr>
            <w:r>
              <w:rPr>
                <w:rFonts w:ascii="Arial" w:hAnsi="Arial" w:cs="Arial"/>
                <w:szCs w:val="24"/>
              </w:rPr>
              <w:t>Directors are asked to note</w:t>
            </w:r>
            <w:r w:rsidR="00314D66">
              <w:rPr>
                <w:rFonts w:ascii="Arial" w:hAnsi="Arial" w:cs="Arial"/>
                <w:szCs w:val="24"/>
              </w:rPr>
              <w:t xml:space="preserve"> that </w:t>
            </w:r>
            <w:r w:rsidR="00314D66" w:rsidRPr="004C1ADD">
              <w:rPr>
                <w:rFonts w:ascii="Arial" w:hAnsi="Arial" w:cs="Arial"/>
                <w:b/>
                <w:szCs w:val="24"/>
              </w:rPr>
              <w:t>48.3</w:t>
            </w:r>
            <w:r w:rsidR="00314D66">
              <w:rPr>
                <w:rFonts w:ascii="Arial" w:hAnsi="Arial" w:cs="Arial"/>
                <w:szCs w:val="24"/>
              </w:rPr>
              <w:t xml:space="preserve"> FTE posts transferred from The Highland Council (Music Instructors and </w:t>
            </w:r>
            <w:r w:rsidR="004120A6">
              <w:rPr>
                <w:rFonts w:ascii="Arial" w:hAnsi="Arial" w:cs="Arial"/>
                <w:szCs w:val="24"/>
              </w:rPr>
              <w:t xml:space="preserve">associated </w:t>
            </w:r>
            <w:r w:rsidR="00314D66">
              <w:rPr>
                <w:rFonts w:ascii="Arial" w:hAnsi="Arial" w:cs="Arial"/>
                <w:szCs w:val="24"/>
              </w:rPr>
              <w:t xml:space="preserve">support staff) to HLH </w:t>
            </w:r>
            <w:r w:rsidR="004120A6">
              <w:rPr>
                <w:rFonts w:ascii="Arial" w:hAnsi="Arial" w:cs="Arial"/>
                <w:szCs w:val="24"/>
              </w:rPr>
              <w:t>on</w:t>
            </w:r>
            <w:r w:rsidR="00314D66">
              <w:rPr>
                <w:rFonts w:ascii="Arial" w:hAnsi="Arial" w:cs="Arial"/>
                <w:szCs w:val="24"/>
              </w:rPr>
              <w:t xml:space="preserve"> 1 April 2018 and will be included in the next staffing update.</w:t>
            </w:r>
          </w:p>
          <w:p w:rsidR="00314D66" w:rsidRPr="007214D1" w:rsidRDefault="00314D66" w:rsidP="00AB4988">
            <w:pPr>
              <w:jc w:val="both"/>
              <w:rPr>
                <w:rFonts w:ascii="Arial" w:hAnsi="Arial" w:cs="Arial"/>
                <w:szCs w:val="24"/>
              </w:rPr>
            </w:pPr>
          </w:p>
        </w:tc>
      </w:tr>
      <w:tr w:rsidR="00C8333C" w:rsidRPr="007214D1" w:rsidTr="00BA0979">
        <w:tc>
          <w:tcPr>
            <w:tcW w:w="817" w:type="dxa"/>
          </w:tcPr>
          <w:p w:rsidR="00C8333C" w:rsidRPr="00C8333C" w:rsidRDefault="00C8333C" w:rsidP="00416BFF">
            <w:pPr>
              <w:rPr>
                <w:rFonts w:ascii="Arial" w:hAnsi="Arial" w:cs="Arial"/>
                <w:szCs w:val="24"/>
              </w:rPr>
            </w:pPr>
            <w:r w:rsidRPr="00C8333C">
              <w:rPr>
                <w:rFonts w:ascii="Arial" w:hAnsi="Arial" w:cs="Arial"/>
                <w:szCs w:val="24"/>
              </w:rPr>
              <w:lastRenderedPageBreak/>
              <w:t>3.2</w:t>
            </w:r>
          </w:p>
        </w:tc>
        <w:tc>
          <w:tcPr>
            <w:tcW w:w="8647" w:type="dxa"/>
          </w:tcPr>
          <w:p w:rsidR="00C8333C" w:rsidRPr="009C1F2A" w:rsidRDefault="00C8333C" w:rsidP="00C8333C">
            <w:pPr>
              <w:jc w:val="both"/>
              <w:rPr>
                <w:rFonts w:ascii="Arial" w:hAnsi="Arial" w:cs="Arial"/>
                <w:u w:val="single"/>
              </w:rPr>
            </w:pPr>
            <w:r>
              <w:rPr>
                <w:rFonts w:ascii="Arial" w:hAnsi="Arial" w:cs="Arial"/>
                <w:u w:val="single"/>
              </w:rPr>
              <w:t>Attendance management</w:t>
            </w:r>
          </w:p>
          <w:p w:rsidR="00C8333C" w:rsidRDefault="00C8333C" w:rsidP="00474274">
            <w:pPr>
              <w:jc w:val="both"/>
              <w:rPr>
                <w:rFonts w:ascii="Arial" w:hAnsi="Arial" w:cs="Arial"/>
                <w:b/>
                <w:szCs w:val="24"/>
              </w:rPr>
            </w:pPr>
          </w:p>
        </w:tc>
      </w:tr>
      <w:tr w:rsidR="005F296B" w:rsidRPr="007214D1" w:rsidTr="00BA0979">
        <w:tc>
          <w:tcPr>
            <w:tcW w:w="817" w:type="dxa"/>
          </w:tcPr>
          <w:p w:rsidR="005F296B" w:rsidRPr="00C8333C" w:rsidRDefault="005F296B" w:rsidP="00416BFF">
            <w:pPr>
              <w:rPr>
                <w:rFonts w:ascii="Arial" w:hAnsi="Arial" w:cs="Arial"/>
                <w:szCs w:val="24"/>
              </w:rPr>
            </w:pPr>
            <w:r>
              <w:rPr>
                <w:rFonts w:ascii="Arial" w:hAnsi="Arial" w:cs="Arial"/>
                <w:szCs w:val="24"/>
              </w:rPr>
              <w:t>3.2.1</w:t>
            </w:r>
          </w:p>
        </w:tc>
        <w:tc>
          <w:tcPr>
            <w:tcW w:w="8647" w:type="dxa"/>
          </w:tcPr>
          <w:p w:rsidR="00DF462B" w:rsidRDefault="00DF462B" w:rsidP="00DF462B">
            <w:pPr>
              <w:jc w:val="both"/>
              <w:rPr>
                <w:rFonts w:ascii="Arial" w:eastAsia="Calibri" w:hAnsi="Arial" w:cs="Arial"/>
                <w:szCs w:val="24"/>
                <w:lang w:eastAsia="en-US"/>
              </w:rPr>
            </w:pPr>
            <w:r>
              <w:rPr>
                <w:rFonts w:ascii="Arial" w:eastAsia="Calibri" w:hAnsi="Arial" w:cs="Arial"/>
                <w:szCs w:val="24"/>
                <w:lang w:eastAsia="en-US"/>
              </w:rPr>
              <w:t>At the previous Board Meeting on 22 March</w:t>
            </w:r>
            <w:r w:rsidR="004120A6">
              <w:rPr>
                <w:rFonts w:ascii="Arial" w:eastAsia="Calibri" w:hAnsi="Arial" w:cs="Arial"/>
                <w:szCs w:val="24"/>
                <w:lang w:eastAsia="en-US"/>
              </w:rPr>
              <w:t xml:space="preserve"> 2018</w:t>
            </w:r>
            <w:r>
              <w:rPr>
                <w:rFonts w:ascii="Arial" w:eastAsia="Calibri" w:hAnsi="Arial" w:cs="Arial"/>
                <w:szCs w:val="24"/>
                <w:lang w:eastAsia="en-US"/>
              </w:rPr>
              <w:t xml:space="preserve">, </w:t>
            </w:r>
            <w:r w:rsidRPr="009C1F2A">
              <w:rPr>
                <w:rFonts w:ascii="Arial" w:eastAsia="Calibri" w:hAnsi="Arial" w:cs="Arial"/>
                <w:szCs w:val="24"/>
                <w:lang w:eastAsia="en-US"/>
              </w:rPr>
              <w:t xml:space="preserve">Directors </w:t>
            </w:r>
            <w:r>
              <w:rPr>
                <w:rFonts w:ascii="Arial" w:eastAsia="Calibri" w:hAnsi="Arial" w:cs="Arial"/>
                <w:szCs w:val="24"/>
                <w:lang w:eastAsia="en-US"/>
              </w:rPr>
              <w:t xml:space="preserve">were advised that </w:t>
            </w:r>
            <w:r w:rsidRPr="009C1F2A">
              <w:rPr>
                <w:rFonts w:ascii="Arial" w:eastAsia="Calibri" w:hAnsi="Arial" w:cs="Arial"/>
                <w:szCs w:val="24"/>
                <w:lang w:eastAsia="en-US"/>
              </w:rPr>
              <w:t xml:space="preserve">reports </w:t>
            </w:r>
            <w:r>
              <w:rPr>
                <w:rFonts w:ascii="Arial" w:eastAsia="Calibri" w:hAnsi="Arial" w:cs="Arial"/>
                <w:szCs w:val="24"/>
                <w:lang w:eastAsia="en-US"/>
              </w:rPr>
              <w:t>would be</w:t>
            </w:r>
            <w:r w:rsidRPr="009C1F2A">
              <w:rPr>
                <w:rFonts w:ascii="Arial" w:eastAsia="Calibri" w:hAnsi="Arial" w:cs="Arial"/>
                <w:szCs w:val="24"/>
                <w:lang w:eastAsia="en-US"/>
              </w:rPr>
              <w:t xml:space="preserve"> amended to show absence levels split between long-term absence (&gt;10 consecutive working days)</w:t>
            </w:r>
            <w:r>
              <w:rPr>
                <w:rFonts w:ascii="Arial" w:eastAsia="Calibri" w:hAnsi="Arial" w:cs="Arial"/>
                <w:szCs w:val="24"/>
                <w:lang w:eastAsia="en-US"/>
              </w:rPr>
              <w:t xml:space="preserve"> and short-term absence (</w:t>
            </w:r>
            <w:r w:rsidRPr="009C1F2A">
              <w:rPr>
                <w:rFonts w:ascii="Arial" w:eastAsia="Calibri" w:hAnsi="Arial" w:cs="Arial"/>
                <w:szCs w:val="24"/>
                <w:lang w:eastAsia="en-US"/>
              </w:rPr>
              <w:t>10</w:t>
            </w:r>
            <w:r w:rsidR="00B859CD">
              <w:rPr>
                <w:rFonts w:ascii="Arial" w:eastAsia="Calibri" w:hAnsi="Arial" w:cs="Arial"/>
                <w:szCs w:val="24"/>
                <w:lang w:eastAsia="en-US"/>
              </w:rPr>
              <w:t> </w:t>
            </w:r>
            <w:r w:rsidRPr="009C1F2A">
              <w:rPr>
                <w:rFonts w:ascii="Arial" w:eastAsia="Calibri" w:hAnsi="Arial" w:cs="Arial"/>
                <w:szCs w:val="24"/>
                <w:lang w:eastAsia="en-US"/>
              </w:rPr>
              <w:t>consecutive working days</w:t>
            </w:r>
            <w:r>
              <w:rPr>
                <w:rFonts w:ascii="Arial" w:eastAsia="Calibri" w:hAnsi="Arial" w:cs="Arial"/>
                <w:szCs w:val="24"/>
                <w:lang w:eastAsia="en-US"/>
              </w:rPr>
              <w:t xml:space="preserve"> or less</w:t>
            </w:r>
            <w:r w:rsidRPr="009C1F2A">
              <w:rPr>
                <w:rFonts w:ascii="Arial" w:eastAsia="Calibri" w:hAnsi="Arial" w:cs="Arial"/>
                <w:szCs w:val="24"/>
                <w:lang w:eastAsia="en-US"/>
              </w:rPr>
              <w:t>)</w:t>
            </w:r>
            <w:r>
              <w:rPr>
                <w:rFonts w:ascii="Arial" w:eastAsia="Calibri" w:hAnsi="Arial" w:cs="Arial"/>
                <w:szCs w:val="24"/>
                <w:lang w:eastAsia="en-US"/>
              </w:rPr>
              <w:t>.</w:t>
            </w:r>
          </w:p>
          <w:p w:rsidR="00DF462B" w:rsidRDefault="00DF462B" w:rsidP="00DF462B">
            <w:pPr>
              <w:jc w:val="both"/>
              <w:rPr>
                <w:rFonts w:ascii="Arial" w:eastAsia="Calibri" w:hAnsi="Arial" w:cs="Arial"/>
                <w:szCs w:val="24"/>
                <w:lang w:eastAsia="en-US"/>
              </w:rPr>
            </w:pPr>
          </w:p>
          <w:p w:rsidR="00DF462B" w:rsidRPr="009C1F2A" w:rsidRDefault="00DF462B" w:rsidP="00DF462B">
            <w:pPr>
              <w:jc w:val="both"/>
              <w:rPr>
                <w:rFonts w:ascii="Arial" w:eastAsia="Calibri" w:hAnsi="Arial" w:cs="Arial"/>
                <w:szCs w:val="24"/>
                <w:lang w:eastAsia="en-US"/>
              </w:rPr>
            </w:pPr>
            <w:r>
              <w:rPr>
                <w:rFonts w:ascii="Arial" w:eastAsia="Calibri" w:hAnsi="Arial" w:cs="Arial"/>
                <w:szCs w:val="24"/>
                <w:lang w:eastAsia="en-US"/>
              </w:rPr>
              <w:t xml:space="preserve">Due to changes to the method of calculating absences, Long term and short term comparison figures are unavailable for the period 2015/16. </w:t>
            </w:r>
            <w:r w:rsidR="00D44B45">
              <w:rPr>
                <w:rFonts w:ascii="Arial" w:eastAsia="Calibri" w:hAnsi="Arial" w:cs="Arial"/>
                <w:szCs w:val="24"/>
                <w:lang w:eastAsia="en-US"/>
              </w:rPr>
              <w:t>Going forward</w:t>
            </w:r>
            <w:r>
              <w:rPr>
                <w:rFonts w:ascii="Arial" w:eastAsia="Calibri" w:hAnsi="Arial" w:cs="Arial"/>
                <w:szCs w:val="24"/>
                <w:lang w:eastAsia="en-US"/>
              </w:rPr>
              <w:t xml:space="preserve">, three year comparison figures will be </w:t>
            </w:r>
            <w:r w:rsidR="004120A6">
              <w:rPr>
                <w:rFonts w:ascii="Arial" w:eastAsia="Calibri" w:hAnsi="Arial" w:cs="Arial"/>
                <w:szCs w:val="24"/>
                <w:lang w:eastAsia="en-US"/>
              </w:rPr>
              <w:t>available</w:t>
            </w:r>
            <w:r>
              <w:rPr>
                <w:rFonts w:ascii="Arial" w:eastAsia="Calibri" w:hAnsi="Arial" w:cs="Arial"/>
                <w:szCs w:val="24"/>
                <w:lang w:eastAsia="en-US"/>
              </w:rPr>
              <w:t xml:space="preserve"> to the Board. </w:t>
            </w:r>
          </w:p>
          <w:p w:rsidR="005F296B" w:rsidRDefault="005F296B" w:rsidP="00C8333C">
            <w:pPr>
              <w:jc w:val="both"/>
              <w:rPr>
                <w:rFonts w:ascii="Arial" w:hAnsi="Arial" w:cs="Arial"/>
                <w:u w:val="single"/>
              </w:rPr>
            </w:pPr>
          </w:p>
        </w:tc>
      </w:tr>
      <w:tr w:rsidR="00C8333C" w:rsidRPr="007214D1" w:rsidTr="00D44B45">
        <w:trPr>
          <w:trHeight w:val="3106"/>
        </w:trPr>
        <w:tc>
          <w:tcPr>
            <w:tcW w:w="817" w:type="dxa"/>
          </w:tcPr>
          <w:p w:rsidR="00C8333C" w:rsidRDefault="00C8333C" w:rsidP="00416BFF">
            <w:pPr>
              <w:rPr>
                <w:rFonts w:ascii="Arial" w:hAnsi="Arial" w:cs="Arial"/>
                <w:szCs w:val="24"/>
              </w:rPr>
            </w:pPr>
            <w:r>
              <w:rPr>
                <w:rFonts w:ascii="Arial" w:hAnsi="Arial" w:cs="Arial"/>
                <w:szCs w:val="24"/>
              </w:rPr>
              <w:t>3.2.</w:t>
            </w:r>
            <w:r w:rsidR="00D44B45">
              <w:rPr>
                <w:rFonts w:ascii="Arial" w:hAnsi="Arial" w:cs="Arial"/>
                <w:szCs w:val="24"/>
              </w:rPr>
              <w:t>2</w:t>
            </w: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Pr="00C8333C" w:rsidRDefault="005F296B" w:rsidP="00416BFF">
            <w:pPr>
              <w:rPr>
                <w:rFonts w:ascii="Arial" w:hAnsi="Arial" w:cs="Arial"/>
                <w:szCs w:val="24"/>
              </w:rPr>
            </w:pPr>
          </w:p>
        </w:tc>
        <w:tc>
          <w:tcPr>
            <w:tcW w:w="8647" w:type="dxa"/>
          </w:tcPr>
          <w:p w:rsidR="00C8333C" w:rsidRPr="009C1F2A" w:rsidRDefault="00C8333C" w:rsidP="00C8333C">
            <w:pPr>
              <w:jc w:val="both"/>
              <w:rPr>
                <w:rFonts w:ascii="Arial" w:eastAsia="Calibri" w:hAnsi="Arial" w:cs="Arial"/>
                <w:szCs w:val="24"/>
                <w:lang w:eastAsia="en-US"/>
              </w:rPr>
            </w:pPr>
            <w:r w:rsidRPr="009C1F2A">
              <w:rPr>
                <w:rFonts w:ascii="Arial" w:eastAsia="Calibri" w:hAnsi="Arial" w:cs="Arial"/>
                <w:szCs w:val="24"/>
                <w:lang w:eastAsia="en-US"/>
              </w:rPr>
              <w:t xml:space="preserve">The </w:t>
            </w:r>
            <w:r w:rsidR="00AB5455">
              <w:rPr>
                <w:rFonts w:ascii="Arial" w:eastAsia="Calibri" w:hAnsi="Arial" w:cs="Arial"/>
                <w:szCs w:val="24"/>
                <w:lang w:eastAsia="en-US"/>
              </w:rPr>
              <w:t>l</w:t>
            </w:r>
            <w:r w:rsidR="00D71DD2">
              <w:rPr>
                <w:rFonts w:ascii="Arial" w:eastAsia="Calibri" w:hAnsi="Arial" w:cs="Arial"/>
                <w:szCs w:val="24"/>
                <w:lang w:eastAsia="en-US"/>
              </w:rPr>
              <w:t xml:space="preserve">ong term </w:t>
            </w:r>
            <w:r w:rsidRPr="009C1F2A">
              <w:rPr>
                <w:rFonts w:ascii="Arial" w:eastAsia="Calibri" w:hAnsi="Arial" w:cs="Arial"/>
                <w:szCs w:val="24"/>
                <w:lang w:eastAsia="en-US"/>
              </w:rPr>
              <w:t xml:space="preserve">absence </w:t>
            </w:r>
            <w:r w:rsidR="00D71DD2">
              <w:rPr>
                <w:rFonts w:ascii="Arial" w:eastAsia="Calibri" w:hAnsi="Arial" w:cs="Arial"/>
                <w:szCs w:val="24"/>
                <w:lang w:eastAsia="en-US"/>
              </w:rPr>
              <w:t>rates %</w:t>
            </w:r>
            <w:r w:rsidRPr="009C1F2A">
              <w:rPr>
                <w:rFonts w:ascii="Arial" w:eastAsia="Calibri" w:hAnsi="Arial" w:cs="Arial"/>
                <w:szCs w:val="24"/>
                <w:lang w:eastAsia="en-US"/>
              </w:rPr>
              <w:t xml:space="preserve"> up to the end of Quarter </w:t>
            </w:r>
            <w:r w:rsidR="00D71DD2">
              <w:rPr>
                <w:rFonts w:ascii="Arial" w:eastAsia="Calibri" w:hAnsi="Arial" w:cs="Arial"/>
                <w:szCs w:val="24"/>
                <w:lang w:eastAsia="en-US"/>
              </w:rPr>
              <w:t>4</w:t>
            </w:r>
            <w:r w:rsidRPr="009C1F2A">
              <w:rPr>
                <w:rFonts w:ascii="Arial" w:eastAsia="Calibri" w:hAnsi="Arial" w:cs="Arial"/>
                <w:szCs w:val="24"/>
                <w:lang w:eastAsia="en-US"/>
              </w:rPr>
              <w:t xml:space="preserve"> were as follows:</w:t>
            </w:r>
          </w:p>
          <w:p w:rsidR="00C8333C" w:rsidRPr="009C1F2A" w:rsidRDefault="00C8333C" w:rsidP="00C8333C">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1741"/>
              <w:gridCol w:w="1740"/>
              <w:gridCol w:w="1740"/>
              <w:gridCol w:w="1738"/>
            </w:tblGrid>
            <w:tr w:rsidR="004120A6" w:rsidRPr="009C1F2A" w:rsidTr="006E6248">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Default="004120A6" w:rsidP="006E6248">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rsidR="004120A6" w:rsidRPr="009C1F2A" w:rsidRDefault="004120A6" w:rsidP="006E6248">
                  <w:pPr>
                    <w:spacing w:line="276" w:lineRule="auto"/>
                    <w:jc w:val="center"/>
                    <w:rPr>
                      <w:rFonts w:ascii="Arial" w:eastAsia="Calibri" w:hAnsi="Arial" w:cs="Arial"/>
                      <w:b/>
                      <w:bCs/>
                      <w:szCs w:val="24"/>
                    </w:rPr>
                  </w:pPr>
                  <w:r>
                    <w:rPr>
                      <w:rFonts w:ascii="Arial" w:eastAsia="Calibri" w:hAnsi="Arial" w:cs="Arial"/>
                      <w:b/>
                      <w:bCs/>
                      <w:szCs w:val="24"/>
                    </w:rPr>
                    <w:t xml:space="preserve">Long term </w:t>
                  </w:r>
                  <w:r w:rsidRPr="009C1F2A">
                    <w:rPr>
                      <w:rFonts w:ascii="Arial" w:eastAsia="Calibri" w:hAnsi="Arial" w:cs="Arial"/>
                      <w:b/>
                      <w:bCs/>
                      <w:szCs w:val="24"/>
                    </w:rPr>
                    <w:t>Absence Rates</w:t>
                  </w:r>
                </w:p>
                <w:p w:rsidR="004120A6" w:rsidRPr="009C1F2A" w:rsidRDefault="004120A6" w:rsidP="006E6248">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4C108A">
                  <w:pPr>
                    <w:spacing w:line="276" w:lineRule="auto"/>
                    <w:jc w:val="center"/>
                    <w:rPr>
                      <w:rFonts w:ascii="Arial" w:eastAsia="Calibri" w:hAnsi="Arial" w:cs="Arial"/>
                      <w:b/>
                      <w:bCs/>
                      <w:szCs w:val="24"/>
                    </w:rPr>
                  </w:pPr>
                </w:p>
                <w:p w:rsidR="004120A6" w:rsidRPr="009C1F2A" w:rsidRDefault="004120A6" w:rsidP="004C108A">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4C108A">
                  <w:pPr>
                    <w:spacing w:line="276" w:lineRule="auto"/>
                    <w:jc w:val="center"/>
                    <w:rPr>
                      <w:rFonts w:ascii="Arial" w:eastAsia="Calibri" w:hAnsi="Arial" w:cs="Arial"/>
                      <w:b/>
                      <w:bCs/>
                      <w:szCs w:val="24"/>
                    </w:rPr>
                  </w:pPr>
                </w:p>
                <w:p w:rsidR="004120A6" w:rsidRPr="009C1F2A" w:rsidRDefault="004120A6" w:rsidP="004C108A">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4C108A">
                  <w:pPr>
                    <w:spacing w:line="276" w:lineRule="auto"/>
                    <w:jc w:val="center"/>
                    <w:rPr>
                      <w:rFonts w:ascii="Arial" w:eastAsia="Calibri" w:hAnsi="Arial" w:cs="Arial"/>
                      <w:b/>
                      <w:bCs/>
                      <w:szCs w:val="24"/>
                    </w:rPr>
                  </w:pPr>
                </w:p>
                <w:p w:rsidR="004120A6" w:rsidRPr="009C1F2A" w:rsidRDefault="004120A6" w:rsidP="004C108A">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4C108A">
                  <w:pPr>
                    <w:spacing w:line="276" w:lineRule="auto"/>
                    <w:jc w:val="center"/>
                    <w:rPr>
                      <w:rFonts w:ascii="Arial" w:eastAsia="Calibri" w:hAnsi="Arial" w:cs="Arial"/>
                      <w:b/>
                      <w:bCs/>
                      <w:szCs w:val="24"/>
                    </w:rPr>
                  </w:pPr>
                </w:p>
                <w:p w:rsidR="004120A6" w:rsidRPr="009C1F2A" w:rsidRDefault="004120A6" w:rsidP="004C108A">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C8333C" w:rsidRPr="009C1F2A" w:rsidTr="006E6248">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C8333C" w:rsidRPr="009C1F2A" w:rsidRDefault="00C8333C" w:rsidP="006E6248">
                  <w:pPr>
                    <w:spacing w:line="276" w:lineRule="auto"/>
                    <w:jc w:val="center"/>
                    <w:rPr>
                      <w:rFonts w:ascii="Arial" w:eastAsia="Calibri" w:hAnsi="Arial" w:cs="Arial"/>
                      <w:b/>
                      <w:bCs/>
                      <w:szCs w:val="24"/>
                    </w:rPr>
                  </w:pPr>
                  <w:r w:rsidRPr="009C1F2A">
                    <w:rPr>
                      <w:rFonts w:ascii="Arial" w:eastAsia="Calibri" w:hAnsi="Arial" w:cs="Arial"/>
                      <w:b/>
                      <w:bCs/>
                      <w:szCs w:val="24"/>
                    </w:rPr>
                    <w:t>2016/17</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33C" w:rsidRPr="00240268" w:rsidRDefault="00E1395A" w:rsidP="006E6248">
                  <w:pPr>
                    <w:spacing w:line="276" w:lineRule="auto"/>
                    <w:jc w:val="center"/>
                    <w:rPr>
                      <w:rFonts w:ascii="Arial" w:eastAsia="Calibri" w:hAnsi="Arial" w:cs="Arial"/>
                      <w:szCs w:val="24"/>
                    </w:rPr>
                  </w:pPr>
                  <w:r>
                    <w:rPr>
                      <w:rFonts w:ascii="Arial" w:eastAsia="Calibri" w:hAnsi="Arial" w:cs="Arial"/>
                      <w:szCs w:val="24"/>
                    </w:rPr>
                    <w:t>2.67%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8333C" w:rsidRPr="009C1F2A" w:rsidRDefault="00E1395A" w:rsidP="006E6248">
                  <w:pPr>
                    <w:spacing w:line="276" w:lineRule="auto"/>
                    <w:jc w:val="center"/>
                    <w:rPr>
                      <w:rFonts w:ascii="Arial" w:eastAsia="Calibri" w:hAnsi="Arial" w:cs="Arial"/>
                      <w:szCs w:val="24"/>
                    </w:rPr>
                  </w:pPr>
                  <w:r>
                    <w:rPr>
                      <w:rFonts w:ascii="Arial" w:eastAsia="Calibri" w:hAnsi="Arial" w:cs="Arial"/>
                      <w:szCs w:val="24"/>
                    </w:rPr>
                    <w:t>2.41%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33C" w:rsidRPr="009C1F2A" w:rsidRDefault="00E1395A" w:rsidP="006E6248">
                  <w:pPr>
                    <w:spacing w:line="276" w:lineRule="auto"/>
                    <w:jc w:val="center"/>
                    <w:rPr>
                      <w:rFonts w:ascii="Arial" w:eastAsia="Calibri" w:hAnsi="Arial" w:cs="Arial"/>
                      <w:szCs w:val="24"/>
                    </w:rPr>
                  </w:pPr>
                  <w:r>
                    <w:rPr>
                      <w:rFonts w:ascii="Arial" w:eastAsia="Calibri" w:hAnsi="Arial" w:cs="Arial"/>
                      <w:szCs w:val="24"/>
                    </w:rPr>
                    <w:t>2.12%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8333C" w:rsidRPr="009C1F2A" w:rsidRDefault="00E1395A" w:rsidP="006E6248">
                  <w:pPr>
                    <w:spacing w:line="276" w:lineRule="auto"/>
                    <w:jc w:val="center"/>
                    <w:rPr>
                      <w:rFonts w:ascii="Arial" w:eastAsia="Calibri" w:hAnsi="Arial" w:cs="Arial"/>
                      <w:szCs w:val="24"/>
                    </w:rPr>
                  </w:pPr>
                  <w:r>
                    <w:rPr>
                      <w:rFonts w:ascii="Arial" w:eastAsia="Calibri" w:hAnsi="Arial" w:cs="Arial"/>
                      <w:szCs w:val="24"/>
                    </w:rPr>
                    <w:t>2.38%</w:t>
                  </w:r>
                </w:p>
              </w:tc>
            </w:tr>
            <w:tr w:rsidR="00E1395A" w:rsidRPr="009C1F2A" w:rsidTr="006E6248">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E1395A" w:rsidRPr="009C1F2A" w:rsidRDefault="00E1395A" w:rsidP="006E6248">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240268" w:rsidRDefault="00E1395A" w:rsidP="00870C15">
                  <w:pPr>
                    <w:spacing w:line="276" w:lineRule="auto"/>
                    <w:jc w:val="center"/>
                    <w:rPr>
                      <w:rFonts w:ascii="Arial" w:eastAsia="Calibri" w:hAnsi="Arial" w:cs="Arial"/>
                      <w:szCs w:val="24"/>
                    </w:rPr>
                  </w:pPr>
                  <w:r>
                    <w:rPr>
                      <w:rFonts w:ascii="Arial" w:eastAsia="Calibri" w:hAnsi="Arial" w:cs="Arial"/>
                      <w:szCs w:val="24"/>
                    </w:rPr>
                    <w:t>2.62%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870C15">
                  <w:pPr>
                    <w:spacing w:line="276" w:lineRule="auto"/>
                    <w:jc w:val="center"/>
                    <w:rPr>
                      <w:rFonts w:ascii="Arial" w:eastAsia="Calibri" w:hAnsi="Arial" w:cs="Arial"/>
                      <w:szCs w:val="24"/>
                    </w:rPr>
                  </w:pPr>
                  <w:r>
                    <w:rPr>
                      <w:rFonts w:ascii="Arial" w:eastAsia="Calibri" w:hAnsi="Arial" w:cs="Arial"/>
                      <w:szCs w:val="24"/>
                    </w:rPr>
                    <w:t>2.29%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870C15">
                  <w:pPr>
                    <w:spacing w:line="276" w:lineRule="auto"/>
                    <w:jc w:val="center"/>
                    <w:rPr>
                      <w:rFonts w:ascii="Arial" w:eastAsia="Calibri" w:hAnsi="Arial" w:cs="Arial"/>
                      <w:szCs w:val="24"/>
                    </w:rPr>
                  </w:pPr>
                  <w:r>
                    <w:rPr>
                      <w:rFonts w:ascii="Arial" w:eastAsia="Calibri" w:hAnsi="Arial" w:cs="Arial"/>
                      <w:szCs w:val="24"/>
                    </w:rPr>
                    <w:t>2.68%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870C15">
                  <w:pPr>
                    <w:spacing w:line="276" w:lineRule="auto"/>
                    <w:jc w:val="center"/>
                    <w:rPr>
                      <w:rFonts w:ascii="Arial" w:eastAsia="Calibri" w:hAnsi="Arial" w:cs="Arial"/>
                      <w:szCs w:val="24"/>
                    </w:rPr>
                  </w:pPr>
                  <w:r>
                    <w:rPr>
                      <w:rFonts w:ascii="Arial" w:eastAsia="Calibri" w:hAnsi="Arial" w:cs="Arial"/>
                      <w:szCs w:val="24"/>
                    </w:rPr>
                    <w:t>2.28%</w:t>
                  </w:r>
                </w:p>
              </w:tc>
            </w:tr>
          </w:tbl>
          <w:p w:rsidR="00E1395A" w:rsidRDefault="00E1395A" w:rsidP="00C8333C">
            <w:pPr>
              <w:jc w:val="both"/>
              <w:rPr>
                <w:rFonts w:ascii="Arial" w:hAnsi="Arial" w:cs="Arial"/>
                <w:u w:val="single"/>
              </w:rPr>
            </w:pPr>
          </w:p>
        </w:tc>
      </w:tr>
      <w:tr w:rsidR="005F296B" w:rsidRPr="007214D1" w:rsidTr="005F296B">
        <w:trPr>
          <w:trHeight w:val="770"/>
        </w:trPr>
        <w:tc>
          <w:tcPr>
            <w:tcW w:w="817" w:type="dxa"/>
          </w:tcPr>
          <w:p w:rsidR="005F296B" w:rsidRDefault="005F296B" w:rsidP="00D44B45">
            <w:pPr>
              <w:rPr>
                <w:rFonts w:ascii="Arial" w:hAnsi="Arial" w:cs="Arial"/>
                <w:szCs w:val="24"/>
              </w:rPr>
            </w:pPr>
            <w:r>
              <w:rPr>
                <w:rFonts w:ascii="Arial" w:hAnsi="Arial" w:cs="Arial"/>
                <w:szCs w:val="24"/>
              </w:rPr>
              <w:t>3.2.</w:t>
            </w:r>
            <w:r w:rsidR="00D44B45">
              <w:rPr>
                <w:rFonts w:ascii="Arial" w:hAnsi="Arial" w:cs="Arial"/>
                <w:szCs w:val="24"/>
              </w:rPr>
              <w:t>3</w:t>
            </w:r>
          </w:p>
        </w:tc>
        <w:tc>
          <w:tcPr>
            <w:tcW w:w="8647" w:type="dxa"/>
          </w:tcPr>
          <w:p w:rsidR="005F296B" w:rsidRDefault="00DF462B" w:rsidP="00C8333C">
            <w:pPr>
              <w:jc w:val="both"/>
              <w:rPr>
                <w:rFonts w:ascii="Arial" w:hAnsi="Arial" w:cs="Arial"/>
              </w:rPr>
            </w:pPr>
            <w:r w:rsidRPr="005F296B">
              <w:rPr>
                <w:rFonts w:ascii="Arial" w:hAnsi="Arial" w:cs="Arial"/>
              </w:rPr>
              <w:t>Quarter 4 has shown a decrease of 0.4% in the long term absence rate from previous quarter.</w:t>
            </w:r>
          </w:p>
          <w:p w:rsidR="00383500" w:rsidRDefault="00383500" w:rsidP="00C8333C">
            <w:pPr>
              <w:jc w:val="both"/>
              <w:rPr>
                <w:rFonts w:ascii="Arial" w:hAnsi="Arial" w:cs="Arial"/>
              </w:rPr>
            </w:pPr>
          </w:p>
          <w:p w:rsidR="00383500" w:rsidRDefault="00383500" w:rsidP="00383500">
            <w:pPr>
              <w:jc w:val="both"/>
              <w:rPr>
                <w:rFonts w:ascii="Arial" w:hAnsi="Arial" w:cs="Arial"/>
              </w:rPr>
            </w:pPr>
            <w:r w:rsidRPr="003A069E">
              <w:rPr>
                <w:rFonts w:ascii="Arial" w:eastAsia="Calibri" w:hAnsi="Arial" w:cs="Arial"/>
                <w:szCs w:val="24"/>
                <w:lang w:eastAsia="en-US"/>
              </w:rPr>
              <w:t xml:space="preserve">There were </w:t>
            </w:r>
            <w:r>
              <w:rPr>
                <w:rFonts w:ascii="Arial" w:eastAsia="Calibri" w:hAnsi="Arial" w:cs="Arial"/>
                <w:szCs w:val="24"/>
                <w:lang w:eastAsia="en-US"/>
              </w:rPr>
              <w:t>31</w:t>
            </w:r>
            <w:r w:rsidRPr="003A069E">
              <w:rPr>
                <w:rFonts w:ascii="Arial" w:eastAsia="Calibri" w:hAnsi="Arial" w:cs="Arial"/>
                <w:szCs w:val="24"/>
                <w:lang w:eastAsia="en-US"/>
              </w:rPr>
              <w:t xml:space="preserve"> long-term a</w:t>
            </w:r>
            <w:r w:rsidR="00FC52DF">
              <w:rPr>
                <w:rFonts w:ascii="Arial" w:eastAsia="Calibri" w:hAnsi="Arial" w:cs="Arial"/>
                <w:szCs w:val="24"/>
                <w:lang w:eastAsia="en-US"/>
              </w:rPr>
              <w:t xml:space="preserve">bsences in the quarter of which </w:t>
            </w:r>
            <w:r>
              <w:rPr>
                <w:rFonts w:ascii="Arial" w:eastAsia="Calibri" w:hAnsi="Arial" w:cs="Arial"/>
                <w:szCs w:val="24"/>
                <w:lang w:eastAsia="en-US"/>
              </w:rPr>
              <w:t>13</w:t>
            </w:r>
            <w:r w:rsidRPr="003A069E">
              <w:rPr>
                <w:rFonts w:ascii="Arial" w:eastAsia="Calibri" w:hAnsi="Arial" w:cs="Arial"/>
                <w:szCs w:val="24"/>
                <w:lang w:eastAsia="en-US"/>
              </w:rPr>
              <w:t xml:space="preserve"> remained absent at the start of Q</w:t>
            </w:r>
            <w:r>
              <w:rPr>
                <w:rFonts w:ascii="Arial" w:eastAsia="Calibri" w:hAnsi="Arial" w:cs="Arial"/>
                <w:szCs w:val="24"/>
                <w:lang w:eastAsia="en-US"/>
              </w:rPr>
              <w:t>1 2018/19</w:t>
            </w:r>
            <w:r w:rsidRPr="003A069E">
              <w:rPr>
                <w:rFonts w:ascii="Arial" w:eastAsia="Calibri" w:hAnsi="Arial" w:cs="Arial"/>
                <w:szCs w:val="24"/>
                <w:lang w:eastAsia="en-US"/>
              </w:rPr>
              <w:t>.</w:t>
            </w:r>
            <w:r>
              <w:rPr>
                <w:rFonts w:ascii="Arial" w:eastAsia="Calibri" w:hAnsi="Arial" w:cs="Arial"/>
                <w:szCs w:val="24"/>
                <w:lang w:eastAsia="en-US"/>
              </w:rPr>
              <w:t xml:space="preserve"> Of that 13, a further 10 have returned to work since April.</w:t>
            </w:r>
          </w:p>
          <w:p w:rsidR="00383500" w:rsidRPr="005F296B" w:rsidRDefault="00383500" w:rsidP="00C8333C">
            <w:pPr>
              <w:jc w:val="both"/>
              <w:rPr>
                <w:rFonts w:ascii="Arial" w:eastAsia="Calibri" w:hAnsi="Arial" w:cs="Arial"/>
                <w:szCs w:val="24"/>
                <w:lang w:eastAsia="en-US"/>
              </w:rPr>
            </w:pPr>
          </w:p>
        </w:tc>
      </w:tr>
      <w:tr w:rsidR="00D71DD2" w:rsidRPr="007214D1" w:rsidTr="00D44B45">
        <w:trPr>
          <w:trHeight w:val="3204"/>
        </w:trPr>
        <w:tc>
          <w:tcPr>
            <w:tcW w:w="817" w:type="dxa"/>
          </w:tcPr>
          <w:p w:rsidR="00D71DD2" w:rsidRDefault="00D71DD2" w:rsidP="00D44B45">
            <w:pPr>
              <w:rPr>
                <w:rFonts w:ascii="Arial" w:hAnsi="Arial" w:cs="Arial"/>
                <w:szCs w:val="24"/>
              </w:rPr>
            </w:pPr>
            <w:r>
              <w:rPr>
                <w:rFonts w:ascii="Arial" w:hAnsi="Arial" w:cs="Arial"/>
                <w:szCs w:val="24"/>
              </w:rPr>
              <w:t>3.2.</w:t>
            </w:r>
            <w:r w:rsidR="00D44B45">
              <w:rPr>
                <w:rFonts w:ascii="Arial" w:hAnsi="Arial" w:cs="Arial"/>
                <w:szCs w:val="24"/>
              </w:rPr>
              <w:t>4</w:t>
            </w:r>
          </w:p>
        </w:tc>
        <w:tc>
          <w:tcPr>
            <w:tcW w:w="8647" w:type="dxa"/>
          </w:tcPr>
          <w:p w:rsidR="00D71DD2" w:rsidRDefault="00F839E2" w:rsidP="00C8333C">
            <w:pPr>
              <w:jc w:val="both"/>
              <w:rPr>
                <w:rFonts w:ascii="Arial" w:eastAsia="Calibri" w:hAnsi="Arial" w:cs="Arial"/>
                <w:szCs w:val="24"/>
                <w:lang w:eastAsia="en-US"/>
              </w:rPr>
            </w:pPr>
            <w:r>
              <w:rPr>
                <w:rFonts w:ascii="Arial" w:eastAsia="Calibri" w:hAnsi="Arial" w:cs="Arial"/>
                <w:szCs w:val="24"/>
                <w:lang w:eastAsia="en-US"/>
              </w:rPr>
              <w:t>The s</w:t>
            </w:r>
            <w:r w:rsidR="00D71DD2">
              <w:rPr>
                <w:rFonts w:ascii="Arial" w:eastAsia="Calibri" w:hAnsi="Arial" w:cs="Arial"/>
                <w:szCs w:val="24"/>
                <w:lang w:eastAsia="en-US"/>
              </w:rPr>
              <w:t>hort term absence rates % up to the end of Quarter 4 were as follows:</w:t>
            </w:r>
          </w:p>
          <w:p w:rsidR="00D71DD2" w:rsidRDefault="00D71DD2" w:rsidP="00C8333C">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1741"/>
              <w:gridCol w:w="1740"/>
              <w:gridCol w:w="1740"/>
              <w:gridCol w:w="1738"/>
            </w:tblGrid>
            <w:tr w:rsidR="004120A6" w:rsidRPr="009C1F2A" w:rsidTr="00870C15">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Default="004120A6" w:rsidP="00870C15">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rsidR="004120A6" w:rsidRPr="009C1F2A" w:rsidRDefault="004120A6" w:rsidP="00870C15">
                  <w:pPr>
                    <w:spacing w:line="276" w:lineRule="auto"/>
                    <w:jc w:val="center"/>
                    <w:rPr>
                      <w:rFonts w:ascii="Arial" w:eastAsia="Calibri" w:hAnsi="Arial" w:cs="Arial"/>
                      <w:b/>
                      <w:bCs/>
                      <w:szCs w:val="24"/>
                    </w:rPr>
                  </w:pPr>
                  <w:r>
                    <w:rPr>
                      <w:rFonts w:ascii="Arial" w:eastAsia="Calibri" w:hAnsi="Arial" w:cs="Arial"/>
                      <w:b/>
                      <w:bCs/>
                      <w:szCs w:val="24"/>
                    </w:rPr>
                    <w:t xml:space="preserve">Short term </w:t>
                  </w:r>
                  <w:r w:rsidRPr="009C1F2A">
                    <w:rPr>
                      <w:rFonts w:ascii="Arial" w:eastAsia="Calibri" w:hAnsi="Arial" w:cs="Arial"/>
                      <w:b/>
                      <w:bCs/>
                      <w:szCs w:val="24"/>
                    </w:rPr>
                    <w:t>Absence Rates</w:t>
                  </w:r>
                </w:p>
                <w:p w:rsidR="004120A6" w:rsidRPr="009C1F2A" w:rsidRDefault="004120A6" w:rsidP="00870C15">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4C108A">
                  <w:pPr>
                    <w:spacing w:line="276" w:lineRule="auto"/>
                    <w:jc w:val="center"/>
                    <w:rPr>
                      <w:rFonts w:ascii="Arial" w:eastAsia="Calibri" w:hAnsi="Arial" w:cs="Arial"/>
                      <w:b/>
                      <w:bCs/>
                      <w:szCs w:val="24"/>
                    </w:rPr>
                  </w:pPr>
                </w:p>
                <w:p w:rsidR="004120A6" w:rsidRPr="009C1F2A" w:rsidRDefault="004120A6" w:rsidP="004C108A">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4C108A">
                  <w:pPr>
                    <w:spacing w:line="276" w:lineRule="auto"/>
                    <w:jc w:val="center"/>
                    <w:rPr>
                      <w:rFonts w:ascii="Arial" w:eastAsia="Calibri" w:hAnsi="Arial" w:cs="Arial"/>
                      <w:b/>
                      <w:bCs/>
                      <w:szCs w:val="24"/>
                    </w:rPr>
                  </w:pPr>
                </w:p>
                <w:p w:rsidR="004120A6" w:rsidRPr="009C1F2A" w:rsidRDefault="004120A6" w:rsidP="004C108A">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4C108A">
                  <w:pPr>
                    <w:spacing w:line="276" w:lineRule="auto"/>
                    <w:jc w:val="center"/>
                    <w:rPr>
                      <w:rFonts w:ascii="Arial" w:eastAsia="Calibri" w:hAnsi="Arial" w:cs="Arial"/>
                      <w:b/>
                      <w:bCs/>
                      <w:szCs w:val="24"/>
                    </w:rPr>
                  </w:pPr>
                </w:p>
                <w:p w:rsidR="004120A6" w:rsidRPr="009C1F2A" w:rsidRDefault="004120A6" w:rsidP="004C108A">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4C108A">
                  <w:pPr>
                    <w:spacing w:line="276" w:lineRule="auto"/>
                    <w:jc w:val="center"/>
                    <w:rPr>
                      <w:rFonts w:ascii="Arial" w:eastAsia="Calibri" w:hAnsi="Arial" w:cs="Arial"/>
                      <w:b/>
                      <w:bCs/>
                      <w:szCs w:val="24"/>
                    </w:rPr>
                  </w:pPr>
                </w:p>
                <w:p w:rsidR="004120A6" w:rsidRPr="009C1F2A" w:rsidRDefault="004120A6" w:rsidP="004C108A">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D71DD2" w:rsidRPr="009C1F2A" w:rsidTr="00D71DD2">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D71DD2" w:rsidRPr="009C1F2A" w:rsidRDefault="00D71DD2" w:rsidP="00870C15">
                  <w:pPr>
                    <w:spacing w:line="276" w:lineRule="auto"/>
                    <w:jc w:val="center"/>
                    <w:rPr>
                      <w:rFonts w:ascii="Arial" w:eastAsia="Calibri" w:hAnsi="Arial" w:cs="Arial"/>
                      <w:b/>
                      <w:bCs/>
                      <w:szCs w:val="24"/>
                    </w:rPr>
                  </w:pPr>
                  <w:r w:rsidRPr="009C1F2A">
                    <w:rPr>
                      <w:rFonts w:ascii="Arial" w:eastAsia="Calibri" w:hAnsi="Arial" w:cs="Arial"/>
                      <w:b/>
                      <w:bCs/>
                      <w:szCs w:val="24"/>
                    </w:rPr>
                    <w:t>2016/17</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240268" w:rsidRDefault="00E1395A" w:rsidP="00870C15">
                  <w:pPr>
                    <w:spacing w:line="276" w:lineRule="auto"/>
                    <w:jc w:val="center"/>
                    <w:rPr>
                      <w:rFonts w:ascii="Arial" w:eastAsia="Calibri" w:hAnsi="Arial" w:cs="Arial"/>
                      <w:szCs w:val="24"/>
                    </w:rPr>
                  </w:pPr>
                  <w:r>
                    <w:rPr>
                      <w:rFonts w:ascii="Arial" w:eastAsia="Calibri" w:hAnsi="Arial" w:cs="Arial"/>
                      <w:szCs w:val="24"/>
                    </w:rPr>
                    <w:t>0.92%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E1395A" w:rsidP="00E1395A">
                  <w:pPr>
                    <w:spacing w:line="276" w:lineRule="auto"/>
                    <w:jc w:val="center"/>
                    <w:rPr>
                      <w:rFonts w:ascii="Arial" w:eastAsia="Calibri" w:hAnsi="Arial" w:cs="Arial"/>
                      <w:szCs w:val="24"/>
                    </w:rPr>
                  </w:pPr>
                  <w:r>
                    <w:rPr>
                      <w:rFonts w:ascii="Arial" w:eastAsia="Calibri" w:hAnsi="Arial" w:cs="Arial"/>
                      <w:szCs w:val="24"/>
                    </w:rPr>
                    <w:t>0.68%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E1395A" w:rsidP="00870C15">
                  <w:pPr>
                    <w:spacing w:line="276" w:lineRule="auto"/>
                    <w:jc w:val="center"/>
                    <w:rPr>
                      <w:rFonts w:ascii="Arial" w:eastAsia="Calibri" w:hAnsi="Arial" w:cs="Arial"/>
                      <w:szCs w:val="24"/>
                    </w:rPr>
                  </w:pPr>
                  <w:r>
                    <w:rPr>
                      <w:rFonts w:ascii="Arial" w:eastAsia="Calibri" w:hAnsi="Arial" w:cs="Arial"/>
                      <w:szCs w:val="24"/>
                    </w:rPr>
                    <w:t>0.90%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E1395A" w:rsidP="00870C15">
                  <w:pPr>
                    <w:spacing w:line="276" w:lineRule="auto"/>
                    <w:jc w:val="center"/>
                    <w:rPr>
                      <w:rFonts w:ascii="Arial" w:eastAsia="Calibri" w:hAnsi="Arial" w:cs="Arial"/>
                      <w:szCs w:val="24"/>
                    </w:rPr>
                  </w:pPr>
                  <w:r>
                    <w:rPr>
                      <w:rFonts w:ascii="Arial" w:eastAsia="Calibri" w:hAnsi="Arial" w:cs="Arial"/>
                      <w:szCs w:val="24"/>
                    </w:rPr>
                    <w:t>1.45%</w:t>
                  </w:r>
                </w:p>
              </w:tc>
            </w:tr>
            <w:tr w:rsidR="00D71DD2" w:rsidRPr="009C1F2A" w:rsidTr="00870C15">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D71DD2" w:rsidRPr="009C1F2A" w:rsidRDefault="00D71DD2" w:rsidP="00870C15">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E1395A" w:rsidP="00870C15">
                  <w:pPr>
                    <w:spacing w:line="276" w:lineRule="auto"/>
                    <w:jc w:val="center"/>
                    <w:rPr>
                      <w:rFonts w:ascii="Arial" w:eastAsia="Calibri" w:hAnsi="Arial" w:cs="Arial"/>
                      <w:szCs w:val="24"/>
                    </w:rPr>
                  </w:pPr>
                  <w:r>
                    <w:rPr>
                      <w:rFonts w:ascii="Arial" w:eastAsia="Calibri" w:hAnsi="Arial" w:cs="Arial"/>
                      <w:szCs w:val="24"/>
                    </w:rPr>
                    <w:t>0.98%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E1395A" w:rsidP="00870C15">
                  <w:pPr>
                    <w:spacing w:line="276" w:lineRule="auto"/>
                    <w:jc w:val="center"/>
                    <w:rPr>
                      <w:rFonts w:ascii="Arial" w:eastAsia="Calibri" w:hAnsi="Arial" w:cs="Arial"/>
                      <w:szCs w:val="24"/>
                    </w:rPr>
                  </w:pPr>
                  <w:r>
                    <w:rPr>
                      <w:rFonts w:ascii="Arial" w:eastAsia="Calibri" w:hAnsi="Arial" w:cs="Arial"/>
                      <w:szCs w:val="24"/>
                    </w:rPr>
                    <w:t>1.06%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E1395A" w:rsidP="00870C15">
                  <w:pPr>
                    <w:spacing w:line="276" w:lineRule="auto"/>
                    <w:jc w:val="center"/>
                    <w:rPr>
                      <w:rFonts w:ascii="Arial" w:eastAsia="Calibri" w:hAnsi="Arial" w:cs="Arial"/>
                      <w:szCs w:val="24"/>
                    </w:rPr>
                  </w:pPr>
                  <w:r>
                    <w:rPr>
                      <w:rFonts w:ascii="Arial" w:eastAsia="Calibri" w:hAnsi="Arial" w:cs="Arial"/>
                      <w:szCs w:val="24"/>
                    </w:rPr>
                    <w:t>1.31%</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E1395A" w:rsidP="00870C15">
                  <w:pPr>
                    <w:spacing w:line="276" w:lineRule="auto"/>
                    <w:jc w:val="center"/>
                    <w:rPr>
                      <w:rFonts w:ascii="Arial" w:eastAsia="Calibri" w:hAnsi="Arial" w:cs="Arial"/>
                      <w:szCs w:val="24"/>
                    </w:rPr>
                  </w:pPr>
                  <w:r>
                    <w:rPr>
                      <w:rFonts w:ascii="Arial" w:eastAsia="Calibri" w:hAnsi="Arial" w:cs="Arial"/>
                      <w:szCs w:val="24"/>
                    </w:rPr>
                    <w:t>1.74%</w:t>
                  </w:r>
                </w:p>
              </w:tc>
            </w:tr>
          </w:tbl>
          <w:p w:rsidR="00D71DD2" w:rsidRPr="009C1F2A" w:rsidRDefault="00D71DD2" w:rsidP="00C8333C">
            <w:pPr>
              <w:jc w:val="both"/>
              <w:rPr>
                <w:rFonts w:ascii="Arial" w:eastAsia="Calibri" w:hAnsi="Arial" w:cs="Arial"/>
                <w:szCs w:val="24"/>
                <w:lang w:eastAsia="en-US"/>
              </w:rPr>
            </w:pPr>
          </w:p>
        </w:tc>
      </w:tr>
      <w:tr w:rsidR="005F296B" w:rsidRPr="007214D1" w:rsidTr="00BA0979">
        <w:tc>
          <w:tcPr>
            <w:tcW w:w="817" w:type="dxa"/>
          </w:tcPr>
          <w:p w:rsidR="005F296B" w:rsidRDefault="005F296B" w:rsidP="00D44B45">
            <w:pPr>
              <w:rPr>
                <w:rFonts w:ascii="Arial" w:hAnsi="Arial" w:cs="Arial"/>
                <w:szCs w:val="24"/>
              </w:rPr>
            </w:pPr>
            <w:r>
              <w:rPr>
                <w:rFonts w:ascii="Arial" w:hAnsi="Arial" w:cs="Arial"/>
                <w:szCs w:val="24"/>
              </w:rPr>
              <w:t>3.2.</w:t>
            </w:r>
            <w:r w:rsidR="00D44B45">
              <w:rPr>
                <w:rFonts w:ascii="Arial" w:hAnsi="Arial" w:cs="Arial"/>
                <w:szCs w:val="24"/>
              </w:rPr>
              <w:t>5</w:t>
            </w:r>
          </w:p>
        </w:tc>
        <w:tc>
          <w:tcPr>
            <w:tcW w:w="8647" w:type="dxa"/>
          </w:tcPr>
          <w:p w:rsidR="005F296B" w:rsidRDefault="005F296B" w:rsidP="005F296B">
            <w:pPr>
              <w:jc w:val="both"/>
              <w:rPr>
                <w:rFonts w:ascii="Arial" w:hAnsi="Arial" w:cs="Arial"/>
              </w:rPr>
            </w:pPr>
            <w:r w:rsidRPr="005F296B">
              <w:rPr>
                <w:rFonts w:ascii="Arial" w:hAnsi="Arial" w:cs="Arial"/>
              </w:rPr>
              <w:t>Quarter 4 has shown a</w:t>
            </w:r>
            <w:r>
              <w:rPr>
                <w:rFonts w:ascii="Arial" w:hAnsi="Arial" w:cs="Arial"/>
              </w:rPr>
              <w:t>n</w:t>
            </w:r>
            <w:r w:rsidRPr="005F296B">
              <w:rPr>
                <w:rFonts w:ascii="Arial" w:hAnsi="Arial" w:cs="Arial"/>
              </w:rPr>
              <w:t xml:space="preserve"> </w:t>
            </w:r>
            <w:r>
              <w:rPr>
                <w:rFonts w:ascii="Arial" w:hAnsi="Arial" w:cs="Arial"/>
              </w:rPr>
              <w:t>increase</w:t>
            </w:r>
            <w:r w:rsidRPr="005F296B">
              <w:rPr>
                <w:rFonts w:ascii="Arial" w:hAnsi="Arial" w:cs="Arial"/>
              </w:rPr>
              <w:t xml:space="preserve"> of 0.4</w:t>
            </w:r>
            <w:r>
              <w:rPr>
                <w:rFonts w:ascii="Arial" w:hAnsi="Arial" w:cs="Arial"/>
              </w:rPr>
              <w:t>3</w:t>
            </w:r>
            <w:r w:rsidRPr="005F296B">
              <w:rPr>
                <w:rFonts w:ascii="Arial" w:hAnsi="Arial" w:cs="Arial"/>
              </w:rPr>
              <w:t xml:space="preserve">% in the </w:t>
            </w:r>
            <w:r>
              <w:rPr>
                <w:rFonts w:ascii="Arial" w:hAnsi="Arial" w:cs="Arial"/>
              </w:rPr>
              <w:t>short</w:t>
            </w:r>
            <w:r w:rsidRPr="005F296B">
              <w:rPr>
                <w:rFonts w:ascii="Arial" w:hAnsi="Arial" w:cs="Arial"/>
              </w:rPr>
              <w:t xml:space="preserve"> term absence rate from previous quarter.</w:t>
            </w:r>
          </w:p>
          <w:p w:rsidR="00D44B45" w:rsidRDefault="00D44B45" w:rsidP="005F296B">
            <w:pPr>
              <w:jc w:val="both"/>
              <w:rPr>
                <w:rFonts w:ascii="Arial" w:eastAsia="Calibri" w:hAnsi="Arial" w:cs="Arial"/>
                <w:szCs w:val="24"/>
                <w:lang w:eastAsia="en-US"/>
              </w:rPr>
            </w:pPr>
          </w:p>
        </w:tc>
      </w:tr>
      <w:tr w:rsidR="00D44B45" w:rsidRPr="007214D1" w:rsidTr="00BA0979">
        <w:tc>
          <w:tcPr>
            <w:tcW w:w="817" w:type="dxa"/>
          </w:tcPr>
          <w:p w:rsidR="00D44B45" w:rsidRDefault="00D44B45" w:rsidP="00D44B45">
            <w:pPr>
              <w:rPr>
                <w:rFonts w:ascii="Arial" w:hAnsi="Arial" w:cs="Arial"/>
                <w:szCs w:val="24"/>
              </w:rPr>
            </w:pPr>
            <w:r>
              <w:rPr>
                <w:rFonts w:ascii="Arial" w:hAnsi="Arial" w:cs="Arial"/>
                <w:szCs w:val="24"/>
              </w:rPr>
              <w:t>3.2.6</w:t>
            </w:r>
          </w:p>
        </w:tc>
        <w:tc>
          <w:tcPr>
            <w:tcW w:w="8647" w:type="dxa"/>
          </w:tcPr>
          <w:p w:rsidR="00D44B45" w:rsidRDefault="00D44B45" w:rsidP="00D44B45">
            <w:pPr>
              <w:jc w:val="both"/>
              <w:rPr>
                <w:rFonts w:ascii="Arial" w:hAnsi="Arial" w:cs="Arial"/>
              </w:rPr>
            </w:pPr>
            <w:r>
              <w:rPr>
                <w:rFonts w:ascii="Arial" w:hAnsi="Arial" w:cs="Arial"/>
              </w:rPr>
              <w:t>Quarter 4 has shown an increase on 0.03% in the overall absence rate from the previous quarter.</w:t>
            </w:r>
          </w:p>
          <w:p w:rsidR="00D44B45" w:rsidRPr="005F296B" w:rsidRDefault="00D44B45" w:rsidP="00D44B45">
            <w:pPr>
              <w:jc w:val="both"/>
              <w:rPr>
                <w:rFonts w:ascii="Arial" w:hAnsi="Arial" w:cs="Arial"/>
              </w:rPr>
            </w:pPr>
          </w:p>
        </w:tc>
      </w:tr>
      <w:tr w:rsidR="00D71DD2" w:rsidRPr="007214D1" w:rsidTr="00BA0979">
        <w:tc>
          <w:tcPr>
            <w:tcW w:w="817" w:type="dxa"/>
          </w:tcPr>
          <w:p w:rsidR="00D71DD2" w:rsidRDefault="00D71DD2" w:rsidP="00D44B45">
            <w:pPr>
              <w:rPr>
                <w:rFonts w:ascii="Arial" w:hAnsi="Arial" w:cs="Arial"/>
                <w:szCs w:val="24"/>
              </w:rPr>
            </w:pPr>
            <w:r>
              <w:rPr>
                <w:rFonts w:ascii="Arial" w:hAnsi="Arial" w:cs="Arial"/>
                <w:szCs w:val="24"/>
              </w:rPr>
              <w:t>3.2.</w:t>
            </w:r>
            <w:r w:rsidR="00D44B45">
              <w:rPr>
                <w:rFonts w:ascii="Arial" w:hAnsi="Arial" w:cs="Arial"/>
                <w:szCs w:val="24"/>
              </w:rPr>
              <w:t>7</w:t>
            </w:r>
          </w:p>
        </w:tc>
        <w:tc>
          <w:tcPr>
            <w:tcW w:w="8647" w:type="dxa"/>
          </w:tcPr>
          <w:p w:rsidR="00D71DD2" w:rsidRDefault="00E1395A" w:rsidP="00C8333C">
            <w:pPr>
              <w:jc w:val="both"/>
              <w:rPr>
                <w:rFonts w:ascii="Arial" w:eastAsia="Calibri" w:hAnsi="Arial" w:cs="Arial"/>
                <w:szCs w:val="24"/>
                <w:lang w:eastAsia="en-US"/>
              </w:rPr>
            </w:pPr>
            <w:r>
              <w:rPr>
                <w:rFonts w:ascii="Arial" w:eastAsia="Calibri" w:hAnsi="Arial" w:cs="Arial"/>
                <w:szCs w:val="24"/>
                <w:lang w:eastAsia="en-US"/>
              </w:rPr>
              <w:t xml:space="preserve">The average sick days per employee up to the end of Quarter 4 were as </w:t>
            </w:r>
            <w:r>
              <w:rPr>
                <w:rFonts w:ascii="Arial" w:eastAsia="Calibri" w:hAnsi="Arial" w:cs="Arial"/>
                <w:szCs w:val="24"/>
                <w:lang w:eastAsia="en-US"/>
              </w:rPr>
              <w:lastRenderedPageBreak/>
              <w:t>follows:</w:t>
            </w:r>
          </w:p>
          <w:p w:rsidR="00DF462B" w:rsidRPr="009C1F2A" w:rsidRDefault="00DF462B" w:rsidP="00C8333C">
            <w:pPr>
              <w:jc w:val="both"/>
              <w:rPr>
                <w:rFonts w:ascii="Arial" w:eastAsia="Calibri" w:hAnsi="Arial" w:cs="Arial"/>
                <w:szCs w:val="24"/>
                <w:lang w:eastAsia="en-US"/>
              </w:rPr>
            </w:pPr>
          </w:p>
        </w:tc>
      </w:tr>
      <w:tr w:rsidR="00D71DD2" w:rsidRPr="007214D1" w:rsidTr="00DF462B">
        <w:trPr>
          <w:trHeight w:val="2979"/>
        </w:trPr>
        <w:tc>
          <w:tcPr>
            <w:tcW w:w="817" w:type="dxa"/>
          </w:tcPr>
          <w:p w:rsidR="00D71DD2" w:rsidRDefault="00D71DD2" w:rsidP="00416BFF">
            <w:pPr>
              <w:rPr>
                <w:rFonts w:ascii="Arial" w:hAnsi="Arial" w:cs="Arial"/>
                <w:szCs w:val="24"/>
              </w:rPr>
            </w:pPr>
          </w:p>
        </w:tc>
        <w:tc>
          <w:tcPr>
            <w:tcW w:w="8647"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1741"/>
              <w:gridCol w:w="1740"/>
              <w:gridCol w:w="1740"/>
              <w:gridCol w:w="1738"/>
            </w:tblGrid>
            <w:tr w:rsidR="00D71DD2" w:rsidRPr="009C1F2A" w:rsidTr="00870C15">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D71DD2" w:rsidRDefault="00E1395A" w:rsidP="00E1395A">
                  <w:pPr>
                    <w:spacing w:line="276" w:lineRule="auto"/>
                    <w:jc w:val="center"/>
                    <w:rPr>
                      <w:rFonts w:ascii="Arial" w:eastAsia="Calibri" w:hAnsi="Arial" w:cs="Arial"/>
                      <w:b/>
                      <w:bCs/>
                      <w:szCs w:val="24"/>
                    </w:rPr>
                  </w:pPr>
                  <w:r>
                    <w:rPr>
                      <w:rFonts w:ascii="Arial" w:eastAsia="Calibri" w:hAnsi="Arial" w:cs="Arial"/>
                      <w:b/>
                      <w:bCs/>
                      <w:szCs w:val="24"/>
                    </w:rPr>
                    <w:t>Average sick days per employee</w:t>
                  </w:r>
                </w:p>
                <w:p w:rsidR="00E1395A" w:rsidRPr="009C1F2A" w:rsidRDefault="00E1395A" w:rsidP="00E1395A">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D71DD2" w:rsidRPr="009C1F2A" w:rsidRDefault="00D71DD2" w:rsidP="00870C15">
                  <w:pPr>
                    <w:spacing w:line="276" w:lineRule="auto"/>
                    <w:jc w:val="center"/>
                    <w:rPr>
                      <w:rFonts w:ascii="Arial" w:eastAsia="Calibri" w:hAnsi="Arial" w:cs="Arial"/>
                      <w:b/>
                      <w:bCs/>
                      <w:szCs w:val="24"/>
                    </w:rPr>
                  </w:pPr>
                </w:p>
                <w:p w:rsidR="00D71DD2" w:rsidRPr="009C1F2A" w:rsidRDefault="00D71DD2" w:rsidP="00870C15">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D71DD2"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00D71DD2" w:rsidRPr="009C1F2A">
                    <w:rPr>
                      <w:rFonts w:ascii="Arial" w:eastAsia="Calibri" w:hAnsi="Arial" w:cs="Arial"/>
                      <w:b/>
                      <w:bCs/>
                      <w:szCs w:val="24"/>
                    </w:rPr>
                    <w:t>Apr</w:t>
                  </w:r>
                  <w:r>
                    <w:rPr>
                      <w:rFonts w:ascii="Arial" w:eastAsia="Calibri" w:hAnsi="Arial" w:cs="Arial"/>
                      <w:b/>
                      <w:bCs/>
                      <w:szCs w:val="24"/>
                    </w:rPr>
                    <w:t>–</w:t>
                  </w:r>
                  <w:r w:rsidR="00D71DD2"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D71DD2" w:rsidRPr="009C1F2A" w:rsidRDefault="00D71DD2" w:rsidP="00870C15">
                  <w:pPr>
                    <w:spacing w:line="276" w:lineRule="auto"/>
                    <w:jc w:val="center"/>
                    <w:rPr>
                      <w:rFonts w:ascii="Arial" w:eastAsia="Calibri" w:hAnsi="Arial" w:cs="Arial"/>
                      <w:b/>
                      <w:bCs/>
                      <w:szCs w:val="24"/>
                    </w:rPr>
                  </w:pPr>
                </w:p>
                <w:p w:rsidR="00D71DD2" w:rsidRPr="009C1F2A" w:rsidRDefault="00D71DD2" w:rsidP="00870C15">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D71DD2"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00D71DD2" w:rsidRPr="009C1F2A">
                    <w:rPr>
                      <w:rFonts w:ascii="Arial" w:eastAsia="Calibri" w:hAnsi="Arial" w:cs="Arial"/>
                      <w:b/>
                      <w:bCs/>
                      <w:szCs w:val="24"/>
                    </w:rPr>
                    <w:t>Jul</w:t>
                  </w:r>
                  <w:r>
                    <w:rPr>
                      <w:rFonts w:ascii="Arial" w:eastAsia="Calibri" w:hAnsi="Arial" w:cs="Arial"/>
                      <w:b/>
                      <w:bCs/>
                      <w:szCs w:val="24"/>
                    </w:rPr>
                    <w:t>–</w:t>
                  </w:r>
                  <w:r w:rsidR="00D71DD2"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D71DD2" w:rsidRPr="009C1F2A" w:rsidRDefault="00D71DD2" w:rsidP="00870C15">
                  <w:pPr>
                    <w:spacing w:line="276" w:lineRule="auto"/>
                    <w:jc w:val="center"/>
                    <w:rPr>
                      <w:rFonts w:ascii="Arial" w:eastAsia="Calibri" w:hAnsi="Arial" w:cs="Arial"/>
                      <w:b/>
                      <w:bCs/>
                      <w:szCs w:val="24"/>
                    </w:rPr>
                  </w:pPr>
                </w:p>
                <w:p w:rsidR="00D71DD2" w:rsidRPr="009C1F2A" w:rsidRDefault="00D71DD2" w:rsidP="00870C15">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D71DD2"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00D71DD2" w:rsidRPr="009C1F2A">
                    <w:rPr>
                      <w:rFonts w:ascii="Arial" w:eastAsia="Calibri" w:hAnsi="Arial" w:cs="Arial"/>
                      <w:b/>
                      <w:bCs/>
                      <w:szCs w:val="24"/>
                    </w:rPr>
                    <w:t>Oct</w:t>
                  </w:r>
                  <w:r>
                    <w:rPr>
                      <w:rFonts w:ascii="Arial" w:eastAsia="Calibri" w:hAnsi="Arial" w:cs="Arial"/>
                      <w:b/>
                      <w:bCs/>
                      <w:szCs w:val="24"/>
                    </w:rPr>
                    <w:t>–</w:t>
                  </w:r>
                  <w:r w:rsidR="00D71DD2"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D71DD2" w:rsidRPr="009C1F2A" w:rsidRDefault="00D71DD2" w:rsidP="00870C15">
                  <w:pPr>
                    <w:spacing w:line="276" w:lineRule="auto"/>
                    <w:jc w:val="center"/>
                    <w:rPr>
                      <w:rFonts w:ascii="Arial" w:eastAsia="Calibri" w:hAnsi="Arial" w:cs="Arial"/>
                      <w:b/>
                      <w:bCs/>
                      <w:szCs w:val="24"/>
                    </w:rPr>
                  </w:pPr>
                </w:p>
                <w:p w:rsidR="00D71DD2" w:rsidRPr="009C1F2A" w:rsidRDefault="00D71DD2" w:rsidP="00870C15">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D71DD2"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00D71DD2" w:rsidRPr="009C1F2A">
                    <w:rPr>
                      <w:rFonts w:ascii="Arial" w:eastAsia="Calibri" w:hAnsi="Arial" w:cs="Arial"/>
                      <w:b/>
                      <w:bCs/>
                      <w:szCs w:val="24"/>
                    </w:rPr>
                    <w:t>Jan</w:t>
                  </w:r>
                  <w:r>
                    <w:rPr>
                      <w:rFonts w:ascii="Arial" w:eastAsia="Calibri" w:hAnsi="Arial" w:cs="Arial"/>
                      <w:b/>
                      <w:bCs/>
                      <w:szCs w:val="24"/>
                    </w:rPr>
                    <w:t>–</w:t>
                  </w:r>
                  <w:r w:rsidR="00D71DD2" w:rsidRPr="009C1F2A">
                    <w:rPr>
                      <w:rFonts w:ascii="Arial" w:eastAsia="Calibri" w:hAnsi="Arial" w:cs="Arial"/>
                      <w:b/>
                      <w:bCs/>
                      <w:szCs w:val="24"/>
                    </w:rPr>
                    <w:t>Mar</w:t>
                  </w:r>
                  <w:r>
                    <w:rPr>
                      <w:rFonts w:ascii="Arial" w:eastAsia="Calibri" w:hAnsi="Arial" w:cs="Arial"/>
                      <w:b/>
                      <w:bCs/>
                      <w:szCs w:val="24"/>
                    </w:rPr>
                    <w:t>)</w:t>
                  </w:r>
                </w:p>
              </w:tc>
            </w:tr>
            <w:tr w:rsidR="00E1395A" w:rsidRPr="009C1F2A" w:rsidTr="004120A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E1395A" w:rsidRPr="009C1F2A" w:rsidRDefault="00E1395A" w:rsidP="004120A6">
                  <w:pPr>
                    <w:jc w:val="center"/>
                    <w:rPr>
                      <w:rFonts w:ascii="Arial" w:eastAsia="Calibri" w:hAnsi="Arial" w:cs="Arial"/>
                      <w:b/>
                      <w:bCs/>
                      <w:szCs w:val="24"/>
                    </w:rPr>
                  </w:pPr>
                  <w:r>
                    <w:rPr>
                      <w:rFonts w:ascii="Arial" w:eastAsia="Calibri" w:hAnsi="Arial" w:cs="Arial"/>
                      <w:b/>
                      <w:bCs/>
                      <w:szCs w:val="24"/>
                    </w:rPr>
                    <w:t>2015/16</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4120A6">
                  <w:pPr>
                    <w:jc w:val="center"/>
                    <w:rPr>
                      <w:rFonts w:ascii="Arial" w:eastAsia="Calibri" w:hAnsi="Arial" w:cs="Arial"/>
                      <w:szCs w:val="24"/>
                    </w:rPr>
                  </w:pPr>
                  <w:r>
                    <w:rPr>
                      <w:rFonts w:ascii="Arial" w:eastAsia="Calibri" w:hAnsi="Arial" w:cs="Arial"/>
                      <w:szCs w:val="24"/>
                    </w:rPr>
                    <w:t>1.51</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4120A6">
                  <w:pPr>
                    <w:jc w:val="center"/>
                    <w:rPr>
                      <w:rFonts w:ascii="Arial" w:eastAsia="Calibri" w:hAnsi="Arial" w:cs="Arial"/>
                      <w:szCs w:val="24"/>
                    </w:rPr>
                  </w:pPr>
                  <w:r>
                    <w:rPr>
                      <w:rFonts w:ascii="Arial" w:eastAsia="Calibri" w:hAnsi="Arial" w:cs="Arial"/>
                      <w:szCs w:val="24"/>
                    </w:rPr>
                    <w:t>1.83</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4120A6">
                  <w:pPr>
                    <w:jc w:val="center"/>
                    <w:rPr>
                      <w:rFonts w:ascii="Arial" w:eastAsia="Calibri" w:hAnsi="Arial" w:cs="Arial"/>
                      <w:szCs w:val="24"/>
                    </w:rPr>
                  </w:pPr>
                  <w:r>
                    <w:rPr>
                      <w:rFonts w:ascii="Arial" w:eastAsia="Calibri" w:hAnsi="Arial" w:cs="Arial"/>
                      <w:szCs w:val="24"/>
                    </w:rPr>
                    <w:t>2.1</w:t>
                  </w:r>
                  <w:r w:rsidR="004120A6">
                    <w:rPr>
                      <w:rFonts w:ascii="Arial" w:eastAsia="Calibri" w:hAnsi="Arial" w:cs="Arial"/>
                      <w:szCs w:val="24"/>
                    </w:rPr>
                    <w:t>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4120A6">
                  <w:pPr>
                    <w:jc w:val="center"/>
                    <w:rPr>
                      <w:rFonts w:ascii="Arial" w:eastAsia="Calibri" w:hAnsi="Arial" w:cs="Arial"/>
                      <w:szCs w:val="24"/>
                    </w:rPr>
                  </w:pPr>
                  <w:r>
                    <w:rPr>
                      <w:rFonts w:ascii="Arial" w:eastAsia="Calibri" w:hAnsi="Arial" w:cs="Arial"/>
                      <w:szCs w:val="24"/>
                    </w:rPr>
                    <w:t>2.48</w:t>
                  </w:r>
                </w:p>
              </w:tc>
            </w:tr>
            <w:tr w:rsidR="00D71DD2" w:rsidRPr="009C1F2A" w:rsidTr="004120A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D71DD2" w:rsidRPr="009C1F2A" w:rsidRDefault="00D71DD2" w:rsidP="004120A6">
                  <w:pPr>
                    <w:spacing w:line="276" w:lineRule="auto"/>
                    <w:jc w:val="center"/>
                    <w:rPr>
                      <w:rFonts w:ascii="Arial" w:eastAsia="Calibri" w:hAnsi="Arial" w:cs="Arial"/>
                      <w:b/>
                      <w:bCs/>
                      <w:szCs w:val="24"/>
                    </w:rPr>
                  </w:pPr>
                  <w:r w:rsidRPr="009C1F2A">
                    <w:rPr>
                      <w:rFonts w:ascii="Arial" w:eastAsia="Calibri" w:hAnsi="Arial" w:cs="Arial"/>
                      <w:b/>
                      <w:bCs/>
                      <w:szCs w:val="24"/>
                    </w:rPr>
                    <w:t>2016/17</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1DD2" w:rsidRPr="00240268" w:rsidRDefault="00D71DD2" w:rsidP="004120A6">
                  <w:pPr>
                    <w:spacing w:line="276" w:lineRule="auto"/>
                    <w:jc w:val="center"/>
                    <w:rPr>
                      <w:rFonts w:ascii="Arial" w:eastAsia="Calibri" w:hAnsi="Arial" w:cs="Arial"/>
                      <w:szCs w:val="24"/>
                    </w:rPr>
                  </w:pPr>
                  <w:r w:rsidRPr="00240268">
                    <w:rPr>
                      <w:rFonts w:ascii="Arial" w:eastAsia="Calibri" w:hAnsi="Arial" w:cs="Arial"/>
                      <w:szCs w:val="24"/>
                    </w:rPr>
                    <w:t>2.30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1DD2" w:rsidRPr="009C1F2A" w:rsidRDefault="00D71DD2" w:rsidP="004120A6">
                  <w:pPr>
                    <w:spacing w:line="276" w:lineRule="auto"/>
                    <w:jc w:val="center"/>
                    <w:rPr>
                      <w:rFonts w:ascii="Arial" w:eastAsia="Calibri" w:hAnsi="Arial" w:cs="Arial"/>
                      <w:szCs w:val="24"/>
                    </w:rPr>
                  </w:pPr>
                  <w:r w:rsidRPr="009C1F2A">
                    <w:rPr>
                      <w:rFonts w:ascii="Arial" w:eastAsia="Calibri" w:hAnsi="Arial" w:cs="Arial"/>
                      <w:szCs w:val="24"/>
                    </w:rPr>
                    <w:t>2.04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D71DD2" w:rsidP="004120A6">
                  <w:pPr>
                    <w:spacing w:line="276" w:lineRule="auto"/>
                    <w:jc w:val="center"/>
                    <w:rPr>
                      <w:rFonts w:ascii="Arial" w:eastAsia="Calibri" w:hAnsi="Arial" w:cs="Arial"/>
                      <w:szCs w:val="24"/>
                    </w:rPr>
                  </w:pPr>
                  <w:r w:rsidRPr="009C1F2A">
                    <w:rPr>
                      <w:rFonts w:ascii="Arial" w:eastAsia="Calibri" w:hAnsi="Arial" w:cs="Arial"/>
                      <w:szCs w:val="24"/>
                    </w:rPr>
                    <w:t>1.96</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D71DD2" w:rsidP="004120A6">
                  <w:pPr>
                    <w:spacing w:line="276" w:lineRule="auto"/>
                    <w:jc w:val="center"/>
                    <w:rPr>
                      <w:rFonts w:ascii="Arial" w:eastAsia="Calibri" w:hAnsi="Arial" w:cs="Arial"/>
                      <w:szCs w:val="24"/>
                    </w:rPr>
                  </w:pPr>
                  <w:r w:rsidRPr="009C1F2A">
                    <w:rPr>
                      <w:rFonts w:ascii="Arial" w:eastAsia="Calibri" w:hAnsi="Arial" w:cs="Arial"/>
                      <w:szCs w:val="24"/>
                    </w:rPr>
                    <w:t>2.49</w:t>
                  </w:r>
                </w:p>
              </w:tc>
            </w:tr>
            <w:tr w:rsidR="00D71DD2" w:rsidRPr="009C1F2A" w:rsidTr="004120A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D71DD2" w:rsidRPr="009C1F2A" w:rsidRDefault="00D71DD2" w:rsidP="004120A6">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D71DD2" w:rsidP="004120A6">
                  <w:pPr>
                    <w:spacing w:line="276" w:lineRule="auto"/>
                    <w:jc w:val="center"/>
                    <w:rPr>
                      <w:rFonts w:ascii="Arial" w:eastAsia="Calibri" w:hAnsi="Arial" w:cs="Arial"/>
                      <w:szCs w:val="24"/>
                    </w:rPr>
                  </w:pPr>
                  <w:r w:rsidRPr="009C1F2A">
                    <w:rPr>
                      <w:rFonts w:ascii="Arial" w:eastAsia="Calibri" w:hAnsi="Arial" w:cs="Arial"/>
                      <w:szCs w:val="24"/>
                    </w:rPr>
                    <w:t>2.30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D71DD2" w:rsidP="004120A6">
                  <w:pPr>
                    <w:spacing w:line="276" w:lineRule="auto"/>
                    <w:jc w:val="center"/>
                    <w:rPr>
                      <w:rFonts w:ascii="Arial" w:eastAsia="Calibri" w:hAnsi="Arial" w:cs="Arial"/>
                      <w:szCs w:val="24"/>
                    </w:rPr>
                  </w:pPr>
                  <w:r w:rsidRPr="009C1F2A">
                    <w:rPr>
                      <w:rFonts w:ascii="Arial" w:eastAsia="Calibri" w:hAnsi="Arial" w:cs="Arial"/>
                      <w:szCs w:val="24"/>
                    </w:rPr>
                    <w:t>2.17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D71DD2" w:rsidP="004120A6">
                  <w:pPr>
                    <w:spacing w:line="276" w:lineRule="auto"/>
                    <w:jc w:val="center"/>
                    <w:rPr>
                      <w:rFonts w:ascii="Arial" w:eastAsia="Calibri" w:hAnsi="Arial" w:cs="Arial"/>
                      <w:szCs w:val="24"/>
                    </w:rPr>
                  </w:pPr>
                  <w:r w:rsidRPr="009C1F2A">
                    <w:rPr>
                      <w:rFonts w:ascii="Arial" w:eastAsia="Calibri" w:hAnsi="Arial" w:cs="Arial"/>
                      <w:szCs w:val="24"/>
                    </w:rPr>
                    <w:t>2.39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71DD2" w:rsidRPr="009C1F2A" w:rsidRDefault="00D71DD2" w:rsidP="004120A6">
                  <w:pPr>
                    <w:spacing w:line="276" w:lineRule="auto"/>
                    <w:jc w:val="center"/>
                    <w:rPr>
                      <w:rFonts w:ascii="Arial" w:eastAsia="Calibri" w:hAnsi="Arial" w:cs="Arial"/>
                      <w:szCs w:val="24"/>
                    </w:rPr>
                  </w:pPr>
                  <w:r>
                    <w:rPr>
                      <w:rFonts w:ascii="Arial" w:eastAsia="Calibri" w:hAnsi="Arial" w:cs="Arial"/>
                      <w:szCs w:val="24"/>
                    </w:rPr>
                    <w:t>2.53</w:t>
                  </w:r>
                </w:p>
              </w:tc>
            </w:tr>
          </w:tbl>
          <w:p w:rsidR="00D71DD2" w:rsidRPr="009C1F2A" w:rsidRDefault="00D71DD2" w:rsidP="00C8333C">
            <w:pPr>
              <w:jc w:val="both"/>
              <w:rPr>
                <w:rFonts w:ascii="Arial" w:eastAsia="Calibri" w:hAnsi="Arial" w:cs="Arial"/>
                <w:szCs w:val="24"/>
                <w:lang w:eastAsia="en-US"/>
              </w:rPr>
            </w:pPr>
          </w:p>
        </w:tc>
      </w:tr>
      <w:tr w:rsidR="00DF462B" w:rsidRPr="007214D1" w:rsidTr="00DF462B">
        <w:trPr>
          <w:trHeight w:val="426"/>
        </w:trPr>
        <w:tc>
          <w:tcPr>
            <w:tcW w:w="817" w:type="dxa"/>
          </w:tcPr>
          <w:p w:rsidR="00DF462B" w:rsidRDefault="00DF462B" w:rsidP="00416BFF">
            <w:pPr>
              <w:rPr>
                <w:rFonts w:ascii="Arial" w:hAnsi="Arial" w:cs="Arial"/>
                <w:szCs w:val="24"/>
              </w:rPr>
            </w:pPr>
            <w:r>
              <w:rPr>
                <w:rFonts w:ascii="Arial" w:hAnsi="Arial" w:cs="Arial"/>
                <w:szCs w:val="24"/>
              </w:rPr>
              <w:t>3.2</w:t>
            </w:r>
            <w:r w:rsidR="00D44B45">
              <w:rPr>
                <w:rFonts w:ascii="Arial" w:hAnsi="Arial" w:cs="Arial"/>
                <w:szCs w:val="24"/>
              </w:rPr>
              <w:t>.</w:t>
            </w:r>
            <w:r w:rsidR="00C84BD3">
              <w:rPr>
                <w:rFonts w:ascii="Arial" w:hAnsi="Arial" w:cs="Arial"/>
                <w:szCs w:val="24"/>
              </w:rPr>
              <w:t>8</w:t>
            </w:r>
          </w:p>
          <w:p w:rsidR="00DF462B" w:rsidRDefault="00DF462B" w:rsidP="00416BFF">
            <w:pPr>
              <w:rPr>
                <w:rFonts w:ascii="Arial" w:hAnsi="Arial" w:cs="Arial"/>
                <w:szCs w:val="24"/>
              </w:rPr>
            </w:pPr>
          </w:p>
        </w:tc>
        <w:tc>
          <w:tcPr>
            <w:tcW w:w="8647" w:type="dxa"/>
          </w:tcPr>
          <w:p w:rsidR="00DF462B" w:rsidRDefault="00383500" w:rsidP="00D44B45">
            <w:pPr>
              <w:spacing w:line="276" w:lineRule="auto"/>
              <w:rPr>
                <w:rFonts w:ascii="Arial" w:eastAsia="Calibri" w:hAnsi="Arial" w:cs="Arial"/>
                <w:bCs/>
                <w:szCs w:val="24"/>
              </w:rPr>
            </w:pPr>
            <w:r>
              <w:rPr>
                <w:rFonts w:ascii="Arial" w:eastAsia="Calibri" w:hAnsi="Arial" w:cs="Arial"/>
                <w:bCs/>
                <w:szCs w:val="24"/>
              </w:rPr>
              <w:t>The average sick days/FTE</w:t>
            </w:r>
            <w:r w:rsidR="00D44B45" w:rsidRPr="00D44B45">
              <w:rPr>
                <w:rFonts w:ascii="Arial" w:eastAsia="Calibri" w:hAnsi="Arial" w:cs="Arial"/>
                <w:bCs/>
                <w:szCs w:val="24"/>
              </w:rPr>
              <w:t xml:space="preserve"> per employee has shown an increase of 0.14 days from the previous quarter</w:t>
            </w:r>
            <w:r w:rsidR="00D44B45">
              <w:rPr>
                <w:rFonts w:ascii="Arial" w:eastAsia="Calibri" w:hAnsi="Arial" w:cs="Arial"/>
                <w:bCs/>
                <w:szCs w:val="24"/>
              </w:rPr>
              <w:t>.</w:t>
            </w:r>
          </w:p>
          <w:p w:rsidR="00D44B45" w:rsidRPr="00D44B45" w:rsidRDefault="00D44B45" w:rsidP="00D44B45">
            <w:pPr>
              <w:spacing w:line="276" w:lineRule="auto"/>
              <w:rPr>
                <w:rFonts w:ascii="Arial" w:eastAsia="Calibri" w:hAnsi="Arial" w:cs="Arial"/>
                <w:bCs/>
                <w:szCs w:val="24"/>
              </w:rPr>
            </w:pPr>
          </w:p>
        </w:tc>
      </w:tr>
      <w:tr w:rsidR="006F5801" w:rsidRPr="007214D1" w:rsidTr="009C1F2A">
        <w:trPr>
          <w:trHeight w:val="80"/>
        </w:trPr>
        <w:tc>
          <w:tcPr>
            <w:tcW w:w="817" w:type="dxa"/>
          </w:tcPr>
          <w:p w:rsidR="006F5801" w:rsidRDefault="006F5801" w:rsidP="00416BFF">
            <w:pPr>
              <w:rPr>
                <w:rFonts w:ascii="Arial" w:hAnsi="Arial" w:cs="Arial"/>
                <w:szCs w:val="24"/>
              </w:rPr>
            </w:pPr>
            <w:r>
              <w:rPr>
                <w:rFonts w:ascii="Arial" w:hAnsi="Arial" w:cs="Arial"/>
                <w:szCs w:val="24"/>
              </w:rPr>
              <w:t>3.2.</w:t>
            </w:r>
            <w:r w:rsidR="00C84BD3">
              <w:rPr>
                <w:rFonts w:ascii="Arial" w:hAnsi="Arial" w:cs="Arial"/>
                <w:szCs w:val="24"/>
              </w:rPr>
              <w:t>9</w:t>
            </w:r>
          </w:p>
          <w:p w:rsidR="00E11B89" w:rsidRDefault="00E11B89" w:rsidP="00416BFF">
            <w:pPr>
              <w:rPr>
                <w:rFonts w:ascii="Arial" w:hAnsi="Arial" w:cs="Arial"/>
                <w:szCs w:val="24"/>
              </w:rPr>
            </w:pPr>
          </w:p>
          <w:p w:rsidR="00344849" w:rsidRDefault="00344849" w:rsidP="00416BFF">
            <w:pPr>
              <w:rPr>
                <w:rFonts w:ascii="Arial" w:hAnsi="Arial" w:cs="Arial"/>
                <w:szCs w:val="24"/>
              </w:rPr>
            </w:pPr>
          </w:p>
          <w:p w:rsidR="00D44B45" w:rsidRDefault="00D44B45" w:rsidP="00416BFF">
            <w:pPr>
              <w:rPr>
                <w:rFonts w:ascii="Arial" w:hAnsi="Arial" w:cs="Arial"/>
                <w:szCs w:val="24"/>
              </w:rPr>
            </w:pPr>
          </w:p>
          <w:p w:rsidR="007B64B5" w:rsidRPr="007214D1" w:rsidRDefault="007B64B5" w:rsidP="00D44B45">
            <w:pPr>
              <w:rPr>
                <w:rFonts w:ascii="Arial" w:hAnsi="Arial" w:cs="Arial"/>
                <w:szCs w:val="24"/>
              </w:rPr>
            </w:pPr>
          </w:p>
        </w:tc>
        <w:tc>
          <w:tcPr>
            <w:tcW w:w="8647" w:type="dxa"/>
          </w:tcPr>
          <w:p w:rsidR="00E45F94" w:rsidRPr="009C1F2A" w:rsidRDefault="00D230BF" w:rsidP="00E75F39">
            <w:pPr>
              <w:jc w:val="both"/>
              <w:rPr>
                <w:rFonts w:ascii="Arial" w:eastAsia="Calibri" w:hAnsi="Arial" w:cs="Arial"/>
                <w:szCs w:val="24"/>
                <w:lang w:eastAsia="en-US"/>
              </w:rPr>
            </w:pPr>
            <w:r w:rsidRPr="009C1F2A">
              <w:rPr>
                <w:rFonts w:ascii="Arial" w:eastAsia="Calibri" w:hAnsi="Arial" w:cs="Arial"/>
                <w:szCs w:val="24"/>
                <w:lang w:eastAsia="en-US"/>
              </w:rPr>
              <w:t>With the s</w:t>
            </w:r>
            <w:r w:rsidR="00CE68AE" w:rsidRPr="009C1F2A">
              <w:rPr>
                <w:rFonts w:ascii="Arial" w:eastAsia="Calibri" w:hAnsi="Arial" w:cs="Arial"/>
                <w:szCs w:val="24"/>
                <w:lang w:eastAsia="en-US"/>
              </w:rPr>
              <w:t xml:space="preserve">upport of HR, </w:t>
            </w:r>
            <w:r w:rsidRPr="009C1F2A">
              <w:rPr>
                <w:rFonts w:ascii="Arial" w:eastAsia="Calibri" w:hAnsi="Arial" w:cs="Arial"/>
                <w:szCs w:val="24"/>
                <w:lang w:eastAsia="en-US"/>
              </w:rPr>
              <w:t>i</w:t>
            </w:r>
            <w:r w:rsidR="009C7634" w:rsidRPr="009C1F2A">
              <w:rPr>
                <w:rFonts w:ascii="Arial" w:eastAsia="Calibri" w:hAnsi="Arial" w:cs="Arial"/>
                <w:szCs w:val="24"/>
                <w:lang w:eastAsia="en-US"/>
              </w:rPr>
              <w:t>ndividual</w:t>
            </w:r>
            <w:r w:rsidR="00CE68AE" w:rsidRPr="009C1F2A">
              <w:rPr>
                <w:rFonts w:ascii="Arial" w:eastAsia="Calibri" w:hAnsi="Arial" w:cs="Arial"/>
                <w:szCs w:val="24"/>
                <w:lang w:eastAsia="en-US"/>
              </w:rPr>
              <w:t xml:space="preserve"> line managers</w:t>
            </w:r>
            <w:r w:rsidR="000E0C6D" w:rsidRPr="009C1F2A">
              <w:rPr>
                <w:rFonts w:ascii="Arial" w:eastAsia="Calibri" w:hAnsi="Arial" w:cs="Arial"/>
                <w:szCs w:val="24"/>
                <w:lang w:eastAsia="en-US"/>
              </w:rPr>
              <w:t xml:space="preserve"> identify </w:t>
            </w:r>
            <w:r w:rsidR="009C1F2A">
              <w:rPr>
                <w:rFonts w:ascii="Arial" w:eastAsia="Calibri" w:hAnsi="Arial" w:cs="Arial"/>
                <w:szCs w:val="24"/>
                <w:lang w:eastAsia="en-US"/>
              </w:rPr>
              <w:t xml:space="preserve">attendance management issues </w:t>
            </w:r>
            <w:r w:rsidR="00141185" w:rsidRPr="009C1F2A">
              <w:rPr>
                <w:rFonts w:ascii="Arial" w:eastAsia="Calibri" w:hAnsi="Arial" w:cs="Arial"/>
                <w:szCs w:val="24"/>
                <w:lang w:eastAsia="en-US"/>
              </w:rPr>
              <w:t xml:space="preserve">which </w:t>
            </w:r>
            <w:r w:rsidR="009C1F2A">
              <w:rPr>
                <w:rFonts w:ascii="Arial" w:eastAsia="Calibri" w:hAnsi="Arial" w:cs="Arial"/>
                <w:szCs w:val="24"/>
                <w:lang w:eastAsia="en-US"/>
              </w:rPr>
              <w:t>may</w:t>
            </w:r>
            <w:r w:rsidR="00E45F94" w:rsidRPr="009C1F2A">
              <w:rPr>
                <w:rFonts w:ascii="Arial" w:eastAsia="Calibri" w:hAnsi="Arial" w:cs="Arial"/>
                <w:szCs w:val="24"/>
                <w:lang w:eastAsia="en-US"/>
              </w:rPr>
              <w:t xml:space="preserve"> require support and assistance</w:t>
            </w:r>
            <w:r w:rsidR="009C1F2A">
              <w:rPr>
                <w:rFonts w:ascii="Arial" w:eastAsia="Calibri" w:hAnsi="Arial" w:cs="Arial"/>
                <w:szCs w:val="24"/>
                <w:lang w:eastAsia="en-US"/>
              </w:rPr>
              <w:t xml:space="preserve"> through measures</w:t>
            </w:r>
            <w:r w:rsidR="00E45F94" w:rsidRPr="009C1F2A">
              <w:rPr>
                <w:rFonts w:ascii="Arial" w:eastAsia="Calibri" w:hAnsi="Arial" w:cs="Arial"/>
                <w:szCs w:val="24"/>
                <w:lang w:eastAsia="en-US"/>
              </w:rPr>
              <w:t xml:space="preserve"> such as referral to occupational health</w:t>
            </w:r>
            <w:r w:rsidR="009C1F2A">
              <w:rPr>
                <w:rFonts w:ascii="Arial" w:eastAsia="Calibri" w:hAnsi="Arial" w:cs="Arial"/>
                <w:szCs w:val="24"/>
                <w:lang w:eastAsia="en-US"/>
              </w:rPr>
              <w:t xml:space="preserve">, </w:t>
            </w:r>
            <w:r w:rsidR="000E0C6D" w:rsidRPr="009C1F2A">
              <w:rPr>
                <w:rFonts w:ascii="Arial" w:eastAsia="Calibri" w:hAnsi="Arial" w:cs="Arial"/>
                <w:szCs w:val="24"/>
                <w:lang w:eastAsia="en-US"/>
              </w:rPr>
              <w:t>counselling</w:t>
            </w:r>
            <w:r w:rsidR="009C1F2A">
              <w:rPr>
                <w:rFonts w:ascii="Arial" w:eastAsia="Calibri" w:hAnsi="Arial" w:cs="Arial"/>
                <w:szCs w:val="24"/>
                <w:lang w:eastAsia="en-US"/>
              </w:rPr>
              <w:t>, in-situ support/confidante</w:t>
            </w:r>
            <w:r w:rsidR="000E0C6D" w:rsidRPr="009C1F2A">
              <w:rPr>
                <w:rFonts w:ascii="Arial" w:eastAsia="Calibri" w:hAnsi="Arial" w:cs="Arial"/>
                <w:szCs w:val="24"/>
                <w:lang w:eastAsia="en-US"/>
              </w:rPr>
              <w:t>.</w:t>
            </w:r>
            <w:r w:rsidR="00E45F94" w:rsidRPr="009C1F2A">
              <w:rPr>
                <w:rFonts w:ascii="Arial" w:eastAsia="Calibri" w:hAnsi="Arial" w:cs="Arial"/>
                <w:szCs w:val="24"/>
                <w:lang w:eastAsia="en-US"/>
              </w:rPr>
              <w:t xml:space="preserve"> </w:t>
            </w:r>
          </w:p>
          <w:p w:rsidR="00465229" w:rsidRPr="009C1F2A" w:rsidRDefault="00465229" w:rsidP="0060608D">
            <w:pPr>
              <w:jc w:val="both"/>
              <w:rPr>
                <w:rFonts w:ascii="Arial" w:hAnsi="Arial" w:cs="Arial"/>
                <w:szCs w:val="24"/>
              </w:rPr>
            </w:pPr>
          </w:p>
        </w:tc>
      </w:tr>
      <w:tr w:rsidR="00D44B45" w:rsidRPr="007214D1" w:rsidTr="009C1F2A">
        <w:trPr>
          <w:trHeight w:val="80"/>
        </w:trPr>
        <w:tc>
          <w:tcPr>
            <w:tcW w:w="817" w:type="dxa"/>
          </w:tcPr>
          <w:p w:rsidR="00D44B45" w:rsidRDefault="00D44B45" w:rsidP="00416BFF">
            <w:pPr>
              <w:rPr>
                <w:rFonts w:ascii="Arial" w:hAnsi="Arial" w:cs="Arial"/>
                <w:szCs w:val="24"/>
              </w:rPr>
            </w:pPr>
            <w:r>
              <w:rPr>
                <w:rFonts w:ascii="Arial" w:hAnsi="Arial" w:cs="Arial"/>
                <w:szCs w:val="24"/>
              </w:rPr>
              <w:t>3.3</w:t>
            </w:r>
          </w:p>
          <w:p w:rsidR="00D44B45" w:rsidRDefault="00D44B45" w:rsidP="00416BFF">
            <w:pPr>
              <w:rPr>
                <w:rFonts w:ascii="Arial" w:hAnsi="Arial" w:cs="Arial"/>
                <w:szCs w:val="24"/>
              </w:rPr>
            </w:pPr>
          </w:p>
          <w:p w:rsidR="00D44B45" w:rsidRDefault="00D44B45" w:rsidP="00416BFF">
            <w:pPr>
              <w:rPr>
                <w:rFonts w:ascii="Arial" w:hAnsi="Arial" w:cs="Arial"/>
                <w:szCs w:val="24"/>
              </w:rPr>
            </w:pPr>
          </w:p>
          <w:p w:rsidR="00D44B45" w:rsidRDefault="00D44B45" w:rsidP="00416BFF">
            <w:pPr>
              <w:rPr>
                <w:rFonts w:ascii="Arial" w:hAnsi="Arial" w:cs="Arial"/>
                <w:szCs w:val="24"/>
              </w:rPr>
            </w:pPr>
          </w:p>
          <w:p w:rsidR="00D44B45" w:rsidRDefault="00D44B45" w:rsidP="00416BFF">
            <w:pPr>
              <w:rPr>
                <w:rFonts w:ascii="Arial" w:hAnsi="Arial" w:cs="Arial"/>
                <w:szCs w:val="24"/>
              </w:rPr>
            </w:pPr>
          </w:p>
          <w:p w:rsidR="00D44B45" w:rsidRDefault="00D44B45" w:rsidP="00416BFF">
            <w:pPr>
              <w:rPr>
                <w:rFonts w:ascii="Arial" w:hAnsi="Arial" w:cs="Arial"/>
                <w:szCs w:val="24"/>
              </w:rPr>
            </w:pPr>
            <w:r>
              <w:rPr>
                <w:rFonts w:ascii="Arial" w:hAnsi="Arial" w:cs="Arial"/>
                <w:szCs w:val="24"/>
              </w:rPr>
              <w:t>3.4</w:t>
            </w:r>
          </w:p>
          <w:p w:rsidR="00D44B45" w:rsidRDefault="00D44B45" w:rsidP="00416BFF">
            <w:pPr>
              <w:rPr>
                <w:rFonts w:ascii="Arial" w:hAnsi="Arial" w:cs="Arial"/>
                <w:szCs w:val="24"/>
              </w:rPr>
            </w:pPr>
          </w:p>
          <w:p w:rsidR="00D44B45" w:rsidRDefault="00D44B45" w:rsidP="00416BFF">
            <w:pPr>
              <w:rPr>
                <w:rFonts w:ascii="Arial" w:hAnsi="Arial" w:cs="Arial"/>
                <w:szCs w:val="24"/>
              </w:rPr>
            </w:pPr>
          </w:p>
          <w:p w:rsidR="00D44B45" w:rsidRDefault="00D44B45" w:rsidP="00416BFF">
            <w:pPr>
              <w:rPr>
                <w:rFonts w:ascii="Arial" w:hAnsi="Arial" w:cs="Arial"/>
                <w:szCs w:val="24"/>
              </w:rPr>
            </w:pPr>
          </w:p>
          <w:p w:rsidR="00D44B45" w:rsidRDefault="00D44B45" w:rsidP="00416BFF">
            <w:pPr>
              <w:rPr>
                <w:rFonts w:ascii="Arial" w:hAnsi="Arial" w:cs="Arial"/>
                <w:szCs w:val="24"/>
              </w:rPr>
            </w:pPr>
          </w:p>
          <w:p w:rsidR="00D44B45" w:rsidRDefault="00D44B45" w:rsidP="00416BFF">
            <w:pPr>
              <w:rPr>
                <w:rFonts w:ascii="Arial" w:hAnsi="Arial" w:cs="Arial"/>
                <w:szCs w:val="24"/>
              </w:rPr>
            </w:pPr>
            <w:r>
              <w:rPr>
                <w:rFonts w:ascii="Arial" w:hAnsi="Arial" w:cs="Arial"/>
                <w:szCs w:val="24"/>
              </w:rPr>
              <w:t>3.5</w:t>
            </w:r>
          </w:p>
        </w:tc>
        <w:tc>
          <w:tcPr>
            <w:tcW w:w="8647" w:type="dxa"/>
          </w:tcPr>
          <w:p w:rsidR="00D44B45" w:rsidRPr="009C1F2A" w:rsidRDefault="00D44B45" w:rsidP="00D44B45">
            <w:pPr>
              <w:jc w:val="both"/>
              <w:rPr>
                <w:rFonts w:ascii="Arial" w:hAnsi="Arial" w:cs="Arial"/>
                <w:szCs w:val="24"/>
                <w:u w:val="single"/>
              </w:rPr>
            </w:pPr>
            <w:r w:rsidRPr="009C1F2A">
              <w:rPr>
                <w:rFonts w:ascii="Arial" w:hAnsi="Arial" w:cs="Arial"/>
                <w:szCs w:val="24"/>
                <w:u w:val="single"/>
              </w:rPr>
              <w:t>Discipline</w:t>
            </w:r>
          </w:p>
          <w:p w:rsidR="00D44B45" w:rsidRPr="009C1F2A" w:rsidRDefault="00D44B45" w:rsidP="00D44B45">
            <w:pPr>
              <w:jc w:val="both"/>
              <w:rPr>
                <w:rFonts w:ascii="Arial" w:hAnsi="Arial" w:cs="Arial"/>
                <w:szCs w:val="24"/>
              </w:rPr>
            </w:pPr>
          </w:p>
          <w:p w:rsidR="00D44B45" w:rsidRPr="009C1F2A" w:rsidRDefault="00383500" w:rsidP="00D44B45">
            <w:pPr>
              <w:jc w:val="both"/>
              <w:rPr>
                <w:rFonts w:ascii="Arial" w:hAnsi="Arial" w:cs="Arial"/>
              </w:rPr>
            </w:pPr>
            <w:r>
              <w:rPr>
                <w:rFonts w:ascii="Arial" w:hAnsi="Arial" w:cs="Arial"/>
              </w:rPr>
              <w:t>There were five</w:t>
            </w:r>
            <w:r w:rsidR="00D44B45" w:rsidRPr="009C1F2A">
              <w:rPr>
                <w:rFonts w:ascii="Arial" w:hAnsi="Arial" w:cs="Arial"/>
              </w:rPr>
              <w:t xml:space="preserve"> issues considered under the charity’s disciplinary processes in Q</w:t>
            </w:r>
            <w:r w:rsidR="00D44B45">
              <w:rPr>
                <w:rFonts w:ascii="Arial" w:hAnsi="Arial" w:cs="Arial"/>
              </w:rPr>
              <w:t>4</w:t>
            </w:r>
            <w:r w:rsidR="00D44B45" w:rsidRPr="009C1F2A">
              <w:rPr>
                <w:rFonts w:ascii="Arial" w:hAnsi="Arial" w:cs="Arial"/>
              </w:rPr>
              <w:t xml:space="preserve"> 2017/18, all of which are now closed. </w:t>
            </w:r>
          </w:p>
          <w:p w:rsidR="00D44B45" w:rsidRPr="009C1F2A" w:rsidRDefault="00D44B45" w:rsidP="00D44B45">
            <w:pPr>
              <w:jc w:val="both"/>
              <w:rPr>
                <w:rFonts w:ascii="Arial" w:hAnsi="Arial" w:cs="Arial"/>
                <w:szCs w:val="24"/>
                <w:u w:val="single"/>
              </w:rPr>
            </w:pPr>
          </w:p>
          <w:p w:rsidR="00D44B45" w:rsidRPr="009C1F2A" w:rsidRDefault="00D44B45" w:rsidP="00D44B45">
            <w:pPr>
              <w:jc w:val="both"/>
              <w:rPr>
                <w:rFonts w:ascii="Arial" w:hAnsi="Arial" w:cs="Arial"/>
                <w:szCs w:val="24"/>
                <w:u w:val="single"/>
              </w:rPr>
            </w:pPr>
            <w:r w:rsidRPr="009C1F2A">
              <w:rPr>
                <w:rFonts w:ascii="Arial" w:hAnsi="Arial" w:cs="Arial"/>
                <w:szCs w:val="24"/>
                <w:u w:val="single"/>
              </w:rPr>
              <w:t>Grievance</w:t>
            </w:r>
          </w:p>
          <w:p w:rsidR="00D44B45" w:rsidRPr="009C1F2A" w:rsidRDefault="00D44B45" w:rsidP="00D44B45">
            <w:pPr>
              <w:jc w:val="both"/>
              <w:rPr>
                <w:rFonts w:ascii="Arial" w:hAnsi="Arial" w:cs="Arial"/>
                <w:szCs w:val="24"/>
              </w:rPr>
            </w:pPr>
          </w:p>
          <w:p w:rsidR="00D44B45" w:rsidRPr="009C1F2A" w:rsidRDefault="00D44B45" w:rsidP="00D44B45">
            <w:pPr>
              <w:pStyle w:val="CommentText"/>
              <w:jc w:val="both"/>
              <w:rPr>
                <w:rFonts w:ascii="Arial" w:hAnsi="Arial" w:cs="Arial"/>
                <w:sz w:val="24"/>
                <w:szCs w:val="24"/>
              </w:rPr>
            </w:pPr>
            <w:r w:rsidRPr="009C1F2A">
              <w:rPr>
                <w:rFonts w:ascii="Arial" w:hAnsi="Arial" w:cs="Arial"/>
                <w:sz w:val="24"/>
                <w:szCs w:val="24"/>
              </w:rPr>
              <w:t xml:space="preserve">There </w:t>
            </w:r>
            <w:r w:rsidR="00383500">
              <w:rPr>
                <w:rFonts w:ascii="Arial" w:hAnsi="Arial" w:cs="Arial"/>
                <w:sz w:val="24"/>
                <w:szCs w:val="24"/>
              </w:rPr>
              <w:t>were two</w:t>
            </w:r>
            <w:r>
              <w:rPr>
                <w:rFonts w:ascii="Arial" w:hAnsi="Arial" w:cs="Arial"/>
                <w:sz w:val="24"/>
                <w:szCs w:val="24"/>
              </w:rPr>
              <w:t xml:space="preserve"> </w:t>
            </w:r>
            <w:r w:rsidRPr="009C1F2A">
              <w:rPr>
                <w:rFonts w:ascii="Arial" w:hAnsi="Arial" w:cs="Arial"/>
                <w:sz w:val="24"/>
                <w:szCs w:val="24"/>
              </w:rPr>
              <w:t>matter</w:t>
            </w:r>
            <w:r>
              <w:rPr>
                <w:rFonts w:ascii="Arial" w:hAnsi="Arial" w:cs="Arial"/>
                <w:sz w:val="24"/>
                <w:szCs w:val="24"/>
              </w:rPr>
              <w:t>s</w:t>
            </w:r>
            <w:r w:rsidRPr="009C1F2A">
              <w:rPr>
                <w:rFonts w:ascii="Arial" w:hAnsi="Arial" w:cs="Arial"/>
                <w:sz w:val="24"/>
                <w:szCs w:val="24"/>
              </w:rPr>
              <w:t xml:space="preserve"> considered under the chari</w:t>
            </w:r>
            <w:r>
              <w:rPr>
                <w:rFonts w:ascii="Arial" w:hAnsi="Arial" w:cs="Arial"/>
                <w:sz w:val="24"/>
                <w:szCs w:val="24"/>
              </w:rPr>
              <w:t>ty’s grievance procedure in Q4</w:t>
            </w:r>
            <w:r w:rsidRPr="009C1F2A">
              <w:rPr>
                <w:rFonts w:ascii="Arial" w:hAnsi="Arial" w:cs="Arial"/>
                <w:sz w:val="24"/>
                <w:szCs w:val="24"/>
              </w:rPr>
              <w:t xml:space="preserve"> 2017/18. Th</w:t>
            </w:r>
            <w:r>
              <w:rPr>
                <w:rFonts w:ascii="Arial" w:hAnsi="Arial" w:cs="Arial"/>
                <w:sz w:val="24"/>
                <w:szCs w:val="24"/>
              </w:rPr>
              <w:t>ese</w:t>
            </w:r>
            <w:r w:rsidRPr="009C1F2A">
              <w:rPr>
                <w:rFonts w:ascii="Arial" w:hAnsi="Arial" w:cs="Arial"/>
                <w:sz w:val="24"/>
                <w:szCs w:val="24"/>
              </w:rPr>
              <w:t xml:space="preserve"> issue</w:t>
            </w:r>
            <w:r>
              <w:rPr>
                <w:rFonts w:ascii="Arial" w:hAnsi="Arial" w:cs="Arial"/>
                <w:sz w:val="24"/>
                <w:szCs w:val="24"/>
              </w:rPr>
              <w:t>s</w:t>
            </w:r>
            <w:r w:rsidRPr="009C1F2A">
              <w:rPr>
                <w:rFonts w:ascii="Arial" w:hAnsi="Arial" w:cs="Arial"/>
                <w:sz w:val="24"/>
                <w:szCs w:val="24"/>
              </w:rPr>
              <w:t xml:space="preserve"> ha</w:t>
            </w:r>
            <w:r>
              <w:rPr>
                <w:rFonts w:ascii="Arial" w:hAnsi="Arial" w:cs="Arial"/>
                <w:sz w:val="24"/>
                <w:szCs w:val="24"/>
              </w:rPr>
              <w:t>ve</w:t>
            </w:r>
            <w:r w:rsidRPr="009C1F2A">
              <w:rPr>
                <w:rFonts w:ascii="Arial" w:hAnsi="Arial" w:cs="Arial"/>
                <w:sz w:val="24"/>
                <w:szCs w:val="24"/>
              </w:rPr>
              <w:t xml:space="preserve"> been addressed and resolved. </w:t>
            </w:r>
          </w:p>
          <w:p w:rsidR="00D44B45" w:rsidRDefault="00D44B45" w:rsidP="00D44B45">
            <w:pPr>
              <w:jc w:val="both"/>
              <w:rPr>
                <w:rFonts w:ascii="Arial" w:hAnsi="Arial" w:cs="Arial"/>
                <w:szCs w:val="24"/>
                <w:u w:val="single"/>
              </w:rPr>
            </w:pPr>
          </w:p>
          <w:p w:rsidR="00D44B45" w:rsidRPr="00C8333C" w:rsidRDefault="00D44B45" w:rsidP="00D44B45">
            <w:pPr>
              <w:jc w:val="both"/>
              <w:rPr>
                <w:rFonts w:ascii="Arial" w:hAnsi="Arial" w:cs="Arial"/>
                <w:szCs w:val="24"/>
                <w:u w:val="single"/>
              </w:rPr>
            </w:pPr>
            <w:r w:rsidRPr="00C8333C">
              <w:rPr>
                <w:rFonts w:ascii="Arial" w:hAnsi="Arial" w:cs="Arial"/>
                <w:szCs w:val="24"/>
                <w:u w:val="single"/>
              </w:rPr>
              <w:t>Harassment</w:t>
            </w:r>
          </w:p>
          <w:p w:rsidR="00D44B45" w:rsidRPr="009C1F2A" w:rsidRDefault="00D44B45" w:rsidP="00D44B45">
            <w:pPr>
              <w:jc w:val="both"/>
              <w:rPr>
                <w:rFonts w:ascii="Arial" w:hAnsi="Arial" w:cs="Arial"/>
                <w:b/>
                <w:szCs w:val="24"/>
              </w:rPr>
            </w:pPr>
          </w:p>
          <w:p w:rsidR="00D44B45" w:rsidRDefault="00D44B45" w:rsidP="00D44B45">
            <w:pPr>
              <w:jc w:val="both"/>
              <w:rPr>
                <w:rFonts w:ascii="Arial" w:hAnsi="Arial" w:cs="Arial"/>
                <w:szCs w:val="24"/>
              </w:rPr>
            </w:pPr>
            <w:r w:rsidRPr="009C1F2A">
              <w:rPr>
                <w:rFonts w:ascii="Arial" w:hAnsi="Arial" w:cs="Arial"/>
                <w:szCs w:val="24"/>
              </w:rPr>
              <w:t>There were no harassment issues raised during Q</w:t>
            </w:r>
            <w:r>
              <w:rPr>
                <w:rFonts w:ascii="Arial" w:hAnsi="Arial" w:cs="Arial"/>
                <w:szCs w:val="24"/>
              </w:rPr>
              <w:t>4</w:t>
            </w:r>
            <w:r w:rsidRPr="009C1F2A">
              <w:rPr>
                <w:rFonts w:ascii="Arial" w:hAnsi="Arial" w:cs="Arial"/>
                <w:szCs w:val="24"/>
              </w:rPr>
              <w:t xml:space="preserve"> in 2017/18.</w:t>
            </w:r>
          </w:p>
          <w:p w:rsidR="00D44B45" w:rsidRPr="009C1F2A" w:rsidRDefault="00D44B45" w:rsidP="00D44B45">
            <w:pPr>
              <w:jc w:val="both"/>
              <w:rPr>
                <w:rFonts w:ascii="Arial" w:eastAsia="Calibri" w:hAnsi="Arial" w:cs="Arial"/>
                <w:szCs w:val="24"/>
                <w:lang w:eastAsia="en-US"/>
              </w:rPr>
            </w:pPr>
          </w:p>
        </w:tc>
      </w:tr>
      <w:tr w:rsidR="009D691A" w:rsidRPr="007214D1" w:rsidTr="00BA0979">
        <w:tc>
          <w:tcPr>
            <w:tcW w:w="817" w:type="dxa"/>
          </w:tcPr>
          <w:p w:rsidR="009D691A" w:rsidRDefault="00465229" w:rsidP="009D691A">
            <w:pPr>
              <w:rPr>
                <w:rFonts w:ascii="Arial" w:hAnsi="Arial" w:cs="Arial"/>
                <w:szCs w:val="24"/>
              </w:rPr>
            </w:pPr>
            <w:r>
              <w:rPr>
                <w:rFonts w:ascii="Arial" w:hAnsi="Arial" w:cs="Arial"/>
                <w:szCs w:val="24"/>
              </w:rPr>
              <w:t>3.6</w:t>
            </w:r>
          </w:p>
          <w:p w:rsidR="009D691A" w:rsidRDefault="009D691A" w:rsidP="00416BFF">
            <w:pPr>
              <w:rPr>
                <w:rFonts w:ascii="Arial" w:hAnsi="Arial" w:cs="Arial"/>
                <w:szCs w:val="24"/>
              </w:rPr>
            </w:pPr>
          </w:p>
          <w:p w:rsidR="00465229" w:rsidRDefault="00465229" w:rsidP="00416BFF">
            <w:pPr>
              <w:rPr>
                <w:rFonts w:ascii="Arial" w:hAnsi="Arial" w:cs="Arial"/>
                <w:szCs w:val="24"/>
              </w:rPr>
            </w:pPr>
            <w:r>
              <w:rPr>
                <w:rFonts w:ascii="Arial" w:hAnsi="Arial" w:cs="Arial"/>
                <w:szCs w:val="24"/>
              </w:rPr>
              <w:t>3.6.1</w:t>
            </w: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p>
          <w:p w:rsidR="009C77CF" w:rsidRDefault="009C77CF" w:rsidP="00416BFF">
            <w:pPr>
              <w:rPr>
                <w:rFonts w:ascii="Arial" w:hAnsi="Arial" w:cs="Arial"/>
                <w:szCs w:val="24"/>
              </w:rPr>
            </w:pPr>
            <w:r>
              <w:rPr>
                <w:rFonts w:ascii="Arial" w:hAnsi="Arial" w:cs="Arial"/>
                <w:szCs w:val="24"/>
              </w:rPr>
              <w:t>3.6.</w:t>
            </w:r>
            <w:r w:rsidR="009A2020">
              <w:rPr>
                <w:rFonts w:ascii="Arial" w:hAnsi="Arial" w:cs="Arial"/>
                <w:szCs w:val="24"/>
              </w:rPr>
              <w:t>2</w:t>
            </w:r>
          </w:p>
          <w:p w:rsidR="009A2020" w:rsidRDefault="009A2020" w:rsidP="00416BFF">
            <w:pPr>
              <w:rPr>
                <w:rFonts w:ascii="Arial" w:hAnsi="Arial" w:cs="Arial"/>
                <w:szCs w:val="24"/>
              </w:rPr>
            </w:pPr>
          </w:p>
          <w:p w:rsidR="009A2020" w:rsidRDefault="009A2020" w:rsidP="00416BFF">
            <w:pPr>
              <w:rPr>
                <w:rFonts w:ascii="Arial" w:hAnsi="Arial" w:cs="Arial"/>
                <w:szCs w:val="24"/>
              </w:rPr>
            </w:pPr>
          </w:p>
          <w:p w:rsidR="00462977" w:rsidRDefault="00462977" w:rsidP="00416BFF">
            <w:pPr>
              <w:rPr>
                <w:rFonts w:ascii="Arial" w:hAnsi="Arial" w:cs="Arial"/>
                <w:szCs w:val="24"/>
              </w:rPr>
            </w:pPr>
          </w:p>
          <w:p w:rsidR="00462977" w:rsidRDefault="00462977" w:rsidP="00416BFF">
            <w:pPr>
              <w:rPr>
                <w:rFonts w:ascii="Arial" w:hAnsi="Arial" w:cs="Arial"/>
                <w:szCs w:val="24"/>
              </w:rPr>
            </w:pPr>
          </w:p>
          <w:p w:rsidR="00462977" w:rsidRDefault="00462977" w:rsidP="00416BFF">
            <w:pPr>
              <w:rPr>
                <w:rFonts w:ascii="Arial" w:hAnsi="Arial" w:cs="Arial"/>
                <w:szCs w:val="24"/>
              </w:rPr>
            </w:pPr>
          </w:p>
          <w:p w:rsidR="00050D79" w:rsidRDefault="00050D79" w:rsidP="00416BFF">
            <w:pPr>
              <w:rPr>
                <w:rFonts w:ascii="Arial" w:hAnsi="Arial" w:cs="Arial"/>
                <w:szCs w:val="24"/>
              </w:rPr>
            </w:pPr>
          </w:p>
        </w:tc>
        <w:tc>
          <w:tcPr>
            <w:tcW w:w="8647" w:type="dxa"/>
          </w:tcPr>
          <w:p w:rsidR="005E442C" w:rsidRPr="00265F13" w:rsidRDefault="005E442C" w:rsidP="005E442C">
            <w:pPr>
              <w:jc w:val="both"/>
              <w:rPr>
                <w:rFonts w:ascii="Arial" w:hAnsi="Arial" w:cs="Arial"/>
                <w:szCs w:val="24"/>
                <w:u w:val="single"/>
              </w:rPr>
            </w:pPr>
            <w:r w:rsidRPr="00265F13">
              <w:rPr>
                <w:rFonts w:ascii="Arial" w:hAnsi="Arial" w:cs="Arial"/>
                <w:szCs w:val="24"/>
                <w:u w:val="single"/>
              </w:rPr>
              <w:t xml:space="preserve">Employee relations </w:t>
            </w:r>
          </w:p>
          <w:p w:rsidR="005E442C" w:rsidRDefault="005E442C" w:rsidP="005E442C">
            <w:pPr>
              <w:jc w:val="both"/>
              <w:rPr>
                <w:rFonts w:ascii="Arial" w:hAnsi="Arial" w:cs="Arial"/>
                <w:szCs w:val="24"/>
              </w:rPr>
            </w:pPr>
          </w:p>
          <w:p w:rsidR="009C77CF" w:rsidRDefault="005E442C" w:rsidP="00380CDF">
            <w:pPr>
              <w:jc w:val="both"/>
              <w:rPr>
                <w:rFonts w:ascii="Arial" w:hAnsi="Arial" w:cs="Arial"/>
                <w:szCs w:val="24"/>
              </w:rPr>
            </w:pPr>
            <w:r>
              <w:rPr>
                <w:rFonts w:ascii="Arial" w:hAnsi="Arial" w:cs="Arial"/>
                <w:szCs w:val="24"/>
              </w:rPr>
              <w:t xml:space="preserve">The Company has engaged with the </w:t>
            </w:r>
            <w:r w:rsidR="00F55F2F">
              <w:rPr>
                <w:rFonts w:ascii="Arial" w:hAnsi="Arial" w:cs="Arial"/>
                <w:szCs w:val="24"/>
              </w:rPr>
              <w:t>three</w:t>
            </w:r>
            <w:r>
              <w:rPr>
                <w:rFonts w:ascii="Arial" w:hAnsi="Arial" w:cs="Arial"/>
                <w:szCs w:val="24"/>
              </w:rPr>
              <w:t xml:space="preserve"> Trade Unions</w:t>
            </w:r>
            <w:r w:rsidR="00383500">
              <w:rPr>
                <w:rFonts w:ascii="Arial" w:hAnsi="Arial" w:cs="Arial"/>
                <w:szCs w:val="24"/>
              </w:rPr>
              <w:t xml:space="preserve"> (TUs)</w:t>
            </w:r>
            <w:r>
              <w:rPr>
                <w:rFonts w:ascii="Arial" w:hAnsi="Arial" w:cs="Arial"/>
                <w:szCs w:val="24"/>
              </w:rPr>
              <w:t xml:space="preserve"> that have members within the organisation, namely Unison, Unite and GMB.  The Company deals with the TUs formally through the Joint Consultation Forum (JCF) which meets quarterly, the last meeting </w:t>
            </w:r>
            <w:r w:rsidRPr="008A57F3">
              <w:rPr>
                <w:rFonts w:ascii="Arial" w:hAnsi="Arial" w:cs="Arial"/>
                <w:szCs w:val="24"/>
              </w:rPr>
              <w:t>was held on</w:t>
            </w:r>
            <w:r w:rsidR="00DF462B">
              <w:rPr>
                <w:rFonts w:ascii="Arial" w:hAnsi="Arial" w:cs="Arial"/>
                <w:szCs w:val="24"/>
              </w:rPr>
              <w:t xml:space="preserve"> </w:t>
            </w:r>
            <w:r w:rsidR="002C60C2">
              <w:rPr>
                <w:rFonts w:ascii="Arial" w:hAnsi="Arial" w:cs="Arial"/>
                <w:szCs w:val="24"/>
              </w:rPr>
              <w:t>1 March 2018</w:t>
            </w:r>
            <w:r w:rsidRPr="008A57F3">
              <w:rPr>
                <w:rFonts w:ascii="Arial" w:hAnsi="Arial" w:cs="Arial"/>
                <w:szCs w:val="24"/>
              </w:rPr>
              <w:t>.</w:t>
            </w:r>
            <w:r>
              <w:rPr>
                <w:rFonts w:ascii="Arial" w:hAnsi="Arial" w:cs="Arial"/>
                <w:szCs w:val="24"/>
              </w:rPr>
              <w:t xml:space="preserve">  </w:t>
            </w:r>
          </w:p>
          <w:p w:rsidR="009C77CF" w:rsidRDefault="009C77CF" w:rsidP="00380CDF">
            <w:pPr>
              <w:jc w:val="both"/>
              <w:rPr>
                <w:rFonts w:ascii="Arial" w:hAnsi="Arial" w:cs="Arial"/>
                <w:szCs w:val="24"/>
              </w:rPr>
            </w:pPr>
          </w:p>
          <w:p w:rsidR="00462977" w:rsidRPr="00462977" w:rsidRDefault="009C77CF" w:rsidP="00380CDF">
            <w:pPr>
              <w:jc w:val="both"/>
              <w:rPr>
                <w:rFonts w:ascii="Arial" w:hAnsi="Arial" w:cs="Arial"/>
                <w:szCs w:val="24"/>
              </w:rPr>
            </w:pPr>
            <w:r w:rsidRPr="00462977">
              <w:rPr>
                <w:rFonts w:ascii="Arial" w:hAnsi="Arial" w:cs="Arial"/>
                <w:szCs w:val="24"/>
              </w:rPr>
              <w:t>The main discussion areas at this meeting were</w:t>
            </w:r>
            <w:r w:rsidR="00462977" w:rsidRPr="00462977">
              <w:rPr>
                <w:rFonts w:ascii="Arial" w:hAnsi="Arial" w:cs="Arial"/>
                <w:szCs w:val="24"/>
              </w:rPr>
              <w:t>:</w:t>
            </w:r>
          </w:p>
          <w:p w:rsidR="00462977" w:rsidRPr="00462977" w:rsidRDefault="00462977" w:rsidP="00380CDF">
            <w:pPr>
              <w:jc w:val="both"/>
              <w:rPr>
                <w:rFonts w:ascii="Arial" w:hAnsi="Arial" w:cs="Arial"/>
                <w:szCs w:val="24"/>
              </w:rPr>
            </w:pPr>
          </w:p>
          <w:p w:rsidR="00462977" w:rsidRDefault="00462977" w:rsidP="00462977">
            <w:pPr>
              <w:pStyle w:val="ListParagraph"/>
              <w:numPr>
                <w:ilvl w:val="0"/>
                <w:numId w:val="28"/>
              </w:numPr>
              <w:jc w:val="both"/>
              <w:rPr>
                <w:rFonts w:ascii="Arial" w:hAnsi="Arial" w:cs="Arial"/>
                <w:sz w:val="24"/>
                <w:szCs w:val="24"/>
              </w:rPr>
            </w:pPr>
            <w:r w:rsidRPr="00462977">
              <w:rPr>
                <w:rFonts w:ascii="Arial" w:hAnsi="Arial" w:cs="Arial"/>
                <w:sz w:val="24"/>
                <w:szCs w:val="24"/>
              </w:rPr>
              <w:t>Company developments</w:t>
            </w:r>
          </w:p>
          <w:p w:rsidR="00570FC5" w:rsidRPr="00985CFD" w:rsidRDefault="00985CFD" w:rsidP="00462977">
            <w:pPr>
              <w:pStyle w:val="ListParagraph"/>
              <w:numPr>
                <w:ilvl w:val="0"/>
                <w:numId w:val="28"/>
              </w:numPr>
              <w:jc w:val="both"/>
              <w:rPr>
                <w:rFonts w:ascii="Arial" w:hAnsi="Arial" w:cs="Arial"/>
                <w:sz w:val="24"/>
                <w:szCs w:val="24"/>
              </w:rPr>
            </w:pPr>
            <w:r w:rsidRPr="00985CFD">
              <w:rPr>
                <w:rFonts w:ascii="Arial" w:hAnsi="Arial" w:cs="Arial"/>
                <w:sz w:val="24"/>
                <w:szCs w:val="24"/>
              </w:rPr>
              <w:t>Holiday Pay</w:t>
            </w:r>
          </w:p>
          <w:p w:rsidR="009D691A" w:rsidRPr="00C8333C" w:rsidRDefault="00462977" w:rsidP="00C8333C">
            <w:pPr>
              <w:pStyle w:val="ListParagraph"/>
              <w:numPr>
                <w:ilvl w:val="0"/>
                <w:numId w:val="28"/>
              </w:numPr>
              <w:jc w:val="both"/>
              <w:rPr>
                <w:rFonts w:ascii="Arial" w:hAnsi="Arial" w:cs="Arial"/>
                <w:sz w:val="24"/>
                <w:szCs w:val="24"/>
              </w:rPr>
            </w:pPr>
            <w:r>
              <w:rPr>
                <w:rFonts w:ascii="Arial" w:hAnsi="Arial" w:cs="Arial"/>
                <w:sz w:val="24"/>
                <w:szCs w:val="24"/>
              </w:rPr>
              <w:t>A number of site specific</w:t>
            </w:r>
            <w:r w:rsidR="00DD5D75">
              <w:rPr>
                <w:rFonts w:ascii="Arial" w:hAnsi="Arial" w:cs="Arial"/>
                <w:sz w:val="24"/>
                <w:szCs w:val="24"/>
              </w:rPr>
              <w:t xml:space="preserve"> [operational]</w:t>
            </w:r>
            <w:r>
              <w:rPr>
                <w:rFonts w:ascii="Arial" w:hAnsi="Arial" w:cs="Arial"/>
                <w:sz w:val="24"/>
                <w:szCs w:val="24"/>
              </w:rPr>
              <w:t xml:space="preserve"> issues were raised by the Union represented.</w:t>
            </w:r>
          </w:p>
        </w:tc>
      </w:tr>
      <w:tr w:rsidR="00C8333C" w:rsidRPr="00717E7E" w:rsidTr="00BA0979">
        <w:trPr>
          <w:trHeight w:val="80"/>
        </w:trPr>
        <w:tc>
          <w:tcPr>
            <w:tcW w:w="817" w:type="dxa"/>
          </w:tcPr>
          <w:p w:rsidR="00C8333C" w:rsidRPr="00C8333C" w:rsidRDefault="00C8333C" w:rsidP="0048062D">
            <w:pPr>
              <w:rPr>
                <w:rFonts w:ascii="Arial" w:hAnsi="Arial" w:cs="Arial"/>
                <w:szCs w:val="24"/>
              </w:rPr>
            </w:pPr>
            <w:r w:rsidRPr="00C8333C">
              <w:rPr>
                <w:rFonts w:ascii="Arial" w:hAnsi="Arial" w:cs="Arial"/>
                <w:szCs w:val="24"/>
              </w:rPr>
              <w:t>3.6.3</w:t>
            </w:r>
          </w:p>
        </w:tc>
        <w:tc>
          <w:tcPr>
            <w:tcW w:w="8647" w:type="dxa"/>
          </w:tcPr>
          <w:p w:rsidR="00C8333C" w:rsidRDefault="00C8333C" w:rsidP="00C8333C">
            <w:pPr>
              <w:jc w:val="both"/>
              <w:rPr>
                <w:rFonts w:ascii="Arial" w:hAnsi="Arial" w:cs="Arial"/>
                <w:szCs w:val="24"/>
              </w:rPr>
            </w:pPr>
            <w:r w:rsidRPr="004438C9">
              <w:rPr>
                <w:rFonts w:ascii="Arial" w:hAnsi="Arial" w:cs="Arial"/>
                <w:szCs w:val="24"/>
              </w:rPr>
              <w:t>In addition, the</w:t>
            </w:r>
            <w:r>
              <w:rPr>
                <w:rFonts w:ascii="Arial" w:hAnsi="Arial" w:cs="Arial"/>
                <w:szCs w:val="24"/>
              </w:rPr>
              <w:t xml:space="preserve"> above</w:t>
            </w:r>
            <w:r w:rsidRPr="004438C9">
              <w:rPr>
                <w:rFonts w:ascii="Arial" w:hAnsi="Arial" w:cs="Arial"/>
                <w:szCs w:val="24"/>
              </w:rPr>
              <w:t xml:space="preserv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w:t>
            </w:r>
            <w:r>
              <w:rPr>
                <w:rFonts w:ascii="Arial" w:hAnsi="Arial" w:cs="Arial"/>
                <w:szCs w:val="24"/>
              </w:rPr>
              <w:t xml:space="preserve"> invited to be</w:t>
            </w:r>
            <w:r w:rsidRPr="004438C9">
              <w:rPr>
                <w:rFonts w:ascii="Arial" w:hAnsi="Arial" w:cs="Arial"/>
                <w:szCs w:val="24"/>
              </w:rPr>
              <w:t xml:space="preserve"> represented on the staff Health and Safety Committee.</w:t>
            </w:r>
            <w:r>
              <w:rPr>
                <w:rFonts w:ascii="Arial" w:hAnsi="Arial" w:cs="Arial"/>
                <w:szCs w:val="24"/>
              </w:rPr>
              <w:t xml:space="preserve">  </w:t>
            </w:r>
          </w:p>
          <w:p w:rsidR="00F839E2" w:rsidRDefault="00F839E2" w:rsidP="00C8333C">
            <w:pPr>
              <w:jc w:val="both"/>
              <w:rPr>
                <w:rFonts w:ascii="Arial" w:hAnsi="Arial" w:cs="Arial"/>
                <w:szCs w:val="24"/>
              </w:rPr>
            </w:pPr>
          </w:p>
        </w:tc>
      </w:tr>
      <w:tr w:rsidR="00C8333C" w:rsidRPr="00717E7E" w:rsidTr="00BA0979">
        <w:trPr>
          <w:trHeight w:val="80"/>
        </w:trPr>
        <w:tc>
          <w:tcPr>
            <w:tcW w:w="817" w:type="dxa"/>
          </w:tcPr>
          <w:p w:rsidR="00C8333C" w:rsidRPr="00C8333C" w:rsidRDefault="00C8333C" w:rsidP="0048062D">
            <w:pPr>
              <w:rPr>
                <w:rFonts w:ascii="Arial" w:hAnsi="Arial" w:cs="Arial"/>
                <w:szCs w:val="24"/>
              </w:rPr>
            </w:pPr>
            <w:r w:rsidRPr="00C8333C">
              <w:rPr>
                <w:rFonts w:ascii="Arial" w:hAnsi="Arial" w:cs="Arial"/>
                <w:szCs w:val="24"/>
              </w:rPr>
              <w:t>3.6.4</w:t>
            </w:r>
          </w:p>
        </w:tc>
        <w:tc>
          <w:tcPr>
            <w:tcW w:w="8647" w:type="dxa"/>
          </w:tcPr>
          <w:p w:rsidR="00C8333C" w:rsidRDefault="00C8333C" w:rsidP="00C8333C">
            <w:pPr>
              <w:jc w:val="both"/>
              <w:rPr>
                <w:rFonts w:ascii="Arial" w:hAnsi="Arial" w:cs="Arial"/>
                <w:szCs w:val="24"/>
              </w:rPr>
            </w:pPr>
            <w:r>
              <w:rPr>
                <w:rFonts w:ascii="Arial" w:hAnsi="Arial" w:cs="Arial"/>
                <w:szCs w:val="24"/>
              </w:rPr>
              <w:t>Management and representatives of HR also discuss with the Trade Unions individual issues as and when required.</w:t>
            </w:r>
          </w:p>
          <w:p w:rsidR="00C8333C" w:rsidRDefault="00C8333C" w:rsidP="00FB7551">
            <w:pPr>
              <w:autoSpaceDE w:val="0"/>
              <w:autoSpaceDN w:val="0"/>
              <w:adjustRightInd w:val="0"/>
              <w:rPr>
                <w:rFonts w:ascii="Arial" w:hAnsi="Arial" w:cs="Arial"/>
                <w:b/>
              </w:rPr>
            </w:pPr>
          </w:p>
        </w:tc>
      </w:tr>
      <w:tr w:rsidR="004120A6" w:rsidRPr="00717E7E" w:rsidTr="00BA0979">
        <w:trPr>
          <w:trHeight w:val="80"/>
        </w:trPr>
        <w:tc>
          <w:tcPr>
            <w:tcW w:w="817" w:type="dxa"/>
          </w:tcPr>
          <w:p w:rsidR="004120A6" w:rsidRPr="00C8333C" w:rsidRDefault="004120A6" w:rsidP="0048062D">
            <w:pPr>
              <w:rPr>
                <w:rFonts w:ascii="Arial" w:hAnsi="Arial" w:cs="Arial"/>
                <w:szCs w:val="24"/>
              </w:rPr>
            </w:pPr>
            <w:r>
              <w:rPr>
                <w:rFonts w:ascii="Arial" w:hAnsi="Arial" w:cs="Arial"/>
                <w:szCs w:val="24"/>
              </w:rPr>
              <w:t>3.6.5</w:t>
            </w:r>
          </w:p>
        </w:tc>
        <w:tc>
          <w:tcPr>
            <w:tcW w:w="8647" w:type="dxa"/>
          </w:tcPr>
          <w:p w:rsidR="004120A6" w:rsidRDefault="004120A6" w:rsidP="004120A6">
            <w:pPr>
              <w:jc w:val="both"/>
              <w:rPr>
                <w:rFonts w:ascii="Arial" w:hAnsi="Arial" w:cs="Arial"/>
                <w:szCs w:val="24"/>
              </w:rPr>
            </w:pPr>
            <w:r>
              <w:rPr>
                <w:rFonts w:ascii="Arial" w:hAnsi="Arial" w:cs="Arial"/>
                <w:szCs w:val="24"/>
              </w:rPr>
              <w:t xml:space="preserve">Directors should note that the </w:t>
            </w:r>
            <w:r w:rsidR="005D56E3">
              <w:rPr>
                <w:rFonts w:ascii="Arial" w:hAnsi="Arial" w:cs="Arial"/>
                <w:szCs w:val="24"/>
              </w:rPr>
              <w:t>[education associated</w:t>
            </w:r>
            <w:r>
              <w:rPr>
                <w:rFonts w:ascii="Arial" w:hAnsi="Arial" w:cs="Arial"/>
                <w:szCs w:val="24"/>
              </w:rPr>
              <w:t>] unions associated with the Music Instructor staff will be invited to attend all future JCF meetings.</w:t>
            </w:r>
          </w:p>
          <w:p w:rsidR="00AB5455" w:rsidRDefault="00AB5455" w:rsidP="004120A6">
            <w:pPr>
              <w:jc w:val="both"/>
              <w:rPr>
                <w:rFonts w:ascii="Arial" w:hAnsi="Arial" w:cs="Arial"/>
                <w:szCs w:val="24"/>
              </w:rPr>
            </w:pPr>
          </w:p>
        </w:tc>
      </w:tr>
      <w:tr w:rsidR="00E52BA0" w:rsidRPr="00717E7E" w:rsidTr="00BA0979">
        <w:trPr>
          <w:trHeight w:val="80"/>
        </w:trPr>
        <w:tc>
          <w:tcPr>
            <w:tcW w:w="817" w:type="dxa"/>
          </w:tcPr>
          <w:p w:rsidR="00E52BA0" w:rsidRDefault="00E52BA0" w:rsidP="0048062D">
            <w:pPr>
              <w:rPr>
                <w:rFonts w:ascii="Arial" w:hAnsi="Arial" w:cs="Arial"/>
                <w:b/>
                <w:szCs w:val="24"/>
              </w:rPr>
            </w:pPr>
            <w:r>
              <w:rPr>
                <w:rFonts w:ascii="Arial" w:hAnsi="Arial" w:cs="Arial"/>
                <w:b/>
                <w:szCs w:val="24"/>
              </w:rPr>
              <w:t>4.</w:t>
            </w:r>
          </w:p>
        </w:tc>
        <w:tc>
          <w:tcPr>
            <w:tcW w:w="8647" w:type="dxa"/>
          </w:tcPr>
          <w:p w:rsidR="00E52BA0" w:rsidRDefault="00E52BA0" w:rsidP="00FB7551">
            <w:pPr>
              <w:autoSpaceDE w:val="0"/>
              <w:autoSpaceDN w:val="0"/>
              <w:adjustRightInd w:val="0"/>
              <w:rPr>
                <w:rFonts w:ascii="Arial" w:hAnsi="Arial" w:cs="Arial"/>
                <w:b/>
              </w:rPr>
            </w:pPr>
            <w:r>
              <w:rPr>
                <w:rFonts w:ascii="Arial" w:hAnsi="Arial" w:cs="Arial"/>
                <w:b/>
              </w:rPr>
              <w:t>Polic</w:t>
            </w:r>
            <w:r w:rsidR="00FB7551">
              <w:rPr>
                <w:rFonts w:ascii="Arial" w:hAnsi="Arial" w:cs="Arial"/>
                <w:b/>
              </w:rPr>
              <w:t>ies update</w:t>
            </w:r>
          </w:p>
          <w:p w:rsidR="00FB7551" w:rsidRDefault="00FB7551" w:rsidP="00FB7551">
            <w:pPr>
              <w:autoSpaceDE w:val="0"/>
              <w:autoSpaceDN w:val="0"/>
              <w:adjustRightInd w:val="0"/>
              <w:rPr>
                <w:rFonts w:ascii="Arial" w:hAnsi="Arial" w:cs="Arial"/>
                <w:b/>
              </w:rPr>
            </w:pPr>
          </w:p>
        </w:tc>
      </w:tr>
      <w:tr w:rsidR="00E52BA0" w:rsidRPr="00717E7E" w:rsidTr="00BA0979">
        <w:trPr>
          <w:trHeight w:val="80"/>
        </w:trPr>
        <w:tc>
          <w:tcPr>
            <w:tcW w:w="817" w:type="dxa"/>
          </w:tcPr>
          <w:p w:rsidR="00E52BA0" w:rsidRDefault="00FB7551" w:rsidP="0048062D">
            <w:pPr>
              <w:rPr>
                <w:rFonts w:ascii="Arial" w:hAnsi="Arial" w:cs="Arial"/>
                <w:szCs w:val="24"/>
              </w:rPr>
            </w:pPr>
            <w:r>
              <w:rPr>
                <w:rFonts w:ascii="Arial" w:hAnsi="Arial" w:cs="Arial"/>
                <w:szCs w:val="24"/>
              </w:rPr>
              <w:t>4.1</w:t>
            </w:r>
          </w:p>
          <w:p w:rsidR="00ED7383" w:rsidRDefault="00ED7383" w:rsidP="0048062D">
            <w:pPr>
              <w:rPr>
                <w:rFonts w:ascii="Arial" w:hAnsi="Arial" w:cs="Arial"/>
                <w:szCs w:val="24"/>
              </w:rPr>
            </w:pPr>
          </w:p>
          <w:p w:rsidR="00325295" w:rsidRDefault="00325295" w:rsidP="0048062D">
            <w:pPr>
              <w:rPr>
                <w:rFonts w:ascii="Arial" w:hAnsi="Arial" w:cs="Arial"/>
                <w:szCs w:val="24"/>
              </w:rPr>
            </w:pPr>
          </w:p>
          <w:p w:rsidR="00325295" w:rsidRDefault="00325295" w:rsidP="0048062D">
            <w:pPr>
              <w:rPr>
                <w:rFonts w:ascii="Arial" w:hAnsi="Arial" w:cs="Arial"/>
                <w:szCs w:val="24"/>
              </w:rPr>
            </w:pPr>
          </w:p>
          <w:p w:rsidR="000B6190" w:rsidRDefault="000B6190" w:rsidP="0048062D">
            <w:pPr>
              <w:rPr>
                <w:rFonts w:ascii="Arial" w:hAnsi="Arial" w:cs="Arial"/>
                <w:szCs w:val="24"/>
              </w:rPr>
            </w:pPr>
          </w:p>
          <w:p w:rsidR="000B6190" w:rsidRDefault="000B6190" w:rsidP="0048062D">
            <w:pPr>
              <w:rPr>
                <w:rFonts w:ascii="Arial" w:hAnsi="Arial" w:cs="Arial"/>
                <w:szCs w:val="24"/>
              </w:rPr>
            </w:pPr>
          </w:p>
          <w:p w:rsidR="00325295" w:rsidRPr="00FB7551" w:rsidRDefault="00325295" w:rsidP="001C29E2">
            <w:pPr>
              <w:rPr>
                <w:rFonts w:ascii="Arial" w:hAnsi="Arial" w:cs="Arial"/>
                <w:szCs w:val="24"/>
              </w:rPr>
            </w:pPr>
          </w:p>
        </w:tc>
        <w:tc>
          <w:tcPr>
            <w:tcW w:w="8647" w:type="dxa"/>
          </w:tcPr>
          <w:p w:rsidR="001C29E2" w:rsidRPr="001C29E2" w:rsidRDefault="001C29E2" w:rsidP="001C29E2">
            <w:pPr>
              <w:jc w:val="both"/>
              <w:rPr>
                <w:rFonts w:ascii="Arial" w:hAnsi="Arial" w:cs="Arial"/>
                <w:szCs w:val="24"/>
              </w:rPr>
            </w:pPr>
            <w:r w:rsidRPr="001C29E2">
              <w:rPr>
                <w:rFonts w:ascii="Arial" w:hAnsi="Arial" w:cs="Arial"/>
                <w:szCs w:val="24"/>
              </w:rPr>
              <w:t xml:space="preserve">The following </w:t>
            </w:r>
            <w:r w:rsidR="00B45128">
              <w:rPr>
                <w:rFonts w:ascii="Arial" w:hAnsi="Arial" w:cs="Arial"/>
                <w:szCs w:val="24"/>
              </w:rPr>
              <w:t>two policies have been considered in line with the review schedule</w:t>
            </w:r>
            <w:r w:rsidR="00004D29">
              <w:rPr>
                <w:rFonts w:ascii="Arial" w:hAnsi="Arial" w:cs="Arial"/>
                <w:szCs w:val="24"/>
              </w:rPr>
              <w:t>.</w:t>
            </w:r>
          </w:p>
          <w:p w:rsidR="001C29E2" w:rsidRPr="00717E7E" w:rsidRDefault="001C29E2" w:rsidP="001C29E2">
            <w:pPr>
              <w:jc w:val="both"/>
              <w:rPr>
                <w:rFonts w:ascii="Arial" w:hAnsi="Arial" w:cs="Arial"/>
                <w:i/>
                <w:szCs w:val="24"/>
              </w:rPr>
            </w:pPr>
          </w:p>
          <w:p w:rsidR="001C29E2" w:rsidRPr="00AB5455" w:rsidRDefault="00682E0E" w:rsidP="001C29E2">
            <w:pPr>
              <w:pStyle w:val="ListParagraph"/>
              <w:numPr>
                <w:ilvl w:val="0"/>
                <w:numId w:val="2"/>
              </w:numPr>
              <w:jc w:val="both"/>
              <w:rPr>
                <w:rFonts w:ascii="Arial" w:hAnsi="Arial" w:cs="Arial"/>
                <w:b/>
                <w:sz w:val="24"/>
                <w:szCs w:val="24"/>
              </w:rPr>
            </w:pPr>
            <w:r w:rsidRPr="00AB5455">
              <w:rPr>
                <w:rFonts w:ascii="Arial" w:hAnsi="Arial" w:cs="Arial"/>
                <w:sz w:val="24"/>
                <w:szCs w:val="24"/>
              </w:rPr>
              <w:t>Service Equality (ADM08) has been amended to reflect the objectives of the Highland Outcome Improvement Plan</w:t>
            </w:r>
            <w:r w:rsidR="00F839E2">
              <w:rPr>
                <w:rFonts w:ascii="Arial" w:hAnsi="Arial" w:cs="Arial"/>
                <w:sz w:val="24"/>
                <w:szCs w:val="24"/>
              </w:rPr>
              <w:t xml:space="preserve"> (</w:t>
            </w:r>
            <w:r w:rsidR="00F839E2" w:rsidRPr="00F839E2">
              <w:rPr>
                <w:rFonts w:ascii="Arial" w:hAnsi="Arial" w:cs="Arial"/>
                <w:b/>
                <w:sz w:val="24"/>
                <w:szCs w:val="24"/>
              </w:rPr>
              <w:t>Appendix B</w:t>
            </w:r>
            <w:r w:rsidR="008A3FB6" w:rsidRPr="00AB5455">
              <w:rPr>
                <w:rFonts w:ascii="Arial" w:hAnsi="Arial" w:cs="Arial"/>
                <w:sz w:val="24"/>
                <w:szCs w:val="24"/>
              </w:rPr>
              <w:t>)</w:t>
            </w:r>
          </w:p>
          <w:p w:rsidR="00682E0E" w:rsidRDefault="00383500" w:rsidP="00383500">
            <w:pPr>
              <w:pStyle w:val="ListParagraph"/>
              <w:numPr>
                <w:ilvl w:val="0"/>
                <w:numId w:val="2"/>
              </w:numPr>
              <w:jc w:val="both"/>
              <w:rPr>
                <w:rFonts w:ascii="Arial" w:hAnsi="Arial" w:cs="Arial"/>
                <w:b/>
              </w:rPr>
            </w:pPr>
            <w:r w:rsidRPr="00AB5455">
              <w:rPr>
                <w:rFonts w:ascii="Arial" w:hAnsi="Arial" w:cs="Arial"/>
                <w:sz w:val="24"/>
                <w:szCs w:val="24"/>
              </w:rPr>
              <w:t>Social Media (MAC01) – no changes</w:t>
            </w:r>
          </w:p>
        </w:tc>
      </w:tr>
      <w:tr w:rsidR="00325295" w:rsidRPr="00232563" w:rsidTr="00B02888">
        <w:trPr>
          <w:trHeight w:val="80"/>
        </w:trPr>
        <w:tc>
          <w:tcPr>
            <w:tcW w:w="817" w:type="dxa"/>
          </w:tcPr>
          <w:p w:rsidR="00325295" w:rsidRDefault="008A3FB6" w:rsidP="00B02888">
            <w:pPr>
              <w:rPr>
                <w:rFonts w:ascii="Arial" w:hAnsi="Arial" w:cs="Arial"/>
                <w:b/>
                <w:szCs w:val="24"/>
              </w:rPr>
            </w:pPr>
            <w:r>
              <w:rPr>
                <w:rFonts w:ascii="Arial" w:hAnsi="Arial" w:cs="Arial"/>
                <w:b/>
                <w:szCs w:val="24"/>
              </w:rPr>
              <w:t>5</w:t>
            </w:r>
            <w:r w:rsidR="00325295">
              <w:rPr>
                <w:rFonts w:ascii="Arial" w:hAnsi="Arial" w:cs="Arial"/>
                <w:b/>
                <w:szCs w:val="24"/>
              </w:rPr>
              <w:t>.</w:t>
            </w:r>
          </w:p>
          <w:p w:rsidR="00325295" w:rsidRPr="007F57B7" w:rsidRDefault="00325295" w:rsidP="00B02888">
            <w:pPr>
              <w:rPr>
                <w:rFonts w:ascii="Arial" w:hAnsi="Arial" w:cs="Arial"/>
                <w:b/>
                <w:szCs w:val="24"/>
              </w:rPr>
            </w:pPr>
          </w:p>
          <w:p w:rsidR="00325295" w:rsidRDefault="008A3FB6" w:rsidP="00B02888">
            <w:pPr>
              <w:rPr>
                <w:rFonts w:ascii="Arial" w:hAnsi="Arial" w:cs="Arial"/>
                <w:szCs w:val="24"/>
              </w:rPr>
            </w:pPr>
            <w:r>
              <w:rPr>
                <w:rFonts w:ascii="Arial" w:hAnsi="Arial" w:cs="Arial"/>
                <w:szCs w:val="24"/>
              </w:rPr>
              <w:t>5</w:t>
            </w:r>
            <w:r w:rsidR="00325295">
              <w:rPr>
                <w:rFonts w:ascii="Arial" w:hAnsi="Arial" w:cs="Arial"/>
                <w:szCs w:val="24"/>
              </w:rPr>
              <w:t>.1</w:t>
            </w:r>
          </w:p>
          <w:p w:rsidR="00325295" w:rsidRDefault="00325295" w:rsidP="00B02888">
            <w:pPr>
              <w:rPr>
                <w:rFonts w:ascii="Arial" w:hAnsi="Arial" w:cs="Arial"/>
                <w:szCs w:val="24"/>
              </w:rPr>
            </w:pPr>
          </w:p>
          <w:p w:rsidR="00325295" w:rsidRDefault="00325295" w:rsidP="00B02888">
            <w:pPr>
              <w:rPr>
                <w:rFonts w:ascii="Arial" w:hAnsi="Arial" w:cs="Arial"/>
                <w:szCs w:val="24"/>
              </w:rPr>
            </w:pPr>
          </w:p>
          <w:p w:rsidR="00325295" w:rsidRDefault="008A3FB6" w:rsidP="00B02888">
            <w:pPr>
              <w:rPr>
                <w:rFonts w:ascii="Arial" w:hAnsi="Arial" w:cs="Arial"/>
                <w:szCs w:val="24"/>
              </w:rPr>
            </w:pPr>
            <w:r>
              <w:rPr>
                <w:rFonts w:ascii="Arial" w:hAnsi="Arial" w:cs="Arial"/>
                <w:szCs w:val="24"/>
              </w:rPr>
              <w:t>5</w:t>
            </w:r>
            <w:r w:rsidR="00325295">
              <w:rPr>
                <w:rFonts w:ascii="Arial" w:hAnsi="Arial" w:cs="Arial"/>
                <w:szCs w:val="24"/>
              </w:rPr>
              <w:t>.2</w:t>
            </w:r>
          </w:p>
          <w:p w:rsidR="00325295" w:rsidRDefault="00325295" w:rsidP="00B02888">
            <w:pPr>
              <w:rPr>
                <w:rFonts w:ascii="Arial" w:hAnsi="Arial" w:cs="Arial"/>
                <w:szCs w:val="24"/>
              </w:rPr>
            </w:pPr>
          </w:p>
          <w:p w:rsidR="00325295" w:rsidRDefault="00325295" w:rsidP="00B02888">
            <w:pPr>
              <w:rPr>
                <w:rFonts w:ascii="Arial" w:hAnsi="Arial" w:cs="Arial"/>
                <w:szCs w:val="24"/>
              </w:rPr>
            </w:pPr>
          </w:p>
          <w:p w:rsidR="00325295" w:rsidRDefault="008A3FB6" w:rsidP="00B02888">
            <w:pPr>
              <w:rPr>
                <w:rFonts w:ascii="Arial" w:hAnsi="Arial" w:cs="Arial"/>
                <w:szCs w:val="24"/>
              </w:rPr>
            </w:pPr>
            <w:r>
              <w:rPr>
                <w:rFonts w:ascii="Arial" w:hAnsi="Arial" w:cs="Arial"/>
                <w:szCs w:val="24"/>
              </w:rPr>
              <w:t>5</w:t>
            </w:r>
            <w:r w:rsidR="00325295">
              <w:rPr>
                <w:rFonts w:ascii="Arial" w:hAnsi="Arial" w:cs="Arial"/>
                <w:szCs w:val="24"/>
              </w:rPr>
              <w:t>.3</w:t>
            </w:r>
          </w:p>
          <w:p w:rsidR="00325295" w:rsidRDefault="00325295" w:rsidP="00B02888">
            <w:pPr>
              <w:rPr>
                <w:rFonts w:ascii="Arial" w:hAnsi="Arial" w:cs="Arial"/>
                <w:szCs w:val="24"/>
              </w:rPr>
            </w:pPr>
          </w:p>
          <w:p w:rsidR="00325295" w:rsidRPr="00380CDF" w:rsidRDefault="00325295" w:rsidP="00B02888">
            <w:pPr>
              <w:rPr>
                <w:rFonts w:ascii="Arial" w:hAnsi="Arial" w:cs="Arial"/>
                <w:szCs w:val="24"/>
              </w:rPr>
            </w:pPr>
          </w:p>
        </w:tc>
        <w:tc>
          <w:tcPr>
            <w:tcW w:w="8647" w:type="dxa"/>
          </w:tcPr>
          <w:p w:rsidR="00325295" w:rsidRDefault="00325295" w:rsidP="00B02888">
            <w:pPr>
              <w:autoSpaceDE w:val="0"/>
              <w:autoSpaceDN w:val="0"/>
              <w:adjustRightInd w:val="0"/>
              <w:jc w:val="both"/>
              <w:rPr>
                <w:rFonts w:ascii="Arial" w:hAnsi="Arial" w:cs="Arial"/>
                <w:b/>
              </w:rPr>
            </w:pPr>
            <w:r w:rsidRPr="00751A5C">
              <w:rPr>
                <w:rFonts w:ascii="Arial" w:hAnsi="Arial" w:cs="Arial"/>
                <w:b/>
              </w:rPr>
              <w:t>Implications</w:t>
            </w:r>
          </w:p>
          <w:p w:rsidR="00325295" w:rsidRDefault="00325295" w:rsidP="00B02888">
            <w:pPr>
              <w:autoSpaceDE w:val="0"/>
              <w:autoSpaceDN w:val="0"/>
              <w:adjustRightInd w:val="0"/>
              <w:jc w:val="both"/>
              <w:rPr>
                <w:rFonts w:ascii="Arial" w:hAnsi="Arial" w:cs="Arial"/>
                <w:b/>
              </w:rPr>
            </w:pPr>
          </w:p>
          <w:p w:rsidR="00325295" w:rsidRDefault="00325295" w:rsidP="00B02888">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325295" w:rsidRDefault="00325295" w:rsidP="00B02888">
            <w:pPr>
              <w:autoSpaceDE w:val="0"/>
              <w:autoSpaceDN w:val="0"/>
              <w:adjustRightInd w:val="0"/>
              <w:jc w:val="both"/>
              <w:rPr>
                <w:rFonts w:ascii="Arial" w:hAnsi="Arial" w:cs="Arial"/>
              </w:rPr>
            </w:pPr>
          </w:p>
          <w:p w:rsidR="00325295" w:rsidRDefault="00325295" w:rsidP="00B02888">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5E74DC" w:rsidRPr="00232563" w:rsidRDefault="00325295" w:rsidP="00AB2B69">
            <w:pPr>
              <w:autoSpaceDE w:val="0"/>
              <w:autoSpaceDN w:val="0"/>
              <w:adjustRightInd w:val="0"/>
              <w:spacing w:before="100" w:beforeAutospacing="1" w:after="100" w:afterAutospacing="1"/>
              <w:jc w:val="both"/>
              <w:rPr>
                <w:rFonts w:ascii="Arial" w:hAnsi="Arial" w:cs="Arial"/>
              </w:rPr>
            </w:pPr>
            <w:r>
              <w:rPr>
                <w:rFonts w:ascii="Arial" w:hAnsi="Arial" w:cs="Arial"/>
              </w:rPr>
              <w:t>Risk Implications – there are no new risks arising from the recommendations of this report.</w:t>
            </w:r>
          </w:p>
        </w:tc>
      </w:tr>
      <w:tr w:rsidR="00325295" w:rsidRPr="007214D1" w:rsidTr="00B02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325295" w:rsidRDefault="00325295" w:rsidP="00B02888">
            <w:pPr>
              <w:autoSpaceDE w:val="0"/>
              <w:autoSpaceDN w:val="0"/>
              <w:adjustRightInd w:val="0"/>
              <w:jc w:val="both"/>
              <w:rPr>
                <w:rFonts w:ascii="Arial" w:hAnsi="Arial" w:cs="Arial"/>
                <w:b/>
                <w:szCs w:val="24"/>
              </w:rPr>
            </w:pPr>
            <w:r w:rsidRPr="009C18DA">
              <w:rPr>
                <w:rFonts w:ascii="Arial" w:hAnsi="Arial" w:cs="Arial"/>
                <w:b/>
                <w:szCs w:val="24"/>
              </w:rPr>
              <w:t>Recommendation</w:t>
            </w:r>
          </w:p>
          <w:p w:rsidR="00383500" w:rsidRDefault="00383500" w:rsidP="00383500">
            <w:pPr>
              <w:spacing w:before="100" w:beforeAutospacing="1" w:after="100" w:afterAutospacing="1"/>
              <w:jc w:val="both"/>
              <w:rPr>
                <w:rFonts w:ascii="Arial" w:hAnsi="Arial" w:cs="Arial"/>
                <w:szCs w:val="24"/>
              </w:rPr>
            </w:pPr>
            <w:r>
              <w:rPr>
                <w:rFonts w:ascii="Arial" w:hAnsi="Arial" w:cs="Arial"/>
              </w:rPr>
              <w:t>It is recommen</w:t>
            </w:r>
            <w:r w:rsidRPr="007D45D7">
              <w:rPr>
                <w:rFonts w:ascii="Arial" w:hAnsi="Arial" w:cs="Arial"/>
                <w:szCs w:val="24"/>
              </w:rPr>
              <w:t>ded that Directors</w:t>
            </w:r>
            <w:r>
              <w:rPr>
                <w:rFonts w:ascii="Arial" w:hAnsi="Arial" w:cs="Arial"/>
                <w:szCs w:val="24"/>
              </w:rPr>
              <w:t>:</w:t>
            </w:r>
          </w:p>
          <w:p w:rsidR="00383500" w:rsidRDefault="00383500" w:rsidP="00383500">
            <w:pPr>
              <w:pStyle w:val="ListParagraph"/>
              <w:numPr>
                <w:ilvl w:val="0"/>
                <w:numId w:val="6"/>
              </w:numPr>
              <w:spacing w:before="100" w:beforeAutospacing="1" w:after="100" w:afterAutospacing="1" w:line="240" w:lineRule="auto"/>
              <w:jc w:val="both"/>
              <w:rPr>
                <w:rFonts w:ascii="Arial" w:hAnsi="Arial" w:cs="Arial"/>
                <w:sz w:val="24"/>
                <w:szCs w:val="24"/>
              </w:rPr>
            </w:pPr>
            <w:r w:rsidRPr="008F41D8">
              <w:rPr>
                <w:rFonts w:ascii="Arial" w:hAnsi="Arial" w:cs="Arial"/>
                <w:sz w:val="24"/>
                <w:szCs w:val="24"/>
              </w:rPr>
              <w:t xml:space="preserve">note and comment on the content of the quarterly </w:t>
            </w:r>
            <w:r>
              <w:rPr>
                <w:rFonts w:ascii="Arial" w:hAnsi="Arial" w:cs="Arial"/>
                <w:sz w:val="24"/>
                <w:szCs w:val="24"/>
              </w:rPr>
              <w:t xml:space="preserve">HR </w:t>
            </w:r>
            <w:r w:rsidRPr="008F41D8">
              <w:rPr>
                <w:rFonts w:ascii="Arial" w:hAnsi="Arial" w:cs="Arial"/>
                <w:sz w:val="24"/>
                <w:szCs w:val="24"/>
              </w:rPr>
              <w:t>report including the update on the staffing establishment</w:t>
            </w:r>
            <w:r>
              <w:rPr>
                <w:rFonts w:ascii="Arial" w:hAnsi="Arial" w:cs="Arial"/>
                <w:sz w:val="24"/>
                <w:szCs w:val="24"/>
              </w:rPr>
              <w:t>; and</w:t>
            </w:r>
          </w:p>
          <w:p w:rsidR="008E3C2A" w:rsidRPr="008E3C2A" w:rsidRDefault="00383500" w:rsidP="00B859CD">
            <w:pPr>
              <w:pStyle w:val="ListParagraph"/>
              <w:numPr>
                <w:ilvl w:val="0"/>
                <w:numId w:val="6"/>
              </w:numPr>
              <w:spacing w:line="240" w:lineRule="auto"/>
              <w:jc w:val="both"/>
              <w:rPr>
                <w:rFonts w:ascii="Arial" w:hAnsi="Arial" w:cs="Arial"/>
                <w:szCs w:val="24"/>
              </w:rPr>
            </w:pPr>
            <w:r>
              <w:rPr>
                <w:rFonts w:ascii="Arial" w:hAnsi="Arial" w:cs="Arial"/>
                <w:sz w:val="24"/>
                <w:szCs w:val="24"/>
              </w:rPr>
              <w:t xml:space="preserve">approve the updates to the Service Equality </w:t>
            </w:r>
            <w:r w:rsidR="00B859CD">
              <w:rPr>
                <w:rFonts w:ascii="Arial" w:hAnsi="Arial" w:cs="Arial"/>
                <w:sz w:val="24"/>
                <w:szCs w:val="24"/>
              </w:rPr>
              <w:t>P</w:t>
            </w:r>
            <w:r>
              <w:rPr>
                <w:rFonts w:ascii="Arial" w:hAnsi="Arial" w:cs="Arial"/>
                <w:sz w:val="24"/>
                <w:szCs w:val="24"/>
              </w:rPr>
              <w:t>olicy</w:t>
            </w:r>
            <w:r w:rsidR="00F839E2">
              <w:rPr>
                <w:rFonts w:ascii="Arial" w:hAnsi="Arial" w:cs="Arial"/>
                <w:sz w:val="24"/>
                <w:szCs w:val="24"/>
              </w:rPr>
              <w:t xml:space="preserve"> at </w:t>
            </w:r>
            <w:r w:rsidR="00F839E2" w:rsidRPr="00F839E2">
              <w:rPr>
                <w:rFonts w:ascii="Arial" w:hAnsi="Arial" w:cs="Arial"/>
                <w:b/>
                <w:sz w:val="24"/>
                <w:szCs w:val="24"/>
              </w:rPr>
              <w:t>Appendix B</w:t>
            </w:r>
            <w:r>
              <w:rPr>
                <w:rFonts w:ascii="Arial" w:hAnsi="Arial" w:cs="Arial"/>
                <w:sz w:val="24"/>
                <w:szCs w:val="24"/>
              </w:rPr>
              <w:t>.</w:t>
            </w:r>
          </w:p>
        </w:tc>
      </w:tr>
    </w:tbl>
    <w:p w:rsidR="00794A0C" w:rsidRDefault="00794A0C" w:rsidP="00416BFF">
      <w:pPr>
        <w:rPr>
          <w:rFonts w:ascii="Arial" w:hAnsi="Arial" w:cs="Arial"/>
          <w:szCs w:val="24"/>
        </w:rPr>
      </w:pPr>
    </w:p>
    <w:p w:rsidR="008E3C2A" w:rsidRDefault="008E3C2A"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AB4988"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570EC5">
        <w:rPr>
          <w:rFonts w:ascii="Arial" w:hAnsi="Arial" w:cs="Arial"/>
          <w:szCs w:val="24"/>
        </w:rPr>
        <w:t>1 June 2018</w:t>
      </w:r>
    </w:p>
    <w:p w:rsidR="00AB4988" w:rsidRDefault="00AB4988" w:rsidP="00380CDF">
      <w:pPr>
        <w:rPr>
          <w:rFonts w:ascii="Arial" w:hAnsi="Arial" w:cs="Arial"/>
          <w:szCs w:val="24"/>
        </w:rPr>
      </w:pPr>
    </w:p>
    <w:p w:rsidR="000B6190" w:rsidRDefault="000B6190" w:rsidP="00C8333C">
      <w:pPr>
        <w:jc w:val="right"/>
        <w:rPr>
          <w:rFonts w:ascii="Arial" w:hAnsi="Arial" w:cs="Arial"/>
          <w:b/>
          <w:szCs w:val="24"/>
        </w:rPr>
      </w:pPr>
      <w:r>
        <w:rPr>
          <w:rFonts w:ascii="Arial" w:hAnsi="Arial" w:cs="Arial"/>
          <w:szCs w:val="24"/>
        </w:rPr>
        <w:br w:type="page"/>
      </w:r>
      <w:r w:rsidR="00C8333C">
        <w:rPr>
          <w:rFonts w:ascii="Arial" w:hAnsi="Arial" w:cs="Arial"/>
          <w:b/>
          <w:szCs w:val="24"/>
        </w:rPr>
        <w:t>APPENDIX A</w:t>
      </w:r>
    </w:p>
    <w:p w:rsidR="00C8333C" w:rsidRDefault="00C8333C">
      <w:pPr>
        <w:rPr>
          <w:rFonts w:ascii="Arial" w:hAnsi="Arial" w:cs="Arial"/>
          <w:b/>
          <w:szCs w:val="24"/>
        </w:rPr>
      </w:pPr>
    </w:p>
    <w:p w:rsidR="00AB4988" w:rsidRDefault="00AB4988">
      <w:pPr>
        <w:rPr>
          <w:rFonts w:ascii="Arial" w:hAnsi="Arial" w:cs="Arial"/>
          <w:b/>
          <w:szCs w:val="24"/>
        </w:rPr>
      </w:pPr>
      <w:bookmarkStart w:id="0" w:name="_GoBack"/>
      <w:bookmarkEnd w:id="0"/>
      <w:r>
        <w:rPr>
          <w:rFonts w:ascii="Arial" w:hAnsi="Arial" w:cs="Arial"/>
          <w:b/>
          <w:szCs w:val="24"/>
        </w:rPr>
        <w:t xml:space="preserve">CHANGES TO STAFFING ESTABLISHMENT IN QUARTER </w:t>
      </w:r>
      <w:r w:rsidR="002C4B6B">
        <w:rPr>
          <w:rFonts w:ascii="Arial" w:hAnsi="Arial" w:cs="Arial"/>
          <w:b/>
          <w:szCs w:val="24"/>
        </w:rPr>
        <w:t>4</w:t>
      </w:r>
      <w:r>
        <w:rPr>
          <w:rFonts w:ascii="Arial" w:hAnsi="Arial" w:cs="Arial"/>
          <w:b/>
          <w:szCs w:val="24"/>
        </w:rPr>
        <w:t xml:space="preserve"> (</w:t>
      </w:r>
      <w:r w:rsidR="002C4B6B">
        <w:rPr>
          <w:rFonts w:ascii="Arial" w:hAnsi="Arial" w:cs="Arial"/>
          <w:b/>
          <w:szCs w:val="24"/>
        </w:rPr>
        <w:t>JAN-MAR 18</w:t>
      </w:r>
      <w:r>
        <w:rPr>
          <w:rFonts w:ascii="Arial" w:hAnsi="Arial" w:cs="Arial"/>
          <w:b/>
          <w:szCs w:val="24"/>
        </w:rPr>
        <w:t>)</w:t>
      </w:r>
    </w:p>
    <w:p w:rsidR="00AB4988" w:rsidRDefault="00AB4988">
      <w:pPr>
        <w:rPr>
          <w:rFonts w:ascii="Arial" w:hAnsi="Arial" w:cs="Arial"/>
          <w:b/>
          <w:szCs w:val="24"/>
        </w:rPr>
      </w:pPr>
    </w:p>
    <w:p w:rsidR="00AB4988" w:rsidRDefault="00AB4988">
      <w:pPr>
        <w:rPr>
          <w:rFonts w:ascii="Arial" w:hAnsi="Arial" w:cs="Arial"/>
          <w:b/>
          <w:szCs w:val="24"/>
        </w:rPr>
      </w:pPr>
    </w:p>
    <w:p w:rsidR="00D05169" w:rsidRDefault="00D05169">
      <w:pPr>
        <w:rPr>
          <w:rFonts w:ascii="Arial" w:hAnsi="Arial" w:cs="Arial"/>
          <w:b/>
          <w:szCs w:val="24"/>
        </w:rPr>
      </w:pPr>
    </w:p>
    <w:tbl>
      <w:tblPr>
        <w:tblW w:w="9070" w:type="dxa"/>
        <w:tblInd w:w="108" w:type="dxa"/>
        <w:tblLook w:val="04A0" w:firstRow="1" w:lastRow="0" w:firstColumn="1" w:lastColumn="0" w:noHBand="0" w:noVBand="1"/>
      </w:tblPr>
      <w:tblGrid>
        <w:gridCol w:w="3544"/>
        <w:gridCol w:w="3410"/>
        <w:gridCol w:w="2116"/>
      </w:tblGrid>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Centre Co-ordinator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proofErr w:type="spellStart"/>
            <w:r w:rsidRPr="00D05169">
              <w:rPr>
                <w:rFonts w:ascii="Arial" w:hAnsi="Arial" w:cs="Arial"/>
                <w:color w:val="000000"/>
                <w:szCs w:val="24"/>
              </w:rPr>
              <w:t>Sunart</w:t>
            </w:r>
            <w:proofErr w:type="spellEnd"/>
            <w:r w:rsidRPr="00D05169">
              <w:rPr>
                <w:rFonts w:ascii="Arial" w:hAnsi="Arial" w:cs="Arial"/>
                <w:color w:val="000000"/>
                <w:szCs w:val="24"/>
              </w:rPr>
              <w:t xml:space="preserv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-0.5</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Centre Supervisor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proofErr w:type="spellStart"/>
            <w:r w:rsidRPr="00D05169">
              <w:rPr>
                <w:rFonts w:ascii="Arial" w:hAnsi="Arial" w:cs="Arial"/>
                <w:color w:val="000000"/>
                <w:szCs w:val="24"/>
              </w:rPr>
              <w:t>Sunart</w:t>
            </w:r>
            <w:proofErr w:type="spellEnd"/>
            <w:r w:rsidRPr="00D05169">
              <w:rPr>
                <w:rFonts w:ascii="Arial" w:hAnsi="Arial" w:cs="Arial"/>
                <w:color w:val="000000"/>
                <w:szCs w:val="24"/>
              </w:rPr>
              <w:t xml:space="preserv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0.5</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B859CD">
            <w:pPr>
              <w:rPr>
                <w:rFonts w:ascii="Arial" w:hAnsi="Arial" w:cs="Arial"/>
                <w:color w:val="000000"/>
                <w:szCs w:val="24"/>
              </w:rPr>
            </w:pPr>
            <w:r w:rsidRPr="00D05169">
              <w:rPr>
                <w:rFonts w:ascii="Arial" w:hAnsi="Arial" w:cs="Arial"/>
                <w:color w:val="000000"/>
                <w:szCs w:val="24"/>
              </w:rPr>
              <w:t xml:space="preserve">Leisure </w:t>
            </w:r>
            <w:r w:rsidR="00B859CD">
              <w:rPr>
                <w:rFonts w:ascii="Arial" w:hAnsi="Arial" w:cs="Arial"/>
                <w:color w:val="000000"/>
                <w:szCs w:val="24"/>
              </w:rPr>
              <w:t>S</w:t>
            </w:r>
            <w:r w:rsidRPr="00D05169">
              <w:rPr>
                <w:rFonts w:ascii="Arial" w:hAnsi="Arial" w:cs="Arial"/>
                <w:color w:val="000000"/>
                <w:szCs w:val="24"/>
              </w:rPr>
              <w:t>upervisor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-0.04</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B859CD">
            <w:pPr>
              <w:rPr>
                <w:rFonts w:ascii="Arial" w:hAnsi="Arial" w:cs="Arial"/>
                <w:color w:val="000000"/>
                <w:szCs w:val="24"/>
              </w:rPr>
            </w:pPr>
            <w:r w:rsidRPr="00D05169">
              <w:rPr>
                <w:rFonts w:ascii="Arial" w:hAnsi="Arial" w:cs="Arial"/>
                <w:color w:val="000000"/>
                <w:szCs w:val="24"/>
              </w:rPr>
              <w:t xml:space="preserve">Leisure </w:t>
            </w:r>
            <w:r w:rsidR="00B859CD">
              <w:rPr>
                <w:rFonts w:ascii="Arial" w:hAnsi="Arial" w:cs="Arial"/>
                <w:color w:val="000000"/>
                <w:szCs w:val="24"/>
              </w:rPr>
              <w:t>S</w:t>
            </w:r>
            <w:r w:rsidRPr="00D05169">
              <w:rPr>
                <w:rFonts w:ascii="Arial" w:hAnsi="Arial" w:cs="Arial"/>
                <w:color w:val="000000"/>
                <w:szCs w:val="24"/>
              </w:rPr>
              <w:t>upervisor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-0.01</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B859CD">
            <w:pPr>
              <w:rPr>
                <w:rFonts w:ascii="Arial" w:hAnsi="Arial" w:cs="Arial"/>
                <w:color w:val="000000"/>
                <w:szCs w:val="24"/>
              </w:rPr>
            </w:pPr>
            <w:r w:rsidRPr="00D05169">
              <w:rPr>
                <w:rFonts w:ascii="Arial" w:hAnsi="Arial" w:cs="Arial"/>
                <w:color w:val="000000"/>
                <w:szCs w:val="24"/>
              </w:rPr>
              <w:t xml:space="preserve">Leisure </w:t>
            </w:r>
            <w:r w:rsidR="00B859CD">
              <w:rPr>
                <w:rFonts w:ascii="Arial" w:hAnsi="Arial" w:cs="Arial"/>
                <w:color w:val="000000"/>
                <w:szCs w:val="24"/>
              </w:rPr>
              <w:t>S</w:t>
            </w:r>
            <w:r w:rsidRPr="00D05169">
              <w:rPr>
                <w:rFonts w:ascii="Arial" w:hAnsi="Arial" w:cs="Arial"/>
                <w:color w:val="000000"/>
                <w:szCs w:val="24"/>
              </w:rPr>
              <w:t>upervisor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-0.03</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Assistant 1</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-0.03</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Assistant 2</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-0.03</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Assistant 3</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-0.02</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Assistant 4</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-0.01</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Assistant 5</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-0.01</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Assistant 6</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-0.02</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Cashier Receptionist</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0.08</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Cashier Receptionist</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-0.07</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Cashier Receptionist</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Culloden </w:t>
            </w:r>
            <w:r>
              <w:rPr>
                <w:rFonts w:ascii="Arial" w:hAnsi="Arial" w:cs="Arial"/>
                <w:color w:val="000000"/>
                <w:szCs w:val="24"/>
              </w:rPr>
              <w:t>L</w:t>
            </w:r>
            <w:r w:rsidRPr="00D05169">
              <w:rPr>
                <w:rFonts w:ascii="Arial" w:hAnsi="Arial" w:cs="Arial"/>
                <w:color w:val="000000"/>
                <w:szCs w:val="24"/>
              </w:rPr>
              <w:t xml:space="preserve">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-0.07</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Manager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East Caithness Community Complex</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1</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Manager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 xml:space="preserve">Thurso Leisure </w:t>
            </w:r>
            <w:r>
              <w:rPr>
                <w:rFonts w:ascii="Arial" w:hAnsi="Arial" w:cs="Arial"/>
                <w:color w:val="000000"/>
                <w:szCs w:val="24"/>
              </w:rPr>
              <w:t>C</w:t>
            </w:r>
            <w:r w:rsidRPr="00D05169">
              <w:rPr>
                <w:rFonts w:ascii="Arial" w:hAnsi="Arial" w:cs="Arial"/>
                <w:color w:val="000000"/>
                <w:szCs w:val="24"/>
              </w:rPr>
              <w:t>entre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1</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Manager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Wick &amp; Thurso</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-1</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Library/Service Point Assistant</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Grantown Library</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0.17</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Community Learning and Development Worker Internship</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Dingwall</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1</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Grounds and Maintenance Worker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HFM</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0.43</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Clerical Assistant</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IMAG</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0.42</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Supervisor</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North Coast Leisure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0.57</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Assistant</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North Coast Le</w:t>
            </w:r>
            <w:r>
              <w:rPr>
                <w:rFonts w:ascii="Arial" w:hAnsi="Arial" w:cs="Arial"/>
                <w:color w:val="000000"/>
                <w:szCs w:val="24"/>
              </w:rPr>
              <w:t>i</w:t>
            </w:r>
            <w:r w:rsidRPr="00D05169">
              <w:rPr>
                <w:rFonts w:ascii="Arial" w:hAnsi="Arial" w:cs="Arial"/>
                <w:color w:val="000000"/>
                <w:szCs w:val="24"/>
              </w:rPr>
              <w:t>sure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0.65</w:t>
            </w:r>
          </w:p>
        </w:tc>
      </w:tr>
      <w:tr w:rsidR="00D05169" w:rsidRPr="00D05169" w:rsidTr="00D05169">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Leisure Assistant</w:t>
            </w:r>
          </w:p>
        </w:tc>
        <w:tc>
          <w:tcPr>
            <w:tcW w:w="3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169" w:rsidRPr="00D05169" w:rsidRDefault="00D05169" w:rsidP="00D05169">
            <w:pPr>
              <w:rPr>
                <w:rFonts w:ascii="Arial" w:hAnsi="Arial" w:cs="Arial"/>
                <w:color w:val="000000"/>
                <w:szCs w:val="24"/>
              </w:rPr>
            </w:pPr>
            <w:r w:rsidRPr="00D05169">
              <w:rPr>
                <w:rFonts w:ascii="Arial" w:hAnsi="Arial" w:cs="Arial"/>
                <w:color w:val="000000"/>
                <w:szCs w:val="24"/>
              </w:rPr>
              <w:t>North Coast Le</w:t>
            </w:r>
            <w:r>
              <w:rPr>
                <w:rFonts w:ascii="Arial" w:hAnsi="Arial" w:cs="Arial"/>
                <w:color w:val="000000"/>
                <w:szCs w:val="24"/>
              </w:rPr>
              <w:t>i</w:t>
            </w:r>
            <w:r w:rsidRPr="00D05169">
              <w:rPr>
                <w:rFonts w:ascii="Arial" w:hAnsi="Arial" w:cs="Arial"/>
                <w:color w:val="000000"/>
                <w:szCs w:val="24"/>
              </w:rPr>
              <w:t>sure</w:t>
            </w: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color w:val="000000"/>
                <w:szCs w:val="24"/>
              </w:rPr>
            </w:pPr>
            <w:r>
              <w:rPr>
                <w:rFonts w:ascii="Arial" w:hAnsi="Arial" w:cs="Arial"/>
                <w:color w:val="000000"/>
              </w:rPr>
              <w:t>0.65</w:t>
            </w:r>
          </w:p>
        </w:tc>
      </w:tr>
      <w:tr w:rsidR="00D05169" w:rsidRPr="00D05169" w:rsidTr="00D05169">
        <w:trPr>
          <w:trHeight w:val="300"/>
        </w:trPr>
        <w:tc>
          <w:tcPr>
            <w:tcW w:w="3544" w:type="dxa"/>
            <w:tcBorders>
              <w:top w:val="single" w:sz="4" w:space="0" w:color="auto"/>
              <w:left w:val="nil"/>
              <w:bottom w:val="nil"/>
              <w:right w:val="nil"/>
            </w:tcBorders>
            <w:shd w:val="clear" w:color="auto" w:fill="auto"/>
            <w:noWrap/>
            <w:vAlign w:val="center"/>
          </w:tcPr>
          <w:p w:rsidR="00D05169" w:rsidRPr="00D05169" w:rsidRDefault="00D05169" w:rsidP="00D05169">
            <w:pPr>
              <w:rPr>
                <w:rFonts w:ascii="Arial" w:hAnsi="Arial" w:cs="Arial"/>
                <w:color w:val="000000"/>
                <w:szCs w:val="24"/>
              </w:rPr>
            </w:pPr>
          </w:p>
        </w:tc>
        <w:tc>
          <w:tcPr>
            <w:tcW w:w="3410" w:type="dxa"/>
            <w:tcBorders>
              <w:top w:val="single" w:sz="4" w:space="0" w:color="auto"/>
              <w:left w:val="nil"/>
              <w:bottom w:val="nil"/>
              <w:right w:val="single" w:sz="4" w:space="0" w:color="auto"/>
            </w:tcBorders>
            <w:shd w:val="clear" w:color="auto" w:fill="auto"/>
            <w:noWrap/>
            <w:vAlign w:val="center"/>
          </w:tcPr>
          <w:p w:rsidR="00D05169" w:rsidRPr="00D05169" w:rsidRDefault="00D05169" w:rsidP="00D05169">
            <w:pPr>
              <w:rPr>
                <w:rFonts w:ascii="Arial" w:hAnsi="Arial" w:cs="Arial"/>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D05169" w:rsidRDefault="00D05169">
            <w:pPr>
              <w:jc w:val="center"/>
              <w:rPr>
                <w:rFonts w:ascii="Arial" w:hAnsi="Arial" w:cs="Arial"/>
                <w:b/>
                <w:bCs/>
                <w:color w:val="000000"/>
                <w:szCs w:val="24"/>
              </w:rPr>
            </w:pPr>
            <w:r>
              <w:rPr>
                <w:rFonts w:ascii="Arial" w:hAnsi="Arial" w:cs="Arial"/>
                <w:b/>
                <w:bCs/>
                <w:color w:val="000000"/>
              </w:rPr>
              <w:t>4.63</w:t>
            </w:r>
          </w:p>
        </w:tc>
      </w:tr>
    </w:tbl>
    <w:p w:rsidR="00F839E2" w:rsidRDefault="00F839E2">
      <w:pPr>
        <w:rPr>
          <w:rFonts w:ascii="Arial" w:hAnsi="Arial" w:cs="Arial"/>
          <w:b/>
          <w:szCs w:val="24"/>
        </w:rPr>
      </w:pPr>
    </w:p>
    <w:p w:rsidR="00F839E2" w:rsidRDefault="00F839E2">
      <w:pPr>
        <w:rPr>
          <w:rFonts w:ascii="Arial" w:hAnsi="Arial" w:cs="Arial"/>
          <w:b/>
          <w:szCs w:val="24"/>
        </w:rPr>
      </w:pPr>
      <w:r>
        <w:rPr>
          <w:rFonts w:ascii="Arial" w:hAnsi="Arial" w:cs="Arial"/>
          <w:b/>
          <w:szCs w:val="24"/>
        </w:rPr>
        <w:br w:type="page"/>
      </w:r>
    </w:p>
    <w:p w:rsidR="00D05169" w:rsidRDefault="00F839E2" w:rsidP="00F839E2">
      <w:pPr>
        <w:jc w:val="right"/>
        <w:rPr>
          <w:rFonts w:ascii="Arial" w:hAnsi="Arial" w:cs="Arial"/>
          <w:b/>
          <w:szCs w:val="24"/>
        </w:rPr>
      </w:pPr>
      <w:r>
        <w:rPr>
          <w:rFonts w:ascii="Arial" w:hAnsi="Arial" w:cs="Arial"/>
          <w:b/>
          <w:szCs w:val="24"/>
        </w:rPr>
        <w:t>Appendix B</w:t>
      </w:r>
    </w:p>
    <w:p w:rsidR="00902A9A" w:rsidRDefault="00902A9A" w:rsidP="00F839E2">
      <w:pPr>
        <w:jc w:val="right"/>
        <w:rPr>
          <w:rFonts w:ascii="Arial" w:hAnsi="Arial" w:cs="Arial"/>
          <w:b/>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398"/>
      </w:tblGrid>
      <w:tr w:rsidR="00F839E2" w:rsidRPr="00F839E2" w:rsidTr="002E4E18">
        <w:trPr>
          <w:trHeight w:val="841"/>
        </w:trPr>
        <w:tc>
          <w:tcPr>
            <w:tcW w:w="3816" w:type="dxa"/>
            <w:shd w:val="clear" w:color="auto" w:fill="auto"/>
          </w:tcPr>
          <w:p w:rsidR="00F839E2" w:rsidRPr="00F839E2" w:rsidRDefault="00F839E2" w:rsidP="00F839E2">
            <w:pPr>
              <w:tabs>
                <w:tab w:val="left" w:pos="1701"/>
                <w:tab w:val="left" w:pos="2268"/>
              </w:tabs>
              <w:jc w:val="center"/>
              <w:rPr>
                <w:rFonts w:ascii="Arial" w:hAnsi="Arial" w:cs="Arial"/>
                <w:b/>
                <w:sz w:val="28"/>
                <w:szCs w:val="28"/>
              </w:rPr>
            </w:pPr>
            <w:r w:rsidRPr="00F839E2">
              <w:rPr>
                <w:rFonts w:ascii="Arial" w:hAnsi="Arial" w:cs="Arial"/>
                <w:b/>
                <w:noProof/>
                <w:sz w:val="28"/>
                <w:szCs w:val="28"/>
              </w:rPr>
              <w:drawing>
                <wp:inline distT="0" distB="0" distL="0" distR="0" wp14:anchorId="22FBEAD7" wp14:editId="356CF11B">
                  <wp:extent cx="20288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028700"/>
                          </a:xfrm>
                          <a:prstGeom prst="rect">
                            <a:avLst/>
                          </a:prstGeom>
                          <a:noFill/>
                          <a:ln>
                            <a:noFill/>
                          </a:ln>
                        </pic:spPr>
                      </pic:pic>
                    </a:graphicData>
                  </a:graphic>
                </wp:inline>
              </w:drawing>
            </w:r>
          </w:p>
        </w:tc>
        <w:tc>
          <w:tcPr>
            <w:tcW w:w="5398" w:type="dxa"/>
            <w:shd w:val="clear" w:color="auto" w:fill="auto"/>
          </w:tcPr>
          <w:p w:rsidR="00F839E2" w:rsidRPr="00F839E2" w:rsidRDefault="00F839E2" w:rsidP="00F839E2">
            <w:pPr>
              <w:tabs>
                <w:tab w:val="left" w:pos="1701"/>
                <w:tab w:val="left" w:pos="2268"/>
              </w:tabs>
              <w:rPr>
                <w:rFonts w:ascii="Arial" w:hAnsi="Arial" w:cs="Arial"/>
                <w:b/>
                <w:sz w:val="20"/>
              </w:rPr>
            </w:pPr>
          </w:p>
          <w:p w:rsidR="00F839E2" w:rsidRPr="00F839E2" w:rsidRDefault="00F839E2" w:rsidP="00F839E2">
            <w:pPr>
              <w:tabs>
                <w:tab w:val="left" w:pos="1701"/>
                <w:tab w:val="left" w:pos="2268"/>
              </w:tabs>
              <w:rPr>
                <w:rFonts w:ascii="Arial" w:hAnsi="Arial" w:cs="Arial"/>
                <w:b/>
                <w:sz w:val="40"/>
                <w:szCs w:val="40"/>
              </w:rPr>
            </w:pPr>
            <w:r w:rsidRPr="00F839E2">
              <w:rPr>
                <w:rFonts w:ascii="Arial" w:hAnsi="Arial" w:cs="Arial"/>
                <w:b/>
                <w:sz w:val="40"/>
                <w:szCs w:val="40"/>
              </w:rPr>
              <w:t>Services’ Equality Policy</w:t>
            </w:r>
          </w:p>
          <w:p w:rsidR="00F839E2" w:rsidRPr="00F839E2" w:rsidRDefault="00F839E2" w:rsidP="00F839E2">
            <w:pPr>
              <w:tabs>
                <w:tab w:val="left" w:pos="1701"/>
                <w:tab w:val="left" w:pos="2268"/>
              </w:tabs>
              <w:rPr>
                <w:rFonts w:ascii="Arial" w:hAnsi="Arial" w:cs="Arial"/>
                <w:i/>
                <w:sz w:val="28"/>
                <w:szCs w:val="28"/>
              </w:rPr>
            </w:pPr>
          </w:p>
          <w:p w:rsidR="00F839E2" w:rsidRPr="00F839E2" w:rsidRDefault="00F839E2" w:rsidP="00F839E2">
            <w:pPr>
              <w:tabs>
                <w:tab w:val="left" w:pos="1701"/>
                <w:tab w:val="left" w:pos="2268"/>
              </w:tabs>
              <w:rPr>
                <w:rFonts w:ascii="Arial" w:hAnsi="Arial" w:cs="Arial"/>
                <w:szCs w:val="24"/>
              </w:rPr>
            </w:pPr>
            <w:r w:rsidRPr="00F839E2">
              <w:rPr>
                <w:rFonts w:ascii="Arial" w:hAnsi="Arial" w:cs="Arial"/>
                <w:szCs w:val="24"/>
              </w:rPr>
              <w:t>v1 – Approved HLH Board 20 June 2013</w:t>
            </w:r>
          </w:p>
          <w:p w:rsidR="00F839E2" w:rsidRDefault="00F839E2" w:rsidP="00F839E2">
            <w:pPr>
              <w:tabs>
                <w:tab w:val="left" w:pos="1701"/>
                <w:tab w:val="left" w:pos="2268"/>
              </w:tabs>
              <w:rPr>
                <w:rFonts w:ascii="Arial" w:hAnsi="Arial" w:cs="Arial"/>
                <w:szCs w:val="24"/>
              </w:rPr>
            </w:pPr>
            <w:r w:rsidRPr="00F839E2">
              <w:rPr>
                <w:rFonts w:ascii="Arial" w:hAnsi="Arial" w:cs="Arial"/>
                <w:szCs w:val="24"/>
              </w:rPr>
              <w:t>Reviewed HLH Board 16 June 2016</w:t>
            </w:r>
          </w:p>
          <w:p w:rsidR="00052C00" w:rsidRPr="00F839E2" w:rsidRDefault="00B61410" w:rsidP="00F839E2">
            <w:pPr>
              <w:tabs>
                <w:tab w:val="left" w:pos="1701"/>
                <w:tab w:val="left" w:pos="2268"/>
              </w:tabs>
              <w:rPr>
                <w:rFonts w:ascii="Arial" w:hAnsi="Arial" w:cs="Arial"/>
                <w:szCs w:val="24"/>
              </w:rPr>
            </w:pPr>
            <w:r>
              <w:rPr>
                <w:rFonts w:ascii="Arial" w:hAnsi="Arial" w:cs="Arial"/>
                <w:szCs w:val="24"/>
              </w:rPr>
              <w:t xml:space="preserve">V2 </w:t>
            </w:r>
            <w:r w:rsidR="00052C00">
              <w:rPr>
                <w:rFonts w:ascii="Arial" w:hAnsi="Arial" w:cs="Arial"/>
                <w:szCs w:val="24"/>
              </w:rPr>
              <w:t>Reviewed May 2015</w:t>
            </w:r>
            <w:r>
              <w:rPr>
                <w:rFonts w:ascii="Arial" w:hAnsi="Arial" w:cs="Arial"/>
                <w:szCs w:val="24"/>
              </w:rPr>
              <w:t xml:space="preserve"> – HLH Board to consider June 2018</w:t>
            </w:r>
          </w:p>
          <w:p w:rsidR="00F839E2" w:rsidRPr="00F839E2" w:rsidRDefault="00F839E2" w:rsidP="00F839E2">
            <w:pPr>
              <w:tabs>
                <w:tab w:val="left" w:pos="1701"/>
                <w:tab w:val="left" w:pos="2268"/>
              </w:tabs>
              <w:rPr>
                <w:rFonts w:ascii="Arial" w:hAnsi="Arial" w:cs="Arial"/>
                <w:szCs w:val="24"/>
              </w:rPr>
            </w:pPr>
          </w:p>
          <w:p w:rsidR="00F839E2" w:rsidRPr="00F839E2" w:rsidRDefault="00F839E2" w:rsidP="00F839E2">
            <w:pPr>
              <w:tabs>
                <w:tab w:val="left" w:pos="1701"/>
                <w:tab w:val="left" w:pos="2268"/>
              </w:tabs>
              <w:rPr>
                <w:rFonts w:ascii="Arial" w:hAnsi="Arial" w:cs="Arial"/>
                <w:szCs w:val="24"/>
              </w:rPr>
            </w:pPr>
            <w:r w:rsidRPr="00F839E2">
              <w:rPr>
                <w:rFonts w:ascii="Arial" w:hAnsi="Arial" w:cs="Arial"/>
                <w:szCs w:val="24"/>
              </w:rPr>
              <w:t>Review Date – June 20</w:t>
            </w:r>
            <w:r w:rsidR="00B61410">
              <w:rPr>
                <w:rFonts w:ascii="Arial" w:hAnsi="Arial" w:cs="Arial"/>
                <w:szCs w:val="24"/>
              </w:rPr>
              <w:t>20</w:t>
            </w:r>
          </w:p>
        </w:tc>
      </w:tr>
    </w:tbl>
    <w:p w:rsidR="00F839E2" w:rsidRPr="00F839E2" w:rsidRDefault="00F839E2" w:rsidP="00F839E2">
      <w:pPr>
        <w:rPr>
          <w:rFonts w:ascii="Arial" w:eastAsiaTheme="minorHAnsi" w:hAnsi="Arial" w:cs="Arial"/>
          <w:szCs w:val="24"/>
          <w:lang w:eastAsia="en-US"/>
        </w:rPr>
      </w:pPr>
    </w:p>
    <w:p w:rsidR="00F839E2" w:rsidRPr="00F839E2" w:rsidRDefault="00F839E2" w:rsidP="00F839E2">
      <w:pPr>
        <w:jc w:val="both"/>
        <w:rPr>
          <w:rFonts w:ascii="Arial" w:hAnsi="Arial" w:cs="Arial"/>
          <w:szCs w:val="24"/>
        </w:rPr>
      </w:pPr>
      <w:r w:rsidRPr="00F839E2">
        <w:rPr>
          <w:rFonts w:ascii="Arial" w:hAnsi="Arial" w:cs="Arial"/>
          <w:szCs w:val="24"/>
        </w:rPr>
        <w:t xml:space="preserve">This Policy sets out how High Life Highland (HLH) will ensure that it meets its responsibilities as a service provider under The Equalities Act 2010. HLH has a separate </w:t>
      </w:r>
      <w:hyperlink r:id="rId10" w:history="1">
        <w:r w:rsidRPr="00F839E2">
          <w:rPr>
            <w:rFonts w:ascii="Arial" w:hAnsi="Arial" w:cs="Arial"/>
            <w:color w:val="0000FF" w:themeColor="hyperlink"/>
            <w:szCs w:val="24"/>
            <w:u w:val="single"/>
          </w:rPr>
          <w:t>equal opportunities policy</w:t>
        </w:r>
      </w:hyperlink>
      <w:r w:rsidRPr="00F839E2">
        <w:rPr>
          <w:rFonts w:ascii="Arial" w:hAnsi="Arial" w:cs="Arial"/>
          <w:szCs w:val="24"/>
        </w:rPr>
        <w:t xml:space="preserve"> for how it will treat its staff.</w:t>
      </w:r>
    </w:p>
    <w:p w:rsidR="00F839E2" w:rsidRPr="00F839E2" w:rsidRDefault="00F839E2" w:rsidP="00F839E2">
      <w:pPr>
        <w:jc w:val="both"/>
        <w:rPr>
          <w:rFonts w:ascii="Arial" w:hAnsi="Arial" w:cs="Arial"/>
          <w:szCs w:val="24"/>
        </w:rPr>
      </w:pPr>
      <w:r w:rsidRPr="00F839E2">
        <w:rPr>
          <w:rFonts w:ascii="Arial" w:hAnsi="Arial" w:cs="Arial"/>
          <w:szCs w:val="24"/>
        </w:rPr>
        <w:t> </w:t>
      </w:r>
    </w:p>
    <w:p w:rsidR="00F839E2" w:rsidRPr="00F839E2" w:rsidRDefault="00F839E2" w:rsidP="00F839E2">
      <w:pPr>
        <w:jc w:val="both"/>
        <w:rPr>
          <w:rFonts w:ascii="Arial" w:hAnsi="Arial" w:cs="Arial"/>
          <w:szCs w:val="24"/>
        </w:rPr>
      </w:pPr>
      <w:r w:rsidRPr="00F839E2">
        <w:rPr>
          <w:rFonts w:ascii="Arial" w:hAnsi="Arial" w:cs="Arial"/>
          <w:szCs w:val="24"/>
        </w:rPr>
        <w:t>HLH recognises and understands its duties and responsibilities under The Equalities Act 2010. The Company recognises its duty not to discriminate against the following characteristics:</w:t>
      </w:r>
    </w:p>
    <w:p w:rsidR="00F839E2" w:rsidRPr="00F839E2" w:rsidRDefault="00F839E2" w:rsidP="00F839E2">
      <w:pPr>
        <w:ind w:left="540"/>
        <w:rPr>
          <w:rFonts w:ascii="Arial" w:hAnsi="Arial" w:cs="Arial"/>
          <w:szCs w:val="24"/>
        </w:rPr>
      </w:pPr>
      <w:r w:rsidRPr="00F839E2">
        <w:rPr>
          <w:rFonts w:ascii="Arial" w:hAnsi="Arial" w:cs="Arial"/>
          <w:szCs w:val="24"/>
        </w:rPr>
        <w:t> </w:t>
      </w:r>
    </w:p>
    <w:p w:rsidR="00F839E2" w:rsidRPr="00F839E2" w:rsidRDefault="00F839E2" w:rsidP="00F839E2">
      <w:pPr>
        <w:numPr>
          <w:ilvl w:val="0"/>
          <w:numId w:val="29"/>
        </w:numPr>
        <w:spacing w:after="200" w:line="276" w:lineRule="auto"/>
        <w:ind w:left="540"/>
        <w:textAlignment w:val="center"/>
        <w:rPr>
          <w:rFonts w:ascii="Arial" w:hAnsi="Arial" w:cs="Arial"/>
          <w:szCs w:val="24"/>
        </w:rPr>
      </w:pPr>
      <w:r w:rsidRPr="00F839E2">
        <w:rPr>
          <w:rFonts w:ascii="Arial" w:hAnsi="Arial" w:cs="Arial"/>
          <w:szCs w:val="24"/>
        </w:rPr>
        <w:t>Age</w:t>
      </w:r>
    </w:p>
    <w:p w:rsidR="00F839E2" w:rsidRPr="00F839E2" w:rsidRDefault="00F839E2" w:rsidP="00F839E2">
      <w:pPr>
        <w:numPr>
          <w:ilvl w:val="0"/>
          <w:numId w:val="29"/>
        </w:numPr>
        <w:spacing w:after="200" w:line="276" w:lineRule="auto"/>
        <w:ind w:left="540"/>
        <w:textAlignment w:val="center"/>
        <w:rPr>
          <w:rFonts w:ascii="Arial" w:hAnsi="Arial" w:cs="Arial"/>
          <w:szCs w:val="24"/>
        </w:rPr>
      </w:pPr>
      <w:r w:rsidRPr="00F839E2">
        <w:rPr>
          <w:rFonts w:ascii="Arial" w:hAnsi="Arial" w:cs="Arial"/>
          <w:szCs w:val="24"/>
        </w:rPr>
        <w:t>Disability</w:t>
      </w:r>
    </w:p>
    <w:p w:rsidR="00F839E2" w:rsidRPr="00F839E2" w:rsidRDefault="00F839E2" w:rsidP="00F839E2">
      <w:pPr>
        <w:numPr>
          <w:ilvl w:val="0"/>
          <w:numId w:val="30"/>
        </w:numPr>
        <w:spacing w:after="200" w:line="276" w:lineRule="auto"/>
        <w:ind w:left="540"/>
        <w:textAlignment w:val="center"/>
        <w:rPr>
          <w:rFonts w:ascii="Arial" w:hAnsi="Arial" w:cs="Arial"/>
          <w:szCs w:val="24"/>
        </w:rPr>
      </w:pPr>
      <w:r w:rsidRPr="00F839E2">
        <w:rPr>
          <w:rFonts w:ascii="Arial" w:hAnsi="Arial" w:cs="Arial"/>
          <w:szCs w:val="24"/>
        </w:rPr>
        <w:t>Gender reassignment</w:t>
      </w:r>
    </w:p>
    <w:p w:rsidR="00F839E2" w:rsidRPr="00F839E2" w:rsidRDefault="00F839E2" w:rsidP="00F839E2">
      <w:pPr>
        <w:numPr>
          <w:ilvl w:val="0"/>
          <w:numId w:val="31"/>
        </w:numPr>
        <w:spacing w:after="200" w:line="276" w:lineRule="auto"/>
        <w:ind w:left="540"/>
        <w:textAlignment w:val="center"/>
        <w:rPr>
          <w:rFonts w:ascii="Arial" w:hAnsi="Arial" w:cs="Arial"/>
          <w:szCs w:val="24"/>
        </w:rPr>
      </w:pPr>
      <w:r w:rsidRPr="00F839E2">
        <w:rPr>
          <w:rFonts w:ascii="Arial" w:hAnsi="Arial" w:cs="Arial"/>
          <w:szCs w:val="24"/>
        </w:rPr>
        <w:t xml:space="preserve">Pregnancy and maternity </w:t>
      </w:r>
    </w:p>
    <w:p w:rsidR="00F839E2" w:rsidRPr="00F839E2" w:rsidRDefault="00F839E2" w:rsidP="00F839E2">
      <w:pPr>
        <w:numPr>
          <w:ilvl w:val="0"/>
          <w:numId w:val="31"/>
        </w:numPr>
        <w:spacing w:after="200" w:line="276" w:lineRule="auto"/>
        <w:ind w:left="540"/>
        <w:textAlignment w:val="center"/>
        <w:rPr>
          <w:rFonts w:ascii="Arial" w:hAnsi="Arial" w:cs="Arial"/>
          <w:szCs w:val="24"/>
        </w:rPr>
      </w:pPr>
      <w:r w:rsidRPr="00F839E2">
        <w:rPr>
          <w:rFonts w:ascii="Arial" w:hAnsi="Arial" w:cs="Arial"/>
          <w:szCs w:val="24"/>
        </w:rPr>
        <w:t>Marriage and Civil Partnership</w:t>
      </w:r>
    </w:p>
    <w:p w:rsidR="00F839E2" w:rsidRPr="00F839E2" w:rsidRDefault="00F839E2" w:rsidP="00F839E2">
      <w:pPr>
        <w:numPr>
          <w:ilvl w:val="0"/>
          <w:numId w:val="31"/>
        </w:numPr>
        <w:spacing w:after="200" w:line="276" w:lineRule="auto"/>
        <w:ind w:left="540"/>
        <w:textAlignment w:val="center"/>
        <w:rPr>
          <w:rFonts w:ascii="Arial" w:hAnsi="Arial" w:cs="Arial"/>
          <w:szCs w:val="24"/>
        </w:rPr>
      </w:pPr>
      <w:r w:rsidRPr="00F839E2">
        <w:rPr>
          <w:rFonts w:ascii="Arial" w:hAnsi="Arial" w:cs="Arial"/>
          <w:szCs w:val="24"/>
        </w:rPr>
        <w:t>Race</w:t>
      </w:r>
    </w:p>
    <w:p w:rsidR="00F839E2" w:rsidRPr="00F839E2" w:rsidRDefault="00F839E2" w:rsidP="00F839E2">
      <w:pPr>
        <w:numPr>
          <w:ilvl w:val="0"/>
          <w:numId w:val="31"/>
        </w:numPr>
        <w:spacing w:after="200" w:line="276" w:lineRule="auto"/>
        <w:ind w:left="540"/>
        <w:textAlignment w:val="center"/>
        <w:rPr>
          <w:rFonts w:ascii="Arial" w:hAnsi="Arial" w:cs="Arial"/>
          <w:szCs w:val="24"/>
        </w:rPr>
      </w:pPr>
      <w:r w:rsidRPr="00F839E2">
        <w:rPr>
          <w:rFonts w:ascii="Arial" w:hAnsi="Arial" w:cs="Arial"/>
          <w:szCs w:val="24"/>
        </w:rPr>
        <w:t>Religion and belief</w:t>
      </w:r>
    </w:p>
    <w:p w:rsidR="00F839E2" w:rsidRPr="00F839E2" w:rsidRDefault="00F839E2" w:rsidP="00F839E2">
      <w:pPr>
        <w:numPr>
          <w:ilvl w:val="0"/>
          <w:numId w:val="31"/>
        </w:numPr>
        <w:spacing w:after="200" w:line="276" w:lineRule="auto"/>
        <w:ind w:left="540"/>
        <w:textAlignment w:val="center"/>
        <w:rPr>
          <w:rFonts w:ascii="Arial" w:hAnsi="Arial" w:cs="Arial"/>
          <w:szCs w:val="24"/>
        </w:rPr>
      </w:pPr>
      <w:r w:rsidRPr="00F839E2">
        <w:rPr>
          <w:rFonts w:ascii="Arial" w:hAnsi="Arial" w:cs="Arial"/>
          <w:szCs w:val="24"/>
        </w:rPr>
        <w:t>Sex</w:t>
      </w:r>
    </w:p>
    <w:p w:rsidR="00F839E2" w:rsidRPr="00F839E2" w:rsidRDefault="00F839E2" w:rsidP="00F839E2">
      <w:pPr>
        <w:numPr>
          <w:ilvl w:val="0"/>
          <w:numId w:val="31"/>
        </w:numPr>
        <w:spacing w:after="200" w:line="276" w:lineRule="auto"/>
        <w:ind w:left="540"/>
        <w:textAlignment w:val="center"/>
        <w:rPr>
          <w:rFonts w:ascii="Arial" w:hAnsi="Arial" w:cs="Arial"/>
          <w:szCs w:val="24"/>
        </w:rPr>
      </w:pPr>
      <w:r w:rsidRPr="00F839E2">
        <w:rPr>
          <w:rFonts w:ascii="Arial" w:hAnsi="Arial" w:cs="Arial"/>
          <w:szCs w:val="24"/>
        </w:rPr>
        <w:t>Sexual orientation</w:t>
      </w:r>
    </w:p>
    <w:p w:rsidR="00F839E2" w:rsidRPr="00F839E2" w:rsidRDefault="00F839E2" w:rsidP="00F839E2">
      <w:pPr>
        <w:ind w:left="540"/>
        <w:jc w:val="both"/>
        <w:rPr>
          <w:rFonts w:ascii="Arial" w:hAnsi="Arial" w:cs="Arial"/>
          <w:szCs w:val="24"/>
        </w:rPr>
      </w:pPr>
      <w:r w:rsidRPr="00F839E2">
        <w:rPr>
          <w:rFonts w:ascii="Arial" w:hAnsi="Arial" w:cs="Arial"/>
          <w:szCs w:val="24"/>
        </w:rPr>
        <w:t> </w:t>
      </w:r>
    </w:p>
    <w:p w:rsidR="00F839E2" w:rsidRPr="00F839E2" w:rsidRDefault="00F839E2" w:rsidP="00F839E2">
      <w:pPr>
        <w:jc w:val="both"/>
        <w:rPr>
          <w:rFonts w:ascii="Arial" w:hAnsi="Arial" w:cs="Arial"/>
          <w:szCs w:val="24"/>
        </w:rPr>
      </w:pPr>
      <w:r w:rsidRPr="00F839E2">
        <w:rPr>
          <w:rFonts w:ascii="Arial" w:hAnsi="Arial" w:cs="Arial"/>
          <w:szCs w:val="24"/>
        </w:rPr>
        <w:t>In addition, there are duties on public sector bodies (the “general equality duty”) which also applies to bodies exercising public function to give due regard to the need to:</w:t>
      </w:r>
    </w:p>
    <w:p w:rsidR="00F839E2" w:rsidRPr="00F839E2" w:rsidRDefault="00F839E2" w:rsidP="00F839E2">
      <w:pPr>
        <w:jc w:val="both"/>
        <w:rPr>
          <w:rFonts w:ascii="Arial" w:hAnsi="Arial" w:cs="Arial"/>
          <w:szCs w:val="24"/>
        </w:rPr>
      </w:pPr>
    </w:p>
    <w:p w:rsidR="00F839E2" w:rsidRPr="00F839E2" w:rsidRDefault="00F839E2" w:rsidP="00F839E2">
      <w:pPr>
        <w:numPr>
          <w:ilvl w:val="0"/>
          <w:numId w:val="37"/>
        </w:numPr>
        <w:spacing w:after="200" w:line="276" w:lineRule="auto"/>
        <w:ind w:left="567" w:hanging="425"/>
        <w:jc w:val="both"/>
        <w:rPr>
          <w:rFonts w:ascii="Arial" w:hAnsi="Arial" w:cs="Arial"/>
          <w:szCs w:val="24"/>
        </w:rPr>
      </w:pPr>
      <w:r w:rsidRPr="00F839E2">
        <w:rPr>
          <w:rFonts w:ascii="Arial" w:hAnsi="Arial" w:cs="Arial"/>
          <w:szCs w:val="24"/>
        </w:rPr>
        <w:t>Eliminate unlawful discrimination</w:t>
      </w:r>
    </w:p>
    <w:p w:rsidR="00F839E2" w:rsidRPr="00F839E2" w:rsidRDefault="00F839E2" w:rsidP="00F839E2">
      <w:pPr>
        <w:numPr>
          <w:ilvl w:val="0"/>
          <w:numId w:val="37"/>
        </w:numPr>
        <w:spacing w:after="200" w:line="276" w:lineRule="auto"/>
        <w:ind w:left="567" w:hanging="425"/>
        <w:jc w:val="both"/>
        <w:rPr>
          <w:rFonts w:ascii="Arial" w:hAnsi="Arial" w:cs="Arial"/>
          <w:szCs w:val="24"/>
        </w:rPr>
      </w:pPr>
      <w:r w:rsidRPr="00F839E2">
        <w:rPr>
          <w:rFonts w:ascii="Arial" w:hAnsi="Arial" w:cs="Arial"/>
          <w:szCs w:val="24"/>
        </w:rPr>
        <w:t>Advance equality of opportunity</w:t>
      </w:r>
    </w:p>
    <w:p w:rsidR="00F839E2" w:rsidRPr="00F839E2" w:rsidRDefault="00F839E2" w:rsidP="00F839E2">
      <w:pPr>
        <w:numPr>
          <w:ilvl w:val="0"/>
          <w:numId w:val="37"/>
        </w:numPr>
        <w:spacing w:after="200" w:line="276" w:lineRule="auto"/>
        <w:ind w:left="567" w:hanging="425"/>
        <w:jc w:val="both"/>
        <w:rPr>
          <w:rFonts w:ascii="Arial" w:hAnsi="Arial" w:cs="Arial"/>
          <w:szCs w:val="24"/>
        </w:rPr>
      </w:pPr>
      <w:r w:rsidRPr="00F839E2">
        <w:rPr>
          <w:rFonts w:ascii="Arial" w:hAnsi="Arial" w:cs="Arial"/>
          <w:szCs w:val="24"/>
        </w:rPr>
        <w:t>Promote good relations</w:t>
      </w:r>
    </w:p>
    <w:p w:rsidR="00F839E2" w:rsidRPr="00F839E2" w:rsidRDefault="00F839E2" w:rsidP="00F839E2">
      <w:pPr>
        <w:jc w:val="both"/>
        <w:rPr>
          <w:rFonts w:ascii="Arial" w:hAnsi="Arial" w:cs="Arial"/>
          <w:szCs w:val="24"/>
        </w:rPr>
      </w:pPr>
      <w:r w:rsidRPr="00F839E2">
        <w:rPr>
          <w:rFonts w:ascii="Arial" w:hAnsi="Arial" w:cs="Arial"/>
          <w:szCs w:val="24"/>
        </w:rPr>
        <w:t> </w:t>
      </w:r>
    </w:p>
    <w:p w:rsidR="00F839E2" w:rsidRPr="00F839E2" w:rsidRDefault="00F839E2" w:rsidP="00F839E2">
      <w:pPr>
        <w:jc w:val="both"/>
        <w:rPr>
          <w:rFonts w:ascii="Arial" w:hAnsi="Arial" w:cs="Arial"/>
          <w:szCs w:val="24"/>
        </w:rPr>
      </w:pPr>
      <w:r w:rsidRPr="00F839E2">
        <w:rPr>
          <w:rFonts w:ascii="Arial" w:hAnsi="Arial" w:cs="Arial"/>
          <w:szCs w:val="24"/>
        </w:rPr>
        <w:t xml:space="preserve">HLH will implement its duties under the act by considering the following: </w:t>
      </w:r>
    </w:p>
    <w:p w:rsidR="00F839E2" w:rsidRPr="00F839E2" w:rsidRDefault="00F839E2" w:rsidP="00F839E2">
      <w:pPr>
        <w:ind w:left="540"/>
        <w:jc w:val="both"/>
        <w:rPr>
          <w:rFonts w:ascii="Arial" w:hAnsi="Arial" w:cs="Arial"/>
          <w:szCs w:val="24"/>
        </w:rPr>
      </w:pPr>
      <w:r w:rsidRPr="00F839E2">
        <w:rPr>
          <w:rFonts w:ascii="Arial" w:hAnsi="Arial" w:cs="Arial"/>
          <w:szCs w:val="24"/>
        </w:rPr>
        <w:t> </w:t>
      </w:r>
    </w:p>
    <w:p w:rsidR="00F839E2" w:rsidRPr="00F839E2" w:rsidRDefault="00F839E2" w:rsidP="00F839E2">
      <w:pPr>
        <w:numPr>
          <w:ilvl w:val="0"/>
          <w:numId w:val="32"/>
        </w:numPr>
        <w:spacing w:after="200" w:line="276" w:lineRule="auto"/>
        <w:ind w:left="567" w:hanging="425"/>
        <w:jc w:val="both"/>
        <w:textAlignment w:val="center"/>
        <w:rPr>
          <w:rFonts w:ascii="Arial" w:hAnsi="Arial" w:cs="Arial"/>
          <w:szCs w:val="24"/>
        </w:rPr>
      </w:pPr>
      <w:r w:rsidRPr="00F839E2">
        <w:rPr>
          <w:rFonts w:ascii="Arial" w:hAnsi="Arial" w:cs="Arial"/>
          <w:szCs w:val="24"/>
        </w:rPr>
        <w:t>the behaviour of staff who are dealing with customers, clients, service users, club members, associate members or guests or who are taking decisions about how to provide goods, facilities or services to the public or a section of the public</w:t>
      </w:r>
    </w:p>
    <w:p w:rsidR="00F839E2" w:rsidRPr="00F839E2" w:rsidRDefault="00F839E2" w:rsidP="00F839E2">
      <w:pPr>
        <w:numPr>
          <w:ilvl w:val="0"/>
          <w:numId w:val="32"/>
        </w:numPr>
        <w:spacing w:after="200" w:line="276" w:lineRule="auto"/>
        <w:ind w:left="567" w:hanging="425"/>
        <w:jc w:val="both"/>
        <w:textAlignment w:val="center"/>
        <w:rPr>
          <w:rFonts w:ascii="Arial" w:hAnsi="Arial" w:cs="Arial"/>
          <w:szCs w:val="24"/>
        </w:rPr>
      </w:pPr>
      <w:r w:rsidRPr="00F839E2">
        <w:rPr>
          <w:rFonts w:ascii="Arial" w:hAnsi="Arial" w:cs="Arial"/>
          <w:szCs w:val="24"/>
        </w:rPr>
        <w:t>the building or other place where services are delivered, if this is open to the public or a section of the public</w:t>
      </w:r>
    </w:p>
    <w:p w:rsidR="00F839E2" w:rsidRPr="00F839E2" w:rsidRDefault="00F839E2" w:rsidP="00F839E2">
      <w:pPr>
        <w:numPr>
          <w:ilvl w:val="0"/>
          <w:numId w:val="32"/>
        </w:numPr>
        <w:spacing w:after="200" w:line="276" w:lineRule="auto"/>
        <w:ind w:left="567" w:hanging="425"/>
        <w:jc w:val="both"/>
        <w:textAlignment w:val="center"/>
        <w:rPr>
          <w:rFonts w:ascii="Arial" w:hAnsi="Arial" w:cs="Arial"/>
          <w:szCs w:val="24"/>
        </w:rPr>
      </w:pPr>
      <w:r w:rsidRPr="00F839E2">
        <w:rPr>
          <w:rFonts w:ascii="Arial" w:hAnsi="Arial" w:cs="Arial"/>
          <w:szCs w:val="24"/>
        </w:rPr>
        <w:t>advertisements and marketing</w:t>
      </w:r>
    </w:p>
    <w:p w:rsidR="00F839E2" w:rsidRPr="00F839E2" w:rsidRDefault="00F839E2" w:rsidP="00F839E2">
      <w:pPr>
        <w:numPr>
          <w:ilvl w:val="0"/>
          <w:numId w:val="32"/>
        </w:numPr>
        <w:spacing w:after="200" w:line="276" w:lineRule="auto"/>
        <w:ind w:left="567" w:hanging="425"/>
        <w:jc w:val="both"/>
        <w:textAlignment w:val="center"/>
        <w:rPr>
          <w:rFonts w:ascii="Arial" w:hAnsi="Arial" w:cs="Arial"/>
          <w:szCs w:val="24"/>
        </w:rPr>
      </w:pPr>
      <w:r w:rsidRPr="00F839E2">
        <w:rPr>
          <w:rFonts w:ascii="Arial" w:hAnsi="Arial" w:cs="Arial"/>
          <w:szCs w:val="24"/>
        </w:rPr>
        <w:t>written materials, for example, information leaflets provided as part of the service</w:t>
      </w:r>
    </w:p>
    <w:p w:rsidR="00F839E2" w:rsidRPr="00F839E2" w:rsidRDefault="00F839E2" w:rsidP="00F839E2">
      <w:pPr>
        <w:numPr>
          <w:ilvl w:val="0"/>
          <w:numId w:val="33"/>
        </w:numPr>
        <w:spacing w:after="200" w:line="276" w:lineRule="auto"/>
        <w:ind w:left="567" w:hanging="425"/>
        <w:jc w:val="both"/>
        <w:textAlignment w:val="center"/>
        <w:rPr>
          <w:rFonts w:ascii="Arial" w:hAnsi="Arial" w:cs="Arial"/>
          <w:szCs w:val="24"/>
        </w:rPr>
      </w:pPr>
      <w:r w:rsidRPr="00F839E2">
        <w:rPr>
          <w:rFonts w:ascii="Arial" w:hAnsi="Arial" w:cs="Arial"/>
          <w:szCs w:val="24"/>
        </w:rPr>
        <w:t>websites and internet services</w:t>
      </w:r>
    </w:p>
    <w:p w:rsidR="00F839E2" w:rsidRPr="00F839E2" w:rsidRDefault="00F839E2" w:rsidP="00F839E2">
      <w:pPr>
        <w:numPr>
          <w:ilvl w:val="0"/>
          <w:numId w:val="34"/>
        </w:numPr>
        <w:spacing w:after="200" w:line="276" w:lineRule="auto"/>
        <w:ind w:left="567" w:hanging="425"/>
        <w:jc w:val="both"/>
        <w:textAlignment w:val="center"/>
        <w:rPr>
          <w:rFonts w:ascii="Arial" w:hAnsi="Arial" w:cs="Arial"/>
          <w:szCs w:val="24"/>
        </w:rPr>
      </w:pPr>
      <w:proofErr w:type="gramStart"/>
      <w:r w:rsidRPr="00F839E2">
        <w:rPr>
          <w:rFonts w:ascii="Arial" w:hAnsi="Arial" w:cs="Arial"/>
          <w:szCs w:val="24"/>
        </w:rPr>
        <w:t>telephone</w:t>
      </w:r>
      <w:proofErr w:type="gramEnd"/>
      <w:r w:rsidRPr="00F839E2">
        <w:rPr>
          <w:rFonts w:ascii="Arial" w:hAnsi="Arial" w:cs="Arial"/>
          <w:szCs w:val="24"/>
        </w:rPr>
        <w:t xml:space="preserve"> access and call centres.</w:t>
      </w:r>
    </w:p>
    <w:p w:rsidR="00F839E2" w:rsidRPr="00F839E2" w:rsidRDefault="00F839E2" w:rsidP="00F839E2">
      <w:pPr>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 xml:space="preserve">HLH will support other key agencies in delivering the area’s Community Highland Outcome Improvement Plan (HOIP) which has </w:t>
      </w:r>
      <w:r w:rsidR="00314658">
        <w:rPr>
          <w:rFonts w:ascii="Arial" w:eastAsiaTheme="minorHAnsi" w:hAnsi="Arial" w:cs="Arial"/>
          <w:i/>
          <w:szCs w:val="24"/>
          <w:lang w:eastAsia="en-US"/>
        </w:rPr>
        <w:t xml:space="preserve">the following </w:t>
      </w:r>
      <w:r w:rsidRPr="00F839E2">
        <w:rPr>
          <w:rFonts w:ascii="Arial" w:eastAsiaTheme="minorHAnsi" w:hAnsi="Arial" w:cs="Arial"/>
          <w:i/>
          <w:szCs w:val="24"/>
          <w:lang w:eastAsia="en-US"/>
        </w:rPr>
        <w:t xml:space="preserve">five main outcomes and four cross cutting impact themes. </w:t>
      </w:r>
    </w:p>
    <w:p w:rsidR="00F839E2" w:rsidRPr="00F839E2" w:rsidRDefault="00F839E2" w:rsidP="00F839E2">
      <w:pPr>
        <w:contextualSpacing/>
        <w:jc w:val="both"/>
        <w:rPr>
          <w:rFonts w:ascii="Arial" w:eastAsiaTheme="minorHAnsi" w:hAnsi="Arial" w:cs="Arial"/>
          <w:i/>
          <w:szCs w:val="24"/>
          <w:lang w:eastAsia="en-US"/>
        </w:rPr>
      </w:pPr>
    </w:p>
    <w:p w:rsidR="00F839E2" w:rsidRPr="00F839E2" w:rsidRDefault="00F839E2" w:rsidP="00F839E2">
      <w:pPr>
        <w:contextualSpacing/>
        <w:jc w:val="both"/>
        <w:rPr>
          <w:rFonts w:ascii="Arial" w:eastAsiaTheme="minorHAnsi" w:hAnsi="Arial" w:cs="Arial"/>
          <w:b/>
          <w:i/>
          <w:szCs w:val="24"/>
          <w:lang w:eastAsia="en-US"/>
        </w:rPr>
      </w:pPr>
      <w:r w:rsidRPr="00F839E2">
        <w:rPr>
          <w:rFonts w:ascii="Arial" w:eastAsiaTheme="minorHAnsi" w:hAnsi="Arial" w:cs="Arial"/>
          <w:b/>
          <w:i/>
          <w:szCs w:val="24"/>
          <w:lang w:eastAsia="en-US"/>
        </w:rPr>
        <w:t>Five Main Outcomes</w:t>
      </w:r>
    </w:p>
    <w:p w:rsidR="00F839E2" w:rsidRPr="00F839E2" w:rsidRDefault="00F839E2" w:rsidP="00F839E2">
      <w:pPr>
        <w:numPr>
          <w:ilvl w:val="0"/>
          <w:numId w:val="38"/>
        </w:numPr>
        <w:spacing w:after="200" w:line="276" w:lineRule="auto"/>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Poverty Reduction</w:t>
      </w:r>
    </w:p>
    <w:p w:rsidR="00F839E2" w:rsidRPr="00F839E2" w:rsidRDefault="00F839E2" w:rsidP="00F839E2">
      <w:pPr>
        <w:numPr>
          <w:ilvl w:val="0"/>
          <w:numId w:val="38"/>
        </w:numPr>
        <w:spacing w:after="200" w:line="276" w:lineRule="auto"/>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Community Participation and Dialogue</w:t>
      </w:r>
    </w:p>
    <w:p w:rsidR="00F839E2" w:rsidRPr="00F839E2" w:rsidRDefault="00F839E2" w:rsidP="00F839E2">
      <w:pPr>
        <w:numPr>
          <w:ilvl w:val="0"/>
          <w:numId w:val="38"/>
        </w:numPr>
        <w:spacing w:after="200" w:line="276" w:lineRule="auto"/>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Infrastructure</w:t>
      </w:r>
    </w:p>
    <w:p w:rsidR="00F839E2" w:rsidRPr="00F839E2" w:rsidRDefault="00F839E2" w:rsidP="00F839E2">
      <w:pPr>
        <w:numPr>
          <w:ilvl w:val="0"/>
          <w:numId w:val="38"/>
        </w:numPr>
        <w:spacing w:after="200" w:line="276" w:lineRule="auto"/>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Community Safety and Resilience</w:t>
      </w:r>
    </w:p>
    <w:p w:rsidR="00F839E2" w:rsidRPr="00F839E2" w:rsidRDefault="00F839E2" w:rsidP="00F839E2">
      <w:pPr>
        <w:numPr>
          <w:ilvl w:val="0"/>
          <w:numId w:val="38"/>
        </w:numPr>
        <w:spacing w:after="200" w:line="276" w:lineRule="auto"/>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Mental Health and Wellbeing</w:t>
      </w:r>
    </w:p>
    <w:p w:rsidR="00F839E2" w:rsidRPr="00F839E2" w:rsidRDefault="00F839E2" w:rsidP="00F839E2">
      <w:pPr>
        <w:contextualSpacing/>
        <w:jc w:val="both"/>
        <w:rPr>
          <w:rFonts w:ascii="Arial" w:eastAsiaTheme="minorHAnsi" w:hAnsi="Arial" w:cs="Arial"/>
          <w:i/>
          <w:szCs w:val="24"/>
          <w:lang w:eastAsia="en-US"/>
        </w:rPr>
      </w:pPr>
    </w:p>
    <w:p w:rsidR="00F839E2" w:rsidRPr="00F839E2" w:rsidRDefault="00F839E2" w:rsidP="00F839E2">
      <w:pPr>
        <w:contextualSpacing/>
        <w:jc w:val="both"/>
        <w:rPr>
          <w:rFonts w:ascii="Arial" w:eastAsiaTheme="minorHAnsi" w:hAnsi="Arial" w:cs="Arial"/>
          <w:b/>
          <w:i/>
          <w:szCs w:val="24"/>
          <w:lang w:eastAsia="en-US"/>
        </w:rPr>
      </w:pPr>
      <w:r w:rsidRPr="00F839E2">
        <w:rPr>
          <w:rFonts w:ascii="Arial" w:eastAsiaTheme="minorHAnsi" w:hAnsi="Arial" w:cs="Arial"/>
          <w:b/>
          <w:i/>
          <w:szCs w:val="24"/>
          <w:lang w:eastAsia="en-US"/>
        </w:rPr>
        <w:t>Four Cross Cutting Impact Themes</w:t>
      </w:r>
    </w:p>
    <w:p w:rsidR="00F839E2" w:rsidRPr="00F839E2" w:rsidRDefault="00F839E2" w:rsidP="00F839E2">
      <w:pPr>
        <w:numPr>
          <w:ilvl w:val="0"/>
          <w:numId w:val="39"/>
        </w:numPr>
        <w:spacing w:after="200" w:line="276" w:lineRule="auto"/>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Employability, Employment and Skills Development</w:t>
      </w:r>
    </w:p>
    <w:p w:rsidR="00F839E2" w:rsidRPr="00F839E2" w:rsidRDefault="00F839E2" w:rsidP="00F839E2">
      <w:pPr>
        <w:numPr>
          <w:ilvl w:val="0"/>
          <w:numId w:val="39"/>
        </w:numPr>
        <w:spacing w:after="200" w:line="276" w:lineRule="auto"/>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Community Investment and Development</w:t>
      </w:r>
    </w:p>
    <w:p w:rsidR="00F839E2" w:rsidRPr="00F839E2" w:rsidRDefault="00F839E2" w:rsidP="00F839E2">
      <w:pPr>
        <w:numPr>
          <w:ilvl w:val="0"/>
          <w:numId w:val="39"/>
        </w:numPr>
        <w:spacing w:after="200" w:line="276" w:lineRule="auto"/>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Digital Inclusion</w:t>
      </w:r>
    </w:p>
    <w:p w:rsidR="00F839E2" w:rsidRPr="00F839E2" w:rsidRDefault="00F839E2" w:rsidP="00F839E2">
      <w:pPr>
        <w:numPr>
          <w:ilvl w:val="0"/>
          <w:numId w:val="39"/>
        </w:numPr>
        <w:spacing w:after="200" w:line="276" w:lineRule="auto"/>
        <w:contextualSpacing/>
        <w:jc w:val="both"/>
        <w:rPr>
          <w:rFonts w:ascii="Arial" w:eastAsiaTheme="minorHAnsi" w:hAnsi="Arial" w:cs="Arial"/>
          <w:i/>
          <w:szCs w:val="24"/>
          <w:lang w:eastAsia="en-US"/>
        </w:rPr>
      </w:pPr>
      <w:r w:rsidRPr="00F839E2">
        <w:rPr>
          <w:rFonts w:ascii="Arial" w:eastAsiaTheme="minorHAnsi" w:hAnsi="Arial" w:cs="Arial"/>
          <w:i/>
          <w:szCs w:val="24"/>
          <w:lang w:eastAsia="en-US"/>
        </w:rPr>
        <w:t>Equality of Opportunity and Inclusion</w:t>
      </w:r>
    </w:p>
    <w:p w:rsidR="00F839E2" w:rsidRPr="00F839E2" w:rsidRDefault="00F839E2" w:rsidP="00F839E2">
      <w:pPr>
        <w:jc w:val="both"/>
        <w:rPr>
          <w:rFonts w:ascii="Arial" w:eastAsiaTheme="minorHAnsi" w:hAnsi="Arial" w:cs="Arial"/>
          <w:i/>
          <w:szCs w:val="24"/>
          <w:lang w:eastAsia="en-US"/>
        </w:rPr>
      </w:pPr>
    </w:p>
    <w:p w:rsidR="00F839E2" w:rsidRPr="00F839E2" w:rsidRDefault="00F839E2" w:rsidP="00F839E2">
      <w:pPr>
        <w:jc w:val="both"/>
        <w:rPr>
          <w:rFonts w:ascii="Arial" w:eastAsiaTheme="minorHAnsi" w:hAnsi="Arial" w:cs="Arial"/>
          <w:i/>
          <w:szCs w:val="24"/>
          <w:lang w:eastAsia="en-US"/>
        </w:rPr>
      </w:pPr>
      <w:r w:rsidRPr="00F839E2">
        <w:rPr>
          <w:rFonts w:ascii="Arial" w:eastAsiaTheme="minorHAnsi" w:hAnsi="Arial" w:cs="Arial"/>
          <w:i/>
          <w:szCs w:val="24"/>
          <w:lang w:eastAsia="en-US"/>
        </w:rPr>
        <w:t>HLH will ensure Senior Management representation at all Community Partnership</w:t>
      </w:r>
      <w:r w:rsidR="00314658" w:rsidRPr="00314658">
        <w:rPr>
          <w:rFonts w:ascii="Arial" w:eastAsiaTheme="minorHAnsi" w:hAnsi="Arial" w:cs="Arial"/>
          <w:i/>
          <w:szCs w:val="24"/>
          <w:lang w:eastAsia="en-US"/>
        </w:rPr>
        <w:t>s</w:t>
      </w:r>
      <w:r w:rsidRPr="00F839E2">
        <w:rPr>
          <w:rFonts w:ascii="Arial" w:eastAsiaTheme="minorHAnsi" w:hAnsi="Arial" w:cs="Arial"/>
          <w:i/>
          <w:szCs w:val="24"/>
          <w:lang w:eastAsia="en-US"/>
        </w:rPr>
        <w:t xml:space="preserve"> across Highland.</w:t>
      </w:r>
    </w:p>
    <w:p w:rsidR="00F839E2" w:rsidRPr="00F839E2" w:rsidRDefault="00F839E2" w:rsidP="00F839E2">
      <w:pPr>
        <w:jc w:val="both"/>
        <w:rPr>
          <w:rFonts w:ascii="Arial" w:hAnsi="Arial" w:cs="Arial"/>
          <w:szCs w:val="24"/>
        </w:rPr>
      </w:pPr>
    </w:p>
    <w:p w:rsidR="00F839E2" w:rsidRPr="00F839E2" w:rsidRDefault="00F839E2" w:rsidP="00F839E2">
      <w:pPr>
        <w:jc w:val="both"/>
        <w:rPr>
          <w:rFonts w:ascii="Arial" w:hAnsi="Arial" w:cs="Arial"/>
          <w:szCs w:val="24"/>
        </w:rPr>
      </w:pPr>
      <w:r w:rsidRPr="00F839E2">
        <w:rPr>
          <w:rFonts w:ascii="Arial" w:hAnsi="Arial" w:cs="Arial"/>
          <w:strike/>
          <w:szCs w:val="24"/>
        </w:rPr>
        <w:t>HLH will take into account the findings, conclusions and action plan of "A Fairer Highland".</w:t>
      </w:r>
      <w:r w:rsidRPr="00F839E2">
        <w:rPr>
          <w:rFonts w:ascii="Arial" w:hAnsi="Arial" w:cs="Arial"/>
          <w:szCs w:val="24"/>
        </w:rPr>
        <w:t xml:space="preserve"> The Company will also adopt the following good practice:</w:t>
      </w:r>
    </w:p>
    <w:p w:rsidR="00F839E2" w:rsidRPr="00F839E2" w:rsidRDefault="00F839E2" w:rsidP="00F839E2">
      <w:pPr>
        <w:ind w:left="540"/>
        <w:rPr>
          <w:rFonts w:ascii="Arial" w:hAnsi="Arial" w:cs="Arial"/>
          <w:szCs w:val="24"/>
        </w:rPr>
      </w:pPr>
      <w:r w:rsidRPr="00F839E2">
        <w:rPr>
          <w:rFonts w:ascii="Arial" w:hAnsi="Arial" w:cs="Arial"/>
          <w:szCs w:val="24"/>
        </w:rPr>
        <w:t> </w:t>
      </w:r>
    </w:p>
    <w:p w:rsidR="00F839E2" w:rsidRPr="00F839E2" w:rsidRDefault="00F839E2" w:rsidP="00F839E2">
      <w:pPr>
        <w:numPr>
          <w:ilvl w:val="0"/>
          <w:numId w:val="35"/>
        </w:numPr>
        <w:tabs>
          <w:tab w:val="num" w:pos="567"/>
        </w:tabs>
        <w:spacing w:after="200" w:line="276" w:lineRule="auto"/>
        <w:ind w:left="567" w:hanging="425"/>
        <w:jc w:val="both"/>
        <w:textAlignment w:val="center"/>
        <w:rPr>
          <w:rFonts w:ascii="Arial" w:hAnsi="Arial" w:cs="Arial"/>
          <w:strike/>
          <w:szCs w:val="24"/>
        </w:rPr>
      </w:pPr>
      <w:r w:rsidRPr="00F839E2">
        <w:rPr>
          <w:rFonts w:ascii="Arial" w:hAnsi="Arial" w:cs="Arial"/>
          <w:strike/>
          <w:szCs w:val="24"/>
        </w:rPr>
        <w:t>Designate a senior officer responsibility for ensuring the implementation of this policy</w:t>
      </w:r>
    </w:p>
    <w:p w:rsidR="00F839E2" w:rsidRPr="00F839E2" w:rsidRDefault="00F839E2" w:rsidP="00F839E2">
      <w:pPr>
        <w:numPr>
          <w:ilvl w:val="0"/>
          <w:numId w:val="36"/>
        </w:numPr>
        <w:tabs>
          <w:tab w:val="num" w:pos="567"/>
        </w:tabs>
        <w:spacing w:after="200" w:line="276" w:lineRule="auto"/>
        <w:ind w:left="567" w:hanging="425"/>
        <w:jc w:val="both"/>
        <w:textAlignment w:val="center"/>
        <w:rPr>
          <w:rFonts w:ascii="Arial" w:hAnsi="Arial" w:cs="Arial"/>
          <w:szCs w:val="24"/>
        </w:rPr>
      </w:pPr>
      <w:r w:rsidRPr="00F839E2">
        <w:rPr>
          <w:rFonts w:ascii="Arial" w:hAnsi="Arial" w:cs="Arial"/>
          <w:szCs w:val="24"/>
        </w:rPr>
        <w:t>Develop a plan to assist the company to take an approach of non-discrimination and which treats people with dignity, respect and fairness and ensure that the implementation of this plan is reported regularly to the Board</w:t>
      </w:r>
    </w:p>
    <w:p w:rsidR="00F839E2" w:rsidRPr="00F839E2" w:rsidRDefault="00F839E2" w:rsidP="00F839E2">
      <w:pPr>
        <w:numPr>
          <w:ilvl w:val="0"/>
          <w:numId w:val="36"/>
        </w:numPr>
        <w:tabs>
          <w:tab w:val="num" w:pos="567"/>
        </w:tabs>
        <w:spacing w:after="200" w:line="276" w:lineRule="auto"/>
        <w:ind w:left="567" w:hanging="425"/>
        <w:jc w:val="both"/>
        <w:textAlignment w:val="center"/>
        <w:rPr>
          <w:rFonts w:ascii="Arial" w:eastAsiaTheme="minorHAnsi" w:hAnsi="Arial" w:cs="Arial"/>
          <w:szCs w:val="24"/>
          <w:lang w:eastAsia="en-US"/>
        </w:rPr>
      </w:pPr>
      <w:r w:rsidRPr="00F839E2">
        <w:rPr>
          <w:rFonts w:ascii="Arial" w:hAnsi="Arial" w:cs="Arial"/>
          <w:szCs w:val="24"/>
        </w:rPr>
        <w:t>Undertake equality impact assessments before initiating or changing policies, plans or services, and use relevant evidence and take reasonable steps to involve equality groups.</w:t>
      </w:r>
    </w:p>
    <w:p w:rsidR="00F839E2" w:rsidRPr="00AB4988" w:rsidRDefault="00F839E2" w:rsidP="00F839E2">
      <w:pPr>
        <w:jc w:val="both"/>
        <w:rPr>
          <w:rFonts w:ascii="Arial" w:hAnsi="Arial" w:cs="Arial"/>
          <w:b/>
          <w:szCs w:val="24"/>
        </w:rPr>
      </w:pPr>
    </w:p>
    <w:sectPr w:rsidR="00F839E2" w:rsidRPr="00AB4988" w:rsidSect="00544D61">
      <w:pgSz w:w="11906" w:h="16838"/>
      <w:pgMar w:top="851"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0F2" w:rsidRDefault="009430F2">
      <w:r>
        <w:separator/>
      </w:r>
    </w:p>
  </w:endnote>
  <w:endnote w:type="continuationSeparator" w:id="0">
    <w:p w:rsidR="009430F2" w:rsidRDefault="0094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0F2" w:rsidRDefault="009430F2">
      <w:r>
        <w:separator/>
      </w:r>
    </w:p>
  </w:footnote>
  <w:footnote w:type="continuationSeparator" w:id="0">
    <w:p w:rsidR="009430F2" w:rsidRDefault="00943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5853"/>
    <w:multiLevelType w:val="multilevel"/>
    <w:tmpl w:val="54EE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B3475"/>
    <w:multiLevelType w:val="hybridMultilevel"/>
    <w:tmpl w:val="4CEC4D5A"/>
    <w:lvl w:ilvl="0" w:tplc="F3B891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3531D1"/>
    <w:multiLevelType w:val="multilevel"/>
    <w:tmpl w:val="D9C2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B65F8C"/>
    <w:multiLevelType w:val="hybridMultilevel"/>
    <w:tmpl w:val="92A6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C42018"/>
    <w:multiLevelType w:val="hybridMultilevel"/>
    <w:tmpl w:val="C972ABBA"/>
    <w:lvl w:ilvl="0" w:tplc="37B8F8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66399F"/>
    <w:multiLevelType w:val="hybridMultilevel"/>
    <w:tmpl w:val="4C42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F21CBD"/>
    <w:multiLevelType w:val="multilevel"/>
    <w:tmpl w:val="6524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1087D"/>
    <w:multiLevelType w:val="multilevel"/>
    <w:tmpl w:val="CDD8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251A8A"/>
    <w:multiLevelType w:val="hybridMultilevel"/>
    <w:tmpl w:val="9B5CC960"/>
    <w:lvl w:ilvl="0" w:tplc="978C628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F47EB4"/>
    <w:multiLevelType w:val="multilevel"/>
    <w:tmpl w:val="3D84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2A6253"/>
    <w:multiLevelType w:val="hybridMultilevel"/>
    <w:tmpl w:val="F80C8230"/>
    <w:lvl w:ilvl="0" w:tplc="37B8F8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AF16B7"/>
    <w:multiLevelType w:val="hybridMultilevel"/>
    <w:tmpl w:val="3510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6D1565"/>
    <w:multiLevelType w:val="hybridMultilevel"/>
    <w:tmpl w:val="33FA822C"/>
    <w:lvl w:ilvl="0" w:tplc="FB64B8B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0377F9"/>
    <w:multiLevelType w:val="hybridMultilevel"/>
    <w:tmpl w:val="A39C3E6C"/>
    <w:lvl w:ilvl="0" w:tplc="62F274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3E6795"/>
    <w:multiLevelType w:val="hybridMultilevel"/>
    <w:tmpl w:val="0AC0DCBE"/>
    <w:lvl w:ilvl="0" w:tplc="31EEC2E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383B1D"/>
    <w:multiLevelType w:val="hybridMultilevel"/>
    <w:tmpl w:val="027CBE34"/>
    <w:lvl w:ilvl="0" w:tplc="37B8F8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E11B25"/>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866ED6"/>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B65C65"/>
    <w:multiLevelType w:val="multilevel"/>
    <w:tmpl w:val="8E6C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D91B23"/>
    <w:multiLevelType w:val="multilevel"/>
    <w:tmpl w:val="818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DE1F53"/>
    <w:multiLevelType w:val="hybridMultilevel"/>
    <w:tmpl w:val="B1AEFB28"/>
    <w:lvl w:ilvl="0" w:tplc="6C0EBD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E26A4F"/>
    <w:multiLevelType w:val="hybridMultilevel"/>
    <w:tmpl w:val="5AF2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9E74D3"/>
    <w:multiLevelType w:val="hybridMultilevel"/>
    <w:tmpl w:val="498CF234"/>
    <w:lvl w:ilvl="0" w:tplc="02B2CF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B8141D"/>
    <w:multiLevelType w:val="hybridMultilevel"/>
    <w:tmpl w:val="95E4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FC615C"/>
    <w:multiLevelType w:val="hybridMultilevel"/>
    <w:tmpl w:val="C8D0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FB7D8A"/>
    <w:multiLevelType w:val="hybridMultilevel"/>
    <w:tmpl w:val="3B965A8A"/>
    <w:lvl w:ilvl="0" w:tplc="C96EF4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D124EB"/>
    <w:multiLevelType w:val="hybridMultilevel"/>
    <w:tmpl w:val="40044EBC"/>
    <w:lvl w:ilvl="0" w:tplc="842AB41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787413"/>
    <w:multiLevelType w:val="multilevel"/>
    <w:tmpl w:val="8E00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C153F1"/>
    <w:multiLevelType w:val="hybridMultilevel"/>
    <w:tmpl w:val="BB646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D37394"/>
    <w:multiLevelType w:val="hybridMultilevel"/>
    <w:tmpl w:val="818C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CC4A71"/>
    <w:multiLevelType w:val="hybridMultilevel"/>
    <w:tmpl w:val="1C5654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B183A61"/>
    <w:multiLevelType w:val="hybridMultilevel"/>
    <w:tmpl w:val="97E4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88638F"/>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661E2F"/>
    <w:multiLevelType w:val="hybridMultilevel"/>
    <w:tmpl w:val="674426C0"/>
    <w:lvl w:ilvl="0" w:tplc="64D0D6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5E49C0"/>
    <w:multiLevelType w:val="hybridMultilevel"/>
    <w:tmpl w:val="09EE2E56"/>
    <w:lvl w:ilvl="0" w:tplc="7EEA4FB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C841CD"/>
    <w:multiLevelType w:val="hybridMultilevel"/>
    <w:tmpl w:val="2A50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AD0F48"/>
    <w:multiLevelType w:val="hybridMultilevel"/>
    <w:tmpl w:val="F6B882BE"/>
    <w:lvl w:ilvl="0" w:tplc="5212CD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9"/>
  </w:num>
  <w:num w:numId="3">
    <w:abstractNumId w:val="11"/>
  </w:num>
  <w:num w:numId="4">
    <w:abstractNumId w:val="32"/>
  </w:num>
  <w:num w:numId="5">
    <w:abstractNumId w:val="16"/>
  </w:num>
  <w:num w:numId="6">
    <w:abstractNumId w:val="17"/>
  </w:num>
  <w:num w:numId="7">
    <w:abstractNumId w:val="30"/>
  </w:num>
  <w:num w:numId="8">
    <w:abstractNumId w:val="24"/>
  </w:num>
  <w:num w:numId="9">
    <w:abstractNumId w:val="36"/>
  </w:num>
  <w:num w:numId="10">
    <w:abstractNumId w:val="5"/>
  </w:num>
  <w:num w:numId="11">
    <w:abstractNumId w:val="10"/>
  </w:num>
  <w:num w:numId="12">
    <w:abstractNumId w:val="26"/>
  </w:num>
  <w:num w:numId="13">
    <w:abstractNumId w:val="4"/>
  </w:num>
  <w:num w:numId="14">
    <w:abstractNumId w:val="15"/>
  </w:num>
  <w:num w:numId="15">
    <w:abstractNumId w:val="28"/>
  </w:num>
  <w:num w:numId="16">
    <w:abstractNumId w:val="38"/>
  </w:num>
  <w:num w:numId="17">
    <w:abstractNumId w:val="34"/>
  </w:num>
  <w:num w:numId="18">
    <w:abstractNumId w:val="25"/>
  </w:num>
  <w:num w:numId="19">
    <w:abstractNumId w:val="33"/>
  </w:num>
  <w:num w:numId="20">
    <w:abstractNumId w:val="8"/>
  </w:num>
  <w:num w:numId="21">
    <w:abstractNumId w:val="1"/>
  </w:num>
  <w:num w:numId="22">
    <w:abstractNumId w:val="13"/>
  </w:num>
  <w:num w:numId="23">
    <w:abstractNumId w:val="20"/>
  </w:num>
  <w:num w:numId="24">
    <w:abstractNumId w:val="22"/>
  </w:num>
  <w:num w:numId="25">
    <w:abstractNumId w:val="12"/>
  </w:num>
  <w:num w:numId="26">
    <w:abstractNumId w:val="31"/>
  </w:num>
  <w:num w:numId="27">
    <w:abstractNumId w:val="3"/>
  </w:num>
  <w:num w:numId="28">
    <w:abstractNumId w:val="14"/>
  </w:num>
  <w:num w:numId="29">
    <w:abstractNumId w:val="2"/>
  </w:num>
  <w:num w:numId="30">
    <w:abstractNumId w:val="0"/>
  </w:num>
  <w:num w:numId="31">
    <w:abstractNumId w:val="9"/>
  </w:num>
  <w:num w:numId="32">
    <w:abstractNumId w:val="19"/>
  </w:num>
  <w:num w:numId="33">
    <w:abstractNumId w:val="7"/>
  </w:num>
  <w:num w:numId="34">
    <w:abstractNumId w:val="18"/>
  </w:num>
  <w:num w:numId="35">
    <w:abstractNumId w:val="27"/>
  </w:num>
  <w:num w:numId="36">
    <w:abstractNumId w:val="6"/>
  </w:num>
  <w:num w:numId="37">
    <w:abstractNumId w:val="37"/>
  </w:num>
  <w:num w:numId="38">
    <w:abstractNumId w:val="23"/>
  </w:num>
  <w:num w:numId="3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04D29"/>
    <w:rsid w:val="000125A3"/>
    <w:rsid w:val="00015F4F"/>
    <w:rsid w:val="00017D2E"/>
    <w:rsid w:val="00026EA5"/>
    <w:rsid w:val="0003553F"/>
    <w:rsid w:val="00050D79"/>
    <w:rsid w:val="00052C00"/>
    <w:rsid w:val="00053FE4"/>
    <w:rsid w:val="00054DE1"/>
    <w:rsid w:val="000764B4"/>
    <w:rsid w:val="00077197"/>
    <w:rsid w:val="000817F9"/>
    <w:rsid w:val="0008795E"/>
    <w:rsid w:val="00097529"/>
    <w:rsid w:val="000975F9"/>
    <w:rsid w:val="000A6A1A"/>
    <w:rsid w:val="000B0D29"/>
    <w:rsid w:val="000B6190"/>
    <w:rsid w:val="000B744A"/>
    <w:rsid w:val="000C6FDE"/>
    <w:rsid w:val="000C71AB"/>
    <w:rsid w:val="000D0794"/>
    <w:rsid w:val="000D245B"/>
    <w:rsid w:val="000D5427"/>
    <w:rsid w:val="000D620F"/>
    <w:rsid w:val="000E00E2"/>
    <w:rsid w:val="000E0C6D"/>
    <w:rsid w:val="000E5B8A"/>
    <w:rsid w:val="000E6453"/>
    <w:rsid w:val="000F274B"/>
    <w:rsid w:val="000F5A33"/>
    <w:rsid w:val="000F6071"/>
    <w:rsid w:val="000F6FD8"/>
    <w:rsid w:val="000F7512"/>
    <w:rsid w:val="000F78D3"/>
    <w:rsid w:val="001065FE"/>
    <w:rsid w:val="001072B4"/>
    <w:rsid w:val="0010757C"/>
    <w:rsid w:val="001100A3"/>
    <w:rsid w:val="00116689"/>
    <w:rsid w:val="00120225"/>
    <w:rsid w:val="00124C17"/>
    <w:rsid w:val="00132839"/>
    <w:rsid w:val="00141185"/>
    <w:rsid w:val="00144164"/>
    <w:rsid w:val="001448BE"/>
    <w:rsid w:val="00153171"/>
    <w:rsid w:val="0015326F"/>
    <w:rsid w:val="00177A7B"/>
    <w:rsid w:val="00186DF3"/>
    <w:rsid w:val="00190BC9"/>
    <w:rsid w:val="00192FBE"/>
    <w:rsid w:val="001A7AF1"/>
    <w:rsid w:val="001B1FC0"/>
    <w:rsid w:val="001B55F1"/>
    <w:rsid w:val="001C15DE"/>
    <w:rsid w:val="001C29E2"/>
    <w:rsid w:val="001C41BF"/>
    <w:rsid w:val="001D1D38"/>
    <w:rsid w:val="001D2FE9"/>
    <w:rsid w:val="001D541F"/>
    <w:rsid w:val="001E41AE"/>
    <w:rsid w:val="002029D7"/>
    <w:rsid w:val="00220164"/>
    <w:rsid w:val="00220978"/>
    <w:rsid w:val="002245D8"/>
    <w:rsid w:val="00227DC9"/>
    <w:rsid w:val="00232563"/>
    <w:rsid w:val="00240268"/>
    <w:rsid w:val="0024033E"/>
    <w:rsid w:val="00241F01"/>
    <w:rsid w:val="00247212"/>
    <w:rsid w:val="00261D72"/>
    <w:rsid w:val="00261E11"/>
    <w:rsid w:val="00262480"/>
    <w:rsid w:val="00263F37"/>
    <w:rsid w:val="002654E9"/>
    <w:rsid w:val="00265F13"/>
    <w:rsid w:val="00277B5F"/>
    <w:rsid w:val="002829AC"/>
    <w:rsid w:val="00284D5A"/>
    <w:rsid w:val="00286A03"/>
    <w:rsid w:val="002967A3"/>
    <w:rsid w:val="002A1B27"/>
    <w:rsid w:val="002A5188"/>
    <w:rsid w:val="002B36C8"/>
    <w:rsid w:val="002B7DC4"/>
    <w:rsid w:val="002C4B6B"/>
    <w:rsid w:val="002C60C2"/>
    <w:rsid w:val="002D1539"/>
    <w:rsid w:val="002D5EDE"/>
    <w:rsid w:val="002D7DD6"/>
    <w:rsid w:val="002E6C9F"/>
    <w:rsid w:val="002E7918"/>
    <w:rsid w:val="002F215D"/>
    <w:rsid w:val="002F4DC9"/>
    <w:rsid w:val="00303143"/>
    <w:rsid w:val="00304F4D"/>
    <w:rsid w:val="003114C4"/>
    <w:rsid w:val="00313EC9"/>
    <w:rsid w:val="00314658"/>
    <w:rsid w:val="00314D66"/>
    <w:rsid w:val="00325295"/>
    <w:rsid w:val="0032786E"/>
    <w:rsid w:val="00344062"/>
    <w:rsid w:val="00344849"/>
    <w:rsid w:val="0034569A"/>
    <w:rsid w:val="00345B42"/>
    <w:rsid w:val="00347734"/>
    <w:rsid w:val="00354C5E"/>
    <w:rsid w:val="003551D4"/>
    <w:rsid w:val="00356B53"/>
    <w:rsid w:val="00360402"/>
    <w:rsid w:val="003649D9"/>
    <w:rsid w:val="003702A5"/>
    <w:rsid w:val="00371EFA"/>
    <w:rsid w:val="00372702"/>
    <w:rsid w:val="00373E7E"/>
    <w:rsid w:val="00380A34"/>
    <w:rsid w:val="00380CDF"/>
    <w:rsid w:val="00381B81"/>
    <w:rsid w:val="00383500"/>
    <w:rsid w:val="0038355A"/>
    <w:rsid w:val="003917DC"/>
    <w:rsid w:val="0039450A"/>
    <w:rsid w:val="003964ED"/>
    <w:rsid w:val="003A069E"/>
    <w:rsid w:val="003B62D6"/>
    <w:rsid w:val="003C4EA9"/>
    <w:rsid w:val="003C7AFE"/>
    <w:rsid w:val="003D2CBE"/>
    <w:rsid w:val="003D5C03"/>
    <w:rsid w:val="003E0170"/>
    <w:rsid w:val="003F321A"/>
    <w:rsid w:val="00407982"/>
    <w:rsid w:val="004115FF"/>
    <w:rsid w:val="004120A6"/>
    <w:rsid w:val="00416BFF"/>
    <w:rsid w:val="0042698E"/>
    <w:rsid w:val="00432FF9"/>
    <w:rsid w:val="004375DD"/>
    <w:rsid w:val="004403F8"/>
    <w:rsid w:val="004438C9"/>
    <w:rsid w:val="00444E77"/>
    <w:rsid w:val="00445A72"/>
    <w:rsid w:val="0045580C"/>
    <w:rsid w:val="00455913"/>
    <w:rsid w:val="0045618C"/>
    <w:rsid w:val="00460DE4"/>
    <w:rsid w:val="00462977"/>
    <w:rsid w:val="00465229"/>
    <w:rsid w:val="00466CDA"/>
    <w:rsid w:val="00474274"/>
    <w:rsid w:val="00477C58"/>
    <w:rsid w:val="0048062D"/>
    <w:rsid w:val="004843C9"/>
    <w:rsid w:val="00484E83"/>
    <w:rsid w:val="004A5372"/>
    <w:rsid w:val="004A5E30"/>
    <w:rsid w:val="004A7F5F"/>
    <w:rsid w:val="004B2287"/>
    <w:rsid w:val="004B7E68"/>
    <w:rsid w:val="004C1ADD"/>
    <w:rsid w:val="004C3A30"/>
    <w:rsid w:val="004C4336"/>
    <w:rsid w:val="004D02E4"/>
    <w:rsid w:val="004D6EED"/>
    <w:rsid w:val="004D776E"/>
    <w:rsid w:val="004E08EF"/>
    <w:rsid w:val="004E241D"/>
    <w:rsid w:val="004E5019"/>
    <w:rsid w:val="004F08B1"/>
    <w:rsid w:val="004F2C6F"/>
    <w:rsid w:val="004F64EA"/>
    <w:rsid w:val="00501B18"/>
    <w:rsid w:val="00503FD6"/>
    <w:rsid w:val="005047A4"/>
    <w:rsid w:val="005047F6"/>
    <w:rsid w:val="0050754F"/>
    <w:rsid w:val="0051080D"/>
    <w:rsid w:val="0051107E"/>
    <w:rsid w:val="00511496"/>
    <w:rsid w:val="005123FB"/>
    <w:rsid w:val="005179D9"/>
    <w:rsid w:val="00521295"/>
    <w:rsid w:val="005258F0"/>
    <w:rsid w:val="00526DF1"/>
    <w:rsid w:val="0053594A"/>
    <w:rsid w:val="00544A3E"/>
    <w:rsid w:val="00544D61"/>
    <w:rsid w:val="005540B4"/>
    <w:rsid w:val="0055493F"/>
    <w:rsid w:val="00555643"/>
    <w:rsid w:val="00563DC7"/>
    <w:rsid w:val="00570EC5"/>
    <w:rsid w:val="00570FC5"/>
    <w:rsid w:val="00571965"/>
    <w:rsid w:val="00576B2E"/>
    <w:rsid w:val="00581032"/>
    <w:rsid w:val="00590C36"/>
    <w:rsid w:val="00592045"/>
    <w:rsid w:val="00592F39"/>
    <w:rsid w:val="0059426B"/>
    <w:rsid w:val="005950EE"/>
    <w:rsid w:val="005C565B"/>
    <w:rsid w:val="005C6B41"/>
    <w:rsid w:val="005C76D1"/>
    <w:rsid w:val="005C7755"/>
    <w:rsid w:val="005D450E"/>
    <w:rsid w:val="005D4C2B"/>
    <w:rsid w:val="005D56E3"/>
    <w:rsid w:val="005D58DB"/>
    <w:rsid w:val="005D6F6C"/>
    <w:rsid w:val="005E23D5"/>
    <w:rsid w:val="005E442C"/>
    <w:rsid w:val="005E5FCC"/>
    <w:rsid w:val="005E74DC"/>
    <w:rsid w:val="005E77BC"/>
    <w:rsid w:val="005F09BC"/>
    <w:rsid w:val="005F24B2"/>
    <w:rsid w:val="005F268F"/>
    <w:rsid w:val="005F296B"/>
    <w:rsid w:val="005F4B50"/>
    <w:rsid w:val="0060090F"/>
    <w:rsid w:val="00600CE7"/>
    <w:rsid w:val="00605C08"/>
    <w:rsid w:val="0060608D"/>
    <w:rsid w:val="00610457"/>
    <w:rsid w:val="006130E7"/>
    <w:rsid w:val="006207E6"/>
    <w:rsid w:val="00623941"/>
    <w:rsid w:val="006314BD"/>
    <w:rsid w:val="00647FE6"/>
    <w:rsid w:val="00660A42"/>
    <w:rsid w:val="00663093"/>
    <w:rsid w:val="006658B6"/>
    <w:rsid w:val="00665BD4"/>
    <w:rsid w:val="0067538A"/>
    <w:rsid w:val="00682545"/>
    <w:rsid w:val="00682E0E"/>
    <w:rsid w:val="00690634"/>
    <w:rsid w:val="006925F5"/>
    <w:rsid w:val="00693BFC"/>
    <w:rsid w:val="00694065"/>
    <w:rsid w:val="006A1248"/>
    <w:rsid w:val="006A164D"/>
    <w:rsid w:val="006A3AC2"/>
    <w:rsid w:val="006A7897"/>
    <w:rsid w:val="006B06E6"/>
    <w:rsid w:val="006B3C26"/>
    <w:rsid w:val="006B6421"/>
    <w:rsid w:val="006C09E9"/>
    <w:rsid w:val="006C0AEA"/>
    <w:rsid w:val="006C2F41"/>
    <w:rsid w:val="006D0028"/>
    <w:rsid w:val="006D3293"/>
    <w:rsid w:val="006D44D7"/>
    <w:rsid w:val="006F4934"/>
    <w:rsid w:val="006F5801"/>
    <w:rsid w:val="006F5F8F"/>
    <w:rsid w:val="00703673"/>
    <w:rsid w:val="007053BE"/>
    <w:rsid w:val="00705B99"/>
    <w:rsid w:val="00707C87"/>
    <w:rsid w:val="00711367"/>
    <w:rsid w:val="00717E7E"/>
    <w:rsid w:val="00720B5B"/>
    <w:rsid w:val="007214D1"/>
    <w:rsid w:val="00721569"/>
    <w:rsid w:val="00725270"/>
    <w:rsid w:val="00726B31"/>
    <w:rsid w:val="00727D67"/>
    <w:rsid w:val="007310D7"/>
    <w:rsid w:val="00731E93"/>
    <w:rsid w:val="00742B9E"/>
    <w:rsid w:val="0074360E"/>
    <w:rsid w:val="00751A5C"/>
    <w:rsid w:val="00754394"/>
    <w:rsid w:val="00755820"/>
    <w:rsid w:val="00766BAD"/>
    <w:rsid w:val="00766EF9"/>
    <w:rsid w:val="00772596"/>
    <w:rsid w:val="00776348"/>
    <w:rsid w:val="00782718"/>
    <w:rsid w:val="00784401"/>
    <w:rsid w:val="0078733B"/>
    <w:rsid w:val="00791D36"/>
    <w:rsid w:val="00794A0C"/>
    <w:rsid w:val="007A2F50"/>
    <w:rsid w:val="007A3904"/>
    <w:rsid w:val="007B3C3E"/>
    <w:rsid w:val="007B3DC7"/>
    <w:rsid w:val="007B64B5"/>
    <w:rsid w:val="007C13C5"/>
    <w:rsid w:val="007C60A1"/>
    <w:rsid w:val="007C7B5A"/>
    <w:rsid w:val="007D4675"/>
    <w:rsid w:val="007E7860"/>
    <w:rsid w:val="007F17B4"/>
    <w:rsid w:val="007F57B7"/>
    <w:rsid w:val="007F78AE"/>
    <w:rsid w:val="00804BA5"/>
    <w:rsid w:val="00805D7B"/>
    <w:rsid w:val="00810982"/>
    <w:rsid w:val="00823029"/>
    <w:rsid w:val="00825FD9"/>
    <w:rsid w:val="00826907"/>
    <w:rsid w:val="00830CD4"/>
    <w:rsid w:val="00834E2D"/>
    <w:rsid w:val="00841643"/>
    <w:rsid w:val="0084209E"/>
    <w:rsid w:val="00843EEF"/>
    <w:rsid w:val="00847811"/>
    <w:rsid w:val="00896987"/>
    <w:rsid w:val="008A1F14"/>
    <w:rsid w:val="008A3FB6"/>
    <w:rsid w:val="008A57F3"/>
    <w:rsid w:val="008B4E68"/>
    <w:rsid w:val="008C03E3"/>
    <w:rsid w:val="008C1B47"/>
    <w:rsid w:val="008C3C98"/>
    <w:rsid w:val="008D61AA"/>
    <w:rsid w:val="008E3C2A"/>
    <w:rsid w:val="008F41D8"/>
    <w:rsid w:val="008F5A22"/>
    <w:rsid w:val="008F66E6"/>
    <w:rsid w:val="008F74CA"/>
    <w:rsid w:val="00902A9A"/>
    <w:rsid w:val="00905E89"/>
    <w:rsid w:val="00912498"/>
    <w:rsid w:val="00920271"/>
    <w:rsid w:val="00920970"/>
    <w:rsid w:val="00924053"/>
    <w:rsid w:val="00935BDF"/>
    <w:rsid w:val="00941073"/>
    <w:rsid w:val="009430F2"/>
    <w:rsid w:val="009526B8"/>
    <w:rsid w:val="00962E81"/>
    <w:rsid w:val="00985181"/>
    <w:rsid w:val="00985CFD"/>
    <w:rsid w:val="00985DE5"/>
    <w:rsid w:val="00987DFB"/>
    <w:rsid w:val="00990CFB"/>
    <w:rsid w:val="00991247"/>
    <w:rsid w:val="00995C74"/>
    <w:rsid w:val="0099723B"/>
    <w:rsid w:val="009A2020"/>
    <w:rsid w:val="009C0A57"/>
    <w:rsid w:val="009C1F2A"/>
    <w:rsid w:val="009C631C"/>
    <w:rsid w:val="009C6666"/>
    <w:rsid w:val="009C6DDB"/>
    <w:rsid w:val="009C7634"/>
    <w:rsid w:val="009C77CF"/>
    <w:rsid w:val="009D3236"/>
    <w:rsid w:val="009D691A"/>
    <w:rsid w:val="009D6A45"/>
    <w:rsid w:val="009D7511"/>
    <w:rsid w:val="009E0A66"/>
    <w:rsid w:val="009E1C50"/>
    <w:rsid w:val="009E7291"/>
    <w:rsid w:val="009E7E1D"/>
    <w:rsid w:val="009F0139"/>
    <w:rsid w:val="009F4896"/>
    <w:rsid w:val="00A01760"/>
    <w:rsid w:val="00A035C1"/>
    <w:rsid w:val="00A03B68"/>
    <w:rsid w:val="00A06051"/>
    <w:rsid w:val="00A067FA"/>
    <w:rsid w:val="00A06F5D"/>
    <w:rsid w:val="00A1003D"/>
    <w:rsid w:val="00A105B9"/>
    <w:rsid w:val="00A15484"/>
    <w:rsid w:val="00A1733F"/>
    <w:rsid w:val="00A252F3"/>
    <w:rsid w:val="00A265AA"/>
    <w:rsid w:val="00A27D3B"/>
    <w:rsid w:val="00A3006B"/>
    <w:rsid w:val="00A44B54"/>
    <w:rsid w:val="00A44C7B"/>
    <w:rsid w:val="00A45F54"/>
    <w:rsid w:val="00A47A09"/>
    <w:rsid w:val="00A506DE"/>
    <w:rsid w:val="00A60358"/>
    <w:rsid w:val="00A701E8"/>
    <w:rsid w:val="00A813FC"/>
    <w:rsid w:val="00A8159A"/>
    <w:rsid w:val="00A852FC"/>
    <w:rsid w:val="00A95347"/>
    <w:rsid w:val="00AA15DA"/>
    <w:rsid w:val="00AA6A6A"/>
    <w:rsid w:val="00AB2B69"/>
    <w:rsid w:val="00AB3D83"/>
    <w:rsid w:val="00AB4988"/>
    <w:rsid w:val="00AB5455"/>
    <w:rsid w:val="00AC5BBD"/>
    <w:rsid w:val="00AD0D67"/>
    <w:rsid w:val="00AD33D1"/>
    <w:rsid w:val="00AE3455"/>
    <w:rsid w:val="00AE44B9"/>
    <w:rsid w:val="00AF02B6"/>
    <w:rsid w:val="00AF5408"/>
    <w:rsid w:val="00B0019E"/>
    <w:rsid w:val="00B06F13"/>
    <w:rsid w:val="00B15C2E"/>
    <w:rsid w:val="00B21BA2"/>
    <w:rsid w:val="00B237C2"/>
    <w:rsid w:val="00B26FB4"/>
    <w:rsid w:val="00B32ECC"/>
    <w:rsid w:val="00B356DC"/>
    <w:rsid w:val="00B35E26"/>
    <w:rsid w:val="00B4511E"/>
    <w:rsid w:val="00B45128"/>
    <w:rsid w:val="00B50D69"/>
    <w:rsid w:val="00B50E9D"/>
    <w:rsid w:val="00B56CDC"/>
    <w:rsid w:val="00B61410"/>
    <w:rsid w:val="00B6149F"/>
    <w:rsid w:val="00B76CAE"/>
    <w:rsid w:val="00B84929"/>
    <w:rsid w:val="00B859CD"/>
    <w:rsid w:val="00B86838"/>
    <w:rsid w:val="00B87B5D"/>
    <w:rsid w:val="00B90704"/>
    <w:rsid w:val="00BA01AD"/>
    <w:rsid w:val="00BA0979"/>
    <w:rsid w:val="00BA2BC7"/>
    <w:rsid w:val="00BB4A08"/>
    <w:rsid w:val="00BC1EB4"/>
    <w:rsid w:val="00BD7355"/>
    <w:rsid w:val="00BE477C"/>
    <w:rsid w:val="00BE6360"/>
    <w:rsid w:val="00C02142"/>
    <w:rsid w:val="00C14B28"/>
    <w:rsid w:val="00C15B6B"/>
    <w:rsid w:val="00C173F4"/>
    <w:rsid w:val="00C214F8"/>
    <w:rsid w:val="00C3461A"/>
    <w:rsid w:val="00C351C8"/>
    <w:rsid w:val="00C360E6"/>
    <w:rsid w:val="00C44DE0"/>
    <w:rsid w:val="00C456FE"/>
    <w:rsid w:val="00C55881"/>
    <w:rsid w:val="00C60663"/>
    <w:rsid w:val="00C61237"/>
    <w:rsid w:val="00C71EF3"/>
    <w:rsid w:val="00C72B73"/>
    <w:rsid w:val="00C75691"/>
    <w:rsid w:val="00C8005D"/>
    <w:rsid w:val="00C8211A"/>
    <w:rsid w:val="00C82A93"/>
    <w:rsid w:val="00C8333C"/>
    <w:rsid w:val="00C84BD3"/>
    <w:rsid w:val="00C973BB"/>
    <w:rsid w:val="00C978E0"/>
    <w:rsid w:val="00CA4B02"/>
    <w:rsid w:val="00CA6AB3"/>
    <w:rsid w:val="00CB5374"/>
    <w:rsid w:val="00CB56B9"/>
    <w:rsid w:val="00CB7017"/>
    <w:rsid w:val="00CE68AE"/>
    <w:rsid w:val="00D00618"/>
    <w:rsid w:val="00D03451"/>
    <w:rsid w:val="00D038C4"/>
    <w:rsid w:val="00D05169"/>
    <w:rsid w:val="00D11FA1"/>
    <w:rsid w:val="00D12180"/>
    <w:rsid w:val="00D20EFC"/>
    <w:rsid w:val="00D230BF"/>
    <w:rsid w:val="00D23370"/>
    <w:rsid w:val="00D23435"/>
    <w:rsid w:val="00D30472"/>
    <w:rsid w:val="00D3078D"/>
    <w:rsid w:val="00D44B45"/>
    <w:rsid w:val="00D45787"/>
    <w:rsid w:val="00D4627A"/>
    <w:rsid w:val="00D46356"/>
    <w:rsid w:val="00D47C49"/>
    <w:rsid w:val="00D57CDF"/>
    <w:rsid w:val="00D6031D"/>
    <w:rsid w:val="00D604A7"/>
    <w:rsid w:val="00D658D1"/>
    <w:rsid w:val="00D65A67"/>
    <w:rsid w:val="00D66EB1"/>
    <w:rsid w:val="00D66EB7"/>
    <w:rsid w:val="00D71DD2"/>
    <w:rsid w:val="00D75FE6"/>
    <w:rsid w:val="00D75FFC"/>
    <w:rsid w:val="00D842DB"/>
    <w:rsid w:val="00D906F4"/>
    <w:rsid w:val="00D92CE0"/>
    <w:rsid w:val="00D93D96"/>
    <w:rsid w:val="00DA1988"/>
    <w:rsid w:val="00DB3601"/>
    <w:rsid w:val="00DB3CD6"/>
    <w:rsid w:val="00DC01DD"/>
    <w:rsid w:val="00DC17DA"/>
    <w:rsid w:val="00DC4937"/>
    <w:rsid w:val="00DD0516"/>
    <w:rsid w:val="00DD5D75"/>
    <w:rsid w:val="00DD614F"/>
    <w:rsid w:val="00DE07A3"/>
    <w:rsid w:val="00DE1942"/>
    <w:rsid w:val="00DE1E6C"/>
    <w:rsid w:val="00DE2B44"/>
    <w:rsid w:val="00DE2E0D"/>
    <w:rsid w:val="00DE5F32"/>
    <w:rsid w:val="00DF1F68"/>
    <w:rsid w:val="00DF3520"/>
    <w:rsid w:val="00DF462B"/>
    <w:rsid w:val="00DF55D6"/>
    <w:rsid w:val="00DF6E1D"/>
    <w:rsid w:val="00E0196C"/>
    <w:rsid w:val="00E04193"/>
    <w:rsid w:val="00E10E07"/>
    <w:rsid w:val="00E11B89"/>
    <w:rsid w:val="00E11BD9"/>
    <w:rsid w:val="00E1395A"/>
    <w:rsid w:val="00E16021"/>
    <w:rsid w:val="00E216D0"/>
    <w:rsid w:val="00E25B8B"/>
    <w:rsid w:val="00E25FDA"/>
    <w:rsid w:val="00E3069B"/>
    <w:rsid w:val="00E345B1"/>
    <w:rsid w:val="00E355EE"/>
    <w:rsid w:val="00E45F94"/>
    <w:rsid w:val="00E523CD"/>
    <w:rsid w:val="00E52B44"/>
    <w:rsid w:val="00E52BA0"/>
    <w:rsid w:val="00E66429"/>
    <w:rsid w:val="00E74E2C"/>
    <w:rsid w:val="00E75F39"/>
    <w:rsid w:val="00E75F6B"/>
    <w:rsid w:val="00E92F59"/>
    <w:rsid w:val="00EA6559"/>
    <w:rsid w:val="00EA6C6E"/>
    <w:rsid w:val="00EB228F"/>
    <w:rsid w:val="00EC095C"/>
    <w:rsid w:val="00EC259F"/>
    <w:rsid w:val="00EC47E3"/>
    <w:rsid w:val="00EC6323"/>
    <w:rsid w:val="00ED2EFE"/>
    <w:rsid w:val="00ED6A31"/>
    <w:rsid w:val="00ED7383"/>
    <w:rsid w:val="00EE4C7B"/>
    <w:rsid w:val="00EE63AE"/>
    <w:rsid w:val="00EF3BF8"/>
    <w:rsid w:val="00EF45E6"/>
    <w:rsid w:val="00EF4F9D"/>
    <w:rsid w:val="00F00F06"/>
    <w:rsid w:val="00F06261"/>
    <w:rsid w:val="00F1364E"/>
    <w:rsid w:val="00F20271"/>
    <w:rsid w:val="00F2111F"/>
    <w:rsid w:val="00F25E7E"/>
    <w:rsid w:val="00F32954"/>
    <w:rsid w:val="00F42CF3"/>
    <w:rsid w:val="00F469C4"/>
    <w:rsid w:val="00F503ED"/>
    <w:rsid w:val="00F55F2F"/>
    <w:rsid w:val="00F63E64"/>
    <w:rsid w:val="00F76AA4"/>
    <w:rsid w:val="00F77121"/>
    <w:rsid w:val="00F839E2"/>
    <w:rsid w:val="00F858E0"/>
    <w:rsid w:val="00FA053D"/>
    <w:rsid w:val="00FA5259"/>
    <w:rsid w:val="00FA5C28"/>
    <w:rsid w:val="00FA7DA7"/>
    <w:rsid w:val="00FB0F87"/>
    <w:rsid w:val="00FB17D4"/>
    <w:rsid w:val="00FB7551"/>
    <w:rsid w:val="00FC0CB0"/>
    <w:rsid w:val="00FC1D3E"/>
    <w:rsid w:val="00FC2545"/>
    <w:rsid w:val="00FC2B80"/>
    <w:rsid w:val="00FC52DF"/>
    <w:rsid w:val="00FD2BFB"/>
    <w:rsid w:val="00FD3F7E"/>
    <w:rsid w:val="00FE4D79"/>
    <w:rsid w:val="00FE65CF"/>
    <w:rsid w:val="00FF110F"/>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101416518">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22658764">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lhinfo.com/userfiles/file/business_processes/Human%20Resources/HR09%20Equal%20Opportunities/HR09-P%20Equal%20Opportunities%20Policy/HR09-P01%20Equal%20Opportunities%20Policy.docx"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7E3FE-F3E8-4F2E-9EB6-F065B58B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1612</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Lorraine Hourston</cp:lastModifiedBy>
  <cp:revision>10</cp:revision>
  <cp:lastPrinted>2018-03-13T15:57:00Z</cp:lastPrinted>
  <dcterms:created xsi:type="dcterms:W3CDTF">2018-05-30T22:42:00Z</dcterms:created>
  <dcterms:modified xsi:type="dcterms:W3CDTF">2018-06-01T13:56:00Z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959710509</vt:i4>
  </property>
  <property fmtid="{D5CDD505-2E9C-101B-9397-08002B2CF9AE}" pid="3" name="_NewReviewCycle">
    <vt:lpwstr/>
  </property>
  <property fmtid="{D5CDD505-2E9C-101B-9397-08002B2CF9AE}" pid="4" name="_EmailSubject">
    <vt:lpwstr>HLH BOARD AGENDA AND MINUTES FOR WEB - IF PDF OPTION DOESN'T WORK OUT</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1902912727</vt:i4>
  </property>
</Properties>
</file>