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204"/>
        <w:gridCol w:w="3260"/>
      </w:tblGrid>
      <w:tr w:rsidR="00B84929" w:rsidRPr="0089449E" w:rsidTr="00B76551">
        <w:trPr>
          <w:cantSplit/>
          <w:trHeight w:val="993"/>
        </w:trPr>
        <w:tc>
          <w:tcPr>
            <w:tcW w:w="6204" w:type="dxa"/>
          </w:tcPr>
          <w:p w:rsidR="00DE1E6C" w:rsidRPr="0089449E" w:rsidRDefault="00B84929" w:rsidP="002B7DC4">
            <w:pPr>
              <w:pStyle w:val="BodyText"/>
              <w:jc w:val="left"/>
              <w:rPr>
                <w:rFonts w:ascii="Arial" w:hAnsi="Arial" w:cs="Arial"/>
                <w:szCs w:val="24"/>
              </w:rPr>
            </w:pPr>
            <w:bookmarkStart w:id="0" w:name="_GoBack"/>
            <w:bookmarkEnd w:id="0"/>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5C524F" w:rsidP="002B7DC4">
            <w:pPr>
              <w:pStyle w:val="BodyText"/>
              <w:jc w:val="left"/>
              <w:rPr>
                <w:rFonts w:ascii="Arial" w:hAnsi="Arial" w:cs="Arial"/>
                <w:szCs w:val="24"/>
              </w:rPr>
            </w:pPr>
            <w:r>
              <w:rPr>
                <w:rFonts w:ascii="Arial" w:hAnsi="Arial" w:cs="Arial"/>
                <w:szCs w:val="24"/>
              </w:rPr>
              <w:t>14</w:t>
            </w:r>
            <w:r w:rsidR="00A95BB7">
              <w:rPr>
                <w:rFonts w:ascii="Arial" w:hAnsi="Arial" w:cs="Arial"/>
                <w:szCs w:val="24"/>
              </w:rPr>
              <w:t xml:space="preserve"> </w:t>
            </w:r>
            <w:r>
              <w:rPr>
                <w:rFonts w:ascii="Arial" w:hAnsi="Arial" w:cs="Arial"/>
                <w:szCs w:val="24"/>
              </w:rPr>
              <w:t>December</w:t>
            </w:r>
            <w:r w:rsidR="00A95BB7">
              <w:rPr>
                <w:rFonts w:ascii="Arial" w:hAnsi="Arial" w:cs="Arial"/>
                <w:szCs w:val="24"/>
              </w:rPr>
              <w:t xml:space="preserve"> </w:t>
            </w:r>
            <w:r w:rsidR="002B567A">
              <w:rPr>
                <w:rFonts w:ascii="Arial" w:hAnsi="Arial" w:cs="Arial"/>
                <w:szCs w:val="24"/>
              </w:rPr>
              <w:t>201</w:t>
            </w:r>
            <w:r w:rsidR="00907435">
              <w:rPr>
                <w:rFonts w:ascii="Arial" w:hAnsi="Arial" w:cs="Arial"/>
                <w:szCs w:val="24"/>
              </w:rPr>
              <w:t>6</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260" w:type="dxa"/>
          </w:tcPr>
          <w:p w:rsidR="00C17981" w:rsidRDefault="00B0145D" w:rsidP="00472040">
            <w:pPr>
              <w:rPr>
                <w:rFonts w:ascii="Arial" w:hAnsi="Arial" w:cs="Arial"/>
                <w:szCs w:val="24"/>
              </w:rPr>
            </w:pPr>
            <w:r>
              <w:rPr>
                <w:rFonts w:ascii="Arial" w:hAnsi="Arial" w:cs="Arial"/>
                <w:szCs w:val="24"/>
              </w:rPr>
              <w:t>AGENDA ITEM</w:t>
            </w:r>
            <w:r w:rsidR="00A84EFA">
              <w:rPr>
                <w:rFonts w:ascii="Arial" w:hAnsi="Arial" w:cs="Arial"/>
                <w:szCs w:val="24"/>
              </w:rPr>
              <w:t xml:space="preserve"> 12</w:t>
            </w:r>
            <w:r>
              <w:rPr>
                <w:rFonts w:ascii="Arial" w:hAnsi="Arial" w:cs="Arial"/>
                <w:szCs w:val="24"/>
              </w:rPr>
              <w:t xml:space="preserve"> </w:t>
            </w:r>
          </w:p>
          <w:p w:rsidR="00B84929" w:rsidRPr="0089449E" w:rsidRDefault="00B84929" w:rsidP="00A84EFA">
            <w:pPr>
              <w:rPr>
                <w:rFonts w:ascii="Arial" w:hAnsi="Arial" w:cs="Arial"/>
                <w:szCs w:val="24"/>
              </w:rPr>
            </w:pPr>
            <w:r w:rsidRPr="0089449E">
              <w:rPr>
                <w:rFonts w:ascii="Arial" w:hAnsi="Arial" w:cs="Arial"/>
                <w:szCs w:val="24"/>
              </w:rPr>
              <w:t>REPORT N</w:t>
            </w:r>
            <w:r w:rsidR="004A13CB">
              <w:rPr>
                <w:rFonts w:ascii="Arial" w:hAnsi="Arial" w:cs="Arial"/>
                <w:szCs w:val="24"/>
              </w:rPr>
              <w:t>o</w:t>
            </w:r>
            <w:r w:rsidR="001D5EE7">
              <w:rPr>
                <w:rFonts w:ascii="Arial" w:hAnsi="Arial" w:cs="Arial"/>
                <w:szCs w:val="24"/>
              </w:rPr>
              <w:t xml:space="preserve"> </w:t>
            </w:r>
            <w:r w:rsidR="00C17981">
              <w:rPr>
                <w:rFonts w:ascii="Arial" w:hAnsi="Arial" w:cs="Arial"/>
                <w:szCs w:val="24"/>
              </w:rPr>
              <w:t>HLH</w:t>
            </w:r>
            <w:r w:rsidR="00A84EFA">
              <w:rPr>
                <w:rFonts w:ascii="Arial" w:hAnsi="Arial" w:cs="Arial"/>
                <w:szCs w:val="24"/>
              </w:rPr>
              <w:t>30</w:t>
            </w:r>
            <w:r w:rsidR="001D5EE7">
              <w:rPr>
                <w:rFonts w:ascii="Arial" w:hAnsi="Arial" w:cs="Arial"/>
                <w:szCs w:val="24"/>
              </w:rPr>
              <w:t>/1</w:t>
            </w:r>
            <w:r w:rsidR="00692422">
              <w:rPr>
                <w:rFonts w:ascii="Arial" w:hAnsi="Arial" w:cs="Arial"/>
                <w:szCs w:val="24"/>
              </w:rPr>
              <w:t>6</w:t>
            </w:r>
          </w:p>
        </w:tc>
      </w:tr>
    </w:tbl>
    <w:p w:rsidR="0039450A" w:rsidRPr="0089449E" w:rsidRDefault="0067745D" w:rsidP="00DE1E6C">
      <w:pPr>
        <w:pStyle w:val="Heading2"/>
        <w:rPr>
          <w:rFonts w:ascii="Arial" w:hAnsi="Arial" w:cs="Arial"/>
          <w:b/>
          <w:szCs w:val="24"/>
          <w:u w:val="none"/>
        </w:rPr>
      </w:pPr>
      <w:r>
        <w:rPr>
          <w:rFonts w:ascii="Arial" w:hAnsi="Arial" w:cs="Arial"/>
          <w:b/>
          <w:szCs w:val="24"/>
          <w:u w:val="none"/>
        </w:rPr>
        <w:t>FINANCE REPORT</w:t>
      </w:r>
      <w:r w:rsidRPr="0089449E">
        <w:rPr>
          <w:rFonts w:ascii="Arial" w:hAnsi="Arial" w:cs="Arial"/>
          <w:b/>
          <w:szCs w:val="24"/>
          <w:u w:val="none"/>
        </w:rPr>
        <w:t xml:space="preserve"> -</w:t>
      </w:r>
      <w:r w:rsidR="00DE1E6C" w:rsidRPr="0089449E">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DE3803">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72040">
            <w:pPr>
              <w:pStyle w:val="Heading2"/>
              <w:jc w:val="both"/>
              <w:rPr>
                <w:rFonts w:ascii="Arial" w:hAnsi="Arial" w:cs="Arial"/>
                <w:b/>
                <w:szCs w:val="24"/>
                <w:u w:val="none"/>
              </w:rPr>
            </w:pPr>
            <w:r w:rsidRPr="0089449E">
              <w:rPr>
                <w:rFonts w:ascii="Arial" w:hAnsi="Arial" w:cs="Arial"/>
                <w:b/>
                <w:szCs w:val="24"/>
                <w:u w:val="none"/>
              </w:rPr>
              <w:t>Summary</w:t>
            </w:r>
          </w:p>
          <w:p w:rsidR="002B7DC4" w:rsidRPr="0089449E" w:rsidRDefault="002B7DC4" w:rsidP="00472040">
            <w:pPr>
              <w:jc w:val="both"/>
              <w:rPr>
                <w:rFonts w:ascii="Arial" w:hAnsi="Arial" w:cs="Arial"/>
              </w:rPr>
            </w:pPr>
          </w:p>
          <w:p w:rsidR="002B7DC4" w:rsidRDefault="00023E37" w:rsidP="00472040">
            <w:pPr>
              <w:jc w:val="both"/>
              <w:rPr>
                <w:rFonts w:ascii="Arial" w:hAnsi="Arial" w:cs="Arial"/>
              </w:rPr>
            </w:pPr>
            <w:r>
              <w:rPr>
                <w:rFonts w:ascii="Arial" w:hAnsi="Arial" w:cs="Arial"/>
              </w:rPr>
              <w:t xml:space="preserve">This report provides </w:t>
            </w:r>
            <w:r w:rsidR="007E2203">
              <w:rPr>
                <w:rFonts w:ascii="Arial" w:hAnsi="Arial" w:cs="Arial"/>
              </w:rPr>
              <w:t>D</w:t>
            </w:r>
            <w:r>
              <w:rPr>
                <w:rFonts w:ascii="Arial" w:hAnsi="Arial" w:cs="Arial"/>
              </w:rPr>
              <w:t>irectors with an update on the financial performance of High Life Highland f</w:t>
            </w:r>
            <w:r w:rsidR="007E2203">
              <w:rPr>
                <w:rFonts w:ascii="Arial" w:hAnsi="Arial" w:cs="Arial"/>
              </w:rPr>
              <w:t xml:space="preserve">or the </w:t>
            </w:r>
            <w:r w:rsidR="004A13CB">
              <w:rPr>
                <w:rFonts w:ascii="Arial" w:hAnsi="Arial" w:cs="Arial"/>
              </w:rPr>
              <w:t xml:space="preserve">period ending </w:t>
            </w:r>
            <w:r w:rsidR="0091163E">
              <w:rPr>
                <w:rFonts w:ascii="Arial" w:hAnsi="Arial" w:cs="Arial"/>
              </w:rPr>
              <w:t xml:space="preserve">31 October </w:t>
            </w:r>
            <w:r w:rsidR="002B567A">
              <w:rPr>
                <w:rFonts w:ascii="Arial" w:hAnsi="Arial" w:cs="Arial"/>
              </w:rPr>
              <w:t>201</w:t>
            </w:r>
            <w:r w:rsidR="00907435">
              <w:rPr>
                <w:rFonts w:ascii="Arial" w:hAnsi="Arial" w:cs="Arial"/>
              </w:rPr>
              <w:t>6</w:t>
            </w:r>
            <w:r w:rsidR="00532972">
              <w:rPr>
                <w:rFonts w:ascii="Arial" w:hAnsi="Arial" w:cs="Arial"/>
              </w:rPr>
              <w:t>.</w:t>
            </w:r>
          </w:p>
          <w:p w:rsidR="00023E37" w:rsidRDefault="00023E37" w:rsidP="00472040">
            <w:pPr>
              <w:jc w:val="both"/>
              <w:rPr>
                <w:rFonts w:ascii="Arial" w:hAnsi="Arial" w:cs="Arial"/>
              </w:rPr>
            </w:pPr>
          </w:p>
          <w:p w:rsidR="009E4318" w:rsidRDefault="009E4318" w:rsidP="009E4318">
            <w:pPr>
              <w:jc w:val="both"/>
              <w:rPr>
                <w:rFonts w:ascii="Arial" w:hAnsi="Arial" w:cs="Arial"/>
              </w:rPr>
            </w:pPr>
            <w:r>
              <w:rPr>
                <w:rFonts w:ascii="Arial" w:hAnsi="Arial" w:cs="Arial"/>
              </w:rPr>
              <w:t>It is recommended that Directors note:</w:t>
            </w:r>
          </w:p>
          <w:p w:rsidR="009E4318" w:rsidRDefault="009E4318" w:rsidP="009E4318">
            <w:pPr>
              <w:jc w:val="both"/>
              <w:rPr>
                <w:rFonts w:ascii="Arial" w:hAnsi="Arial" w:cs="Arial"/>
              </w:rPr>
            </w:pPr>
          </w:p>
          <w:p w:rsidR="009E4318" w:rsidRPr="00226A24" w:rsidRDefault="009E4318" w:rsidP="009E4318">
            <w:pPr>
              <w:pStyle w:val="ListParagraph"/>
              <w:numPr>
                <w:ilvl w:val="0"/>
                <w:numId w:val="17"/>
              </w:numPr>
              <w:ind w:left="567" w:hanging="283"/>
              <w:jc w:val="both"/>
              <w:rPr>
                <w:rFonts w:ascii="Arial" w:hAnsi="Arial" w:cs="Arial"/>
                <w:sz w:val="24"/>
                <w:szCs w:val="24"/>
              </w:rPr>
            </w:pPr>
            <w:r w:rsidRPr="00226A24">
              <w:rPr>
                <w:rFonts w:ascii="Arial" w:hAnsi="Arial" w:cs="Arial"/>
                <w:sz w:val="24"/>
                <w:szCs w:val="24"/>
              </w:rPr>
              <w:t xml:space="preserve">the current financial position of High Life Highland as detailed in </w:t>
            </w:r>
            <w:r w:rsidRPr="00226A24">
              <w:rPr>
                <w:rFonts w:ascii="Arial" w:hAnsi="Arial" w:cs="Arial"/>
                <w:b/>
                <w:sz w:val="24"/>
                <w:szCs w:val="24"/>
              </w:rPr>
              <w:t>Appendix A;</w:t>
            </w:r>
          </w:p>
          <w:p w:rsidR="009E4318" w:rsidRPr="00226A24" w:rsidRDefault="009E4318" w:rsidP="009E4318">
            <w:pPr>
              <w:pStyle w:val="ListParagraph"/>
              <w:numPr>
                <w:ilvl w:val="0"/>
                <w:numId w:val="17"/>
              </w:numPr>
              <w:ind w:left="567" w:hanging="283"/>
              <w:jc w:val="both"/>
              <w:rPr>
                <w:rFonts w:ascii="Arial" w:hAnsi="Arial" w:cs="Arial"/>
                <w:sz w:val="24"/>
                <w:szCs w:val="24"/>
              </w:rPr>
            </w:pPr>
            <w:r w:rsidRPr="00226A24">
              <w:rPr>
                <w:rFonts w:ascii="Arial" w:hAnsi="Arial" w:cs="Arial"/>
                <w:sz w:val="24"/>
                <w:szCs w:val="24"/>
              </w:rPr>
              <w:t>the financial results for the 7 months to October 2016 report a surplus of £18,273;</w:t>
            </w:r>
          </w:p>
          <w:p w:rsidR="009E4318" w:rsidRPr="00494A2F" w:rsidRDefault="009E4318" w:rsidP="009E4318">
            <w:pPr>
              <w:pStyle w:val="ListParagraph"/>
              <w:numPr>
                <w:ilvl w:val="0"/>
                <w:numId w:val="17"/>
              </w:numPr>
              <w:ind w:left="567" w:hanging="283"/>
              <w:jc w:val="both"/>
              <w:rPr>
                <w:rFonts w:ascii="Arial" w:hAnsi="Arial" w:cs="Arial"/>
                <w:szCs w:val="24"/>
              </w:rPr>
            </w:pPr>
            <w:r w:rsidRPr="00226A24">
              <w:rPr>
                <w:rFonts w:ascii="Arial" w:hAnsi="Arial" w:cs="Arial"/>
                <w:sz w:val="24"/>
                <w:szCs w:val="24"/>
              </w:rPr>
              <w:t xml:space="preserve">the projected final out-turn for the year </w:t>
            </w:r>
            <w:r>
              <w:rPr>
                <w:rFonts w:ascii="Arial" w:hAnsi="Arial" w:cs="Arial"/>
                <w:sz w:val="24"/>
                <w:szCs w:val="24"/>
              </w:rPr>
              <w:t xml:space="preserve">is a surplus to budget of </w:t>
            </w:r>
            <w:r w:rsidRPr="00226A24">
              <w:rPr>
                <w:rFonts w:ascii="Arial" w:hAnsi="Arial" w:cs="Arial"/>
                <w:sz w:val="24"/>
                <w:szCs w:val="24"/>
              </w:rPr>
              <w:t>c</w:t>
            </w:r>
            <w:r>
              <w:rPr>
                <w:rFonts w:ascii="Arial" w:hAnsi="Arial" w:cs="Arial"/>
                <w:sz w:val="24"/>
                <w:szCs w:val="24"/>
              </w:rPr>
              <w:t xml:space="preserve"> </w:t>
            </w:r>
            <w:r w:rsidRPr="00226A24">
              <w:rPr>
                <w:rFonts w:ascii="Arial" w:hAnsi="Arial" w:cs="Arial"/>
                <w:sz w:val="24"/>
                <w:szCs w:val="24"/>
              </w:rPr>
              <w:t>£</w:t>
            </w:r>
            <w:r>
              <w:rPr>
                <w:rFonts w:ascii="Arial" w:hAnsi="Arial" w:cs="Arial"/>
                <w:sz w:val="24"/>
                <w:szCs w:val="24"/>
              </w:rPr>
              <w:t>25</w:t>
            </w:r>
            <w:r w:rsidRPr="00226A24">
              <w:rPr>
                <w:rFonts w:ascii="Arial" w:hAnsi="Arial" w:cs="Arial"/>
                <w:sz w:val="24"/>
                <w:szCs w:val="24"/>
              </w:rPr>
              <w:t xml:space="preserve">K; </w:t>
            </w:r>
          </w:p>
          <w:p w:rsidR="009E4318" w:rsidRPr="00226A24" w:rsidRDefault="009E4318" w:rsidP="009E4318">
            <w:pPr>
              <w:pStyle w:val="ListParagraph"/>
              <w:numPr>
                <w:ilvl w:val="0"/>
                <w:numId w:val="17"/>
              </w:numPr>
              <w:ind w:left="567" w:hanging="283"/>
              <w:jc w:val="both"/>
              <w:rPr>
                <w:rFonts w:ascii="Arial" w:hAnsi="Arial" w:cs="Arial"/>
                <w:sz w:val="24"/>
                <w:szCs w:val="24"/>
              </w:rPr>
            </w:pPr>
            <w:r w:rsidRPr="00226A24">
              <w:rPr>
                <w:rFonts w:ascii="Arial" w:hAnsi="Arial" w:cs="Arial"/>
                <w:sz w:val="24"/>
                <w:szCs w:val="24"/>
              </w:rPr>
              <w:t>the award of contracts to The Design Concept</w:t>
            </w:r>
            <w:r>
              <w:rPr>
                <w:rFonts w:ascii="Arial" w:hAnsi="Arial" w:cs="Arial"/>
                <w:sz w:val="24"/>
                <w:szCs w:val="24"/>
              </w:rPr>
              <w:t xml:space="preserve"> (x2) </w:t>
            </w:r>
            <w:r w:rsidRPr="00226A24">
              <w:rPr>
                <w:rFonts w:ascii="Arial" w:hAnsi="Arial" w:cs="Arial"/>
                <w:sz w:val="24"/>
                <w:szCs w:val="24"/>
              </w:rPr>
              <w:t xml:space="preserve"> Fitness Training Scotland, Achins Bookshop, Bibliotheca, DUFI Art</w:t>
            </w:r>
            <w:r>
              <w:rPr>
                <w:rFonts w:ascii="Arial" w:hAnsi="Arial" w:cs="Arial"/>
                <w:sz w:val="24"/>
                <w:szCs w:val="24"/>
              </w:rPr>
              <w:t xml:space="preserve"> (x2),</w:t>
            </w:r>
            <w:r w:rsidRPr="00226A24">
              <w:rPr>
                <w:rFonts w:ascii="Arial" w:hAnsi="Arial" w:cs="Arial"/>
                <w:sz w:val="24"/>
                <w:szCs w:val="24"/>
              </w:rPr>
              <w:t xml:space="preserve"> Less than Nothing Production, </w:t>
            </w:r>
            <w:r>
              <w:rPr>
                <w:rFonts w:ascii="Arial" w:hAnsi="Arial" w:cs="Arial"/>
                <w:sz w:val="24"/>
                <w:szCs w:val="24"/>
              </w:rPr>
              <w:t>Fuzzy Duck, DP Digital Media</w:t>
            </w:r>
            <w:r w:rsidRPr="00226A24">
              <w:rPr>
                <w:rFonts w:ascii="Arial" w:hAnsi="Arial" w:cs="Arial"/>
                <w:sz w:val="24"/>
                <w:szCs w:val="24"/>
              </w:rPr>
              <w:t>;</w:t>
            </w:r>
          </w:p>
          <w:p w:rsidR="009E4318" w:rsidRPr="008512B8" w:rsidRDefault="009E4318" w:rsidP="009E4318">
            <w:pPr>
              <w:pStyle w:val="ListParagraph"/>
              <w:numPr>
                <w:ilvl w:val="0"/>
                <w:numId w:val="17"/>
              </w:numPr>
              <w:ind w:left="567" w:hanging="283"/>
              <w:jc w:val="both"/>
              <w:rPr>
                <w:rFonts w:ascii="Arial" w:hAnsi="Arial" w:cs="Arial"/>
                <w:szCs w:val="24"/>
              </w:rPr>
            </w:pPr>
            <w:r w:rsidRPr="00226A24">
              <w:rPr>
                <w:rFonts w:ascii="Arial" w:hAnsi="Arial" w:cs="Arial"/>
                <w:sz w:val="24"/>
                <w:szCs w:val="24"/>
              </w:rPr>
              <w:t>the update on VAT;</w:t>
            </w:r>
          </w:p>
          <w:p w:rsidR="009E4318" w:rsidRDefault="009E4318" w:rsidP="009E4318">
            <w:pPr>
              <w:pStyle w:val="ListParagraph"/>
              <w:numPr>
                <w:ilvl w:val="0"/>
                <w:numId w:val="17"/>
              </w:numPr>
              <w:ind w:left="567" w:hanging="283"/>
              <w:jc w:val="both"/>
              <w:rPr>
                <w:rFonts w:ascii="Arial" w:hAnsi="Arial" w:cs="Arial"/>
                <w:sz w:val="24"/>
                <w:szCs w:val="24"/>
              </w:rPr>
            </w:pPr>
            <w:r>
              <w:rPr>
                <w:rFonts w:ascii="Arial" w:hAnsi="Arial" w:cs="Arial"/>
                <w:sz w:val="24"/>
                <w:szCs w:val="24"/>
              </w:rPr>
              <w:t>the update on the Highland Folk Museum Phase 3 project; and</w:t>
            </w:r>
          </w:p>
          <w:p w:rsidR="00103AC5" w:rsidRPr="009E4318" w:rsidRDefault="009E4318" w:rsidP="009E4318">
            <w:pPr>
              <w:pStyle w:val="ListParagraph"/>
              <w:numPr>
                <w:ilvl w:val="0"/>
                <w:numId w:val="17"/>
              </w:numPr>
              <w:ind w:left="567" w:hanging="283"/>
              <w:jc w:val="both"/>
              <w:rPr>
                <w:rFonts w:ascii="Arial" w:hAnsi="Arial" w:cs="Arial"/>
                <w:sz w:val="24"/>
                <w:szCs w:val="24"/>
              </w:rPr>
            </w:pPr>
            <w:r>
              <w:rPr>
                <w:rFonts w:ascii="Arial" w:hAnsi="Arial" w:cs="Arial"/>
                <w:sz w:val="24"/>
                <w:szCs w:val="24"/>
              </w:rPr>
              <w:t>approve the Financial Statements for the year end 31 March 2016 which are represented.</w:t>
            </w:r>
          </w:p>
        </w:tc>
      </w:tr>
    </w:tbl>
    <w:p w:rsidR="0097099E" w:rsidRPr="0089449E" w:rsidRDefault="0097099E" w:rsidP="00472040">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472040">
            <w:pPr>
              <w:jc w:val="both"/>
              <w:rPr>
                <w:rFonts w:ascii="Arial" w:hAnsi="Arial" w:cs="Arial"/>
                <w:b/>
              </w:rPr>
            </w:pPr>
            <w:r w:rsidRPr="0089449E">
              <w:rPr>
                <w:rFonts w:ascii="Arial" w:hAnsi="Arial" w:cs="Arial"/>
                <w:b/>
              </w:rPr>
              <w:t>Business Plan Contribution</w:t>
            </w:r>
          </w:p>
          <w:p w:rsidR="00A53534" w:rsidRPr="0089449E" w:rsidRDefault="00A53534" w:rsidP="00472040">
            <w:pPr>
              <w:jc w:val="both"/>
              <w:rPr>
                <w:rFonts w:ascii="Arial" w:hAnsi="Arial" w:cs="Arial"/>
                <w:szCs w:val="24"/>
              </w:rPr>
            </w:pPr>
          </w:p>
        </w:tc>
      </w:tr>
      <w:tr w:rsidR="00A53534" w:rsidRPr="0089449E">
        <w:tc>
          <w:tcPr>
            <w:tcW w:w="817" w:type="dxa"/>
          </w:tcPr>
          <w:p w:rsidR="00A53534" w:rsidRPr="007161EF" w:rsidRDefault="008B4D54" w:rsidP="00472040">
            <w:pPr>
              <w:jc w:val="both"/>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0145D" w:rsidRPr="00B0145D" w:rsidRDefault="00B0145D" w:rsidP="00B0145D">
            <w:pPr>
              <w:jc w:val="both"/>
              <w:rPr>
                <w:rFonts w:ascii="Arial" w:hAnsi="Arial" w:cs="Arial"/>
              </w:rPr>
            </w:pPr>
            <w:r w:rsidRPr="00B0145D">
              <w:rPr>
                <w:rFonts w:ascii="Arial" w:hAnsi="Arial" w:cs="Arial"/>
              </w:rPr>
              <w:t>This report supports the highlighted Business Outcome from the High Life Highland (HLH) Business Plan:</w:t>
            </w:r>
          </w:p>
          <w:p w:rsidR="00B0145D" w:rsidRPr="00B0145D" w:rsidRDefault="00B0145D" w:rsidP="00B0145D">
            <w:pPr>
              <w:jc w:val="both"/>
              <w:rPr>
                <w:rFonts w:ascii="Arial" w:hAnsi="Arial" w:cs="Arial"/>
              </w:rPr>
            </w:pPr>
          </w:p>
          <w:p w:rsidR="0031751B" w:rsidRPr="00692422" w:rsidRDefault="0031751B" w:rsidP="0031751B">
            <w:pPr>
              <w:pStyle w:val="ListParagraph"/>
              <w:numPr>
                <w:ilvl w:val="0"/>
                <w:numId w:val="6"/>
              </w:numPr>
              <w:spacing w:after="0" w:line="240" w:lineRule="auto"/>
              <w:jc w:val="both"/>
              <w:rPr>
                <w:rFonts w:ascii="Arial" w:hAnsi="Arial" w:cs="Arial"/>
                <w:b/>
                <w:sz w:val="24"/>
                <w:szCs w:val="24"/>
              </w:rPr>
            </w:pPr>
            <w:r w:rsidRPr="00692422">
              <w:rPr>
                <w:rFonts w:ascii="Arial" w:hAnsi="Arial" w:cs="Arial"/>
                <w:b/>
                <w:sz w:val="24"/>
                <w:szCs w:val="24"/>
              </w:rPr>
              <w:t>To advance sustainable growth and financial sustainability</w:t>
            </w:r>
          </w:p>
          <w:p w:rsidR="0031751B" w:rsidRPr="00692422" w:rsidRDefault="0031751B" w:rsidP="0031751B">
            <w:pPr>
              <w:pStyle w:val="ListParagraph"/>
              <w:numPr>
                <w:ilvl w:val="0"/>
                <w:numId w:val="6"/>
              </w:numPr>
              <w:spacing w:after="0" w:line="240" w:lineRule="auto"/>
              <w:jc w:val="both"/>
              <w:rPr>
                <w:rFonts w:ascii="Arial" w:hAnsi="Arial" w:cs="Arial"/>
                <w:sz w:val="24"/>
                <w:szCs w:val="24"/>
              </w:rPr>
            </w:pPr>
            <w:r w:rsidRPr="00692422">
              <w:rPr>
                <w:rFonts w:ascii="Arial" w:hAnsi="Arial" w:cs="Arial"/>
                <w:sz w:val="24"/>
                <w:szCs w:val="24"/>
              </w:rPr>
              <w:t>Deliver the Service Delivery Contract with THC</w:t>
            </w:r>
          </w:p>
          <w:p w:rsidR="0031751B" w:rsidRPr="00692422" w:rsidRDefault="0031751B" w:rsidP="0031751B">
            <w:pPr>
              <w:pStyle w:val="ListParagraph"/>
              <w:numPr>
                <w:ilvl w:val="0"/>
                <w:numId w:val="6"/>
              </w:numPr>
              <w:spacing w:after="0" w:line="240" w:lineRule="auto"/>
              <w:jc w:val="both"/>
              <w:rPr>
                <w:rFonts w:ascii="Arial" w:hAnsi="Arial" w:cs="Arial"/>
                <w:sz w:val="24"/>
                <w:szCs w:val="24"/>
              </w:rPr>
            </w:pPr>
            <w:r w:rsidRPr="00692422">
              <w:rPr>
                <w:rFonts w:ascii="Arial" w:hAnsi="Arial" w:cs="Arial"/>
                <w:sz w:val="24"/>
                <w:szCs w:val="24"/>
              </w:rPr>
              <w:t>Improving staff satisfaction</w:t>
            </w:r>
          </w:p>
          <w:p w:rsidR="0031751B" w:rsidRPr="00692422" w:rsidRDefault="0031751B" w:rsidP="0031751B">
            <w:pPr>
              <w:pStyle w:val="ListParagraph"/>
              <w:numPr>
                <w:ilvl w:val="0"/>
                <w:numId w:val="6"/>
              </w:numPr>
              <w:spacing w:after="0" w:line="240" w:lineRule="auto"/>
              <w:jc w:val="both"/>
              <w:rPr>
                <w:rFonts w:ascii="Arial" w:hAnsi="Arial" w:cs="Arial"/>
                <w:sz w:val="24"/>
                <w:szCs w:val="24"/>
              </w:rPr>
            </w:pPr>
            <w:r w:rsidRPr="00692422">
              <w:rPr>
                <w:rFonts w:ascii="Arial" w:hAnsi="Arial" w:cs="Arial"/>
                <w:sz w:val="24"/>
                <w:szCs w:val="24"/>
              </w:rPr>
              <w:t>Improving customer satisfaction</w:t>
            </w:r>
          </w:p>
          <w:p w:rsidR="0031751B" w:rsidRPr="00FF59DD" w:rsidRDefault="0031751B" w:rsidP="0031751B">
            <w:pPr>
              <w:pStyle w:val="ListParagraph"/>
              <w:numPr>
                <w:ilvl w:val="0"/>
                <w:numId w:val="6"/>
              </w:numPr>
              <w:spacing w:after="0" w:line="240" w:lineRule="auto"/>
              <w:jc w:val="both"/>
              <w:rPr>
                <w:rFonts w:ascii="Arial" w:hAnsi="Arial" w:cs="Arial"/>
                <w:sz w:val="24"/>
                <w:szCs w:val="24"/>
              </w:rPr>
            </w:pPr>
            <w:r w:rsidRPr="00FF59DD">
              <w:rPr>
                <w:rFonts w:ascii="Arial" w:hAnsi="Arial" w:cs="Arial"/>
                <w:sz w:val="24"/>
                <w:szCs w:val="24"/>
              </w:rPr>
              <w:t>A positive company image</w:t>
            </w:r>
          </w:p>
          <w:p w:rsidR="0031751B" w:rsidRPr="001216C7" w:rsidRDefault="0031751B" w:rsidP="0031751B">
            <w:pPr>
              <w:pStyle w:val="ListParagraph"/>
              <w:numPr>
                <w:ilvl w:val="0"/>
                <w:numId w:val="6"/>
              </w:numPr>
              <w:spacing w:after="0" w:line="240" w:lineRule="auto"/>
              <w:jc w:val="both"/>
              <w:rPr>
                <w:rFonts w:ascii="Arial" w:hAnsi="Arial" w:cs="Arial"/>
                <w:sz w:val="24"/>
                <w:szCs w:val="24"/>
              </w:rPr>
            </w:pPr>
            <w:r w:rsidRPr="001216C7">
              <w:rPr>
                <w:rFonts w:ascii="Arial" w:hAnsi="Arial" w:cs="Arial"/>
                <w:sz w:val="24"/>
                <w:szCs w:val="24"/>
              </w:rPr>
              <w:t>Services designed around customers and through market opportunities</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Sustain a good health and safety performance</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A trusted partner</w:t>
            </w:r>
          </w:p>
          <w:p w:rsidR="00C51930" w:rsidRPr="00B0145D" w:rsidRDefault="00C51930" w:rsidP="0031751B">
            <w:pPr>
              <w:contextualSpacing/>
              <w:jc w:val="both"/>
              <w:rPr>
                <w:rFonts w:ascii="Arial" w:hAnsi="Arial" w:cs="Arial"/>
              </w:rPr>
            </w:pPr>
          </w:p>
        </w:tc>
      </w:tr>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2.</w:t>
            </w:r>
          </w:p>
        </w:tc>
        <w:tc>
          <w:tcPr>
            <w:tcW w:w="8647" w:type="dxa"/>
          </w:tcPr>
          <w:p w:rsidR="008B4D54" w:rsidRPr="0097099E" w:rsidRDefault="008B4D54" w:rsidP="00472040">
            <w:pPr>
              <w:jc w:val="both"/>
              <w:rPr>
                <w:rFonts w:ascii="Arial" w:hAnsi="Arial" w:cs="Arial"/>
                <w:b/>
                <w:szCs w:val="24"/>
              </w:rPr>
            </w:pPr>
            <w:r w:rsidRPr="0097099E">
              <w:rPr>
                <w:rFonts w:ascii="Arial" w:hAnsi="Arial" w:cs="Arial"/>
                <w:b/>
                <w:szCs w:val="24"/>
              </w:rPr>
              <w:t>Background</w:t>
            </w:r>
          </w:p>
          <w:p w:rsidR="00A53534" w:rsidRPr="0089449E" w:rsidRDefault="00A53534" w:rsidP="00472040">
            <w:pPr>
              <w:jc w:val="both"/>
              <w:rPr>
                <w:rFonts w:ascii="Arial" w:hAnsi="Arial" w:cs="Arial"/>
                <w:szCs w:val="24"/>
              </w:rPr>
            </w:pPr>
          </w:p>
        </w:tc>
      </w:tr>
      <w:tr w:rsidR="004A13CB" w:rsidRPr="0089449E">
        <w:tc>
          <w:tcPr>
            <w:tcW w:w="817" w:type="dxa"/>
          </w:tcPr>
          <w:p w:rsidR="004A13CB" w:rsidRDefault="004A13CB" w:rsidP="004A13CB">
            <w:pPr>
              <w:jc w:val="both"/>
              <w:rPr>
                <w:rFonts w:ascii="Arial" w:hAnsi="Arial" w:cs="Arial"/>
                <w:szCs w:val="24"/>
              </w:rPr>
            </w:pPr>
            <w:r w:rsidRPr="008B4D54">
              <w:rPr>
                <w:rFonts w:ascii="Arial" w:hAnsi="Arial" w:cs="Arial"/>
                <w:szCs w:val="24"/>
              </w:rPr>
              <w:t>2.1</w:t>
            </w:r>
          </w:p>
          <w:p w:rsidR="004A13CB" w:rsidRDefault="004A13CB" w:rsidP="00472040">
            <w:pPr>
              <w:jc w:val="both"/>
              <w:rPr>
                <w:rFonts w:ascii="Arial" w:hAnsi="Arial" w:cs="Arial"/>
                <w:b/>
                <w:szCs w:val="24"/>
              </w:rPr>
            </w:pPr>
          </w:p>
        </w:tc>
        <w:tc>
          <w:tcPr>
            <w:tcW w:w="8647" w:type="dxa"/>
          </w:tcPr>
          <w:p w:rsidR="004A13CB" w:rsidRDefault="004A13CB" w:rsidP="004A13CB">
            <w:pPr>
              <w:jc w:val="both"/>
              <w:rPr>
                <w:rFonts w:ascii="Arial" w:hAnsi="Arial" w:cs="Arial"/>
                <w:szCs w:val="24"/>
              </w:rPr>
            </w:pPr>
            <w:r>
              <w:rPr>
                <w:rFonts w:ascii="Arial" w:hAnsi="Arial" w:cs="Arial"/>
                <w:szCs w:val="24"/>
              </w:rPr>
              <w:t xml:space="preserve">Directors of HLH receive a Finance Report on </w:t>
            </w:r>
            <w:r w:rsidR="001C4B5C">
              <w:rPr>
                <w:rFonts w:ascii="Arial" w:hAnsi="Arial" w:cs="Arial"/>
                <w:szCs w:val="24"/>
              </w:rPr>
              <w:t xml:space="preserve">a </w:t>
            </w:r>
            <w:r w:rsidR="00420554">
              <w:rPr>
                <w:rFonts w:ascii="Arial" w:hAnsi="Arial" w:cs="Arial"/>
                <w:szCs w:val="24"/>
              </w:rPr>
              <w:t xml:space="preserve">quarterly </w:t>
            </w:r>
            <w:r w:rsidR="009E3DB8">
              <w:rPr>
                <w:rFonts w:ascii="Arial" w:hAnsi="Arial" w:cs="Arial"/>
                <w:szCs w:val="24"/>
              </w:rPr>
              <w:t xml:space="preserve">basis. The primary purpose of the </w:t>
            </w:r>
            <w:r>
              <w:rPr>
                <w:rFonts w:ascii="Arial" w:hAnsi="Arial" w:cs="Arial"/>
                <w:szCs w:val="24"/>
              </w:rPr>
              <w:t>report is to summarise the financial performance of the o</w:t>
            </w:r>
            <w:r w:rsidR="00874988">
              <w:rPr>
                <w:rFonts w:ascii="Arial" w:hAnsi="Arial" w:cs="Arial"/>
                <w:szCs w:val="24"/>
              </w:rPr>
              <w:t>rganisation and its subsidiary</w:t>
            </w:r>
            <w:r>
              <w:rPr>
                <w:rFonts w:ascii="Arial" w:hAnsi="Arial" w:cs="Arial"/>
                <w:szCs w:val="24"/>
              </w:rPr>
              <w:t xml:space="preserve">. </w:t>
            </w:r>
          </w:p>
          <w:p w:rsidR="004A13CB" w:rsidRPr="0097099E" w:rsidRDefault="004A13CB" w:rsidP="00472040">
            <w:pPr>
              <w:jc w:val="both"/>
              <w:rPr>
                <w:rFonts w:ascii="Arial" w:hAnsi="Arial" w:cs="Arial"/>
                <w:b/>
                <w:szCs w:val="24"/>
              </w:rPr>
            </w:pPr>
          </w:p>
        </w:tc>
      </w:tr>
      <w:tr w:rsidR="004A13CB" w:rsidRPr="0089449E">
        <w:tc>
          <w:tcPr>
            <w:tcW w:w="817" w:type="dxa"/>
          </w:tcPr>
          <w:p w:rsidR="004A13CB" w:rsidRDefault="004A13CB" w:rsidP="004A13CB">
            <w:pPr>
              <w:jc w:val="both"/>
              <w:rPr>
                <w:rFonts w:ascii="Arial" w:hAnsi="Arial" w:cs="Arial"/>
                <w:b/>
                <w:szCs w:val="24"/>
              </w:rPr>
            </w:pPr>
            <w:r w:rsidRPr="00CD28C3">
              <w:rPr>
                <w:rFonts w:ascii="Arial" w:hAnsi="Arial" w:cs="Arial"/>
                <w:b/>
                <w:szCs w:val="24"/>
              </w:rPr>
              <w:t>3.</w:t>
            </w:r>
          </w:p>
          <w:p w:rsidR="004A13CB" w:rsidRPr="008B4D54" w:rsidRDefault="004A13CB" w:rsidP="004A13CB">
            <w:pPr>
              <w:jc w:val="both"/>
              <w:rPr>
                <w:rFonts w:ascii="Arial" w:hAnsi="Arial" w:cs="Arial"/>
                <w:szCs w:val="24"/>
              </w:rPr>
            </w:pPr>
          </w:p>
        </w:tc>
        <w:tc>
          <w:tcPr>
            <w:tcW w:w="8647" w:type="dxa"/>
          </w:tcPr>
          <w:p w:rsidR="004A13CB" w:rsidRDefault="004A13CB" w:rsidP="004A13CB">
            <w:pPr>
              <w:jc w:val="both"/>
              <w:rPr>
                <w:rFonts w:ascii="Arial" w:hAnsi="Arial" w:cs="Arial"/>
                <w:b/>
                <w:szCs w:val="24"/>
              </w:rPr>
            </w:pPr>
            <w:r w:rsidRPr="00CD28C3">
              <w:rPr>
                <w:rFonts w:ascii="Arial" w:hAnsi="Arial" w:cs="Arial"/>
                <w:b/>
                <w:szCs w:val="24"/>
              </w:rPr>
              <w:t xml:space="preserve">Financial Performance to </w:t>
            </w:r>
            <w:r w:rsidR="0091163E">
              <w:rPr>
                <w:rFonts w:ascii="Arial" w:hAnsi="Arial" w:cs="Arial"/>
                <w:b/>
                <w:szCs w:val="24"/>
              </w:rPr>
              <w:t>October</w:t>
            </w:r>
            <w:r w:rsidR="00A95BB7">
              <w:rPr>
                <w:rFonts w:ascii="Arial" w:hAnsi="Arial" w:cs="Arial"/>
                <w:b/>
                <w:szCs w:val="24"/>
              </w:rPr>
              <w:t xml:space="preserve"> 201</w:t>
            </w:r>
            <w:r w:rsidR="00907435">
              <w:rPr>
                <w:rFonts w:ascii="Arial" w:hAnsi="Arial" w:cs="Arial"/>
                <w:b/>
                <w:szCs w:val="24"/>
              </w:rPr>
              <w:t>6</w:t>
            </w:r>
          </w:p>
          <w:p w:rsidR="004A13CB" w:rsidRDefault="004A13CB" w:rsidP="004A13CB">
            <w:pPr>
              <w:jc w:val="both"/>
              <w:rPr>
                <w:rFonts w:ascii="Arial" w:hAnsi="Arial" w:cs="Arial"/>
                <w:szCs w:val="24"/>
              </w:rPr>
            </w:pPr>
          </w:p>
        </w:tc>
      </w:tr>
      <w:tr w:rsidR="00A53534" w:rsidRPr="0089449E">
        <w:tc>
          <w:tcPr>
            <w:tcW w:w="817" w:type="dxa"/>
          </w:tcPr>
          <w:p w:rsidR="00CD28C3" w:rsidRDefault="00CD28C3" w:rsidP="00472040">
            <w:pPr>
              <w:jc w:val="both"/>
              <w:rPr>
                <w:rFonts w:ascii="Arial" w:hAnsi="Arial" w:cs="Arial"/>
                <w:szCs w:val="24"/>
              </w:rPr>
            </w:pPr>
            <w:r w:rsidRPr="00CD28C3">
              <w:rPr>
                <w:rFonts w:ascii="Arial" w:hAnsi="Arial" w:cs="Arial"/>
                <w:szCs w:val="24"/>
              </w:rPr>
              <w:t>3.1</w:t>
            </w:r>
          </w:p>
          <w:p w:rsidR="00B9658E" w:rsidRDefault="00B9658E" w:rsidP="00472040">
            <w:pPr>
              <w:jc w:val="both"/>
              <w:rPr>
                <w:rFonts w:ascii="Arial" w:hAnsi="Arial" w:cs="Arial"/>
                <w:szCs w:val="24"/>
              </w:rPr>
            </w:pPr>
          </w:p>
          <w:p w:rsidR="00635750" w:rsidRDefault="00635750" w:rsidP="00472040">
            <w:pPr>
              <w:jc w:val="both"/>
              <w:rPr>
                <w:rFonts w:ascii="Arial" w:hAnsi="Arial" w:cs="Arial"/>
                <w:szCs w:val="24"/>
              </w:rPr>
            </w:pPr>
            <w:r>
              <w:rPr>
                <w:rFonts w:ascii="Arial" w:hAnsi="Arial" w:cs="Arial"/>
                <w:szCs w:val="24"/>
              </w:rPr>
              <w:lastRenderedPageBreak/>
              <w:t>3.2</w:t>
            </w:r>
          </w:p>
          <w:p w:rsidR="00B71E7C" w:rsidRDefault="00B71E7C" w:rsidP="00472040">
            <w:pPr>
              <w:jc w:val="both"/>
              <w:rPr>
                <w:rFonts w:ascii="Arial" w:hAnsi="Arial" w:cs="Arial"/>
                <w:szCs w:val="24"/>
              </w:rPr>
            </w:pPr>
          </w:p>
          <w:p w:rsidR="00B71E7C" w:rsidRDefault="00B71E7C" w:rsidP="00472040">
            <w:pPr>
              <w:jc w:val="both"/>
              <w:rPr>
                <w:rFonts w:ascii="Arial" w:hAnsi="Arial" w:cs="Arial"/>
                <w:szCs w:val="24"/>
              </w:rPr>
            </w:pPr>
          </w:p>
          <w:p w:rsidR="009E4318" w:rsidRDefault="009E4318" w:rsidP="00472040">
            <w:pPr>
              <w:jc w:val="both"/>
              <w:rPr>
                <w:rFonts w:ascii="Arial" w:hAnsi="Arial" w:cs="Arial"/>
                <w:szCs w:val="24"/>
              </w:rPr>
            </w:pPr>
          </w:p>
          <w:p w:rsidR="00B71E7C" w:rsidRDefault="00B71E7C" w:rsidP="00472040">
            <w:pPr>
              <w:jc w:val="both"/>
              <w:rPr>
                <w:rFonts w:ascii="Arial" w:hAnsi="Arial" w:cs="Arial"/>
                <w:szCs w:val="24"/>
              </w:rPr>
            </w:pPr>
            <w:r>
              <w:rPr>
                <w:rFonts w:ascii="Arial" w:hAnsi="Arial" w:cs="Arial"/>
                <w:szCs w:val="24"/>
              </w:rPr>
              <w:t>3.3</w:t>
            </w:r>
          </w:p>
          <w:p w:rsidR="001766FB" w:rsidRPr="00CD28C3" w:rsidRDefault="001766FB" w:rsidP="00CA5E5B">
            <w:pPr>
              <w:jc w:val="both"/>
              <w:rPr>
                <w:rFonts w:ascii="Arial" w:hAnsi="Arial" w:cs="Arial"/>
                <w:szCs w:val="24"/>
              </w:rPr>
            </w:pPr>
          </w:p>
        </w:tc>
        <w:tc>
          <w:tcPr>
            <w:tcW w:w="8647" w:type="dxa"/>
          </w:tcPr>
          <w:p w:rsidR="00B9658E" w:rsidRDefault="00635750" w:rsidP="00635750">
            <w:pPr>
              <w:jc w:val="both"/>
              <w:rPr>
                <w:rFonts w:ascii="Arial" w:hAnsi="Arial" w:cs="Arial"/>
                <w:szCs w:val="24"/>
              </w:rPr>
            </w:pPr>
            <w:r>
              <w:rPr>
                <w:rFonts w:ascii="Arial" w:hAnsi="Arial" w:cs="Arial"/>
                <w:szCs w:val="24"/>
              </w:rPr>
              <w:lastRenderedPageBreak/>
              <w:t>The out</w:t>
            </w:r>
            <w:r w:rsidR="005A19A5">
              <w:rPr>
                <w:rFonts w:ascii="Arial" w:hAnsi="Arial" w:cs="Arial"/>
                <w:szCs w:val="24"/>
              </w:rPr>
              <w:t>-</w:t>
            </w:r>
            <w:r>
              <w:rPr>
                <w:rFonts w:ascii="Arial" w:hAnsi="Arial" w:cs="Arial"/>
                <w:szCs w:val="24"/>
              </w:rPr>
              <w:t xml:space="preserve">turn figure for the period to </w:t>
            </w:r>
            <w:r w:rsidR="0091163E">
              <w:rPr>
                <w:rFonts w:ascii="Arial" w:hAnsi="Arial" w:cs="Arial"/>
                <w:szCs w:val="24"/>
              </w:rPr>
              <w:t xml:space="preserve">October </w:t>
            </w:r>
            <w:r w:rsidR="00A95BB7">
              <w:rPr>
                <w:rFonts w:ascii="Arial" w:hAnsi="Arial" w:cs="Arial"/>
                <w:szCs w:val="24"/>
              </w:rPr>
              <w:t>201</w:t>
            </w:r>
            <w:r w:rsidR="00907435">
              <w:rPr>
                <w:rFonts w:ascii="Arial" w:hAnsi="Arial" w:cs="Arial"/>
                <w:szCs w:val="24"/>
              </w:rPr>
              <w:t>6</w:t>
            </w:r>
            <w:r w:rsidR="00C533AA">
              <w:rPr>
                <w:rFonts w:ascii="Arial" w:hAnsi="Arial" w:cs="Arial"/>
                <w:szCs w:val="24"/>
              </w:rPr>
              <w:t xml:space="preserve"> </w:t>
            </w:r>
            <w:r>
              <w:rPr>
                <w:rFonts w:ascii="Arial" w:hAnsi="Arial" w:cs="Arial"/>
                <w:szCs w:val="24"/>
              </w:rPr>
              <w:t xml:space="preserve">has been prepared. </w:t>
            </w:r>
          </w:p>
          <w:p w:rsidR="00B9658E" w:rsidRDefault="00B9658E" w:rsidP="00635750">
            <w:pPr>
              <w:jc w:val="both"/>
              <w:rPr>
                <w:rFonts w:ascii="Arial" w:hAnsi="Arial" w:cs="Arial"/>
                <w:szCs w:val="24"/>
              </w:rPr>
            </w:pPr>
          </w:p>
          <w:p w:rsidR="00B0145D" w:rsidRDefault="00635750" w:rsidP="00635750">
            <w:pPr>
              <w:jc w:val="both"/>
              <w:rPr>
                <w:rFonts w:ascii="Arial" w:hAnsi="Arial" w:cs="Arial"/>
                <w:szCs w:val="24"/>
              </w:rPr>
            </w:pPr>
            <w:r>
              <w:rPr>
                <w:rFonts w:ascii="Arial" w:hAnsi="Arial" w:cs="Arial"/>
                <w:szCs w:val="24"/>
              </w:rPr>
              <w:lastRenderedPageBreak/>
              <w:t xml:space="preserve">HLH’s consolidated financial performance for </w:t>
            </w:r>
            <w:r w:rsidR="00B0145D">
              <w:rPr>
                <w:rFonts w:ascii="Arial" w:hAnsi="Arial" w:cs="Arial"/>
                <w:szCs w:val="24"/>
              </w:rPr>
              <w:t>the year is summarised by the 9 </w:t>
            </w:r>
            <w:r>
              <w:rPr>
                <w:rFonts w:ascii="Arial" w:hAnsi="Arial" w:cs="Arial"/>
                <w:szCs w:val="24"/>
              </w:rPr>
              <w:t xml:space="preserve">business areas at </w:t>
            </w:r>
            <w:r w:rsidR="004A13CB" w:rsidRPr="00DE7C73">
              <w:rPr>
                <w:rFonts w:ascii="Arial" w:hAnsi="Arial" w:cs="Arial"/>
                <w:b/>
                <w:szCs w:val="24"/>
              </w:rPr>
              <w:t>Appendix A</w:t>
            </w:r>
            <w:r>
              <w:rPr>
                <w:rFonts w:ascii="Arial" w:hAnsi="Arial" w:cs="Arial"/>
                <w:b/>
                <w:szCs w:val="24"/>
              </w:rPr>
              <w:t xml:space="preserve">.  </w:t>
            </w:r>
            <w:r w:rsidR="00590256">
              <w:rPr>
                <w:rFonts w:ascii="Arial" w:hAnsi="Arial" w:cs="Arial"/>
                <w:szCs w:val="24"/>
              </w:rPr>
              <w:t>The</w:t>
            </w:r>
            <w:r w:rsidR="00315D04">
              <w:rPr>
                <w:rFonts w:ascii="Arial" w:hAnsi="Arial" w:cs="Arial"/>
                <w:szCs w:val="24"/>
              </w:rPr>
              <w:t xml:space="preserve"> </w:t>
            </w:r>
            <w:r w:rsidR="00590256">
              <w:rPr>
                <w:rFonts w:ascii="Arial" w:hAnsi="Arial" w:cs="Arial"/>
                <w:szCs w:val="24"/>
              </w:rPr>
              <w:t>out</w:t>
            </w:r>
            <w:r w:rsidR="005A19A5">
              <w:rPr>
                <w:rFonts w:ascii="Arial" w:hAnsi="Arial" w:cs="Arial"/>
                <w:szCs w:val="24"/>
              </w:rPr>
              <w:t>-</w:t>
            </w:r>
            <w:r w:rsidR="00590256">
              <w:rPr>
                <w:rFonts w:ascii="Arial" w:hAnsi="Arial" w:cs="Arial"/>
                <w:szCs w:val="24"/>
              </w:rPr>
              <w:t>turn for the period</w:t>
            </w:r>
            <w:r>
              <w:rPr>
                <w:rFonts w:ascii="Arial" w:hAnsi="Arial" w:cs="Arial"/>
                <w:szCs w:val="24"/>
              </w:rPr>
              <w:t xml:space="preserve"> is split by cost category (revenues, staff costs and other costs) at </w:t>
            </w:r>
            <w:r w:rsidR="00686F9F">
              <w:rPr>
                <w:rFonts w:ascii="Arial" w:hAnsi="Arial" w:cs="Arial"/>
                <w:b/>
                <w:szCs w:val="24"/>
              </w:rPr>
              <w:t>Appendix</w:t>
            </w:r>
            <w:r w:rsidRPr="00635750">
              <w:rPr>
                <w:rFonts w:ascii="Arial" w:hAnsi="Arial" w:cs="Arial"/>
                <w:b/>
                <w:szCs w:val="24"/>
              </w:rPr>
              <w:t xml:space="preserve"> B</w:t>
            </w:r>
            <w:r>
              <w:rPr>
                <w:rFonts w:ascii="Arial" w:hAnsi="Arial" w:cs="Arial"/>
                <w:szCs w:val="24"/>
              </w:rPr>
              <w:t xml:space="preserve">.  </w:t>
            </w:r>
          </w:p>
          <w:p w:rsidR="009E4318" w:rsidRDefault="009E4318" w:rsidP="00635750">
            <w:pPr>
              <w:jc w:val="both"/>
              <w:rPr>
                <w:rFonts w:ascii="Arial" w:hAnsi="Arial" w:cs="Arial"/>
                <w:szCs w:val="24"/>
              </w:rPr>
            </w:pPr>
          </w:p>
          <w:p w:rsidR="00CF250B" w:rsidRDefault="00635750" w:rsidP="00CF250B">
            <w:pPr>
              <w:jc w:val="both"/>
              <w:rPr>
                <w:rFonts w:ascii="Arial" w:hAnsi="Arial" w:cs="Arial"/>
                <w:szCs w:val="24"/>
              </w:rPr>
            </w:pPr>
            <w:r w:rsidRPr="00532972">
              <w:rPr>
                <w:rFonts w:ascii="Arial" w:hAnsi="Arial" w:cs="Arial"/>
                <w:szCs w:val="24"/>
              </w:rPr>
              <w:t xml:space="preserve">A commentary on the major variances </w:t>
            </w:r>
            <w:r w:rsidR="001766FB" w:rsidRPr="00532972">
              <w:rPr>
                <w:rFonts w:ascii="Arial" w:hAnsi="Arial" w:cs="Arial"/>
                <w:szCs w:val="24"/>
              </w:rPr>
              <w:t>(o</w:t>
            </w:r>
            <w:r w:rsidR="00755B8E" w:rsidRPr="00532972">
              <w:rPr>
                <w:rFonts w:ascii="Arial" w:hAnsi="Arial" w:cs="Arial"/>
                <w:szCs w:val="24"/>
              </w:rPr>
              <w:t xml:space="preserve">ver £5K) </w:t>
            </w:r>
            <w:r w:rsidRPr="00532972">
              <w:rPr>
                <w:rFonts w:ascii="Arial" w:hAnsi="Arial" w:cs="Arial"/>
                <w:szCs w:val="24"/>
              </w:rPr>
              <w:t>is provided at</w:t>
            </w:r>
            <w:r w:rsidRPr="0032499A">
              <w:rPr>
                <w:rFonts w:ascii="Arial" w:hAnsi="Arial" w:cs="Arial"/>
                <w:i/>
                <w:szCs w:val="24"/>
              </w:rPr>
              <w:t xml:space="preserve"> </w:t>
            </w:r>
            <w:r w:rsidRPr="00635750">
              <w:rPr>
                <w:rFonts w:ascii="Arial" w:hAnsi="Arial" w:cs="Arial"/>
                <w:b/>
                <w:szCs w:val="24"/>
              </w:rPr>
              <w:t xml:space="preserve">Appendix </w:t>
            </w:r>
            <w:r w:rsidR="00CF250B">
              <w:rPr>
                <w:rFonts w:ascii="Arial" w:hAnsi="Arial" w:cs="Arial"/>
                <w:b/>
                <w:szCs w:val="24"/>
              </w:rPr>
              <w:t>C</w:t>
            </w:r>
            <w:r w:rsidR="0029314E">
              <w:rPr>
                <w:rFonts w:ascii="Arial" w:hAnsi="Arial" w:cs="Arial"/>
                <w:szCs w:val="24"/>
              </w:rPr>
              <w:t>.</w:t>
            </w:r>
          </w:p>
          <w:p w:rsidR="00B4768B" w:rsidRPr="002D76CB" w:rsidRDefault="00B4768B" w:rsidP="00B4768B">
            <w:pPr>
              <w:ind w:left="-817"/>
              <w:jc w:val="both"/>
              <w:rPr>
                <w:rFonts w:ascii="Arial" w:hAnsi="Arial" w:cs="Arial"/>
                <w:szCs w:val="24"/>
              </w:rPr>
            </w:pPr>
          </w:p>
        </w:tc>
      </w:tr>
      <w:tr w:rsidR="004677D5" w:rsidRPr="0089449E">
        <w:tc>
          <w:tcPr>
            <w:tcW w:w="817" w:type="dxa"/>
          </w:tcPr>
          <w:p w:rsidR="004677D5" w:rsidRPr="00771880" w:rsidRDefault="004677D5" w:rsidP="004677D5">
            <w:pPr>
              <w:jc w:val="both"/>
              <w:rPr>
                <w:rFonts w:ascii="Arial" w:hAnsi="Arial" w:cs="Arial"/>
                <w:b/>
                <w:szCs w:val="24"/>
              </w:rPr>
            </w:pPr>
            <w:r w:rsidRPr="00771880">
              <w:rPr>
                <w:rFonts w:ascii="Arial" w:hAnsi="Arial" w:cs="Arial"/>
                <w:b/>
                <w:szCs w:val="24"/>
              </w:rPr>
              <w:lastRenderedPageBreak/>
              <w:t>4.</w:t>
            </w:r>
          </w:p>
          <w:p w:rsidR="004677D5" w:rsidRPr="00CD28C3" w:rsidRDefault="004677D5" w:rsidP="00472040">
            <w:pPr>
              <w:jc w:val="both"/>
              <w:rPr>
                <w:rFonts w:ascii="Arial" w:hAnsi="Arial" w:cs="Arial"/>
                <w:szCs w:val="24"/>
              </w:rPr>
            </w:pPr>
          </w:p>
        </w:tc>
        <w:tc>
          <w:tcPr>
            <w:tcW w:w="8647" w:type="dxa"/>
          </w:tcPr>
          <w:p w:rsidR="004677D5" w:rsidRPr="00771880" w:rsidRDefault="004677D5" w:rsidP="004677D5">
            <w:pPr>
              <w:rPr>
                <w:rFonts w:ascii="Arial" w:eastAsia="Calibri" w:hAnsi="Arial" w:cs="Arial"/>
                <w:b/>
                <w:bCs/>
                <w:szCs w:val="24"/>
              </w:rPr>
            </w:pPr>
            <w:r w:rsidRPr="00771880">
              <w:rPr>
                <w:rFonts w:ascii="Arial" w:eastAsia="Calibri" w:hAnsi="Arial" w:cs="Arial"/>
                <w:b/>
                <w:bCs/>
                <w:szCs w:val="24"/>
              </w:rPr>
              <w:t>VAT Update</w:t>
            </w:r>
          </w:p>
          <w:p w:rsidR="004677D5" w:rsidRDefault="004677D5" w:rsidP="00635750">
            <w:pPr>
              <w:jc w:val="both"/>
              <w:rPr>
                <w:rFonts w:ascii="Arial" w:hAnsi="Arial" w:cs="Arial"/>
                <w:szCs w:val="24"/>
              </w:rPr>
            </w:pPr>
          </w:p>
        </w:tc>
      </w:tr>
      <w:tr w:rsidR="004677D5" w:rsidRPr="0089449E">
        <w:tc>
          <w:tcPr>
            <w:tcW w:w="817" w:type="dxa"/>
          </w:tcPr>
          <w:p w:rsidR="004677D5" w:rsidRPr="00771880" w:rsidRDefault="004677D5" w:rsidP="004677D5">
            <w:pPr>
              <w:jc w:val="both"/>
              <w:rPr>
                <w:rFonts w:ascii="Arial" w:hAnsi="Arial" w:cs="Arial"/>
                <w:szCs w:val="24"/>
              </w:rPr>
            </w:pPr>
            <w:r w:rsidRPr="00771880">
              <w:rPr>
                <w:rFonts w:ascii="Arial" w:hAnsi="Arial" w:cs="Arial"/>
                <w:szCs w:val="24"/>
              </w:rPr>
              <w:t>4.1</w:t>
            </w:r>
          </w:p>
          <w:p w:rsidR="004677D5" w:rsidRPr="00771880" w:rsidRDefault="004677D5" w:rsidP="004677D5">
            <w:pPr>
              <w:jc w:val="both"/>
              <w:rPr>
                <w:rFonts w:ascii="Arial" w:hAnsi="Arial" w:cs="Arial"/>
                <w:szCs w:val="24"/>
              </w:rPr>
            </w:pPr>
          </w:p>
          <w:p w:rsidR="004677D5" w:rsidRPr="00771880" w:rsidRDefault="004677D5" w:rsidP="004677D5">
            <w:pPr>
              <w:jc w:val="both"/>
              <w:rPr>
                <w:rFonts w:ascii="Arial" w:hAnsi="Arial" w:cs="Arial"/>
                <w:szCs w:val="24"/>
              </w:rPr>
            </w:pPr>
          </w:p>
          <w:p w:rsidR="004677D5" w:rsidRDefault="004677D5" w:rsidP="004677D5">
            <w:pPr>
              <w:jc w:val="both"/>
              <w:rPr>
                <w:rFonts w:ascii="Arial" w:hAnsi="Arial" w:cs="Arial"/>
                <w:szCs w:val="24"/>
              </w:rPr>
            </w:pPr>
          </w:p>
          <w:p w:rsidR="004677D5" w:rsidRDefault="004677D5" w:rsidP="004677D5">
            <w:pPr>
              <w:jc w:val="both"/>
              <w:rPr>
                <w:rFonts w:ascii="Arial" w:hAnsi="Arial" w:cs="Arial"/>
                <w:szCs w:val="24"/>
              </w:rPr>
            </w:pPr>
          </w:p>
          <w:p w:rsidR="004677D5" w:rsidRPr="00771880" w:rsidRDefault="004677D5" w:rsidP="004677D5">
            <w:pPr>
              <w:jc w:val="both"/>
              <w:rPr>
                <w:rFonts w:ascii="Arial" w:hAnsi="Arial" w:cs="Arial"/>
                <w:szCs w:val="24"/>
              </w:rPr>
            </w:pPr>
            <w:r w:rsidRPr="00771880">
              <w:rPr>
                <w:rFonts w:ascii="Arial" w:hAnsi="Arial" w:cs="Arial"/>
                <w:szCs w:val="24"/>
              </w:rPr>
              <w:t>4.2</w:t>
            </w:r>
          </w:p>
          <w:p w:rsidR="004677D5" w:rsidRPr="00771880" w:rsidRDefault="004677D5" w:rsidP="004677D5">
            <w:pPr>
              <w:jc w:val="both"/>
              <w:rPr>
                <w:rFonts w:ascii="Arial" w:hAnsi="Arial" w:cs="Arial"/>
                <w:b/>
                <w:szCs w:val="24"/>
              </w:rPr>
            </w:pPr>
          </w:p>
        </w:tc>
        <w:tc>
          <w:tcPr>
            <w:tcW w:w="8647" w:type="dxa"/>
          </w:tcPr>
          <w:p w:rsidR="004677D5" w:rsidRPr="00771880" w:rsidRDefault="004677D5" w:rsidP="004677D5">
            <w:pPr>
              <w:jc w:val="both"/>
              <w:rPr>
                <w:rFonts w:ascii="Arial" w:hAnsi="Arial" w:cs="Arial"/>
                <w:szCs w:val="24"/>
              </w:rPr>
            </w:pPr>
            <w:r w:rsidRPr="00771880">
              <w:rPr>
                <w:rFonts w:ascii="Arial" w:hAnsi="Arial" w:cs="Arial"/>
              </w:rPr>
              <w:t xml:space="preserve">Work with Ernst and Young (E&amp;Y) on VAT and payments due to HMRC has been completed for the </w:t>
            </w:r>
            <w:r>
              <w:rPr>
                <w:rFonts w:ascii="Arial" w:hAnsi="Arial" w:cs="Arial"/>
              </w:rPr>
              <w:t>four years up to 2014/15 and have been submitted to HMRC</w:t>
            </w:r>
            <w:r w:rsidRPr="00771880">
              <w:rPr>
                <w:rFonts w:ascii="Arial" w:hAnsi="Arial" w:cs="Arial"/>
              </w:rPr>
              <w:t xml:space="preserve"> detailing the process applied and the associated liability due for the years concerned</w:t>
            </w:r>
          </w:p>
          <w:p w:rsidR="004677D5" w:rsidRPr="00771880" w:rsidRDefault="004677D5" w:rsidP="004677D5">
            <w:pPr>
              <w:jc w:val="both"/>
              <w:rPr>
                <w:rFonts w:ascii="Arial" w:hAnsi="Arial" w:cs="Arial"/>
                <w:szCs w:val="24"/>
              </w:rPr>
            </w:pPr>
          </w:p>
          <w:p w:rsidR="004677D5" w:rsidRPr="00771880" w:rsidRDefault="004677D5" w:rsidP="004677D5">
            <w:pPr>
              <w:jc w:val="both"/>
              <w:rPr>
                <w:rFonts w:ascii="Arial" w:hAnsi="Arial" w:cs="Arial"/>
              </w:rPr>
            </w:pPr>
            <w:r w:rsidRPr="009C4F7B">
              <w:rPr>
                <w:rFonts w:ascii="Arial" w:hAnsi="Arial" w:cs="Arial"/>
              </w:rPr>
              <w:t>HMRC may agree with E&amp;Y’s calculations or may determine their own position.</w:t>
            </w:r>
          </w:p>
          <w:p w:rsidR="004677D5" w:rsidRPr="00771880" w:rsidRDefault="004677D5" w:rsidP="004677D5">
            <w:pPr>
              <w:rPr>
                <w:rFonts w:ascii="Arial" w:eastAsia="Calibri" w:hAnsi="Arial" w:cs="Arial"/>
                <w:b/>
                <w:bCs/>
                <w:szCs w:val="24"/>
              </w:rPr>
            </w:pPr>
          </w:p>
        </w:tc>
      </w:tr>
      <w:tr w:rsidR="004677D5" w:rsidRPr="0089449E">
        <w:tc>
          <w:tcPr>
            <w:tcW w:w="817" w:type="dxa"/>
          </w:tcPr>
          <w:p w:rsidR="004677D5" w:rsidRPr="00771880" w:rsidRDefault="004677D5" w:rsidP="004677D5">
            <w:pPr>
              <w:jc w:val="both"/>
              <w:rPr>
                <w:rFonts w:ascii="Arial" w:hAnsi="Arial" w:cs="Arial"/>
                <w:szCs w:val="24"/>
              </w:rPr>
            </w:pPr>
            <w:r w:rsidRPr="00771880">
              <w:rPr>
                <w:rFonts w:ascii="Arial" w:hAnsi="Arial" w:cs="Arial"/>
                <w:szCs w:val="24"/>
              </w:rPr>
              <w:t>4.2.1</w:t>
            </w:r>
          </w:p>
          <w:p w:rsidR="004677D5" w:rsidRDefault="004677D5" w:rsidP="004677D5">
            <w:pPr>
              <w:jc w:val="both"/>
              <w:rPr>
                <w:rFonts w:ascii="Arial" w:hAnsi="Arial" w:cs="Arial"/>
                <w:szCs w:val="24"/>
              </w:rPr>
            </w:pPr>
          </w:p>
          <w:p w:rsidR="004677D5" w:rsidRDefault="004677D5" w:rsidP="004677D5">
            <w:pPr>
              <w:jc w:val="both"/>
              <w:rPr>
                <w:rFonts w:ascii="Arial" w:hAnsi="Arial" w:cs="Arial"/>
                <w:szCs w:val="24"/>
              </w:rPr>
            </w:pPr>
          </w:p>
          <w:p w:rsidR="004677D5" w:rsidRDefault="004677D5" w:rsidP="004677D5">
            <w:pPr>
              <w:jc w:val="both"/>
              <w:rPr>
                <w:rFonts w:ascii="Arial" w:hAnsi="Arial" w:cs="Arial"/>
                <w:szCs w:val="24"/>
              </w:rPr>
            </w:pPr>
          </w:p>
          <w:p w:rsidR="004677D5" w:rsidRPr="00771880" w:rsidRDefault="004677D5" w:rsidP="004677D5">
            <w:pPr>
              <w:jc w:val="both"/>
              <w:rPr>
                <w:rFonts w:ascii="Arial" w:hAnsi="Arial" w:cs="Arial"/>
                <w:szCs w:val="24"/>
              </w:rPr>
            </w:pPr>
            <w:r>
              <w:rPr>
                <w:rFonts w:ascii="Arial" w:hAnsi="Arial" w:cs="Arial"/>
                <w:szCs w:val="24"/>
              </w:rPr>
              <w:t>4.2.2</w:t>
            </w:r>
          </w:p>
        </w:tc>
        <w:tc>
          <w:tcPr>
            <w:tcW w:w="8647" w:type="dxa"/>
          </w:tcPr>
          <w:p w:rsidR="004677D5" w:rsidRDefault="004677D5" w:rsidP="004677D5">
            <w:pPr>
              <w:pStyle w:val="NormalWeb"/>
              <w:spacing w:before="0" w:beforeAutospacing="0" w:after="200" w:afterAutospacing="0"/>
              <w:jc w:val="both"/>
              <w:rPr>
                <w:rFonts w:ascii="Arial" w:hAnsi="Arial" w:cs="Arial"/>
              </w:rPr>
            </w:pPr>
            <w:r>
              <w:rPr>
                <w:rFonts w:ascii="Arial" w:hAnsi="Arial" w:cs="Arial"/>
              </w:rPr>
              <w:t>The VAT liabilities, for the tax years</w:t>
            </w:r>
            <w:r w:rsidR="0096411F">
              <w:rPr>
                <w:rFonts w:ascii="Arial" w:hAnsi="Arial" w:cs="Arial"/>
              </w:rPr>
              <w:t xml:space="preserve"> (which are from June – May</w:t>
            </w:r>
            <w:r w:rsidR="00A72014">
              <w:rPr>
                <w:rFonts w:ascii="Arial" w:hAnsi="Arial" w:cs="Arial"/>
              </w:rPr>
              <w:t>)</w:t>
            </w:r>
            <w:r>
              <w:rPr>
                <w:rFonts w:ascii="Arial" w:hAnsi="Arial" w:cs="Arial"/>
              </w:rPr>
              <w:t xml:space="preserve"> are as follows:</w:t>
            </w:r>
          </w:p>
          <w:tbl>
            <w:tblPr>
              <w:tblW w:w="7440" w:type="dxa"/>
              <w:tblLayout w:type="fixed"/>
              <w:tblLook w:val="04A0" w:firstRow="1" w:lastRow="0" w:firstColumn="1" w:lastColumn="0" w:noHBand="0" w:noVBand="1"/>
            </w:tblPr>
            <w:tblGrid>
              <w:gridCol w:w="1436"/>
              <w:gridCol w:w="3736"/>
              <w:gridCol w:w="2268"/>
            </w:tblGrid>
            <w:tr w:rsidR="00A72014" w:rsidRPr="00A72014" w:rsidTr="00A72014">
              <w:trPr>
                <w:trHeight w:val="600"/>
              </w:trPr>
              <w:tc>
                <w:tcPr>
                  <w:tcW w:w="1436" w:type="dxa"/>
                  <w:tcBorders>
                    <w:top w:val="nil"/>
                    <w:left w:val="nil"/>
                    <w:bottom w:val="nil"/>
                    <w:right w:val="nil"/>
                  </w:tcBorders>
                  <w:shd w:val="clear" w:color="auto" w:fill="auto"/>
                  <w:noWrap/>
                  <w:vAlign w:val="bottom"/>
                  <w:hideMark/>
                </w:tcPr>
                <w:p w:rsidR="00A72014" w:rsidRPr="0026371C" w:rsidRDefault="00A72014" w:rsidP="00A72014">
                  <w:pPr>
                    <w:jc w:val="center"/>
                    <w:rPr>
                      <w:rFonts w:ascii="Arial" w:hAnsi="Arial" w:cs="Arial"/>
                      <w:b/>
                      <w:bCs/>
                      <w:color w:val="000000"/>
                      <w:szCs w:val="24"/>
                    </w:rPr>
                  </w:pPr>
                  <w:r w:rsidRPr="0026371C">
                    <w:rPr>
                      <w:rFonts w:ascii="Arial" w:hAnsi="Arial" w:cs="Arial"/>
                      <w:b/>
                      <w:bCs/>
                      <w:color w:val="000000"/>
                      <w:szCs w:val="24"/>
                    </w:rPr>
                    <w:t>TAX YEAR</w:t>
                  </w:r>
                </w:p>
              </w:tc>
              <w:tc>
                <w:tcPr>
                  <w:tcW w:w="3736" w:type="dxa"/>
                  <w:tcBorders>
                    <w:top w:val="nil"/>
                    <w:left w:val="nil"/>
                    <w:bottom w:val="nil"/>
                    <w:right w:val="nil"/>
                  </w:tcBorders>
                  <w:shd w:val="clear" w:color="auto" w:fill="auto"/>
                  <w:noWrap/>
                  <w:vAlign w:val="bottom"/>
                  <w:hideMark/>
                </w:tcPr>
                <w:p w:rsidR="00A72014" w:rsidRPr="0026371C" w:rsidRDefault="00A72014" w:rsidP="00A72014">
                  <w:pPr>
                    <w:jc w:val="center"/>
                    <w:rPr>
                      <w:rFonts w:ascii="Arial" w:hAnsi="Arial" w:cs="Arial"/>
                      <w:b/>
                      <w:bCs/>
                      <w:color w:val="000000"/>
                      <w:szCs w:val="24"/>
                    </w:rPr>
                  </w:pPr>
                  <w:r w:rsidRPr="0026371C">
                    <w:rPr>
                      <w:rFonts w:ascii="Arial" w:hAnsi="Arial" w:cs="Arial"/>
                      <w:b/>
                      <w:bCs/>
                      <w:color w:val="000000"/>
                      <w:szCs w:val="24"/>
                    </w:rPr>
                    <w:t>Status</w:t>
                  </w:r>
                </w:p>
              </w:tc>
              <w:tc>
                <w:tcPr>
                  <w:tcW w:w="2268" w:type="dxa"/>
                  <w:tcBorders>
                    <w:top w:val="nil"/>
                    <w:left w:val="nil"/>
                    <w:bottom w:val="nil"/>
                    <w:right w:val="nil"/>
                  </w:tcBorders>
                  <w:shd w:val="clear" w:color="auto" w:fill="auto"/>
                  <w:vAlign w:val="bottom"/>
                  <w:hideMark/>
                </w:tcPr>
                <w:p w:rsidR="00A72014" w:rsidRPr="0026371C" w:rsidRDefault="00A72014" w:rsidP="00A72014">
                  <w:pPr>
                    <w:jc w:val="center"/>
                    <w:rPr>
                      <w:rFonts w:ascii="Arial" w:hAnsi="Arial" w:cs="Arial"/>
                      <w:b/>
                      <w:bCs/>
                      <w:color w:val="000000"/>
                      <w:szCs w:val="24"/>
                    </w:rPr>
                  </w:pPr>
                  <w:r w:rsidRPr="0026371C">
                    <w:rPr>
                      <w:rFonts w:ascii="Arial" w:hAnsi="Arial" w:cs="Arial"/>
                      <w:b/>
                      <w:bCs/>
                      <w:color w:val="000000"/>
                      <w:szCs w:val="24"/>
                    </w:rPr>
                    <w:t>Total per tax year</w:t>
                  </w:r>
                </w:p>
              </w:tc>
            </w:tr>
            <w:tr w:rsidR="00A72014" w:rsidRPr="00A72014" w:rsidTr="00A72014">
              <w:trPr>
                <w:trHeight w:val="300"/>
              </w:trPr>
              <w:tc>
                <w:tcPr>
                  <w:tcW w:w="1436" w:type="dxa"/>
                  <w:tcBorders>
                    <w:top w:val="nil"/>
                    <w:left w:val="nil"/>
                    <w:bottom w:val="nil"/>
                    <w:right w:val="nil"/>
                  </w:tcBorders>
                  <w:shd w:val="clear" w:color="auto" w:fill="auto"/>
                  <w:noWrap/>
                  <w:vAlign w:val="bottom"/>
                  <w:hideMark/>
                </w:tcPr>
                <w:p w:rsidR="00A72014" w:rsidRPr="0026371C" w:rsidRDefault="00A72014" w:rsidP="00A72014">
                  <w:pPr>
                    <w:jc w:val="right"/>
                    <w:rPr>
                      <w:rFonts w:ascii="Arial" w:hAnsi="Arial" w:cs="Arial"/>
                      <w:color w:val="000000"/>
                      <w:szCs w:val="24"/>
                    </w:rPr>
                  </w:pPr>
                  <w:r w:rsidRPr="0026371C">
                    <w:rPr>
                      <w:rFonts w:ascii="Arial" w:hAnsi="Arial" w:cs="Arial"/>
                      <w:color w:val="000000"/>
                      <w:szCs w:val="24"/>
                    </w:rPr>
                    <w:t>2012.13</w:t>
                  </w:r>
                </w:p>
              </w:tc>
              <w:tc>
                <w:tcPr>
                  <w:tcW w:w="37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r w:rsidRPr="0026371C">
                    <w:rPr>
                      <w:rFonts w:ascii="Arial" w:hAnsi="Arial" w:cs="Arial"/>
                      <w:color w:val="000000"/>
                      <w:szCs w:val="24"/>
                    </w:rPr>
                    <w:t>PAID - VAT</w:t>
                  </w:r>
                </w:p>
              </w:tc>
              <w:tc>
                <w:tcPr>
                  <w:tcW w:w="2268" w:type="dxa"/>
                  <w:tcBorders>
                    <w:top w:val="nil"/>
                    <w:left w:val="nil"/>
                    <w:bottom w:val="nil"/>
                    <w:right w:val="nil"/>
                  </w:tcBorders>
                  <w:shd w:val="clear" w:color="auto" w:fill="auto"/>
                  <w:noWrap/>
                  <w:vAlign w:val="bottom"/>
                  <w:hideMark/>
                </w:tcPr>
                <w:p w:rsidR="00A72014" w:rsidRPr="0026371C" w:rsidRDefault="00A72014" w:rsidP="00A72014">
                  <w:pPr>
                    <w:jc w:val="center"/>
                    <w:rPr>
                      <w:rFonts w:ascii="Arial" w:hAnsi="Arial" w:cs="Arial"/>
                      <w:color w:val="000000"/>
                      <w:szCs w:val="24"/>
                    </w:rPr>
                  </w:pPr>
                  <w:r w:rsidRPr="0026371C">
                    <w:rPr>
                      <w:rFonts w:ascii="Arial" w:hAnsi="Arial" w:cs="Arial"/>
                      <w:color w:val="000000"/>
                      <w:szCs w:val="24"/>
                    </w:rPr>
                    <w:t>£89,344</w:t>
                  </w:r>
                </w:p>
              </w:tc>
            </w:tr>
            <w:tr w:rsidR="00A72014" w:rsidRPr="00A72014" w:rsidTr="00A72014">
              <w:trPr>
                <w:trHeight w:val="300"/>
              </w:trPr>
              <w:tc>
                <w:tcPr>
                  <w:tcW w:w="1436" w:type="dxa"/>
                  <w:tcBorders>
                    <w:top w:val="nil"/>
                    <w:left w:val="nil"/>
                    <w:bottom w:val="nil"/>
                    <w:right w:val="nil"/>
                  </w:tcBorders>
                  <w:shd w:val="clear" w:color="auto" w:fill="auto"/>
                  <w:noWrap/>
                  <w:vAlign w:val="bottom"/>
                  <w:hideMark/>
                </w:tcPr>
                <w:p w:rsidR="00A72014" w:rsidRPr="0026371C" w:rsidRDefault="00A72014" w:rsidP="00A72014">
                  <w:pPr>
                    <w:jc w:val="right"/>
                    <w:rPr>
                      <w:rFonts w:ascii="Arial" w:hAnsi="Arial" w:cs="Arial"/>
                      <w:color w:val="000000"/>
                      <w:szCs w:val="24"/>
                    </w:rPr>
                  </w:pPr>
                  <w:r w:rsidRPr="0026371C">
                    <w:rPr>
                      <w:rFonts w:ascii="Arial" w:hAnsi="Arial" w:cs="Arial"/>
                      <w:color w:val="000000"/>
                      <w:szCs w:val="24"/>
                    </w:rPr>
                    <w:t>2013.14</w:t>
                  </w:r>
                </w:p>
              </w:tc>
              <w:tc>
                <w:tcPr>
                  <w:tcW w:w="37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r w:rsidRPr="0026371C">
                    <w:rPr>
                      <w:rFonts w:ascii="Arial" w:hAnsi="Arial" w:cs="Arial"/>
                      <w:color w:val="000000"/>
                      <w:szCs w:val="24"/>
                    </w:rPr>
                    <w:t>Submitted - VAT</w:t>
                  </w:r>
                </w:p>
              </w:tc>
              <w:tc>
                <w:tcPr>
                  <w:tcW w:w="2268" w:type="dxa"/>
                  <w:tcBorders>
                    <w:top w:val="nil"/>
                    <w:left w:val="nil"/>
                    <w:bottom w:val="nil"/>
                    <w:right w:val="nil"/>
                  </w:tcBorders>
                  <w:shd w:val="clear" w:color="auto" w:fill="auto"/>
                  <w:noWrap/>
                  <w:vAlign w:val="bottom"/>
                  <w:hideMark/>
                </w:tcPr>
                <w:p w:rsidR="00A72014" w:rsidRPr="0026371C" w:rsidRDefault="00A72014" w:rsidP="00A72014">
                  <w:pPr>
                    <w:jc w:val="center"/>
                    <w:rPr>
                      <w:rFonts w:ascii="Arial" w:hAnsi="Arial" w:cs="Arial"/>
                      <w:color w:val="000000"/>
                      <w:szCs w:val="24"/>
                    </w:rPr>
                  </w:pPr>
                  <w:r w:rsidRPr="0026371C">
                    <w:rPr>
                      <w:rFonts w:ascii="Arial" w:hAnsi="Arial" w:cs="Arial"/>
                      <w:color w:val="000000"/>
                      <w:szCs w:val="24"/>
                    </w:rPr>
                    <w:t>£146,442</w:t>
                  </w:r>
                </w:p>
              </w:tc>
            </w:tr>
            <w:tr w:rsidR="00A72014" w:rsidRPr="00A72014" w:rsidTr="00A72014">
              <w:trPr>
                <w:trHeight w:val="300"/>
              </w:trPr>
              <w:tc>
                <w:tcPr>
                  <w:tcW w:w="1436" w:type="dxa"/>
                  <w:tcBorders>
                    <w:top w:val="nil"/>
                    <w:left w:val="nil"/>
                    <w:bottom w:val="nil"/>
                    <w:right w:val="nil"/>
                  </w:tcBorders>
                  <w:shd w:val="clear" w:color="auto" w:fill="auto"/>
                  <w:noWrap/>
                  <w:vAlign w:val="bottom"/>
                  <w:hideMark/>
                </w:tcPr>
                <w:p w:rsidR="00A72014" w:rsidRPr="0026371C" w:rsidRDefault="00A72014" w:rsidP="00A72014">
                  <w:pPr>
                    <w:jc w:val="right"/>
                    <w:rPr>
                      <w:rFonts w:ascii="Arial" w:hAnsi="Arial" w:cs="Arial"/>
                      <w:color w:val="000000"/>
                      <w:szCs w:val="24"/>
                    </w:rPr>
                  </w:pPr>
                  <w:r w:rsidRPr="0026371C">
                    <w:rPr>
                      <w:rFonts w:ascii="Arial" w:hAnsi="Arial" w:cs="Arial"/>
                      <w:color w:val="000000"/>
                      <w:szCs w:val="24"/>
                    </w:rPr>
                    <w:t>2014.15</w:t>
                  </w:r>
                </w:p>
              </w:tc>
              <w:tc>
                <w:tcPr>
                  <w:tcW w:w="37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r w:rsidRPr="0026371C">
                    <w:rPr>
                      <w:rFonts w:ascii="Arial" w:hAnsi="Arial" w:cs="Arial"/>
                      <w:color w:val="000000"/>
                      <w:szCs w:val="24"/>
                    </w:rPr>
                    <w:t>Submitted -VAT</w:t>
                  </w:r>
                </w:p>
              </w:tc>
              <w:tc>
                <w:tcPr>
                  <w:tcW w:w="2268" w:type="dxa"/>
                  <w:tcBorders>
                    <w:top w:val="nil"/>
                    <w:left w:val="nil"/>
                    <w:bottom w:val="nil"/>
                    <w:right w:val="nil"/>
                  </w:tcBorders>
                  <w:shd w:val="clear" w:color="auto" w:fill="auto"/>
                  <w:noWrap/>
                  <w:vAlign w:val="bottom"/>
                  <w:hideMark/>
                </w:tcPr>
                <w:p w:rsidR="00A72014" w:rsidRPr="0026371C" w:rsidRDefault="00A72014" w:rsidP="00A72014">
                  <w:pPr>
                    <w:jc w:val="center"/>
                    <w:rPr>
                      <w:rFonts w:ascii="Arial" w:hAnsi="Arial" w:cs="Arial"/>
                      <w:color w:val="000000"/>
                      <w:szCs w:val="24"/>
                    </w:rPr>
                  </w:pPr>
                  <w:r w:rsidRPr="0026371C">
                    <w:rPr>
                      <w:rFonts w:ascii="Arial" w:hAnsi="Arial" w:cs="Arial"/>
                      <w:color w:val="000000"/>
                      <w:szCs w:val="24"/>
                    </w:rPr>
                    <w:t>£152,507</w:t>
                  </w:r>
                </w:p>
              </w:tc>
            </w:tr>
            <w:tr w:rsidR="00A72014" w:rsidRPr="00A72014" w:rsidTr="00A72014">
              <w:trPr>
                <w:trHeight w:val="300"/>
              </w:trPr>
              <w:tc>
                <w:tcPr>
                  <w:tcW w:w="14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p>
              </w:tc>
              <w:tc>
                <w:tcPr>
                  <w:tcW w:w="37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p>
              </w:tc>
              <w:tc>
                <w:tcPr>
                  <w:tcW w:w="2268" w:type="dxa"/>
                  <w:tcBorders>
                    <w:top w:val="single" w:sz="4" w:space="0" w:color="auto"/>
                    <w:left w:val="nil"/>
                    <w:bottom w:val="nil"/>
                    <w:right w:val="nil"/>
                  </w:tcBorders>
                  <w:shd w:val="clear" w:color="auto" w:fill="auto"/>
                  <w:noWrap/>
                  <w:vAlign w:val="bottom"/>
                  <w:hideMark/>
                </w:tcPr>
                <w:p w:rsidR="00A72014" w:rsidRPr="0026371C" w:rsidRDefault="00A72014" w:rsidP="00A72014">
                  <w:pPr>
                    <w:jc w:val="center"/>
                    <w:rPr>
                      <w:rFonts w:ascii="Arial" w:hAnsi="Arial" w:cs="Arial"/>
                      <w:color w:val="000000"/>
                      <w:szCs w:val="24"/>
                    </w:rPr>
                  </w:pPr>
                  <w:r w:rsidRPr="0026371C">
                    <w:rPr>
                      <w:rFonts w:ascii="Arial" w:hAnsi="Arial" w:cs="Arial"/>
                      <w:color w:val="000000"/>
                      <w:szCs w:val="24"/>
                    </w:rPr>
                    <w:t>£388,294</w:t>
                  </w:r>
                </w:p>
              </w:tc>
            </w:tr>
            <w:tr w:rsidR="00A72014" w:rsidRPr="00A72014" w:rsidTr="00A72014">
              <w:trPr>
                <w:trHeight w:val="300"/>
              </w:trPr>
              <w:tc>
                <w:tcPr>
                  <w:tcW w:w="1436" w:type="dxa"/>
                  <w:tcBorders>
                    <w:top w:val="nil"/>
                    <w:left w:val="nil"/>
                    <w:bottom w:val="nil"/>
                    <w:right w:val="nil"/>
                  </w:tcBorders>
                  <w:shd w:val="clear" w:color="auto" w:fill="auto"/>
                  <w:noWrap/>
                  <w:vAlign w:val="bottom"/>
                  <w:hideMark/>
                </w:tcPr>
                <w:p w:rsidR="00A72014" w:rsidRPr="0026371C" w:rsidRDefault="00A72014" w:rsidP="00A72014">
                  <w:pPr>
                    <w:jc w:val="right"/>
                    <w:rPr>
                      <w:rFonts w:ascii="Arial" w:hAnsi="Arial" w:cs="Arial"/>
                      <w:color w:val="000000"/>
                      <w:szCs w:val="24"/>
                    </w:rPr>
                  </w:pPr>
                  <w:r w:rsidRPr="0026371C">
                    <w:rPr>
                      <w:rFonts w:ascii="Arial" w:hAnsi="Arial" w:cs="Arial"/>
                      <w:color w:val="000000"/>
                      <w:szCs w:val="24"/>
                    </w:rPr>
                    <w:t>2015.16</w:t>
                  </w:r>
                </w:p>
              </w:tc>
              <w:tc>
                <w:tcPr>
                  <w:tcW w:w="37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r w:rsidRPr="0026371C">
                    <w:rPr>
                      <w:rFonts w:ascii="Arial" w:hAnsi="Arial" w:cs="Arial"/>
                      <w:color w:val="000000"/>
                      <w:szCs w:val="24"/>
                    </w:rPr>
                    <w:t>Estimate To be finalised - VAT</w:t>
                  </w:r>
                </w:p>
              </w:tc>
              <w:tc>
                <w:tcPr>
                  <w:tcW w:w="2268" w:type="dxa"/>
                  <w:tcBorders>
                    <w:top w:val="nil"/>
                    <w:left w:val="nil"/>
                    <w:bottom w:val="nil"/>
                    <w:right w:val="nil"/>
                  </w:tcBorders>
                  <w:shd w:val="clear" w:color="auto" w:fill="auto"/>
                  <w:noWrap/>
                  <w:vAlign w:val="bottom"/>
                  <w:hideMark/>
                </w:tcPr>
                <w:p w:rsidR="00A72014" w:rsidRPr="0026371C" w:rsidRDefault="00A72014" w:rsidP="00A72014">
                  <w:pPr>
                    <w:jc w:val="center"/>
                    <w:rPr>
                      <w:rFonts w:ascii="Arial" w:hAnsi="Arial" w:cs="Arial"/>
                      <w:color w:val="000000"/>
                      <w:szCs w:val="24"/>
                    </w:rPr>
                  </w:pPr>
                  <w:r w:rsidRPr="0026371C">
                    <w:rPr>
                      <w:rFonts w:ascii="Arial" w:hAnsi="Arial" w:cs="Arial"/>
                      <w:color w:val="000000"/>
                      <w:szCs w:val="24"/>
                    </w:rPr>
                    <w:t>£150,000</w:t>
                  </w:r>
                </w:p>
              </w:tc>
            </w:tr>
            <w:tr w:rsidR="00A72014" w:rsidRPr="00A72014" w:rsidTr="00A72014">
              <w:trPr>
                <w:trHeight w:val="300"/>
              </w:trPr>
              <w:tc>
                <w:tcPr>
                  <w:tcW w:w="14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p>
              </w:tc>
              <w:tc>
                <w:tcPr>
                  <w:tcW w:w="37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r w:rsidRPr="0026371C">
                    <w:rPr>
                      <w:rFonts w:ascii="Arial" w:hAnsi="Arial" w:cs="Arial"/>
                      <w:color w:val="000000"/>
                      <w:szCs w:val="24"/>
                    </w:rPr>
                    <w:t>Estimate Interest for the 4 years</w:t>
                  </w:r>
                </w:p>
              </w:tc>
              <w:tc>
                <w:tcPr>
                  <w:tcW w:w="2268" w:type="dxa"/>
                  <w:tcBorders>
                    <w:top w:val="nil"/>
                    <w:left w:val="nil"/>
                    <w:bottom w:val="nil"/>
                    <w:right w:val="nil"/>
                  </w:tcBorders>
                  <w:shd w:val="clear" w:color="auto" w:fill="auto"/>
                  <w:noWrap/>
                  <w:vAlign w:val="bottom"/>
                  <w:hideMark/>
                </w:tcPr>
                <w:p w:rsidR="00A72014" w:rsidRPr="0026371C" w:rsidRDefault="00A72014" w:rsidP="00A72014">
                  <w:pPr>
                    <w:jc w:val="center"/>
                    <w:rPr>
                      <w:rFonts w:ascii="Arial" w:hAnsi="Arial" w:cs="Arial"/>
                      <w:color w:val="000000"/>
                      <w:szCs w:val="24"/>
                    </w:rPr>
                  </w:pPr>
                  <w:r w:rsidRPr="0026371C">
                    <w:rPr>
                      <w:rFonts w:ascii="Arial" w:hAnsi="Arial" w:cs="Arial"/>
                      <w:color w:val="000000"/>
                      <w:szCs w:val="24"/>
                    </w:rPr>
                    <w:t>£48,227</w:t>
                  </w:r>
                </w:p>
              </w:tc>
            </w:tr>
            <w:tr w:rsidR="00A72014" w:rsidRPr="00A72014" w:rsidTr="00A72014">
              <w:trPr>
                <w:trHeight w:val="300"/>
              </w:trPr>
              <w:tc>
                <w:tcPr>
                  <w:tcW w:w="14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p>
              </w:tc>
              <w:tc>
                <w:tcPr>
                  <w:tcW w:w="37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r w:rsidRPr="0026371C">
                    <w:rPr>
                      <w:rFonts w:ascii="Arial" w:hAnsi="Arial" w:cs="Arial"/>
                      <w:color w:val="000000"/>
                      <w:szCs w:val="24"/>
                    </w:rPr>
                    <w:t>Total Liability</w:t>
                  </w:r>
                </w:p>
              </w:tc>
              <w:tc>
                <w:tcPr>
                  <w:tcW w:w="2268" w:type="dxa"/>
                  <w:tcBorders>
                    <w:top w:val="single" w:sz="4" w:space="0" w:color="auto"/>
                    <w:left w:val="nil"/>
                    <w:bottom w:val="nil"/>
                    <w:right w:val="nil"/>
                  </w:tcBorders>
                  <w:shd w:val="clear" w:color="auto" w:fill="auto"/>
                  <w:noWrap/>
                  <w:vAlign w:val="bottom"/>
                  <w:hideMark/>
                </w:tcPr>
                <w:p w:rsidR="00A72014" w:rsidRPr="0026371C" w:rsidRDefault="00A72014" w:rsidP="00A72014">
                  <w:pPr>
                    <w:jc w:val="center"/>
                    <w:rPr>
                      <w:rFonts w:ascii="Arial" w:hAnsi="Arial" w:cs="Arial"/>
                      <w:color w:val="000000"/>
                      <w:szCs w:val="24"/>
                    </w:rPr>
                  </w:pPr>
                  <w:r w:rsidRPr="0026371C">
                    <w:rPr>
                      <w:rFonts w:ascii="Arial" w:hAnsi="Arial" w:cs="Arial"/>
                      <w:color w:val="000000"/>
                      <w:szCs w:val="24"/>
                    </w:rPr>
                    <w:t>£586,520</w:t>
                  </w:r>
                </w:p>
              </w:tc>
            </w:tr>
            <w:tr w:rsidR="00A72014" w:rsidRPr="00A72014" w:rsidTr="00A72014">
              <w:trPr>
                <w:trHeight w:val="315"/>
              </w:trPr>
              <w:tc>
                <w:tcPr>
                  <w:tcW w:w="14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p>
              </w:tc>
              <w:tc>
                <w:tcPr>
                  <w:tcW w:w="37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r w:rsidRPr="0026371C">
                    <w:rPr>
                      <w:rFonts w:ascii="Arial" w:hAnsi="Arial" w:cs="Arial"/>
                      <w:color w:val="000000"/>
                      <w:szCs w:val="24"/>
                    </w:rPr>
                    <w:t>Amount accrued 15.16</w:t>
                  </w:r>
                </w:p>
              </w:tc>
              <w:tc>
                <w:tcPr>
                  <w:tcW w:w="2268" w:type="dxa"/>
                  <w:tcBorders>
                    <w:top w:val="nil"/>
                    <w:left w:val="nil"/>
                    <w:bottom w:val="nil"/>
                    <w:right w:val="nil"/>
                  </w:tcBorders>
                  <w:shd w:val="clear" w:color="auto" w:fill="auto"/>
                  <w:noWrap/>
                  <w:hideMark/>
                </w:tcPr>
                <w:p w:rsidR="00A72014" w:rsidRPr="0026371C" w:rsidRDefault="00A72014" w:rsidP="00A72014">
                  <w:pPr>
                    <w:jc w:val="center"/>
                    <w:rPr>
                      <w:rFonts w:ascii="Arial" w:hAnsi="Arial" w:cs="Arial"/>
                      <w:color w:val="000000"/>
                      <w:szCs w:val="24"/>
                    </w:rPr>
                  </w:pPr>
                  <w:r w:rsidRPr="0026371C">
                    <w:rPr>
                      <w:rFonts w:ascii="Arial" w:hAnsi="Arial" w:cs="Arial"/>
                      <w:color w:val="FF0000"/>
                      <w:szCs w:val="24"/>
                    </w:rPr>
                    <w:t>(198,000)</w:t>
                  </w:r>
                </w:p>
              </w:tc>
            </w:tr>
            <w:tr w:rsidR="00A72014" w:rsidRPr="00A72014" w:rsidTr="00A72014">
              <w:trPr>
                <w:trHeight w:val="315"/>
              </w:trPr>
              <w:tc>
                <w:tcPr>
                  <w:tcW w:w="14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p>
              </w:tc>
              <w:tc>
                <w:tcPr>
                  <w:tcW w:w="3736" w:type="dxa"/>
                  <w:tcBorders>
                    <w:top w:val="nil"/>
                    <w:left w:val="nil"/>
                    <w:bottom w:val="nil"/>
                    <w:right w:val="nil"/>
                  </w:tcBorders>
                  <w:shd w:val="clear" w:color="auto" w:fill="auto"/>
                  <w:noWrap/>
                  <w:vAlign w:val="bottom"/>
                  <w:hideMark/>
                </w:tcPr>
                <w:p w:rsidR="00A72014" w:rsidRPr="0026371C" w:rsidRDefault="00A72014" w:rsidP="00A72014">
                  <w:pPr>
                    <w:rPr>
                      <w:rFonts w:ascii="Arial" w:hAnsi="Arial" w:cs="Arial"/>
                      <w:color w:val="000000"/>
                      <w:szCs w:val="24"/>
                    </w:rPr>
                  </w:pPr>
                  <w:r w:rsidRPr="0026371C">
                    <w:rPr>
                      <w:rFonts w:ascii="Arial" w:hAnsi="Arial" w:cs="Arial"/>
                      <w:color w:val="000000"/>
                      <w:szCs w:val="24"/>
                    </w:rPr>
                    <w:t>Adjustment Required.</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2014" w:rsidRPr="0026371C" w:rsidRDefault="00A72014" w:rsidP="00A72014">
                  <w:pPr>
                    <w:jc w:val="center"/>
                    <w:rPr>
                      <w:rFonts w:ascii="Arial" w:hAnsi="Arial" w:cs="Arial"/>
                      <w:color w:val="000000"/>
                      <w:szCs w:val="24"/>
                    </w:rPr>
                  </w:pPr>
                  <w:r w:rsidRPr="0026371C">
                    <w:rPr>
                      <w:rFonts w:ascii="Arial" w:hAnsi="Arial" w:cs="Arial"/>
                      <w:color w:val="000000"/>
                      <w:szCs w:val="24"/>
                    </w:rPr>
                    <w:t>£388,520</w:t>
                  </w:r>
                </w:p>
              </w:tc>
            </w:tr>
          </w:tbl>
          <w:p w:rsidR="004677D5" w:rsidRPr="00771880" w:rsidRDefault="004677D5" w:rsidP="00A72014">
            <w:pPr>
              <w:pStyle w:val="NormalWeb"/>
              <w:spacing w:before="0" w:beforeAutospacing="0" w:after="0" w:afterAutospacing="0"/>
              <w:jc w:val="both"/>
              <w:rPr>
                <w:rFonts w:ascii="Arial" w:hAnsi="Arial" w:cs="Arial"/>
              </w:rPr>
            </w:pPr>
          </w:p>
        </w:tc>
      </w:tr>
      <w:tr w:rsidR="00E7529E" w:rsidRPr="0089449E" w:rsidTr="004677D5">
        <w:trPr>
          <w:trHeight w:val="2558"/>
        </w:trPr>
        <w:tc>
          <w:tcPr>
            <w:tcW w:w="817" w:type="dxa"/>
          </w:tcPr>
          <w:p w:rsidR="008512B8" w:rsidRDefault="008512B8" w:rsidP="00472040">
            <w:pPr>
              <w:jc w:val="both"/>
              <w:rPr>
                <w:rFonts w:ascii="Arial" w:hAnsi="Arial" w:cs="Arial"/>
                <w:szCs w:val="24"/>
              </w:rPr>
            </w:pPr>
          </w:p>
          <w:p w:rsidR="00771880" w:rsidRPr="00771880" w:rsidRDefault="00771880" w:rsidP="00472040">
            <w:pPr>
              <w:jc w:val="both"/>
              <w:rPr>
                <w:rFonts w:ascii="Arial" w:hAnsi="Arial" w:cs="Arial"/>
                <w:szCs w:val="24"/>
              </w:rPr>
            </w:pPr>
            <w:r w:rsidRPr="00771880">
              <w:rPr>
                <w:rFonts w:ascii="Arial" w:hAnsi="Arial" w:cs="Arial"/>
                <w:szCs w:val="24"/>
              </w:rPr>
              <w:t>4.2.3</w:t>
            </w:r>
          </w:p>
          <w:p w:rsidR="00771880" w:rsidRPr="00771880" w:rsidRDefault="00771880" w:rsidP="00472040">
            <w:pPr>
              <w:jc w:val="both"/>
              <w:rPr>
                <w:rFonts w:ascii="Arial" w:hAnsi="Arial" w:cs="Arial"/>
                <w:szCs w:val="24"/>
              </w:rPr>
            </w:pPr>
          </w:p>
          <w:p w:rsidR="00771880" w:rsidRPr="00771880" w:rsidRDefault="00771880" w:rsidP="00472040">
            <w:pPr>
              <w:jc w:val="both"/>
              <w:rPr>
                <w:rFonts w:ascii="Arial" w:hAnsi="Arial" w:cs="Arial"/>
                <w:szCs w:val="24"/>
              </w:rPr>
            </w:pPr>
          </w:p>
          <w:p w:rsidR="00771880" w:rsidRPr="00771880" w:rsidRDefault="006103C1" w:rsidP="00472040">
            <w:pPr>
              <w:jc w:val="both"/>
              <w:rPr>
                <w:rFonts w:ascii="Arial" w:hAnsi="Arial" w:cs="Arial"/>
                <w:szCs w:val="24"/>
              </w:rPr>
            </w:pPr>
            <w:r>
              <w:rPr>
                <w:rFonts w:ascii="Arial" w:hAnsi="Arial" w:cs="Arial"/>
                <w:szCs w:val="24"/>
              </w:rPr>
              <w:t>4</w:t>
            </w:r>
            <w:r w:rsidR="00771880" w:rsidRPr="00771880">
              <w:rPr>
                <w:rFonts w:ascii="Arial" w:hAnsi="Arial" w:cs="Arial"/>
                <w:szCs w:val="24"/>
              </w:rPr>
              <w:t>.2.4</w:t>
            </w:r>
          </w:p>
          <w:p w:rsidR="00771880" w:rsidRPr="00771880" w:rsidRDefault="00771880" w:rsidP="00472040">
            <w:pPr>
              <w:jc w:val="both"/>
              <w:rPr>
                <w:rFonts w:ascii="Arial" w:hAnsi="Arial" w:cs="Arial"/>
                <w:szCs w:val="24"/>
              </w:rPr>
            </w:pPr>
          </w:p>
          <w:p w:rsidR="00771880" w:rsidRPr="00771880" w:rsidRDefault="00771880" w:rsidP="00472040">
            <w:pPr>
              <w:jc w:val="both"/>
              <w:rPr>
                <w:rFonts w:ascii="Arial" w:hAnsi="Arial" w:cs="Arial"/>
                <w:szCs w:val="24"/>
              </w:rPr>
            </w:pPr>
          </w:p>
          <w:p w:rsidR="002A47A7" w:rsidRDefault="002A47A7" w:rsidP="00472040">
            <w:pPr>
              <w:jc w:val="both"/>
              <w:rPr>
                <w:rFonts w:ascii="Arial" w:hAnsi="Arial" w:cs="Arial"/>
                <w:szCs w:val="24"/>
              </w:rPr>
            </w:pPr>
          </w:p>
          <w:p w:rsidR="002A47A7" w:rsidRDefault="002A47A7" w:rsidP="00472040">
            <w:pPr>
              <w:jc w:val="both"/>
              <w:rPr>
                <w:rFonts w:ascii="Arial" w:hAnsi="Arial" w:cs="Arial"/>
                <w:szCs w:val="24"/>
              </w:rPr>
            </w:pPr>
          </w:p>
          <w:p w:rsidR="00771880" w:rsidRPr="00771880" w:rsidRDefault="00771880" w:rsidP="00472040">
            <w:pPr>
              <w:jc w:val="both"/>
              <w:rPr>
                <w:rFonts w:ascii="Arial" w:hAnsi="Arial" w:cs="Arial"/>
                <w:szCs w:val="24"/>
              </w:rPr>
            </w:pPr>
            <w:r w:rsidRPr="00771880">
              <w:rPr>
                <w:rFonts w:ascii="Arial" w:hAnsi="Arial" w:cs="Arial"/>
                <w:szCs w:val="24"/>
              </w:rPr>
              <w:t>4.</w:t>
            </w:r>
            <w:r w:rsidR="003150AF">
              <w:rPr>
                <w:rFonts w:ascii="Arial" w:hAnsi="Arial" w:cs="Arial"/>
                <w:szCs w:val="24"/>
              </w:rPr>
              <w:t>2.5</w:t>
            </w:r>
          </w:p>
          <w:p w:rsidR="00771880" w:rsidRPr="00771880" w:rsidRDefault="00771880" w:rsidP="00472040">
            <w:pPr>
              <w:jc w:val="both"/>
              <w:rPr>
                <w:rFonts w:ascii="Arial" w:hAnsi="Arial" w:cs="Arial"/>
                <w:szCs w:val="24"/>
              </w:rPr>
            </w:pPr>
          </w:p>
          <w:p w:rsidR="00B961F3" w:rsidRDefault="00B961F3" w:rsidP="00472040">
            <w:pPr>
              <w:jc w:val="both"/>
              <w:rPr>
                <w:rFonts w:ascii="Arial" w:hAnsi="Arial" w:cs="Arial"/>
                <w:b/>
                <w:szCs w:val="24"/>
              </w:rPr>
            </w:pPr>
          </w:p>
          <w:p w:rsidR="003150AF" w:rsidRDefault="003150AF" w:rsidP="00472040">
            <w:pPr>
              <w:jc w:val="both"/>
              <w:rPr>
                <w:rFonts w:ascii="Arial" w:hAnsi="Arial" w:cs="Arial"/>
                <w:b/>
                <w:szCs w:val="24"/>
              </w:rPr>
            </w:pPr>
          </w:p>
          <w:p w:rsidR="00B961F3" w:rsidRDefault="003150AF" w:rsidP="00472040">
            <w:pPr>
              <w:jc w:val="both"/>
              <w:rPr>
                <w:rFonts w:ascii="Arial" w:hAnsi="Arial" w:cs="Arial"/>
                <w:b/>
                <w:szCs w:val="24"/>
              </w:rPr>
            </w:pPr>
            <w:r>
              <w:rPr>
                <w:rFonts w:ascii="Arial" w:hAnsi="Arial" w:cs="Arial"/>
                <w:b/>
                <w:szCs w:val="24"/>
              </w:rPr>
              <w:t>5.0</w:t>
            </w:r>
          </w:p>
          <w:p w:rsidR="003150AF" w:rsidRDefault="003150AF" w:rsidP="00472040">
            <w:pPr>
              <w:jc w:val="both"/>
              <w:rPr>
                <w:rFonts w:ascii="Arial" w:hAnsi="Arial" w:cs="Arial"/>
                <w:b/>
                <w:szCs w:val="24"/>
              </w:rPr>
            </w:pPr>
          </w:p>
          <w:p w:rsidR="009E4318" w:rsidRDefault="009E4318" w:rsidP="00472040">
            <w:pPr>
              <w:jc w:val="both"/>
              <w:rPr>
                <w:rFonts w:ascii="Arial" w:hAnsi="Arial" w:cs="Arial"/>
                <w:b/>
                <w:szCs w:val="24"/>
              </w:rPr>
            </w:pPr>
          </w:p>
          <w:p w:rsidR="003150AF" w:rsidRPr="004677D5" w:rsidRDefault="003150AF" w:rsidP="00472040">
            <w:pPr>
              <w:jc w:val="both"/>
              <w:rPr>
                <w:rFonts w:ascii="Arial" w:hAnsi="Arial" w:cs="Arial"/>
                <w:szCs w:val="24"/>
              </w:rPr>
            </w:pPr>
            <w:r w:rsidRPr="004677D5">
              <w:rPr>
                <w:rFonts w:ascii="Arial" w:hAnsi="Arial" w:cs="Arial"/>
                <w:szCs w:val="24"/>
              </w:rPr>
              <w:t>5.1</w:t>
            </w:r>
          </w:p>
          <w:p w:rsidR="00620E1F" w:rsidRPr="004677D5" w:rsidRDefault="00620E1F" w:rsidP="00472040">
            <w:pPr>
              <w:jc w:val="both"/>
              <w:rPr>
                <w:rFonts w:ascii="Arial" w:hAnsi="Arial" w:cs="Arial"/>
                <w:szCs w:val="24"/>
              </w:rPr>
            </w:pPr>
          </w:p>
          <w:p w:rsidR="00620E1F" w:rsidRPr="004677D5" w:rsidRDefault="00620E1F" w:rsidP="00472040">
            <w:pPr>
              <w:jc w:val="both"/>
              <w:rPr>
                <w:rFonts w:ascii="Arial" w:hAnsi="Arial" w:cs="Arial"/>
                <w:szCs w:val="24"/>
              </w:rPr>
            </w:pPr>
          </w:p>
          <w:p w:rsidR="004B19DE" w:rsidRDefault="004B19DE" w:rsidP="00472040">
            <w:pPr>
              <w:jc w:val="both"/>
              <w:rPr>
                <w:rFonts w:ascii="Arial" w:hAnsi="Arial" w:cs="Arial"/>
                <w:szCs w:val="24"/>
              </w:rPr>
            </w:pPr>
          </w:p>
          <w:p w:rsidR="009E4318" w:rsidRDefault="009E4318" w:rsidP="00472040">
            <w:pPr>
              <w:jc w:val="both"/>
              <w:rPr>
                <w:rFonts w:ascii="Arial" w:hAnsi="Arial" w:cs="Arial"/>
                <w:szCs w:val="24"/>
              </w:rPr>
            </w:pPr>
          </w:p>
          <w:p w:rsidR="00620E1F" w:rsidRPr="004677D5" w:rsidRDefault="003150AF" w:rsidP="00472040">
            <w:pPr>
              <w:jc w:val="both"/>
              <w:rPr>
                <w:rFonts w:ascii="Arial" w:hAnsi="Arial" w:cs="Arial"/>
                <w:szCs w:val="24"/>
              </w:rPr>
            </w:pPr>
            <w:r w:rsidRPr="004677D5">
              <w:rPr>
                <w:rFonts w:ascii="Arial" w:hAnsi="Arial" w:cs="Arial"/>
                <w:szCs w:val="24"/>
              </w:rPr>
              <w:lastRenderedPageBreak/>
              <w:t>5.2</w:t>
            </w:r>
          </w:p>
          <w:p w:rsidR="00620E1F" w:rsidRPr="004677D5" w:rsidRDefault="00620E1F" w:rsidP="00472040">
            <w:pPr>
              <w:jc w:val="both"/>
              <w:rPr>
                <w:rFonts w:ascii="Arial" w:hAnsi="Arial" w:cs="Arial"/>
                <w:szCs w:val="24"/>
              </w:rPr>
            </w:pPr>
          </w:p>
          <w:p w:rsidR="00620E1F" w:rsidRDefault="00620E1F" w:rsidP="00472040">
            <w:pPr>
              <w:jc w:val="both"/>
              <w:rPr>
                <w:rFonts w:ascii="Arial" w:hAnsi="Arial" w:cs="Arial"/>
                <w:b/>
                <w:szCs w:val="24"/>
              </w:rPr>
            </w:pPr>
          </w:p>
          <w:p w:rsidR="00620E1F" w:rsidRDefault="00620E1F" w:rsidP="00472040">
            <w:pPr>
              <w:jc w:val="both"/>
              <w:rPr>
                <w:rFonts w:ascii="Arial" w:hAnsi="Arial" w:cs="Arial"/>
                <w:b/>
                <w:szCs w:val="24"/>
              </w:rPr>
            </w:pPr>
          </w:p>
          <w:p w:rsidR="00620E1F" w:rsidRDefault="00620E1F" w:rsidP="00472040">
            <w:pPr>
              <w:jc w:val="both"/>
              <w:rPr>
                <w:rFonts w:ascii="Arial" w:hAnsi="Arial" w:cs="Arial"/>
                <w:b/>
                <w:szCs w:val="24"/>
              </w:rPr>
            </w:pPr>
          </w:p>
          <w:p w:rsidR="00620E1F" w:rsidRDefault="00620E1F" w:rsidP="00472040">
            <w:pPr>
              <w:jc w:val="both"/>
              <w:rPr>
                <w:rFonts w:ascii="Arial" w:hAnsi="Arial" w:cs="Arial"/>
                <w:b/>
                <w:szCs w:val="24"/>
              </w:rPr>
            </w:pPr>
          </w:p>
          <w:p w:rsidR="00620E1F" w:rsidRDefault="00620E1F" w:rsidP="00472040">
            <w:pPr>
              <w:jc w:val="both"/>
              <w:rPr>
                <w:rFonts w:ascii="Arial" w:hAnsi="Arial" w:cs="Arial"/>
                <w:b/>
                <w:szCs w:val="24"/>
              </w:rPr>
            </w:pPr>
          </w:p>
          <w:p w:rsidR="008512B8" w:rsidRDefault="008512B8" w:rsidP="00472040">
            <w:pPr>
              <w:jc w:val="both"/>
              <w:rPr>
                <w:rFonts w:ascii="Arial" w:hAnsi="Arial" w:cs="Arial"/>
                <w:b/>
                <w:szCs w:val="24"/>
              </w:rPr>
            </w:pPr>
          </w:p>
          <w:p w:rsidR="00226A24" w:rsidRPr="003150AF" w:rsidRDefault="00226A24" w:rsidP="00472040">
            <w:pPr>
              <w:jc w:val="both"/>
              <w:rPr>
                <w:rFonts w:ascii="Arial" w:hAnsi="Arial" w:cs="Arial"/>
                <w:szCs w:val="24"/>
              </w:rPr>
            </w:pPr>
            <w:r w:rsidRPr="003150AF">
              <w:rPr>
                <w:rFonts w:ascii="Arial" w:hAnsi="Arial" w:cs="Arial"/>
                <w:szCs w:val="24"/>
              </w:rPr>
              <w:t>5.</w:t>
            </w:r>
            <w:r w:rsidR="003150AF" w:rsidRPr="003150AF">
              <w:rPr>
                <w:rFonts w:ascii="Arial" w:hAnsi="Arial" w:cs="Arial"/>
                <w:szCs w:val="24"/>
              </w:rPr>
              <w:t>3</w:t>
            </w:r>
          </w:p>
          <w:p w:rsidR="00B961F3" w:rsidRDefault="00B961F3" w:rsidP="00472040">
            <w:pPr>
              <w:jc w:val="both"/>
              <w:rPr>
                <w:rFonts w:ascii="Arial" w:hAnsi="Arial" w:cs="Arial"/>
                <w:b/>
                <w:szCs w:val="24"/>
              </w:rPr>
            </w:pPr>
          </w:p>
          <w:p w:rsidR="00A322EB" w:rsidRDefault="00A322EB" w:rsidP="00472040">
            <w:pPr>
              <w:jc w:val="both"/>
              <w:rPr>
                <w:rFonts w:ascii="Arial" w:hAnsi="Arial" w:cs="Arial"/>
                <w:szCs w:val="24"/>
              </w:rPr>
            </w:pPr>
            <w:r w:rsidRPr="00A322EB">
              <w:rPr>
                <w:rFonts w:ascii="Arial" w:hAnsi="Arial" w:cs="Arial"/>
                <w:szCs w:val="24"/>
              </w:rPr>
              <w:t>5.</w:t>
            </w:r>
            <w:r w:rsidR="003150AF">
              <w:rPr>
                <w:rFonts w:ascii="Arial" w:hAnsi="Arial" w:cs="Arial"/>
                <w:szCs w:val="24"/>
              </w:rPr>
              <w:t>3.1</w:t>
            </w:r>
          </w:p>
          <w:p w:rsidR="00874988" w:rsidRDefault="00874988" w:rsidP="00472040">
            <w:pPr>
              <w:jc w:val="both"/>
              <w:rPr>
                <w:rFonts w:ascii="Arial" w:hAnsi="Arial" w:cs="Arial"/>
                <w:szCs w:val="24"/>
              </w:rPr>
            </w:pPr>
          </w:p>
          <w:p w:rsidR="00A322EB" w:rsidRDefault="00A322EB" w:rsidP="00472040">
            <w:pPr>
              <w:jc w:val="both"/>
              <w:rPr>
                <w:rFonts w:ascii="Arial" w:hAnsi="Arial" w:cs="Arial"/>
                <w:szCs w:val="24"/>
              </w:rPr>
            </w:pPr>
          </w:p>
          <w:p w:rsidR="00226A24" w:rsidRDefault="00226A24" w:rsidP="00472040">
            <w:pPr>
              <w:jc w:val="both"/>
              <w:rPr>
                <w:rFonts w:ascii="Arial" w:hAnsi="Arial" w:cs="Arial"/>
                <w:szCs w:val="24"/>
              </w:rPr>
            </w:pPr>
          </w:p>
          <w:p w:rsidR="00226A24" w:rsidRDefault="00226A24" w:rsidP="00472040">
            <w:pPr>
              <w:jc w:val="both"/>
              <w:rPr>
                <w:rFonts w:ascii="Arial" w:hAnsi="Arial" w:cs="Arial"/>
                <w:szCs w:val="24"/>
              </w:rPr>
            </w:pPr>
          </w:p>
          <w:p w:rsidR="00771880" w:rsidRPr="00771880" w:rsidRDefault="00771880" w:rsidP="00F036A4">
            <w:pPr>
              <w:jc w:val="both"/>
              <w:rPr>
                <w:rFonts w:ascii="Arial" w:hAnsi="Arial" w:cs="Arial"/>
                <w:szCs w:val="24"/>
              </w:rPr>
            </w:pPr>
          </w:p>
        </w:tc>
        <w:tc>
          <w:tcPr>
            <w:tcW w:w="8647" w:type="dxa"/>
          </w:tcPr>
          <w:p w:rsidR="008512B8" w:rsidRDefault="008512B8" w:rsidP="00771880">
            <w:pPr>
              <w:pStyle w:val="NormalWeb"/>
              <w:spacing w:before="0" w:beforeAutospacing="0" w:after="0" w:afterAutospacing="0"/>
              <w:jc w:val="both"/>
              <w:rPr>
                <w:rFonts w:ascii="Arial" w:hAnsi="Arial" w:cs="Arial"/>
              </w:rPr>
            </w:pPr>
          </w:p>
          <w:p w:rsidR="00771880" w:rsidRPr="00771880" w:rsidRDefault="00F036A4" w:rsidP="00771880">
            <w:pPr>
              <w:pStyle w:val="NormalWeb"/>
              <w:spacing w:before="0" w:beforeAutospacing="0" w:after="0" w:afterAutospacing="0"/>
              <w:jc w:val="both"/>
              <w:rPr>
                <w:rFonts w:ascii="Arial" w:hAnsi="Arial" w:cs="Arial"/>
              </w:rPr>
            </w:pPr>
            <w:r>
              <w:rPr>
                <w:rFonts w:ascii="Arial" w:hAnsi="Arial" w:cs="Arial"/>
              </w:rPr>
              <w:t>The Revised Financial Statements to 31 March 2016 has provided for the liability in full</w:t>
            </w:r>
            <w:r w:rsidR="006103C1">
              <w:rPr>
                <w:rFonts w:ascii="Arial" w:hAnsi="Arial" w:cs="Arial"/>
              </w:rPr>
              <w:t xml:space="preserve"> up to and including 2015/16</w:t>
            </w:r>
            <w:r>
              <w:rPr>
                <w:rFonts w:ascii="Arial" w:hAnsi="Arial" w:cs="Arial"/>
              </w:rPr>
              <w:t>.</w:t>
            </w:r>
          </w:p>
          <w:p w:rsidR="00771880" w:rsidRPr="00771880" w:rsidRDefault="00771880" w:rsidP="00635750">
            <w:pPr>
              <w:jc w:val="both"/>
              <w:rPr>
                <w:rFonts w:ascii="Arial" w:hAnsi="Arial" w:cs="Arial"/>
                <w:szCs w:val="24"/>
              </w:rPr>
            </w:pPr>
          </w:p>
          <w:p w:rsidR="00771880" w:rsidRDefault="00771880" w:rsidP="00635750">
            <w:pPr>
              <w:jc w:val="both"/>
              <w:rPr>
                <w:rFonts w:ascii="Arial" w:hAnsi="Arial" w:cs="Arial"/>
              </w:rPr>
            </w:pPr>
            <w:r w:rsidRPr="00771880">
              <w:rPr>
                <w:rFonts w:ascii="Arial" w:hAnsi="Arial" w:cs="Arial"/>
              </w:rPr>
              <w:t xml:space="preserve">E&amp;Y have made a number of recommendations with regard to the treatment of </w:t>
            </w:r>
            <w:r w:rsidR="00A322EB">
              <w:rPr>
                <w:rFonts w:ascii="Arial" w:hAnsi="Arial" w:cs="Arial"/>
              </w:rPr>
              <w:t>i</w:t>
            </w:r>
            <w:r w:rsidRPr="00771880">
              <w:rPr>
                <w:rFonts w:ascii="Arial" w:hAnsi="Arial" w:cs="Arial"/>
              </w:rPr>
              <w:t>ncome on the calculation and reporting of VAT moving forward which should ensure that this situation does not arise again.  HLH has also contracted E&amp;Y to provide an online help desk service.</w:t>
            </w:r>
          </w:p>
          <w:p w:rsidR="00B961F3" w:rsidRDefault="00B961F3" w:rsidP="00635750">
            <w:pPr>
              <w:jc w:val="both"/>
              <w:rPr>
                <w:rFonts w:ascii="Arial" w:hAnsi="Arial" w:cs="Arial"/>
              </w:rPr>
            </w:pPr>
          </w:p>
          <w:p w:rsidR="00B961F3" w:rsidRPr="001867B9" w:rsidRDefault="00874988" w:rsidP="00B961F3">
            <w:pPr>
              <w:jc w:val="both"/>
              <w:rPr>
                <w:rFonts w:ascii="Arial" w:hAnsi="Arial" w:cs="Arial"/>
                <w:szCs w:val="24"/>
              </w:rPr>
            </w:pPr>
            <w:r>
              <w:rPr>
                <w:rFonts w:ascii="Arial" w:hAnsi="Arial" w:cs="Arial"/>
              </w:rPr>
              <w:t xml:space="preserve">The </w:t>
            </w:r>
            <w:r w:rsidR="00B961F3">
              <w:rPr>
                <w:rFonts w:ascii="Arial" w:hAnsi="Arial" w:cs="Arial"/>
              </w:rPr>
              <w:t xml:space="preserve">VAT </w:t>
            </w:r>
            <w:r>
              <w:rPr>
                <w:rFonts w:ascii="Arial" w:hAnsi="Arial" w:cs="Arial"/>
              </w:rPr>
              <w:t xml:space="preserve">issue </w:t>
            </w:r>
            <w:r w:rsidR="00B961F3">
              <w:rPr>
                <w:rFonts w:ascii="Arial" w:hAnsi="Arial" w:cs="Arial"/>
              </w:rPr>
              <w:t xml:space="preserve">and the following item were discussed at the Finance and Audit Committee meeting on the 14 November 2016. </w:t>
            </w:r>
            <w:r w:rsidR="00B961F3" w:rsidRPr="001867B9">
              <w:rPr>
                <w:rFonts w:ascii="Arial" w:hAnsi="Arial" w:cs="Arial"/>
                <w:szCs w:val="24"/>
              </w:rPr>
              <w:t xml:space="preserve">Donald Forsyth, Partner Ernst &amp; Young </w:t>
            </w:r>
            <w:r w:rsidR="00B961F3">
              <w:rPr>
                <w:rFonts w:ascii="Arial" w:hAnsi="Arial" w:cs="Arial"/>
                <w:szCs w:val="24"/>
              </w:rPr>
              <w:t>attended the meeting</w:t>
            </w:r>
            <w:r w:rsidR="00B961F3" w:rsidRPr="001867B9">
              <w:rPr>
                <w:rFonts w:ascii="Arial" w:hAnsi="Arial" w:cs="Arial"/>
                <w:szCs w:val="24"/>
              </w:rPr>
              <w:t>.</w:t>
            </w:r>
          </w:p>
          <w:p w:rsidR="00B961F3" w:rsidRDefault="00B961F3" w:rsidP="00B961F3">
            <w:pPr>
              <w:jc w:val="both"/>
              <w:rPr>
                <w:rFonts w:ascii="Arial" w:hAnsi="Arial" w:cs="Arial"/>
                <w:b/>
                <w:szCs w:val="24"/>
              </w:rPr>
            </w:pPr>
          </w:p>
          <w:p w:rsidR="00226A24" w:rsidRDefault="00226A24" w:rsidP="00226A24">
            <w:pPr>
              <w:jc w:val="both"/>
              <w:rPr>
                <w:rFonts w:ascii="Arial" w:hAnsi="Arial" w:cs="Arial"/>
                <w:b/>
                <w:szCs w:val="24"/>
              </w:rPr>
            </w:pPr>
            <w:r w:rsidRPr="00226A24">
              <w:rPr>
                <w:rFonts w:ascii="Arial" w:hAnsi="Arial" w:cs="Arial"/>
                <w:b/>
                <w:szCs w:val="24"/>
              </w:rPr>
              <w:t>Financial Statements to 31 March 2016</w:t>
            </w:r>
            <w:r w:rsidR="00A322EB">
              <w:rPr>
                <w:rFonts w:ascii="Arial" w:hAnsi="Arial" w:cs="Arial"/>
                <w:b/>
                <w:szCs w:val="24"/>
              </w:rPr>
              <w:t xml:space="preserve"> – Presented for</w:t>
            </w:r>
            <w:r w:rsidR="00494A2F">
              <w:rPr>
                <w:rFonts w:ascii="Arial" w:hAnsi="Arial" w:cs="Arial"/>
                <w:b/>
                <w:szCs w:val="24"/>
              </w:rPr>
              <w:t xml:space="preserve"> approval and </w:t>
            </w:r>
            <w:r w:rsidR="00A322EB">
              <w:rPr>
                <w:rFonts w:ascii="Arial" w:hAnsi="Arial" w:cs="Arial"/>
                <w:b/>
                <w:szCs w:val="24"/>
              </w:rPr>
              <w:t>r</w:t>
            </w:r>
            <w:r>
              <w:rPr>
                <w:rFonts w:ascii="Arial" w:hAnsi="Arial" w:cs="Arial"/>
                <w:b/>
                <w:szCs w:val="24"/>
              </w:rPr>
              <w:t>e-signing.</w:t>
            </w:r>
          </w:p>
          <w:p w:rsidR="001867B9" w:rsidRDefault="001867B9" w:rsidP="00226A24">
            <w:pPr>
              <w:jc w:val="both"/>
              <w:rPr>
                <w:rFonts w:ascii="Arial" w:hAnsi="Arial" w:cs="Arial"/>
                <w:b/>
                <w:szCs w:val="24"/>
              </w:rPr>
            </w:pPr>
          </w:p>
          <w:p w:rsidR="00620E1F" w:rsidRDefault="001867B9" w:rsidP="001867B9">
            <w:pPr>
              <w:jc w:val="both"/>
              <w:rPr>
                <w:rFonts w:ascii="Arial" w:hAnsi="Arial" w:cs="Arial"/>
                <w:szCs w:val="24"/>
              </w:rPr>
            </w:pPr>
            <w:r w:rsidRPr="001867B9">
              <w:rPr>
                <w:rFonts w:ascii="Arial" w:hAnsi="Arial" w:cs="Arial"/>
                <w:szCs w:val="24"/>
              </w:rPr>
              <w:t xml:space="preserve">The Financial Statements which were approved by the Board on the 23 August are re-presented for </w:t>
            </w:r>
            <w:r w:rsidR="00494A2F">
              <w:rPr>
                <w:rFonts w:ascii="Arial" w:hAnsi="Arial" w:cs="Arial"/>
                <w:szCs w:val="24"/>
              </w:rPr>
              <w:t xml:space="preserve">approval and </w:t>
            </w:r>
            <w:r w:rsidRPr="001867B9">
              <w:rPr>
                <w:rFonts w:ascii="Arial" w:hAnsi="Arial" w:cs="Arial"/>
                <w:szCs w:val="24"/>
              </w:rPr>
              <w:t>sign off</w:t>
            </w:r>
            <w:r w:rsidR="002A47A7">
              <w:rPr>
                <w:rFonts w:ascii="Arial" w:hAnsi="Arial" w:cs="Arial"/>
                <w:szCs w:val="24"/>
              </w:rPr>
              <w:t>.</w:t>
            </w:r>
            <w:r w:rsidR="004B19DE">
              <w:rPr>
                <w:rFonts w:ascii="Arial" w:hAnsi="Arial" w:cs="Arial"/>
                <w:szCs w:val="24"/>
              </w:rPr>
              <w:t xml:space="preserve"> Mr Forsyth, Partner, Ernst &amp; Young will attend the meeting at 2pm</w:t>
            </w:r>
            <w:r w:rsidR="0026371C">
              <w:rPr>
                <w:rFonts w:ascii="Arial" w:hAnsi="Arial" w:cs="Arial"/>
                <w:szCs w:val="24"/>
              </w:rPr>
              <w:t>.</w:t>
            </w:r>
          </w:p>
          <w:p w:rsidR="004B19DE" w:rsidRDefault="004B19DE" w:rsidP="001867B9">
            <w:pPr>
              <w:jc w:val="both"/>
              <w:rPr>
                <w:rFonts w:ascii="Arial" w:hAnsi="Arial" w:cs="Arial"/>
                <w:szCs w:val="24"/>
              </w:rPr>
            </w:pPr>
          </w:p>
          <w:p w:rsidR="009E4318" w:rsidRDefault="009E4318" w:rsidP="001867B9">
            <w:pPr>
              <w:jc w:val="both"/>
              <w:rPr>
                <w:rFonts w:ascii="Arial" w:hAnsi="Arial" w:cs="Arial"/>
                <w:szCs w:val="24"/>
              </w:rPr>
            </w:pPr>
          </w:p>
          <w:p w:rsidR="001867B9" w:rsidRDefault="002A47A7" w:rsidP="00620E1F">
            <w:pPr>
              <w:jc w:val="both"/>
              <w:rPr>
                <w:rFonts w:ascii="Arial" w:hAnsi="Arial" w:cs="Arial"/>
                <w:szCs w:val="24"/>
              </w:rPr>
            </w:pPr>
            <w:r w:rsidRPr="002A47A7">
              <w:rPr>
                <w:rFonts w:ascii="Arial" w:hAnsi="Arial" w:cs="Arial"/>
                <w:snapToGrid w:val="0"/>
                <w:szCs w:val="24"/>
                <w:lang w:eastAsia="en-US"/>
              </w:rPr>
              <w:lastRenderedPageBreak/>
              <w:t>Mr Forsyth</w:t>
            </w:r>
            <w:r w:rsidR="004B19DE">
              <w:rPr>
                <w:rFonts w:ascii="Arial" w:hAnsi="Arial" w:cs="Arial"/>
                <w:snapToGrid w:val="0"/>
                <w:szCs w:val="24"/>
                <w:lang w:eastAsia="en-US"/>
              </w:rPr>
              <w:t xml:space="preserve"> </w:t>
            </w:r>
            <w:r w:rsidRPr="002A47A7">
              <w:rPr>
                <w:rFonts w:ascii="Arial" w:hAnsi="Arial" w:cs="Arial"/>
                <w:snapToGrid w:val="0"/>
                <w:szCs w:val="24"/>
                <w:lang w:eastAsia="en-US"/>
              </w:rPr>
              <w:t xml:space="preserve">attended the </w:t>
            </w:r>
            <w:r>
              <w:rPr>
                <w:rFonts w:ascii="Arial" w:hAnsi="Arial" w:cs="Arial"/>
                <w:snapToGrid w:val="0"/>
                <w:szCs w:val="24"/>
                <w:lang w:eastAsia="en-US"/>
              </w:rPr>
              <w:t xml:space="preserve">Finance and Audit Committee meeting on the 14 November </w:t>
            </w:r>
            <w:r w:rsidR="004677D5">
              <w:rPr>
                <w:rFonts w:ascii="Arial" w:hAnsi="Arial" w:cs="Arial"/>
                <w:snapToGrid w:val="0"/>
                <w:szCs w:val="24"/>
                <w:lang w:eastAsia="en-US"/>
              </w:rPr>
              <w:t xml:space="preserve">2016 </w:t>
            </w:r>
            <w:r>
              <w:rPr>
                <w:rFonts w:ascii="Arial" w:hAnsi="Arial" w:cs="Arial"/>
                <w:snapToGrid w:val="0"/>
                <w:szCs w:val="24"/>
                <w:lang w:eastAsia="en-US"/>
              </w:rPr>
              <w:t xml:space="preserve">and explained the reason for the </w:t>
            </w:r>
            <w:r w:rsidRPr="002A47A7">
              <w:rPr>
                <w:rFonts w:ascii="Arial" w:hAnsi="Arial" w:cs="Arial"/>
                <w:snapToGrid w:val="0"/>
                <w:szCs w:val="24"/>
                <w:lang w:eastAsia="en-US"/>
              </w:rPr>
              <w:t>de</w:t>
            </w:r>
            <w:r>
              <w:rPr>
                <w:rFonts w:ascii="Arial" w:hAnsi="Arial" w:cs="Arial"/>
                <w:snapToGrid w:val="0"/>
                <w:szCs w:val="24"/>
                <w:lang w:eastAsia="en-US"/>
              </w:rPr>
              <w:t>lay</w:t>
            </w:r>
            <w:r w:rsidRPr="002A47A7">
              <w:rPr>
                <w:rFonts w:ascii="Arial" w:hAnsi="Arial" w:cs="Arial"/>
                <w:snapToGrid w:val="0"/>
                <w:szCs w:val="24"/>
                <w:lang w:eastAsia="en-US"/>
              </w:rPr>
              <w:t xml:space="preserve"> in signing the final accounts</w:t>
            </w:r>
            <w:r w:rsidR="00620E1F">
              <w:rPr>
                <w:rFonts w:ascii="Arial" w:hAnsi="Arial" w:cs="Arial"/>
                <w:snapToGrid w:val="0"/>
                <w:szCs w:val="24"/>
                <w:lang w:eastAsia="en-US"/>
              </w:rPr>
              <w:t xml:space="preserve"> </w:t>
            </w:r>
            <w:r w:rsidRPr="002A47A7">
              <w:rPr>
                <w:rFonts w:ascii="Arial" w:hAnsi="Arial" w:cs="Arial"/>
                <w:snapToGrid w:val="0"/>
                <w:szCs w:val="24"/>
                <w:lang w:eastAsia="en-US"/>
              </w:rPr>
              <w:t xml:space="preserve">  This was due to an internal audit in Ernst and Young being delayed by a period of staff illness.  As a consequence it was now necessary to </w:t>
            </w:r>
            <w:r w:rsidR="00CE4010">
              <w:rPr>
                <w:rFonts w:ascii="Arial" w:hAnsi="Arial" w:cs="Arial"/>
                <w:snapToGrid w:val="0"/>
                <w:szCs w:val="24"/>
                <w:lang w:eastAsia="en-US"/>
              </w:rPr>
              <w:t xml:space="preserve">adjust the Financial Statements for the </w:t>
            </w:r>
            <w:r w:rsidRPr="002A47A7">
              <w:rPr>
                <w:rFonts w:ascii="Arial" w:hAnsi="Arial" w:cs="Arial"/>
                <w:snapToGrid w:val="0"/>
                <w:szCs w:val="24"/>
                <w:lang w:eastAsia="en-US"/>
              </w:rPr>
              <w:t xml:space="preserve">VAT </w:t>
            </w:r>
            <w:r w:rsidR="00CE4010">
              <w:rPr>
                <w:rFonts w:ascii="Arial" w:hAnsi="Arial" w:cs="Arial"/>
                <w:snapToGrid w:val="0"/>
                <w:szCs w:val="24"/>
                <w:lang w:eastAsia="en-US"/>
              </w:rPr>
              <w:t>liabilities relating to prior years</w:t>
            </w:r>
            <w:r w:rsidRPr="002A47A7">
              <w:rPr>
                <w:rFonts w:ascii="Arial" w:hAnsi="Arial" w:cs="Arial"/>
                <w:snapToGrid w:val="0"/>
                <w:szCs w:val="24"/>
                <w:lang w:eastAsia="en-US"/>
              </w:rPr>
              <w:t xml:space="preserve"> </w:t>
            </w:r>
            <w:r w:rsidR="00275972">
              <w:rPr>
                <w:rFonts w:ascii="Arial" w:hAnsi="Arial" w:cs="Arial"/>
                <w:szCs w:val="24"/>
              </w:rPr>
              <w:t>as the</w:t>
            </w:r>
            <w:r w:rsidR="001867B9" w:rsidRPr="001867B9">
              <w:rPr>
                <w:rFonts w:ascii="Arial" w:hAnsi="Arial" w:cs="Arial"/>
                <w:szCs w:val="24"/>
              </w:rPr>
              <w:t xml:space="preserve"> </w:t>
            </w:r>
            <w:r w:rsidR="00620E1F">
              <w:rPr>
                <w:rFonts w:ascii="Arial" w:hAnsi="Arial" w:cs="Arial"/>
                <w:szCs w:val="24"/>
              </w:rPr>
              <w:t xml:space="preserve">VAT </w:t>
            </w:r>
            <w:r w:rsidR="00A322EB">
              <w:rPr>
                <w:rFonts w:ascii="Arial" w:hAnsi="Arial" w:cs="Arial"/>
                <w:szCs w:val="24"/>
              </w:rPr>
              <w:t>r</w:t>
            </w:r>
            <w:r w:rsidR="001867B9" w:rsidRPr="001867B9">
              <w:rPr>
                <w:rFonts w:ascii="Arial" w:hAnsi="Arial" w:cs="Arial"/>
                <w:szCs w:val="24"/>
              </w:rPr>
              <w:t>eview has advanced with four years liability submitted to HMRC</w:t>
            </w:r>
            <w:r w:rsidR="00275972">
              <w:rPr>
                <w:rFonts w:ascii="Arial" w:hAnsi="Arial" w:cs="Arial"/>
                <w:szCs w:val="24"/>
              </w:rPr>
              <w:t xml:space="preserve">. </w:t>
            </w:r>
            <w:r w:rsidR="001867B9" w:rsidRPr="001867B9">
              <w:rPr>
                <w:rFonts w:ascii="Arial" w:hAnsi="Arial" w:cs="Arial"/>
                <w:szCs w:val="24"/>
              </w:rPr>
              <w:t>The 2015/16 liability was already accrued</w:t>
            </w:r>
            <w:r w:rsidR="001867B9">
              <w:rPr>
                <w:rFonts w:ascii="Arial" w:hAnsi="Arial" w:cs="Arial"/>
                <w:szCs w:val="24"/>
              </w:rPr>
              <w:t>.</w:t>
            </w:r>
          </w:p>
          <w:p w:rsidR="008512B8" w:rsidRDefault="008512B8" w:rsidP="00620E1F">
            <w:pPr>
              <w:jc w:val="both"/>
              <w:rPr>
                <w:rFonts w:ascii="Arial" w:hAnsi="Arial" w:cs="Arial"/>
                <w:szCs w:val="24"/>
              </w:rPr>
            </w:pPr>
          </w:p>
          <w:tbl>
            <w:tblPr>
              <w:tblW w:w="11676" w:type="dxa"/>
              <w:tblLayout w:type="fixed"/>
              <w:tblLook w:val="04A0" w:firstRow="1" w:lastRow="0" w:firstColumn="1" w:lastColumn="0" w:noHBand="0" w:noVBand="1"/>
            </w:tblPr>
            <w:tblGrid>
              <w:gridCol w:w="6838"/>
              <w:gridCol w:w="1436"/>
              <w:gridCol w:w="3402"/>
            </w:tblGrid>
            <w:tr w:rsidR="00BB237D" w:rsidRPr="00BB237D" w:rsidTr="0096411F">
              <w:trPr>
                <w:trHeight w:val="300"/>
              </w:trPr>
              <w:tc>
                <w:tcPr>
                  <w:tcW w:w="6838" w:type="dxa"/>
                  <w:tcBorders>
                    <w:top w:val="nil"/>
                    <w:left w:val="nil"/>
                    <w:right w:val="nil"/>
                  </w:tcBorders>
                  <w:shd w:val="clear" w:color="auto" w:fill="auto"/>
                  <w:noWrap/>
                  <w:vAlign w:val="center"/>
                  <w:hideMark/>
                </w:tcPr>
                <w:p w:rsidR="003150AF" w:rsidRPr="003150AF" w:rsidRDefault="003150AF" w:rsidP="002A47A7">
                  <w:pPr>
                    <w:ind w:right="-1544"/>
                    <w:rPr>
                      <w:rFonts w:ascii="Arial" w:hAnsi="Arial" w:cs="Arial"/>
                      <w:bCs/>
                      <w:szCs w:val="24"/>
                    </w:rPr>
                  </w:pPr>
                  <w:r w:rsidRPr="003150AF">
                    <w:rPr>
                      <w:rFonts w:ascii="Arial" w:hAnsi="Arial" w:cs="Arial"/>
                      <w:bCs/>
                      <w:szCs w:val="24"/>
                    </w:rPr>
                    <w:t>Revised Financial Statements and VAT Adjustment</w:t>
                  </w:r>
                </w:p>
                <w:p w:rsidR="003150AF" w:rsidRDefault="003150AF" w:rsidP="002A47A7">
                  <w:pPr>
                    <w:ind w:right="-1544"/>
                    <w:rPr>
                      <w:rFonts w:ascii="Arial" w:hAnsi="Arial" w:cs="Arial"/>
                      <w:b/>
                      <w:bCs/>
                      <w:szCs w:val="24"/>
                      <w:u w:val="single"/>
                    </w:rPr>
                  </w:pPr>
                </w:p>
                <w:p w:rsidR="0096411F" w:rsidRDefault="00BB237D" w:rsidP="002A47A7">
                  <w:pPr>
                    <w:ind w:right="-1544"/>
                    <w:rPr>
                      <w:rFonts w:ascii="Arial" w:hAnsi="Arial" w:cs="Arial"/>
                      <w:bCs/>
                      <w:szCs w:val="24"/>
                    </w:rPr>
                  </w:pPr>
                  <w:r w:rsidRPr="00CE4010">
                    <w:rPr>
                      <w:rFonts w:ascii="Arial" w:hAnsi="Arial" w:cs="Arial"/>
                      <w:bCs/>
                      <w:szCs w:val="24"/>
                    </w:rPr>
                    <w:t>Income and Expenditure account</w:t>
                  </w:r>
                  <w:r w:rsidR="0096411F">
                    <w:rPr>
                      <w:rFonts w:ascii="Arial" w:hAnsi="Arial" w:cs="Arial"/>
                      <w:bCs/>
                      <w:szCs w:val="24"/>
                    </w:rPr>
                    <w:t xml:space="preserve"> adjustment for the </w:t>
                  </w:r>
                  <w:r w:rsidR="0096411F" w:rsidRPr="0096411F">
                    <w:rPr>
                      <w:rFonts w:ascii="Arial" w:hAnsi="Arial" w:cs="Arial"/>
                      <w:b/>
                      <w:bCs/>
                      <w:szCs w:val="24"/>
                      <w:u w:val="single"/>
                    </w:rPr>
                    <w:t xml:space="preserve">Financial </w:t>
                  </w:r>
                </w:p>
                <w:p w:rsidR="00BB237D" w:rsidRPr="00CE4010" w:rsidRDefault="0096411F" w:rsidP="002A47A7">
                  <w:pPr>
                    <w:ind w:right="-1544"/>
                    <w:rPr>
                      <w:rFonts w:ascii="Arial" w:hAnsi="Arial" w:cs="Arial"/>
                      <w:bCs/>
                      <w:szCs w:val="24"/>
                    </w:rPr>
                  </w:pPr>
                  <w:r w:rsidRPr="0096411F">
                    <w:rPr>
                      <w:rFonts w:ascii="Arial" w:hAnsi="Arial" w:cs="Arial"/>
                      <w:b/>
                      <w:bCs/>
                      <w:szCs w:val="24"/>
                      <w:u w:val="single"/>
                    </w:rPr>
                    <w:t>Years</w:t>
                  </w:r>
                  <w:r>
                    <w:rPr>
                      <w:rFonts w:ascii="Arial" w:hAnsi="Arial" w:cs="Arial"/>
                      <w:bCs/>
                      <w:szCs w:val="24"/>
                    </w:rPr>
                    <w:t xml:space="preserve"> is</w:t>
                  </w:r>
                  <w:r w:rsidR="00BB237D" w:rsidRPr="00CE4010">
                    <w:rPr>
                      <w:rFonts w:ascii="Arial" w:hAnsi="Arial" w:cs="Arial"/>
                      <w:bCs/>
                      <w:szCs w:val="24"/>
                    </w:rPr>
                    <w:t xml:space="preserve"> £375,</w:t>
                  </w:r>
                  <w:r w:rsidR="007A535E">
                    <w:rPr>
                      <w:rFonts w:ascii="Arial" w:hAnsi="Arial" w:cs="Arial"/>
                      <w:bCs/>
                      <w:szCs w:val="24"/>
                    </w:rPr>
                    <w:t>2</w:t>
                  </w:r>
                  <w:r w:rsidR="00BB237D" w:rsidRPr="00CE4010">
                    <w:rPr>
                      <w:rFonts w:ascii="Arial" w:hAnsi="Arial" w:cs="Arial"/>
                      <w:bCs/>
                      <w:szCs w:val="24"/>
                    </w:rPr>
                    <w:t>09</w:t>
                  </w:r>
                  <w:r>
                    <w:rPr>
                      <w:rFonts w:ascii="Arial" w:hAnsi="Arial" w:cs="Arial"/>
                      <w:bCs/>
                      <w:szCs w:val="24"/>
                    </w:rPr>
                    <w:t xml:space="preserve"> for </w:t>
                  </w:r>
                  <w:r w:rsidR="004677D5" w:rsidRPr="00CE4010">
                    <w:rPr>
                      <w:rFonts w:ascii="Arial" w:hAnsi="Arial" w:cs="Arial"/>
                      <w:bCs/>
                      <w:szCs w:val="24"/>
                    </w:rPr>
                    <w:t>p</w:t>
                  </w:r>
                  <w:r w:rsidR="003150AF" w:rsidRPr="00CE4010">
                    <w:rPr>
                      <w:rFonts w:ascii="Arial" w:hAnsi="Arial" w:cs="Arial"/>
                      <w:bCs/>
                      <w:szCs w:val="24"/>
                    </w:rPr>
                    <w:t xml:space="preserve">rior </w:t>
                  </w:r>
                  <w:r w:rsidR="004677D5" w:rsidRPr="00CE4010">
                    <w:rPr>
                      <w:rFonts w:ascii="Arial" w:hAnsi="Arial" w:cs="Arial"/>
                      <w:bCs/>
                      <w:szCs w:val="24"/>
                    </w:rPr>
                    <w:t>y</w:t>
                  </w:r>
                  <w:r w:rsidR="003150AF" w:rsidRPr="00CE4010">
                    <w:rPr>
                      <w:rFonts w:ascii="Arial" w:hAnsi="Arial" w:cs="Arial"/>
                      <w:bCs/>
                      <w:szCs w:val="24"/>
                    </w:rPr>
                    <w:t>ear</w:t>
                  </w:r>
                  <w:r w:rsidR="004677D5" w:rsidRPr="00CE4010">
                    <w:rPr>
                      <w:rFonts w:ascii="Arial" w:hAnsi="Arial" w:cs="Arial"/>
                      <w:bCs/>
                      <w:szCs w:val="24"/>
                    </w:rPr>
                    <w:t>s</w:t>
                  </w:r>
                  <w:r>
                    <w:rPr>
                      <w:rFonts w:ascii="Arial" w:hAnsi="Arial" w:cs="Arial"/>
                      <w:bCs/>
                      <w:szCs w:val="24"/>
                    </w:rPr>
                    <w:t xml:space="preserve"> (2013-2015)</w:t>
                  </w:r>
                </w:p>
                <w:p w:rsidR="002A47A7" w:rsidRPr="00A322EB" w:rsidRDefault="002A47A7" w:rsidP="003150AF">
                  <w:pPr>
                    <w:ind w:right="-1544"/>
                    <w:rPr>
                      <w:rFonts w:ascii="Arial" w:hAnsi="Arial" w:cs="Arial"/>
                      <w:b/>
                      <w:bCs/>
                      <w:szCs w:val="24"/>
                      <w:u w:val="single"/>
                    </w:rPr>
                  </w:pPr>
                </w:p>
              </w:tc>
              <w:tc>
                <w:tcPr>
                  <w:tcW w:w="1436" w:type="dxa"/>
                  <w:tcBorders>
                    <w:top w:val="nil"/>
                    <w:left w:val="nil"/>
                    <w:bottom w:val="nil"/>
                    <w:right w:val="nil"/>
                  </w:tcBorders>
                  <w:shd w:val="clear" w:color="auto" w:fill="auto"/>
                  <w:noWrap/>
                  <w:vAlign w:val="bottom"/>
                  <w:hideMark/>
                </w:tcPr>
                <w:p w:rsidR="00BB237D" w:rsidRPr="00A322EB" w:rsidRDefault="00BB237D" w:rsidP="00275972">
                  <w:pPr>
                    <w:rPr>
                      <w:rFonts w:ascii="Arial" w:hAnsi="Arial" w:cs="Arial"/>
                      <w:szCs w:val="24"/>
                    </w:rPr>
                  </w:pPr>
                </w:p>
              </w:tc>
              <w:tc>
                <w:tcPr>
                  <w:tcW w:w="3402" w:type="dxa"/>
                  <w:tcBorders>
                    <w:top w:val="nil"/>
                    <w:left w:val="nil"/>
                    <w:bottom w:val="nil"/>
                    <w:right w:val="nil"/>
                  </w:tcBorders>
                  <w:shd w:val="clear" w:color="auto" w:fill="auto"/>
                  <w:noWrap/>
                  <w:vAlign w:val="bottom"/>
                  <w:hideMark/>
                </w:tcPr>
                <w:p w:rsidR="00BB237D" w:rsidRPr="00BB237D" w:rsidRDefault="00BB237D" w:rsidP="0073017A">
                  <w:pPr>
                    <w:jc w:val="center"/>
                    <w:rPr>
                      <w:color w:val="000000"/>
                      <w:sz w:val="20"/>
                    </w:rPr>
                  </w:pPr>
                </w:p>
              </w:tc>
            </w:tr>
            <w:tr w:rsidR="00BB237D" w:rsidRPr="00BB237D" w:rsidTr="0096411F">
              <w:trPr>
                <w:trHeight w:val="300"/>
              </w:trPr>
              <w:tc>
                <w:tcPr>
                  <w:tcW w:w="11676" w:type="dxa"/>
                  <w:gridSpan w:val="3"/>
                  <w:tcBorders>
                    <w:top w:val="nil"/>
                    <w:left w:val="nil"/>
                    <w:bottom w:val="nil"/>
                    <w:right w:val="nil"/>
                  </w:tcBorders>
                  <w:shd w:val="clear" w:color="auto" w:fill="auto"/>
                  <w:noWrap/>
                  <w:vAlign w:val="center"/>
                  <w:hideMark/>
                </w:tcPr>
                <w:p w:rsidR="0096411F" w:rsidRDefault="00BB237D" w:rsidP="00BB237D">
                  <w:pPr>
                    <w:rPr>
                      <w:rFonts w:ascii="Arial" w:hAnsi="Arial" w:cs="Arial"/>
                      <w:bCs/>
                      <w:color w:val="000000"/>
                      <w:szCs w:val="24"/>
                      <w:u w:val="single"/>
                    </w:rPr>
                  </w:pPr>
                  <w:r w:rsidRPr="00CE4010">
                    <w:rPr>
                      <w:rFonts w:ascii="Arial" w:hAnsi="Arial" w:cs="Arial"/>
                      <w:bCs/>
                      <w:color w:val="000000"/>
                      <w:szCs w:val="24"/>
                      <w:u w:val="single"/>
                    </w:rPr>
                    <w:t>Expenditure on charitable activities was understated</w:t>
                  </w:r>
                  <w:r w:rsidR="0096411F">
                    <w:rPr>
                      <w:rFonts w:ascii="Arial" w:hAnsi="Arial" w:cs="Arial"/>
                      <w:bCs/>
                      <w:color w:val="000000"/>
                      <w:szCs w:val="24"/>
                      <w:u w:val="single"/>
                    </w:rPr>
                    <w:t xml:space="preserve"> ( Vat liability and Interest)</w:t>
                  </w:r>
                </w:p>
                <w:p w:rsidR="00BB237D" w:rsidRPr="004677D5" w:rsidRDefault="00BB237D" w:rsidP="00BB237D">
                  <w:pPr>
                    <w:rPr>
                      <w:rFonts w:ascii="Arial" w:hAnsi="Arial" w:cs="Arial"/>
                      <w:b/>
                      <w:bCs/>
                      <w:color w:val="000000"/>
                      <w:szCs w:val="24"/>
                      <w:u w:val="single"/>
                    </w:rPr>
                  </w:pPr>
                  <w:r w:rsidRPr="00CE4010">
                    <w:rPr>
                      <w:rFonts w:ascii="Arial" w:hAnsi="Arial" w:cs="Arial"/>
                      <w:bCs/>
                      <w:color w:val="000000"/>
                      <w:szCs w:val="24"/>
                      <w:u w:val="single"/>
                    </w:rPr>
                    <w:t>as follows</w:t>
                  </w:r>
                  <w:r w:rsidRPr="004677D5">
                    <w:rPr>
                      <w:rFonts w:ascii="Arial" w:hAnsi="Arial" w:cs="Arial"/>
                      <w:b/>
                      <w:bCs/>
                      <w:color w:val="000000"/>
                      <w:szCs w:val="24"/>
                      <w:u w:val="single"/>
                    </w:rPr>
                    <w:t>:</w:t>
                  </w:r>
                </w:p>
              </w:tc>
            </w:tr>
            <w:tr w:rsidR="00BB237D" w:rsidRPr="00BB237D" w:rsidTr="0096411F">
              <w:trPr>
                <w:trHeight w:val="300"/>
              </w:trPr>
              <w:tc>
                <w:tcPr>
                  <w:tcW w:w="6838" w:type="dxa"/>
                  <w:tcBorders>
                    <w:top w:val="nil"/>
                    <w:left w:val="nil"/>
                    <w:bottom w:val="nil"/>
                    <w:right w:val="nil"/>
                  </w:tcBorders>
                  <w:shd w:val="clear" w:color="auto" w:fill="auto"/>
                  <w:noWrap/>
                  <w:vAlign w:val="center"/>
                  <w:hideMark/>
                </w:tcPr>
                <w:p w:rsidR="00BB237D" w:rsidRPr="00BB237D" w:rsidRDefault="00BB237D" w:rsidP="00BB237D">
                  <w:pPr>
                    <w:rPr>
                      <w:rFonts w:ascii="Arial" w:hAnsi="Arial" w:cs="Arial"/>
                      <w:color w:val="000000"/>
                      <w:szCs w:val="24"/>
                    </w:rPr>
                  </w:pPr>
                  <w:r w:rsidRPr="00BB237D">
                    <w:rPr>
                      <w:rFonts w:ascii="Arial" w:hAnsi="Arial" w:cs="Arial"/>
                      <w:color w:val="000000"/>
                      <w:szCs w:val="24"/>
                    </w:rPr>
                    <w:t>Year ending March 2013</w:t>
                  </w:r>
                </w:p>
              </w:tc>
              <w:tc>
                <w:tcPr>
                  <w:tcW w:w="1436" w:type="dxa"/>
                  <w:tcBorders>
                    <w:top w:val="nil"/>
                    <w:left w:val="nil"/>
                    <w:bottom w:val="nil"/>
                    <w:right w:val="nil"/>
                  </w:tcBorders>
                  <w:shd w:val="clear" w:color="auto" w:fill="auto"/>
                  <w:noWrap/>
                  <w:vAlign w:val="center"/>
                  <w:hideMark/>
                </w:tcPr>
                <w:p w:rsidR="00BB237D" w:rsidRPr="00BB237D" w:rsidRDefault="00BB237D" w:rsidP="00BB237D">
                  <w:pPr>
                    <w:jc w:val="right"/>
                    <w:rPr>
                      <w:rFonts w:ascii="Arial" w:hAnsi="Arial" w:cs="Arial"/>
                      <w:color w:val="000000"/>
                      <w:szCs w:val="24"/>
                    </w:rPr>
                  </w:pPr>
                  <w:r w:rsidRPr="00BB237D">
                    <w:rPr>
                      <w:rFonts w:ascii="Arial" w:hAnsi="Arial" w:cs="Arial"/>
                      <w:color w:val="000000"/>
                      <w:szCs w:val="24"/>
                    </w:rPr>
                    <w:t>£63,465</w:t>
                  </w:r>
                </w:p>
              </w:tc>
              <w:tc>
                <w:tcPr>
                  <w:tcW w:w="3402" w:type="dxa"/>
                  <w:tcBorders>
                    <w:top w:val="nil"/>
                    <w:left w:val="nil"/>
                    <w:bottom w:val="nil"/>
                    <w:right w:val="nil"/>
                  </w:tcBorders>
                  <w:shd w:val="clear" w:color="auto" w:fill="auto"/>
                  <w:noWrap/>
                  <w:vAlign w:val="bottom"/>
                  <w:hideMark/>
                </w:tcPr>
                <w:p w:rsidR="00BB237D" w:rsidRPr="00BB237D" w:rsidRDefault="00BB237D" w:rsidP="00BB237D">
                  <w:pPr>
                    <w:rPr>
                      <w:color w:val="000000"/>
                      <w:sz w:val="20"/>
                    </w:rPr>
                  </w:pPr>
                </w:p>
              </w:tc>
            </w:tr>
            <w:tr w:rsidR="00BB237D" w:rsidRPr="00BB237D" w:rsidTr="0096411F">
              <w:trPr>
                <w:trHeight w:val="300"/>
              </w:trPr>
              <w:tc>
                <w:tcPr>
                  <w:tcW w:w="6838" w:type="dxa"/>
                  <w:tcBorders>
                    <w:top w:val="nil"/>
                    <w:left w:val="nil"/>
                    <w:bottom w:val="nil"/>
                    <w:right w:val="nil"/>
                  </w:tcBorders>
                  <w:shd w:val="clear" w:color="auto" w:fill="auto"/>
                  <w:noWrap/>
                  <w:vAlign w:val="center"/>
                  <w:hideMark/>
                </w:tcPr>
                <w:p w:rsidR="00BB237D" w:rsidRPr="00BB237D" w:rsidRDefault="00BB237D" w:rsidP="00BB237D">
                  <w:pPr>
                    <w:rPr>
                      <w:rFonts w:ascii="Arial" w:hAnsi="Arial" w:cs="Arial"/>
                      <w:color w:val="000000"/>
                      <w:szCs w:val="24"/>
                    </w:rPr>
                  </w:pPr>
                  <w:r w:rsidRPr="00BB237D">
                    <w:rPr>
                      <w:rFonts w:ascii="Arial" w:hAnsi="Arial" w:cs="Arial"/>
                      <w:color w:val="000000"/>
                      <w:szCs w:val="24"/>
                    </w:rPr>
                    <w:t>Year ending March 2014</w:t>
                  </w:r>
                </w:p>
              </w:tc>
              <w:tc>
                <w:tcPr>
                  <w:tcW w:w="1436" w:type="dxa"/>
                  <w:tcBorders>
                    <w:top w:val="nil"/>
                    <w:left w:val="nil"/>
                    <w:bottom w:val="nil"/>
                    <w:right w:val="nil"/>
                  </w:tcBorders>
                  <w:shd w:val="clear" w:color="auto" w:fill="auto"/>
                  <w:noWrap/>
                  <w:vAlign w:val="center"/>
                  <w:hideMark/>
                </w:tcPr>
                <w:p w:rsidR="00BB237D" w:rsidRPr="00BB237D" w:rsidRDefault="00BB237D" w:rsidP="007A535E">
                  <w:pPr>
                    <w:jc w:val="right"/>
                    <w:rPr>
                      <w:rFonts w:ascii="Arial" w:hAnsi="Arial" w:cs="Arial"/>
                      <w:color w:val="000000"/>
                      <w:szCs w:val="24"/>
                    </w:rPr>
                  </w:pPr>
                  <w:r w:rsidRPr="00BB237D">
                    <w:rPr>
                      <w:rFonts w:ascii="Arial" w:hAnsi="Arial" w:cs="Arial"/>
                      <w:color w:val="000000"/>
                      <w:szCs w:val="24"/>
                    </w:rPr>
                    <w:t>£160,</w:t>
                  </w:r>
                  <w:r w:rsidR="007A535E">
                    <w:rPr>
                      <w:rFonts w:ascii="Arial" w:hAnsi="Arial" w:cs="Arial"/>
                      <w:color w:val="000000"/>
                      <w:szCs w:val="24"/>
                    </w:rPr>
                    <w:t>1</w:t>
                  </w:r>
                  <w:r w:rsidRPr="00BB237D">
                    <w:rPr>
                      <w:rFonts w:ascii="Arial" w:hAnsi="Arial" w:cs="Arial"/>
                      <w:color w:val="000000"/>
                      <w:szCs w:val="24"/>
                    </w:rPr>
                    <w:t>75</w:t>
                  </w:r>
                </w:p>
              </w:tc>
              <w:tc>
                <w:tcPr>
                  <w:tcW w:w="3402" w:type="dxa"/>
                  <w:tcBorders>
                    <w:top w:val="nil"/>
                    <w:left w:val="nil"/>
                    <w:bottom w:val="nil"/>
                    <w:right w:val="nil"/>
                  </w:tcBorders>
                  <w:shd w:val="clear" w:color="auto" w:fill="auto"/>
                  <w:noWrap/>
                  <w:vAlign w:val="bottom"/>
                  <w:hideMark/>
                </w:tcPr>
                <w:p w:rsidR="00BB237D" w:rsidRPr="00BB237D" w:rsidRDefault="00BB237D" w:rsidP="00BB237D">
                  <w:pPr>
                    <w:rPr>
                      <w:color w:val="000000"/>
                      <w:sz w:val="20"/>
                    </w:rPr>
                  </w:pPr>
                </w:p>
              </w:tc>
            </w:tr>
            <w:tr w:rsidR="00BB237D" w:rsidRPr="00BB237D" w:rsidTr="0096411F">
              <w:trPr>
                <w:trHeight w:val="300"/>
              </w:trPr>
              <w:tc>
                <w:tcPr>
                  <w:tcW w:w="6838" w:type="dxa"/>
                  <w:tcBorders>
                    <w:top w:val="nil"/>
                    <w:left w:val="nil"/>
                    <w:bottom w:val="nil"/>
                    <w:right w:val="nil"/>
                  </w:tcBorders>
                  <w:shd w:val="clear" w:color="auto" w:fill="auto"/>
                  <w:noWrap/>
                  <w:vAlign w:val="center"/>
                  <w:hideMark/>
                </w:tcPr>
                <w:p w:rsidR="00BB237D" w:rsidRPr="00BB237D" w:rsidRDefault="00BB237D" w:rsidP="00BB237D">
                  <w:pPr>
                    <w:rPr>
                      <w:rFonts w:ascii="Arial" w:hAnsi="Arial" w:cs="Arial"/>
                      <w:color w:val="000000"/>
                      <w:szCs w:val="24"/>
                    </w:rPr>
                  </w:pPr>
                  <w:r w:rsidRPr="00BB237D">
                    <w:rPr>
                      <w:rFonts w:ascii="Arial" w:hAnsi="Arial" w:cs="Arial"/>
                      <w:color w:val="000000"/>
                      <w:szCs w:val="24"/>
                    </w:rPr>
                    <w:t>Year ending March 2015</w:t>
                  </w:r>
                </w:p>
              </w:tc>
              <w:tc>
                <w:tcPr>
                  <w:tcW w:w="1436" w:type="dxa"/>
                  <w:tcBorders>
                    <w:top w:val="nil"/>
                    <w:left w:val="nil"/>
                    <w:bottom w:val="nil"/>
                    <w:right w:val="nil"/>
                  </w:tcBorders>
                  <w:shd w:val="clear" w:color="auto" w:fill="auto"/>
                  <w:noWrap/>
                  <w:vAlign w:val="center"/>
                  <w:hideMark/>
                </w:tcPr>
                <w:p w:rsidR="00BB237D" w:rsidRPr="00BB237D" w:rsidRDefault="00BB237D" w:rsidP="00BB237D">
                  <w:pPr>
                    <w:jc w:val="right"/>
                    <w:rPr>
                      <w:rFonts w:ascii="Arial" w:hAnsi="Arial" w:cs="Arial"/>
                      <w:color w:val="000000"/>
                      <w:szCs w:val="24"/>
                    </w:rPr>
                  </w:pPr>
                  <w:r w:rsidRPr="00BB237D">
                    <w:rPr>
                      <w:rFonts w:ascii="Arial" w:hAnsi="Arial" w:cs="Arial"/>
                      <w:color w:val="000000"/>
                      <w:szCs w:val="24"/>
                    </w:rPr>
                    <w:t>£151,569</w:t>
                  </w:r>
                </w:p>
              </w:tc>
              <w:tc>
                <w:tcPr>
                  <w:tcW w:w="3402" w:type="dxa"/>
                  <w:tcBorders>
                    <w:top w:val="nil"/>
                    <w:left w:val="nil"/>
                    <w:bottom w:val="nil"/>
                    <w:right w:val="nil"/>
                  </w:tcBorders>
                  <w:shd w:val="clear" w:color="auto" w:fill="auto"/>
                  <w:noWrap/>
                  <w:vAlign w:val="bottom"/>
                  <w:hideMark/>
                </w:tcPr>
                <w:p w:rsidR="00BB237D" w:rsidRPr="00BB237D" w:rsidRDefault="00BB237D" w:rsidP="00BB237D">
                  <w:pPr>
                    <w:rPr>
                      <w:color w:val="000000"/>
                      <w:sz w:val="20"/>
                    </w:rPr>
                  </w:pPr>
                </w:p>
              </w:tc>
            </w:tr>
          </w:tbl>
          <w:p w:rsidR="00275972" w:rsidRPr="00275972" w:rsidRDefault="00275972" w:rsidP="00275972">
            <w:pPr>
              <w:tabs>
                <w:tab w:val="left" w:pos="1020"/>
              </w:tabs>
              <w:rPr>
                <w:rFonts w:ascii="Arial" w:hAnsi="Arial" w:cs="Arial"/>
                <w:szCs w:val="24"/>
              </w:rPr>
            </w:pPr>
          </w:p>
        </w:tc>
      </w:tr>
      <w:tr w:rsidR="00EC25B8" w:rsidRPr="0089449E">
        <w:tc>
          <w:tcPr>
            <w:tcW w:w="817" w:type="dxa"/>
          </w:tcPr>
          <w:p w:rsidR="00C22F42" w:rsidRDefault="00C22F42" w:rsidP="00472040">
            <w:pPr>
              <w:jc w:val="both"/>
              <w:rPr>
                <w:rFonts w:ascii="Arial" w:hAnsi="Arial" w:cs="Arial"/>
                <w:szCs w:val="24"/>
              </w:rPr>
            </w:pPr>
          </w:p>
          <w:p w:rsidR="00C22F42" w:rsidRDefault="00C22F42" w:rsidP="00472040">
            <w:pPr>
              <w:jc w:val="both"/>
              <w:rPr>
                <w:rFonts w:ascii="Arial" w:hAnsi="Arial" w:cs="Arial"/>
                <w:szCs w:val="24"/>
              </w:rPr>
            </w:pPr>
          </w:p>
          <w:p w:rsidR="0096411F" w:rsidRDefault="0096411F" w:rsidP="00472040">
            <w:pPr>
              <w:jc w:val="both"/>
              <w:rPr>
                <w:rFonts w:ascii="Arial" w:hAnsi="Arial" w:cs="Arial"/>
                <w:szCs w:val="24"/>
              </w:rPr>
            </w:pPr>
          </w:p>
          <w:p w:rsidR="0096411F" w:rsidRDefault="0096411F" w:rsidP="00472040">
            <w:pPr>
              <w:jc w:val="both"/>
              <w:rPr>
                <w:rFonts w:ascii="Arial" w:hAnsi="Arial" w:cs="Arial"/>
                <w:szCs w:val="24"/>
              </w:rPr>
            </w:pPr>
          </w:p>
          <w:p w:rsidR="0096411F" w:rsidRDefault="0096411F" w:rsidP="00472040">
            <w:pPr>
              <w:jc w:val="both"/>
              <w:rPr>
                <w:rFonts w:ascii="Arial" w:hAnsi="Arial" w:cs="Arial"/>
                <w:szCs w:val="24"/>
              </w:rPr>
            </w:pPr>
          </w:p>
          <w:p w:rsidR="0096411F" w:rsidRDefault="0096411F" w:rsidP="00472040">
            <w:pPr>
              <w:jc w:val="both"/>
              <w:rPr>
                <w:rFonts w:ascii="Arial" w:hAnsi="Arial" w:cs="Arial"/>
                <w:szCs w:val="24"/>
              </w:rPr>
            </w:pPr>
          </w:p>
          <w:p w:rsidR="005E3760" w:rsidRDefault="005E3760" w:rsidP="00472040">
            <w:pPr>
              <w:jc w:val="both"/>
              <w:rPr>
                <w:rFonts w:ascii="Arial" w:hAnsi="Arial" w:cs="Arial"/>
                <w:szCs w:val="24"/>
              </w:rPr>
            </w:pPr>
          </w:p>
          <w:p w:rsidR="0096411F" w:rsidRDefault="005E3760" w:rsidP="00472040">
            <w:pPr>
              <w:jc w:val="both"/>
              <w:rPr>
                <w:rFonts w:ascii="Arial" w:hAnsi="Arial" w:cs="Arial"/>
                <w:szCs w:val="24"/>
              </w:rPr>
            </w:pPr>
            <w:r>
              <w:rPr>
                <w:rFonts w:ascii="Arial" w:hAnsi="Arial" w:cs="Arial"/>
                <w:szCs w:val="24"/>
              </w:rPr>
              <w:t>5.3.2</w:t>
            </w:r>
          </w:p>
          <w:p w:rsidR="0096411F" w:rsidRDefault="0096411F" w:rsidP="00472040">
            <w:pPr>
              <w:jc w:val="both"/>
              <w:rPr>
                <w:rFonts w:ascii="Arial" w:hAnsi="Arial" w:cs="Arial"/>
                <w:szCs w:val="24"/>
              </w:rPr>
            </w:pPr>
          </w:p>
          <w:p w:rsidR="0096411F" w:rsidRDefault="0096411F" w:rsidP="00472040">
            <w:pPr>
              <w:jc w:val="both"/>
              <w:rPr>
                <w:rFonts w:ascii="Arial" w:hAnsi="Arial" w:cs="Arial"/>
                <w:szCs w:val="24"/>
              </w:rPr>
            </w:pPr>
          </w:p>
          <w:p w:rsidR="0096411F" w:rsidRDefault="0096411F" w:rsidP="00472040">
            <w:pPr>
              <w:jc w:val="both"/>
              <w:rPr>
                <w:rFonts w:ascii="Arial" w:hAnsi="Arial" w:cs="Arial"/>
                <w:szCs w:val="24"/>
              </w:rPr>
            </w:pPr>
          </w:p>
          <w:p w:rsidR="005E3760" w:rsidRDefault="005E3760" w:rsidP="00472040">
            <w:pPr>
              <w:jc w:val="both"/>
              <w:rPr>
                <w:rFonts w:ascii="Arial" w:hAnsi="Arial" w:cs="Arial"/>
                <w:szCs w:val="24"/>
              </w:rPr>
            </w:pPr>
          </w:p>
          <w:p w:rsidR="005E3760" w:rsidRDefault="005E3760" w:rsidP="00472040">
            <w:pPr>
              <w:jc w:val="both"/>
              <w:rPr>
                <w:rFonts w:ascii="Arial" w:hAnsi="Arial" w:cs="Arial"/>
                <w:szCs w:val="24"/>
              </w:rPr>
            </w:pPr>
          </w:p>
          <w:p w:rsidR="005E3760" w:rsidRDefault="005E3760" w:rsidP="00472040">
            <w:pPr>
              <w:jc w:val="both"/>
              <w:rPr>
                <w:rFonts w:ascii="Arial" w:hAnsi="Arial" w:cs="Arial"/>
                <w:szCs w:val="24"/>
              </w:rPr>
            </w:pPr>
          </w:p>
          <w:p w:rsidR="00EC25B8" w:rsidRDefault="00EC25B8" w:rsidP="00472040">
            <w:pPr>
              <w:jc w:val="both"/>
              <w:rPr>
                <w:rFonts w:ascii="Arial" w:hAnsi="Arial" w:cs="Arial"/>
                <w:szCs w:val="24"/>
              </w:rPr>
            </w:pPr>
            <w:r w:rsidRPr="00EC25B8">
              <w:rPr>
                <w:rFonts w:ascii="Arial" w:hAnsi="Arial" w:cs="Arial"/>
                <w:szCs w:val="24"/>
              </w:rPr>
              <w:t>5.</w:t>
            </w:r>
            <w:r w:rsidR="002A47A7">
              <w:rPr>
                <w:rFonts w:ascii="Arial" w:hAnsi="Arial" w:cs="Arial"/>
                <w:szCs w:val="24"/>
              </w:rPr>
              <w:t>3</w:t>
            </w:r>
            <w:r w:rsidR="003150AF">
              <w:rPr>
                <w:rFonts w:ascii="Arial" w:hAnsi="Arial" w:cs="Arial"/>
                <w:szCs w:val="24"/>
              </w:rPr>
              <w:t>.2</w:t>
            </w: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Default="00EC25B8" w:rsidP="00472040">
            <w:pPr>
              <w:jc w:val="both"/>
              <w:rPr>
                <w:rFonts w:ascii="Arial" w:hAnsi="Arial" w:cs="Arial"/>
                <w:szCs w:val="24"/>
              </w:rPr>
            </w:pPr>
          </w:p>
          <w:p w:rsidR="00EC25B8" w:rsidRPr="00EC25B8" w:rsidRDefault="00EC25B8" w:rsidP="00472040">
            <w:pPr>
              <w:jc w:val="both"/>
              <w:rPr>
                <w:rFonts w:ascii="Arial" w:hAnsi="Arial" w:cs="Arial"/>
                <w:szCs w:val="24"/>
              </w:rPr>
            </w:pPr>
          </w:p>
        </w:tc>
        <w:tc>
          <w:tcPr>
            <w:tcW w:w="8647" w:type="dxa"/>
          </w:tcPr>
          <w:p w:rsidR="00C22F42" w:rsidRDefault="00C22F42" w:rsidP="00EC25B8">
            <w:pPr>
              <w:jc w:val="both"/>
              <w:rPr>
                <w:rFonts w:ascii="Arial" w:hAnsi="Arial" w:cs="Arial"/>
                <w:szCs w:val="24"/>
              </w:rPr>
            </w:pPr>
          </w:p>
          <w:p w:rsidR="0096411F" w:rsidRDefault="0096411F" w:rsidP="00EC25B8">
            <w:pPr>
              <w:jc w:val="both"/>
              <w:rPr>
                <w:rFonts w:ascii="Arial" w:hAnsi="Arial" w:cs="Arial"/>
                <w:szCs w:val="24"/>
              </w:rPr>
            </w:pPr>
            <w:r>
              <w:rPr>
                <w:rFonts w:ascii="Arial" w:hAnsi="Arial" w:cs="Arial"/>
                <w:szCs w:val="24"/>
              </w:rPr>
              <w:t xml:space="preserve">An additional accrual </w:t>
            </w:r>
            <w:r w:rsidR="005E3760">
              <w:rPr>
                <w:rFonts w:ascii="Arial" w:hAnsi="Arial" w:cs="Arial"/>
                <w:szCs w:val="24"/>
              </w:rPr>
              <w:t xml:space="preserve">for interest </w:t>
            </w:r>
            <w:r>
              <w:rPr>
                <w:rFonts w:ascii="Arial" w:hAnsi="Arial" w:cs="Arial"/>
                <w:szCs w:val="24"/>
              </w:rPr>
              <w:t>of £13,</w:t>
            </w:r>
            <w:r w:rsidR="007A535E">
              <w:rPr>
                <w:rFonts w:ascii="Arial" w:hAnsi="Arial" w:cs="Arial"/>
                <w:szCs w:val="24"/>
              </w:rPr>
              <w:t>3</w:t>
            </w:r>
            <w:r>
              <w:rPr>
                <w:rFonts w:ascii="Arial" w:hAnsi="Arial" w:cs="Arial"/>
                <w:szCs w:val="24"/>
              </w:rPr>
              <w:t>11 was required for the financial year 2015/16.</w:t>
            </w:r>
          </w:p>
          <w:p w:rsidR="0096411F" w:rsidRDefault="0096411F" w:rsidP="00EC25B8">
            <w:pPr>
              <w:jc w:val="both"/>
              <w:rPr>
                <w:rFonts w:ascii="Arial" w:hAnsi="Arial" w:cs="Arial"/>
                <w:szCs w:val="24"/>
              </w:rPr>
            </w:pPr>
          </w:p>
          <w:p w:rsidR="0096411F" w:rsidRDefault="0096411F" w:rsidP="00EC25B8">
            <w:pPr>
              <w:jc w:val="both"/>
              <w:rPr>
                <w:rFonts w:ascii="Arial" w:hAnsi="Arial" w:cs="Arial"/>
                <w:szCs w:val="24"/>
              </w:rPr>
            </w:pPr>
            <w:r>
              <w:rPr>
                <w:rFonts w:ascii="Arial" w:hAnsi="Arial" w:cs="Arial"/>
                <w:szCs w:val="24"/>
              </w:rPr>
              <w:t>Total Adjustment in F</w:t>
            </w:r>
            <w:r w:rsidR="005E3760">
              <w:rPr>
                <w:rFonts w:ascii="Arial" w:hAnsi="Arial" w:cs="Arial"/>
                <w:szCs w:val="24"/>
              </w:rPr>
              <w:t xml:space="preserve">inancial </w:t>
            </w:r>
            <w:r>
              <w:rPr>
                <w:rFonts w:ascii="Arial" w:hAnsi="Arial" w:cs="Arial"/>
                <w:szCs w:val="24"/>
              </w:rPr>
              <w:t>S</w:t>
            </w:r>
            <w:r w:rsidR="005E3760">
              <w:rPr>
                <w:rFonts w:ascii="Arial" w:hAnsi="Arial" w:cs="Arial"/>
                <w:szCs w:val="24"/>
              </w:rPr>
              <w:t>tatements is</w:t>
            </w:r>
            <w:r>
              <w:rPr>
                <w:rFonts w:ascii="Arial" w:hAnsi="Arial" w:cs="Arial"/>
                <w:szCs w:val="24"/>
              </w:rPr>
              <w:t xml:space="preserve"> £388,520 (£375,509 for years 2013-15 and £13,</w:t>
            </w:r>
            <w:r w:rsidR="007A535E">
              <w:rPr>
                <w:rFonts w:ascii="Arial" w:hAnsi="Arial" w:cs="Arial"/>
                <w:szCs w:val="24"/>
              </w:rPr>
              <w:t>3</w:t>
            </w:r>
            <w:r>
              <w:rPr>
                <w:rFonts w:ascii="Arial" w:hAnsi="Arial" w:cs="Arial"/>
                <w:szCs w:val="24"/>
              </w:rPr>
              <w:t>11 for 2015/16)</w:t>
            </w:r>
          </w:p>
          <w:p w:rsidR="0096411F" w:rsidRDefault="0096411F" w:rsidP="00EC25B8">
            <w:pPr>
              <w:jc w:val="both"/>
              <w:rPr>
                <w:rFonts w:ascii="Arial" w:hAnsi="Arial" w:cs="Arial"/>
                <w:szCs w:val="24"/>
              </w:rPr>
            </w:pPr>
          </w:p>
          <w:p w:rsidR="00C22F42" w:rsidRDefault="005E3760" w:rsidP="00EC25B8">
            <w:pPr>
              <w:jc w:val="both"/>
              <w:rPr>
                <w:rFonts w:ascii="Arial" w:hAnsi="Arial" w:cs="Arial"/>
                <w:szCs w:val="24"/>
              </w:rPr>
            </w:pPr>
            <w:r>
              <w:rPr>
                <w:rFonts w:ascii="Arial" w:hAnsi="Arial" w:cs="Arial"/>
                <w:szCs w:val="24"/>
              </w:rPr>
              <w:t>Note: The</w:t>
            </w:r>
            <w:r w:rsidR="0096411F">
              <w:rPr>
                <w:rFonts w:ascii="Arial" w:hAnsi="Arial" w:cs="Arial"/>
                <w:szCs w:val="24"/>
              </w:rPr>
              <w:t xml:space="preserve"> liabilities noted in Paragraph 4.2.1 are the VAT amounts due in respect of the Tax year which ends in May</w:t>
            </w:r>
            <w:r>
              <w:rPr>
                <w:rFonts w:ascii="Arial" w:hAnsi="Arial" w:cs="Arial"/>
                <w:szCs w:val="24"/>
              </w:rPr>
              <w:t xml:space="preserve"> which have been submitted to HMRC.</w:t>
            </w:r>
          </w:p>
          <w:p w:rsidR="005E3760" w:rsidRDefault="005E3760" w:rsidP="00EC25B8">
            <w:pPr>
              <w:jc w:val="both"/>
              <w:rPr>
                <w:rFonts w:ascii="Arial" w:hAnsi="Arial" w:cs="Arial"/>
                <w:szCs w:val="24"/>
              </w:rPr>
            </w:pPr>
          </w:p>
          <w:p w:rsidR="0096411F" w:rsidRDefault="0096411F" w:rsidP="00EC25B8">
            <w:pPr>
              <w:jc w:val="both"/>
              <w:rPr>
                <w:rFonts w:ascii="Arial" w:hAnsi="Arial" w:cs="Arial"/>
                <w:szCs w:val="24"/>
              </w:rPr>
            </w:pPr>
            <w:r>
              <w:rPr>
                <w:rFonts w:ascii="Arial" w:hAnsi="Arial" w:cs="Arial"/>
                <w:szCs w:val="24"/>
              </w:rPr>
              <w:t>The liabilities and Imp</w:t>
            </w:r>
            <w:r w:rsidR="005E3760">
              <w:rPr>
                <w:rFonts w:ascii="Arial" w:hAnsi="Arial" w:cs="Arial"/>
                <w:szCs w:val="24"/>
              </w:rPr>
              <w:t>a</w:t>
            </w:r>
            <w:r>
              <w:rPr>
                <w:rFonts w:ascii="Arial" w:hAnsi="Arial" w:cs="Arial"/>
                <w:szCs w:val="24"/>
              </w:rPr>
              <w:t xml:space="preserve">ct on Reserves in 5.3.1 are the amounts prorated to the </w:t>
            </w:r>
            <w:r w:rsidR="0026371C">
              <w:rPr>
                <w:rFonts w:ascii="Arial" w:hAnsi="Arial" w:cs="Arial"/>
                <w:szCs w:val="24"/>
              </w:rPr>
              <w:t>f</w:t>
            </w:r>
            <w:r>
              <w:rPr>
                <w:rFonts w:ascii="Arial" w:hAnsi="Arial" w:cs="Arial"/>
                <w:szCs w:val="24"/>
              </w:rPr>
              <w:t>inancial year ending March and an interest accrual.</w:t>
            </w:r>
          </w:p>
          <w:p w:rsidR="0096411F" w:rsidRDefault="0096411F" w:rsidP="00EC25B8">
            <w:pPr>
              <w:jc w:val="both"/>
              <w:rPr>
                <w:rFonts w:ascii="Arial" w:hAnsi="Arial" w:cs="Arial"/>
                <w:szCs w:val="24"/>
              </w:rPr>
            </w:pPr>
          </w:p>
          <w:p w:rsidR="00EC25B8" w:rsidRDefault="00EC25B8" w:rsidP="00EC25B8">
            <w:pPr>
              <w:jc w:val="both"/>
              <w:rPr>
                <w:rFonts w:ascii="Arial" w:hAnsi="Arial" w:cs="Arial"/>
                <w:szCs w:val="24"/>
              </w:rPr>
            </w:pPr>
            <w:r>
              <w:rPr>
                <w:rFonts w:ascii="Arial" w:hAnsi="Arial" w:cs="Arial"/>
                <w:szCs w:val="24"/>
              </w:rPr>
              <w:t xml:space="preserve">The Impact on </w:t>
            </w:r>
            <w:r w:rsidRPr="00275972">
              <w:rPr>
                <w:rFonts w:ascii="Arial" w:hAnsi="Arial" w:cs="Arial"/>
                <w:b/>
                <w:szCs w:val="24"/>
                <w:u w:val="single"/>
              </w:rPr>
              <w:t>Reserves</w:t>
            </w:r>
            <w:r>
              <w:rPr>
                <w:rFonts w:ascii="Arial" w:hAnsi="Arial" w:cs="Arial"/>
                <w:szCs w:val="24"/>
              </w:rPr>
              <w:t xml:space="preserve"> is as follows:</w:t>
            </w:r>
          </w:p>
          <w:p w:rsidR="00EC25B8" w:rsidRDefault="00EC25B8" w:rsidP="00EC25B8">
            <w:pPr>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2"/>
              <w:gridCol w:w="1559"/>
              <w:gridCol w:w="1725"/>
            </w:tblGrid>
            <w:tr w:rsidR="007612F1" w:rsidTr="00E77AE9">
              <w:tc>
                <w:tcPr>
                  <w:tcW w:w="5132" w:type="dxa"/>
                </w:tcPr>
                <w:p w:rsidR="007612F1" w:rsidRPr="004677D5" w:rsidRDefault="007612F1" w:rsidP="007612F1">
                  <w:pPr>
                    <w:jc w:val="both"/>
                    <w:rPr>
                      <w:rFonts w:ascii="Arial" w:eastAsia="Calibri" w:hAnsi="Arial" w:cs="Arial"/>
                      <w:b/>
                      <w:szCs w:val="24"/>
                    </w:rPr>
                  </w:pPr>
                </w:p>
              </w:tc>
              <w:tc>
                <w:tcPr>
                  <w:tcW w:w="1559" w:type="dxa"/>
                </w:tcPr>
                <w:p w:rsidR="007612F1" w:rsidRPr="004677D5" w:rsidRDefault="007612F1" w:rsidP="004677D5">
                  <w:pPr>
                    <w:jc w:val="right"/>
                    <w:rPr>
                      <w:rFonts w:ascii="Arial" w:eastAsia="Calibri" w:hAnsi="Arial" w:cs="Arial"/>
                      <w:b/>
                      <w:szCs w:val="24"/>
                    </w:rPr>
                  </w:pPr>
                  <w:r w:rsidRPr="004677D5">
                    <w:rPr>
                      <w:rFonts w:ascii="Arial" w:eastAsia="Calibri" w:hAnsi="Arial" w:cs="Arial"/>
                      <w:b/>
                      <w:szCs w:val="24"/>
                    </w:rPr>
                    <w:t xml:space="preserve">Previously </w:t>
                  </w:r>
                  <w:r w:rsidR="004677D5" w:rsidRPr="004677D5">
                    <w:rPr>
                      <w:rFonts w:ascii="Arial" w:eastAsia="Calibri" w:hAnsi="Arial" w:cs="Arial"/>
                      <w:b/>
                      <w:szCs w:val="24"/>
                    </w:rPr>
                    <w:t>r</w:t>
                  </w:r>
                  <w:r w:rsidRPr="004677D5">
                    <w:rPr>
                      <w:rFonts w:ascii="Arial" w:eastAsia="Calibri" w:hAnsi="Arial" w:cs="Arial"/>
                      <w:b/>
                      <w:szCs w:val="24"/>
                    </w:rPr>
                    <w:t xml:space="preserve">eported </w:t>
                  </w:r>
                  <w:r w:rsidR="004677D5" w:rsidRPr="004677D5">
                    <w:rPr>
                      <w:rFonts w:ascii="Arial" w:eastAsia="Calibri" w:hAnsi="Arial" w:cs="Arial"/>
                      <w:b/>
                      <w:szCs w:val="24"/>
                    </w:rPr>
                    <w:t>r</w:t>
                  </w:r>
                  <w:r w:rsidRPr="004677D5">
                    <w:rPr>
                      <w:rFonts w:ascii="Arial" w:eastAsia="Calibri" w:hAnsi="Arial" w:cs="Arial"/>
                      <w:b/>
                      <w:szCs w:val="24"/>
                    </w:rPr>
                    <w:t>eserves</w:t>
                  </w:r>
                </w:p>
              </w:tc>
              <w:tc>
                <w:tcPr>
                  <w:tcW w:w="1725" w:type="dxa"/>
                </w:tcPr>
                <w:p w:rsidR="007612F1" w:rsidRPr="004677D5" w:rsidRDefault="007612F1" w:rsidP="00CE4010">
                  <w:pPr>
                    <w:jc w:val="right"/>
                    <w:rPr>
                      <w:rFonts w:ascii="Arial" w:eastAsia="Calibri" w:hAnsi="Arial" w:cs="Arial"/>
                      <w:b/>
                      <w:szCs w:val="24"/>
                    </w:rPr>
                  </w:pPr>
                  <w:r w:rsidRPr="004677D5">
                    <w:rPr>
                      <w:rFonts w:ascii="Arial" w:eastAsia="Calibri" w:hAnsi="Arial" w:cs="Arial"/>
                      <w:b/>
                      <w:szCs w:val="24"/>
                    </w:rPr>
                    <w:t xml:space="preserve">Revised </w:t>
                  </w:r>
                  <w:r w:rsidR="004677D5" w:rsidRPr="004677D5">
                    <w:rPr>
                      <w:rFonts w:ascii="Arial" w:eastAsia="Calibri" w:hAnsi="Arial" w:cs="Arial"/>
                      <w:b/>
                      <w:szCs w:val="24"/>
                    </w:rPr>
                    <w:t>r</w:t>
                  </w:r>
                  <w:r w:rsidRPr="004677D5">
                    <w:rPr>
                      <w:rFonts w:ascii="Arial" w:eastAsia="Calibri" w:hAnsi="Arial" w:cs="Arial"/>
                      <w:b/>
                      <w:szCs w:val="24"/>
                    </w:rPr>
                    <w:t xml:space="preserve">eserves per </w:t>
                  </w:r>
                  <w:r w:rsidR="00CE4010">
                    <w:rPr>
                      <w:rFonts w:ascii="Arial" w:eastAsia="Calibri" w:hAnsi="Arial" w:cs="Arial"/>
                      <w:b/>
                      <w:szCs w:val="24"/>
                    </w:rPr>
                    <w:t>Accounts</w:t>
                  </w:r>
                </w:p>
              </w:tc>
            </w:tr>
            <w:tr w:rsidR="007612F1" w:rsidTr="00E77AE9">
              <w:tc>
                <w:tcPr>
                  <w:tcW w:w="5132" w:type="dxa"/>
                </w:tcPr>
                <w:p w:rsidR="007612F1" w:rsidRPr="00CE4010" w:rsidRDefault="007612F1" w:rsidP="007612F1">
                  <w:pPr>
                    <w:jc w:val="both"/>
                    <w:rPr>
                      <w:rFonts w:ascii="Arial" w:eastAsia="Calibri" w:hAnsi="Arial" w:cs="Arial"/>
                      <w:szCs w:val="24"/>
                    </w:rPr>
                  </w:pPr>
                  <w:r w:rsidRPr="00CE4010">
                    <w:rPr>
                      <w:rFonts w:ascii="Arial" w:eastAsia="Calibri" w:hAnsi="Arial" w:cs="Arial"/>
                      <w:szCs w:val="24"/>
                    </w:rPr>
                    <w:t>Closing Unrestricted Reserves</w:t>
                  </w:r>
                </w:p>
              </w:tc>
              <w:tc>
                <w:tcPr>
                  <w:tcW w:w="1559" w:type="dxa"/>
                </w:tcPr>
                <w:p w:rsidR="007612F1" w:rsidRPr="004677D5" w:rsidRDefault="007612F1" w:rsidP="007612F1">
                  <w:pPr>
                    <w:jc w:val="both"/>
                    <w:rPr>
                      <w:rFonts w:ascii="Arial" w:eastAsia="Calibri" w:hAnsi="Arial" w:cs="Arial"/>
                      <w:b/>
                      <w:szCs w:val="24"/>
                    </w:rPr>
                  </w:pPr>
                </w:p>
              </w:tc>
              <w:tc>
                <w:tcPr>
                  <w:tcW w:w="1725" w:type="dxa"/>
                </w:tcPr>
                <w:p w:rsidR="007612F1" w:rsidRPr="004677D5" w:rsidRDefault="007612F1" w:rsidP="007612F1">
                  <w:pPr>
                    <w:jc w:val="both"/>
                    <w:rPr>
                      <w:rFonts w:ascii="Arial" w:eastAsia="Calibri" w:hAnsi="Arial" w:cs="Arial"/>
                      <w:b/>
                      <w:szCs w:val="24"/>
                    </w:rPr>
                  </w:pPr>
                </w:p>
              </w:tc>
            </w:tr>
            <w:tr w:rsidR="007612F1" w:rsidTr="00E77AE9">
              <w:tc>
                <w:tcPr>
                  <w:tcW w:w="5132" w:type="dxa"/>
                </w:tcPr>
                <w:p w:rsidR="007612F1" w:rsidRPr="004677D5" w:rsidRDefault="00CE4010" w:rsidP="007612F1">
                  <w:pPr>
                    <w:jc w:val="both"/>
                    <w:rPr>
                      <w:rFonts w:ascii="Arial" w:eastAsia="Calibri" w:hAnsi="Arial" w:cs="Arial"/>
                      <w:i/>
                      <w:szCs w:val="24"/>
                    </w:rPr>
                  </w:pPr>
                  <w:r>
                    <w:rPr>
                      <w:rFonts w:ascii="Arial" w:eastAsia="Calibri" w:hAnsi="Arial" w:cs="Arial"/>
                      <w:i/>
                      <w:szCs w:val="24"/>
                    </w:rPr>
                    <w:t>Unrestricted funds Excl. Pension adj.</w:t>
                  </w:r>
                </w:p>
              </w:tc>
              <w:tc>
                <w:tcPr>
                  <w:tcW w:w="1559" w:type="dxa"/>
                </w:tcPr>
                <w:p w:rsidR="007612F1" w:rsidRPr="004677D5" w:rsidRDefault="007612F1" w:rsidP="007612F1">
                  <w:pPr>
                    <w:jc w:val="right"/>
                    <w:rPr>
                      <w:rFonts w:ascii="Arial" w:eastAsia="Calibri" w:hAnsi="Arial" w:cs="Arial"/>
                      <w:szCs w:val="24"/>
                    </w:rPr>
                  </w:pPr>
                  <w:r w:rsidRPr="004677D5">
                    <w:rPr>
                      <w:rFonts w:ascii="Arial" w:eastAsia="Calibri" w:hAnsi="Arial" w:cs="Arial"/>
                      <w:szCs w:val="24"/>
                    </w:rPr>
                    <w:t>1,303,093</w:t>
                  </w:r>
                </w:p>
              </w:tc>
              <w:tc>
                <w:tcPr>
                  <w:tcW w:w="1725" w:type="dxa"/>
                </w:tcPr>
                <w:p w:rsidR="007612F1" w:rsidRPr="004677D5" w:rsidRDefault="007612F1" w:rsidP="007612F1">
                  <w:pPr>
                    <w:jc w:val="right"/>
                    <w:rPr>
                      <w:rFonts w:ascii="Arial" w:eastAsia="Calibri" w:hAnsi="Arial" w:cs="Arial"/>
                      <w:szCs w:val="24"/>
                    </w:rPr>
                  </w:pPr>
                  <w:r w:rsidRPr="004677D5">
                    <w:rPr>
                      <w:rFonts w:ascii="Arial" w:eastAsia="Calibri" w:hAnsi="Arial" w:cs="Arial"/>
                      <w:szCs w:val="24"/>
                    </w:rPr>
                    <w:t>914,573</w:t>
                  </w:r>
                </w:p>
              </w:tc>
            </w:tr>
            <w:tr w:rsidR="007612F1" w:rsidTr="00E77AE9">
              <w:tc>
                <w:tcPr>
                  <w:tcW w:w="5132" w:type="dxa"/>
                </w:tcPr>
                <w:p w:rsidR="007612F1" w:rsidRPr="004677D5" w:rsidRDefault="007612F1" w:rsidP="007612F1">
                  <w:pPr>
                    <w:jc w:val="both"/>
                    <w:rPr>
                      <w:rFonts w:ascii="Arial" w:eastAsia="Calibri" w:hAnsi="Arial" w:cs="Arial"/>
                      <w:b/>
                      <w:szCs w:val="24"/>
                    </w:rPr>
                  </w:pPr>
                </w:p>
              </w:tc>
              <w:tc>
                <w:tcPr>
                  <w:tcW w:w="1559" w:type="dxa"/>
                </w:tcPr>
                <w:p w:rsidR="007612F1" w:rsidRPr="004677D5" w:rsidRDefault="007612F1" w:rsidP="007612F1">
                  <w:pPr>
                    <w:jc w:val="right"/>
                    <w:rPr>
                      <w:rFonts w:ascii="Arial" w:eastAsia="Calibri" w:hAnsi="Arial" w:cs="Arial"/>
                      <w:b/>
                      <w:szCs w:val="24"/>
                    </w:rPr>
                  </w:pPr>
                </w:p>
              </w:tc>
              <w:tc>
                <w:tcPr>
                  <w:tcW w:w="1725" w:type="dxa"/>
                </w:tcPr>
                <w:p w:rsidR="007612F1" w:rsidRPr="004677D5" w:rsidRDefault="007612F1" w:rsidP="007612F1">
                  <w:pPr>
                    <w:jc w:val="right"/>
                    <w:rPr>
                      <w:rFonts w:ascii="Arial" w:eastAsia="Calibri" w:hAnsi="Arial" w:cs="Arial"/>
                      <w:b/>
                      <w:szCs w:val="24"/>
                    </w:rPr>
                  </w:pPr>
                </w:p>
              </w:tc>
            </w:tr>
            <w:tr w:rsidR="007612F1" w:rsidTr="000A71BA">
              <w:trPr>
                <w:trHeight w:val="121"/>
              </w:trPr>
              <w:tc>
                <w:tcPr>
                  <w:tcW w:w="5132" w:type="dxa"/>
                </w:tcPr>
                <w:p w:rsidR="007612F1" w:rsidRPr="004677D5" w:rsidRDefault="007612F1" w:rsidP="007612F1">
                  <w:pPr>
                    <w:jc w:val="both"/>
                    <w:rPr>
                      <w:rFonts w:ascii="Arial" w:eastAsia="Calibri" w:hAnsi="Arial" w:cs="Arial"/>
                      <w:szCs w:val="24"/>
                    </w:rPr>
                  </w:pPr>
                  <w:r w:rsidRPr="004677D5">
                    <w:rPr>
                      <w:rFonts w:ascii="Arial" w:eastAsia="Calibri" w:hAnsi="Arial" w:cs="Arial"/>
                      <w:szCs w:val="24"/>
                    </w:rPr>
                    <w:t>IL</w:t>
                  </w:r>
                </w:p>
              </w:tc>
              <w:tc>
                <w:tcPr>
                  <w:tcW w:w="1559" w:type="dxa"/>
                </w:tcPr>
                <w:p w:rsidR="007612F1" w:rsidRPr="004677D5" w:rsidRDefault="007612F1" w:rsidP="007612F1">
                  <w:pPr>
                    <w:jc w:val="right"/>
                    <w:rPr>
                      <w:rFonts w:ascii="Arial" w:eastAsia="Calibri" w:hAnsi="Arial" w:cs="Arial"/>
                      <w:szCs w:val="24"/>
                    </w:rPr>
                  </w:pPr>
                  <w:r w:rsidRPr="004677D5">
                    <w:rPr>
                      <w:rFonts w:ascii="Arial" w:eastAsia="Calibri" w:hAnsi="Arial" w:cs="Arial"/>
                      <w:szCs w:val="24"/>
                    </w:rPr>
                    <w:t>784,999</w:t>
                  </w:r>
                </w:p>
              </w:tc>
              <w:tc>
                <w:tcPr>
                  <w:tcW w:w="1725" w:type="dxa"/>
                </w:tcPr>
                <w:p w:rsidR="007612F1" w:rsidRPr="004677D5" w:rsidRDefault="007612F1" w:rsidP="007612F1">
                  <w:pPr>
                    <w:jc w:val="right"/>
                    <w:rPr>
                      <w:rFonts w:ascii="Arial" w:eastAsia="Calibri" w:hAnsi="Arial" w:cs="Arial"/>
                      <w:szCs w:val="24"/>
                    </w:rPr>
                  </w:pPr>
                  <w:r w:rsidRPr="004677D5">
                    <w:rPr>
                      <w:rFonts w:ascii="Arial" w:eastAsia="Calibri" w:hAnsi="Arial" w:cs="Arial"/>
                      <w:szCs w:val="24"/>
                    </w:rPr>
                    <w:t>784,999</w:t>
                  </w:r>
                </w:p>
              </w:tc>
            </w:tr>
            <w:tr w:rsidR="007612F1" w:rsidTr="000A71BA">
              <w:tc>
                <w:tcPr>
                  <w:tcW w:w="5132" w:type="dxa"/>
                </w:tcPr>
                <w:p w:rsidR="007612F1" w:rsidRPr="004677D5" w:rsidRDefault="007612F1" w:rsidP="007612F1">
                  <w:pPr>
                    <w:jc w:val="both"/>
                    <w:rPr>
                      <w:rFonts w:ascii="Arial" w:eastAsia="Calibri" w:hAnsi="Arial" w:cs="Arial"/>
                      <w:b/>
                      <w:szCs w:val="24"/>
                    </w:rPr>
                  </w:pPr>
                  <w:r w:rsidRPr="004677D5">
                    <w:rPr>
                      <w:rFonts w:ascii="Arial" w:eastAsia="Calibri" w:hAnsi="Arial" w:cs="Arial"/>
                      <w:b/>
                      <w:szCs w:val="24"/>
                    </w:rPr>
                    <w:t>HLH</w:t>
                  </w:r>
                </w:p>
              </w:tc>
              <w:tc>
                <w:tcPr>
                  <w:tcW w:w="1559" w:type="dxa"/>
                  <w:tcBorders>
                    <w:bottom w:val="single" w:sz="4" w:space="0" w:color="auto"/>
                  </w:tcBorders>
                </w:tcPr>
                <w:p w:rsidR="007612F1" w:rsidRPr="004677D5" w:rsidRDefault="007612F1" w:rsidP="007612F1">
                  <w:pPr>
                    <w:jc w:val="right"/>
                    <w:rPr>
                      <w:rFonts w:ascii="Arial" w:eastAsia="Calibri" w:hAnsi="Arial" w:cs="Arial"/>
                      <w:szCs w:val="24"/>
                    </w:rPr>
                  </w:pPr>
                  <w:r w:rsidRPr="004677D5">
                    <w:rPr>
                      <w:rFonts w:ascii="Arial" w:eastAsia="Calibri" w:hAnsi="Arial" w:cs="Arial"/>
                      <w:szCs w:val="24"/>
                    </w:rPr>
                    <w:t>518,094</w:t>
                  </w:r>
                </w:p>
              </w:tc>
              <w:tc>
                <w:tcPr>
                  <w:tcW w:w="1725" w:type="dxa"/>
                  <w:tcBorders>
                    <w:bottom w:val="single" w:sz="4" w:space="0" w:color="auto"/>
                  </w:tcBorders>
                </w:tcPr>
                <w:p w:rsidR="007612F1" w:rsidRPr="004677D5" w:rsidRDefault="007612F1" w:rsidP="007612F1">
                  <w:pPr>
                    <w:jc w:val="right"/>
                    <w:rPr>
                      <w:rFonts w:ascii="Arial" w:eastAsia="Calibri" w:hAnsi="Arial" w:cs="Arial"/>
                      <w:szCs w:val="24"/>
                    </w:rPr>
                  </w:pPr>
                  <w:r w:rsidRPr="004677D5">
                    <w:rPr>
                      <w:rFonts w:ascii="Arial" w:eastAsia="Calibri" w:hAnsi="Arial" w:cs="Arial"/>
                      <w:szCs w:val="24"/>
                    </w:rPr>
                    <w:t>129,574</w:t>
                  </w:r>
                </w:p>
              </w:tc>
            </w:tr>
            <w:tr w:rsidR="00E77AE9" w:rsidRPr="00E77AE9" w:rsidTr="000A71BA">
              <w:tc>
                <w:tcPr>
                  <w:tcW w:w="5132" w:type="dxa"/>
                </w:tcPr>
                <w:p w:rsidR="00E77AE9" w:rsidRPr="004677D5" w:rsidRDefault="00E77AE9" w:rsidP="007612F1">
                  <w:pPr>
                    <w:jc w:val="both"/>
                    <w:rPr>
                      <w:rFonts w:ascii="Arial" w:eastAsia="Calibri" w:hAnsi="Arial" w:cs="Arial"/>
                      <w:b/>
                      <w:color w:val="31849B" w:themeColor="accent5" w:themeShade="BF"/>
                      <w:szCs w:val="24"/>
                    </w:rPr>
                  </w:pPr>
                </w:p>
              </w:tc>
              <w:tc>
                <w:tcPr>
                  <w:tcW w:w="1559" w:type="dxa"/>
                  <w:tcBorders>
                    <w:top w:val="single" w:sz="4" w:space="0" w:color="auto"/>
                    <w:bottom w:val="single" w:sz="4" w:space="0" w:color="auto"/>
                  </w:tcBorders>
                </w:tcPr>
                <w:p w:rsidR="00E77AE9" w:rsidRPr="004677D5" w:rsidRDefault="00E77AE9" w:rsidP="007612F1">
                  <w:pPr>
                    <w:jc w:val="right"/>
                    <w:rPr>
                      <w:rFonts w:ascii="Arial" w:eastAsia="Calibri" w:hAnsi="Arial" w:cs="Arial"/>
                      <w:b/>
                      <w:szCs w:val="24"/>
                    </w:rPr>
                  </w:pPr>
                  <w:r w:rsidRPr="004677D5">
                    <w:rPr>
                      <w:rFonts w:ascii="Arial" w:eastAsia="Calibri" w:hAnsi="Arial" w:cs="Arial"/>
                      <w:b/>
                      <w:szCs w:val="24"/>
                    </w:rPr>
                    <w:t>1,303,093</w:t>
                  </w:r>
                </w:p>
              </w:tc>
              <w:tc>
                <w:tcPr>
                  <w:tcW w:w="1725" w:type="dxa"/>
                  <w:tcBorders>
                    <w:top w:val="single" w:sz="4" w:space="0" w:color="auto"/>
                    <w:bottom w:val="single" w:sz="4" w:space="0" w:color="auto"/>
                  </w:tcBorders>
                </w:tcPr>
                <w:p w:rsidR="00E77AE9" w:rsidRPr="004677D5" w:rsidRDefault="00E77AE9" w:rsidP="007612F1">
                  <w:pPr>
                    <w:jc w:val="right"/>
                    <w:rPr>
                      <w:rFonts w:ascii="Arial" w:eastAsia="Calibri" w:hAnsi="Arial" w:cs="Arial"/>
                      <w:b/>
                      <w:szCs w:val="24"/>
                    </w:rPr>
                  </w:pPr>
                  <w:r w:rsidRPr="004677D5">
                    <w:rPr>
                      <w:rFonts w:ascii="Arial" w:eastAsia="Calibri" w:hAnsi="Arial" w:cs="Arial"/>
                      <w:b/>
                      <w:szCs w:val="24"/>
                    </w:rPr>
                    <w:t>914,573</w:t>
                  </w:r>
                </w:p>
              </w:tc>
            </w:tr>
            <w:tr w:rsidR="007612F1" w:rsidTr="000A71BA">
              <w:tc>
                <w:tcPr>
                  <w:tcW w:w="5132" w:type="dxa"/>
                </w:tcPr>
                <w:p w:rsidR="007612F1" w:rsidRPr="004677D5" w:rsidRDefault="007612F1" w:rsidP="007612F1">
                  <w:pPr>
                    <w:jc w:val="both"/>
                    <w:rPr>
                      <w:rFonts w:ascii="Arial" w:eastAsia="Calibri" w:hAnsi="Arial" w:cs="Arial"/>
                      <w:b/>
                      <w:color w:val="31849B" w:themeColor="accent5" w:themeShade="BF"/>
                      <w:szCs w:val="24"/>
                    </w:rPr>
                  </w:pPr>
                </w:p>
              </w:tc>
              <w:tc>
                <w:tcPr>
                  <w:tcW w:w="1559" w:type="dxa"/>
                  <w:tcBorders>
                    <w:top w:val="single" w:sz="4" w:space="0" w:color="auto"/>
                  </w:tcBorders>
                </w:tcPr>
                <w:p w:rsidR="007612F1" w:rsidRPr="004677D5" w:rsidRDefault="007612F1" w:rsidP="007612F1">
                  <w:pPr>
                    <w:jc w:val="right"/>
                    <w:rPr>
                      <w:rFonts w:ascii="Arial" w:eastAsia="Calibri" w:hAnsi="Arial" w:cs="Arial"/>
                      <w:b/>
                      <w:color w:val="31849B" w:themeColor="accent5" w:themeShade="BF"/>
                      <w:szCs w:val="24"/>
                    </w:rPr>
                  </w:pPr>
                </w:p>
              </w:tc>
              <w:tc>
                <w:tcPr>
                  <w:tcW w:w="1725" w:type="dxa"/>
                  <w:tcBorders>
                    <w:top w:val="single" w:sz="4" w:space="0" w:color="auto"/>
                    <w:left w:val="nil"/>
                  </w:tcBorders>
                </w:tcPr>
                <w:p w:rsidR="007612F1" w:rsidRPr="004677D5" w:rsidRDefault="007612F1" w:rsidP="007612F1">
                  <w:pPr>
                    <w:jc w:val="right"/>
                    <w:rPr>
                      <w:rFonts w:ascii="Arial" w:eastAsia="Calibri" w:hAnsi="Arial" w:cs="Arial"/>
                      <w:b/>
                      <w:color w:val="31849B" w:themeColor="accent5" w:themeShade="BF"/>
                      <w:szCs w:val="24"/>
                    </w:rPr>
                  </w:pPr>
                </w:p>
              </w:tc>
            </w:tr>
            <w:tr w:rsidR="007612F1" w:rsidTr="00E77AE9">
              <w:tc>
                <w:tcPr>
                  <w:tcW w:w="5132" w:type="dxa"/>
                </w:tcPr>
                <w:p w:rsidR="007612F1" w:rsidRPr="004677D5" w:rsidRDefault="007612F1" w:rsidP="007612F1">
                  <w:pPr>
                    <w:jc w:val="both"/>
                    <w:rPr>
                      <w:rFonts w:ascii="Arial" w:eastAsia="Calibri" w:hAnsi="Arial" w:cs="Arial"/>
                      <w:szCs w:val="24"/>
                    </w:rPr>
                  </w:pPr>
                  <w:r w:rsidRPr="004677D5">
                    <w:rPr>
                      <w:rFonts w:ascii="Arial" w:eastAsia="Calibri" w:hAnsi="Arial" w:cs="Arial"/>
                      <w:szCs w:val="24"/>
                    </w:rPr>
                    <w:t>Reduction in Reserves</w:t>
                  </w:r>
                </w:p>
              </w:tc>
              <w:tc>
                <w:tcPr>
                  <w:tcW w:w="1559" w:type="dxa"/>
                </w:tcPr>
                <w:p w:rsidR="007612F1" w:rsidRPr="004677D5" w:rsidRDefault="007612F1" w:rsidP="007612F1">
                  <w:pPr>
                    <w:jc w:val="right"/>
                    <w:rPr>
                      <w:rFonts w:ascii="Arial" w:eastAsia="Calibri" w:hAnsi="Arial" w:cs="Arial"/>
                      <w:szCs w:val="24"/>
                    </w:rPr>
                  </w:pPr>
                </w:p>
              </w:tc>
              <w:tc>
                <w:tcPr>
                  <w:tcW w:w="1725" w:type="dxa"/>
                  <w:tcBorders>
                    <w:left w:val="nil"/>
                  </w:tcBorders>
                </w:tcPr>
                <w:p w:rsidR="007612F1" w:rsidRPr="004677D5" w:rsidRDefault="007612F1" w:rsidP="007612F1">
                  <w:pPr>
                    <w:jc w:val="right"/>
                    <w:rPr>
                      <w:rFonts w:ascii="Arial" w:eastAsia="Calibri" w:hAnsi="Arial" w:cs="Arial"/>
                      <w:szCs w:val="24"/>
                    </w:rPr>
                  </w:pPr>
                  <w:r w:rsidRPr="004677D5">
                    <w:rPr>
                      <w:rFonts w:ascii="Arial" w:eastAsia="Calibri" w:hAnsi="Arial" w:cs="Arial"/>
                      <w:color w:val="FF0000"/>
                      <w:szCs w:val="24"/>
                    </w:rPr>
                    <w:t>(388,520)</w:t>
                  </w:r>
                </w:p>
              </w:tc>
            </w:tr>
            <w:tr w:rsidR="007612F1" w:rsidTr="00E77AE9">
              <w:tc>
                <w:tcPr>
                  <w:tcW w:w="5132" w:type="dxa"/>
                </w:tcPr>
                <w:p w:rsidR="007612F1" w:rsidRPr="004677D5" w:rsidRDefault="007612F1" w:rsidP="007612F1">
                  <w:pPr>
                    <w:jc w:val="both"/>
                    <w:rPr>
                      <w:rFonts w:ascii="Arial" w:eastAsia="Calibri" w:hAnsi="Arial" w:cs="Arial"/>
                      <w:b/>
                      <w:color w:val="31849B" w:themeColor="accent5" w:themeShade="BF"/>
                      <w:szCs w:val="24"/>
                    </w:rPr>
                  </w:pPr>
                </w:p>
              </w:tc>
              <w:tc>
                <w:tcPr>
                  <w:tcW w:w="1559" w:type="dxa"/>
                </w:tcPr>
                <w:p w:rsidR="007612F1" w:rsidRPr="004677D5" w:rsidRDefault="007612F1" w:rsidP="007612F1">
                  <w:pPr>
                    <w:jc w:val="right"/>
                    <w:rPr>
                      <w:rFonts w:ascii="Arial" w:eastAsia="Calibri" w:hAnsi="Arial" w:cs="Arial"/>
                      <w:szCs w:val="24"/>
                    </w:rPr>
                  </w:pPr>
                </w:p>
              </w:tc>
              <w:tc>
                <w:tcPr>
                  <w:tcW w:w="1725" w:type="dxa"/>
                  <w:tcBorders>
                    <w:left w:val="nil"/>
                  </w:tcBorders>
                </w:tcPr>
                <w:p w:rsidR="007612F1" w:rsidRPr="004677D5" w:rsidRDefault="007612F1" w:rsidP="007612F1">
                  <w:pPr>
                    <w:jc w:val="right"/>
                    <w:rPr>
                      <w:rFonts w:ascii="Arial" w:eastAsia="Calibri" w:hAnsi="Arial" w:cs="Arial"/>
                      <w:szCs w:val="24"/>
                    </w:rPr>
                  </w:pPr>
                </w:p>
              </w:tc>
            </w:tr>
            <w:tr w:rsidR="007612F1" w:rsidTr="00E77AE9">
              <w:tc>
                <w:tcPr>
                  <w:tcW w:w="5132" w:type="dxa"/>
                </w:tcPr>
                <w:p w:rsidR="007612F1" w:rsidRPr="004677D5" w:rsidRDefault="007612F1" w:rsidP="007612F1">
                  <w:pPr>
                    <w:jc w:val="both"/>
                    <w:rPr>
                      <w:rFonts w:ascii="Arial" w:eastAsia="Calibri" w:hAnsi="Arial" w:cs="Arial"/>
                      <w:b/>
                      <w:szCs w:val="24"/>
                    </w:rPr>
                  </w:pPr>
                  <w:r w:rsidRPr="004677D5">
                    <w:rPr>
                      <w:rFonts w:ascii="Arial" w:eastAsia="Calibri" w:hAnsi="Arial" w:cs="Arial"/>
                      <w:b/>
                      <w:szCs w:val="24"/>
                    </w:rPr>
                    <w:t>Adjustments - VAT</w:t>
                  </w:r>
                </w:p>
              </w:tc>
              <w:tc>
                <w:tcPr>
                  <w:tcW w:w="1559" w:type="dxa"/>
                </w:tcPr>
                <w:p w:rsidR="007612F1" w:rsidRPr="004677D5" w:rsidRDefault="007612F1" w:rsidP="007612F1">
                  <w:pPr>
                    <w:jc w:val="right"/>
                    <w:rPr>
                      <w:rFonts w:ascii="Arial" w:eastAsia="Calibri" w:hAnsi="Arial" w:cs="Arial"/>
                      <w:szCs w:val="24"/>
                    </w:rPr>
                  </w:pPr>
                </w:p>
              </w:tc>
              <w:tc>
                <w:tcPr>
                  <w:tcW w:w="1725" w:type="dxa"/>
                  <w:tcBorders>
                    <w:left w:val="nil"/>
                  </w:tcBorders>
                </w:tcPr>
                <w:p w:rsidR="007612F1" w:rsidRPr="004677D5" w:rsidRDefault="007612F1" w:rsidP="007612F1">
                  <w:pPr>
                    <w:jc w:val="right"/>
                    <w:rPr>
                      <w:rFonts w:ascii="Arial" w:eastAsia="Calibri" w:hAnsi="Arial" w:cs="Arial"/>
                      <w:szCs w:val="24"/>
                    </w:rPr>
                  </w:pPr>
                </w:p>
              </w:tc>
            </w:tr>
            <w:tr w:rsidR="007612F1" w:rsidTr="00E77AE9">
              <w:tc>
                <w:tcPr>
                  <w:tcW w:w="5132" w:type="dxa"/>
                </w:tcPr>
                <w:p w:rsidR="007612F1" w:rsidRPr="004677D5" w:rsidRDefault="007612F1" w:rsidP="0096411F">
                  <w:pPr>
                    <w:jc w:val="both"/>
                    <w:rPr>
                      <w:rFonts w:ascii="Arial" w:eastAsia="Calibri" w:hAnsi="Arial" w:cs="Arial"/>
                      <w:szCs w:val="24"/>
                    </w:rPr>
                  </w:pPr>
                  <w:r w:rsidRPr="004677D5">
                    <w:rPr>
                      <w:rFonts w:ascii="Arial" w:eastAsia="Calibri" w:hAnsi="Arial" w:cs="Arial"/>
                      <w:szCs w:val="24"/>
                    </w:rPr>
                    <w:t xml:space="preserve">Prior years – per note 22 </w:t>
                  </w:r>
                  <w:r w:rsidR="0096411F">
                    <w:rPr>
                      <w:rFonts w:ascii="Arial" w:eastAsia="Calibri" w:hAnsi="Arial" w:cs="Arial"/>
                      <w:szCs w:val="24"/>
                    </w:rPr>
                    <w:t>page</w:t>
                  </w:r>
                  <w:r w:rsidRPr="004677D5">
                    <w:rPr>
                      <w:rFonts w:ascii="Arial" w:eastAsia="Calibri" w:hAnsi="Arial" w:cs="Arial"/>
                      <w:szCs w:val="24"/>
                    </w:rPr>
                    <w:t xml:space="preserve"> 47 FS</w:t>
                  </w:r>
                </w:p>
              </w:tc>
              <w:tc>
                <w:tcPr>
                  <w:tcW w:w="1559" w:type="dxa"/>
                </w:tcPr>
                <w:p w:rsidR="007612F1" w:rsidRPr="004677D5" w:rsidRDefault="007612F1" w:rsidP="007612F1">
                  <w:pPr>
                    <w:jc w:val="right"/>
                    <w:rPr>
                      <w:rFonts w:ascii="Arial" w:eastAsia="Calibri" w:hAnsi="Arial" w:cs="Arial"/>
                      <w:szCs w:val="24"/>
                    </w:rPr>
                  </w:pPr>
                </w:p>
              </w:tc>
              <w:tc>
                <w:tcPr>
                  <w:tcW w:w="1725" w:type="dxa"/>
                  <w:tcBorders>
                    <w:left w:val="nil"/>
                  </w:tcBorders>
                </w:tcPr>
                <w:p w:rsidR="007612F1" w:rsidRPr="004677D5" w:rsidRDefault="007612F1" w:rsidP="007612F1">
                  <w:pPr>
                    <w:jc w:val="right"/>
                    <w:rPr>
                      <w:rFonts w:ascii="Arial" w:eastAsia="Calibri" w:hAnsi="Arial" w:cs="Arial"/>
                      <w:szCs w:val="24"/>
                    </w:rPr>
                  </w:pPr>
                  <w:r w:rsidRPr="004677D5">
                    <w:rPr>
                      <w:rFonts w:ascii="Arial" w:eastAsia="Calibri" w:hAnsi="Arial" w:cs="Arial"/>
                      <w:szCs w:val="24"/>
                    </w:rPr>
                    <w:t>375,209</w:t>
                  </w:r>
                </w:p>
              </w:tc>
            </w:tr>
            <w:tr w:rsidR="00E77AE9" w:rsidTr="000A71BA">
              <w:tc>
                <w:tcPr>
                  <w:tcW w:w="5132" w:type="dxa"/>
                </w:tcPr>
                <w:p w:rsidR="007612F1" w:rsidRPr="004677D5" w:rsidRDefault="007612F1" w:rsidP="007612F1">
                  <w:pPr>
                    <w:jc w:val="both"/>
                    <w:rPr>
                      <w:rFonts w:ascii="Arial" w:eastAsia="Calibri" w:hAnsi="Arial" w:cs="Arial"/>
                      <w:szCs w:val="24"/>
                    </w:rPr>
                  </w:pPr>
                  <w:r w:rsidRPr="004677D5">
                    <w:rPr>
                      <w:rFonts w:ascii="Arial" w:eastAsia="Calibri" w:hAnsi="Arial" w:cs="Arial"/>
                      <w:szCs w:val="24"/>
                    </w:rPr>
                    <w:t>Current Year adjustment</w:t>
                  </w:r>
                </w:p>
              </w:tc>
              <w:tc>
                <w:tcPr>
                  <w:tcW w:w="1559" w:type="dxa"/>
                </w:tcPr>
                <w:p w:rsidR="007612F1" w:rsidRPr="004677D5" w:rsidRDefault="007612F1" w:rsidP="007612F1">
                  <w:pPr>
                    <w:jc w:val="right"/>
                    <w:rPr>
                      <w:rFonts w:ascii="Arial" w:eastAsia="Calibri" w:hAnsi="Arial" w:cs="Arial"/>
                      <w:szCs w:val="24"/>
                    </w:rPr>
                  </w:pPr>
                </w:p>
              </w:tc>
              <w:tc>
                <w:tcPr>
                  <w:tcW w:w="1725" w:type="dxa"/>
                  <w:tcBorders>
                    <w:left w:val="nil"/>
                    <w:bottom w:val="single" w:sz="4" w:space="0" w:color="auto"/>
                  </w:tcBorders>
                </w:tcPr>
                <w:p w:rsidR="007612F1" w:rsidRPr="004677D5" w:rsidRDefault="007612F1" w:rsidP="007612F1">
                  <w:pPr>
                    <w:jc w:val="right"/>
                    <w:rPr>
                      <w:rFonts w:ascii="Arial" w:eastAsia="Calibri" w:hAnsi="Arial" w:cs="Arial"/>
                      <w:szCs w:val="24"/>
                    </w:rPr>
                  </w:pPr>
                  <w:r w:rsidRPr="004677D5">
                    <w:rPr>
                      <w:rFonts w:ascii="Arial" w:eastAsia="Calibri" w:hAnsi="Arial" w:cs="Arial"/>
                      <w:szCs w:val="24"/>
                    </w:rPr>
                    <w:t>13,311</w:t>
                  </w:r>
                </w:p>
              </w:tc>
            </w:tr>
            <w:tr w:rsidR="007612F1" w:rsidRPr="000A71BA" w:rsidTr="000A71BA">
              <w:tc>
                <w:tcPr>
                  <w:tcW w:w="5132" w:type="dxa"/>
                </w:tcPr>
                <w:p w:rsidR="007612F1" w:rsidRPr="004677D5" w:rsidRDefault="007612F1" w:rsidP="007612F1">
                  <w:pPr>
                    <w:jc w:val="both"/>
                    <w:rPr>
                      <w:rFonts w:ascii="Arial" w:eastAsia="Calibri" w:hAnsi="Arial" w:cs="Arial"/>
                      <w:b/>
                      <w:szCs w:val="24"/>
                    </w:rPr>
                  </w:pPr>
                </w:p>
              </w:tc>
              <w:tc>
                <w:tcPr>
                  <w:tcW w:w="1559" w:type="dxa"/>
                </w:tcPr>
                <w:p w:rsidR="007612F1" w:rsidRPr="004677D5" w:rsidRDefault="007612F1" w:rsidP="007612F1">
                  <w:pPr>
                    <w:jc w:val="right"/>
                    <w:rPr>
                      <w:rFonts w:ascii="Arial" w:eastAsia="Calibri" w:hAnsi="Arial" w:cs="Arial"/>
                      <w:szCs w:val="24"/>
                    </w:rPr>
                  </w:pPr>
                </w:p>
              </w:tc>
              <w:tc>
                <w:tcPr>
                  <w:tcW w:w="1725" w:type="dxa"/>
                  <w:tcBorders>
                    <w:top w:val="single" w:sz="4" w:space="0" w:color="auto"/>
                    <w:left w:val="nil"/>
                    <w:bottom w:val="single" w:sz="4" w:space="0" w:color="auto"/>
                  </w:tcBorders>
                </w:tcPr>
                <w:p w:rsidR="007612F1" w:rsidRPr="004677D5" w:rsidRDefault="007612F1" w:rsidP="007612F1">
                  <w:pPr>
                    <w:jc w:val="right"/>
                    <w:rPr>
                      <w:rFonts w:ascii="Arial" w:eastAsia="Calibri" w:hAnsi="Arial" w:cs="Arial"/>
                      <w:b/>
                      <w:szCs w:val="24"/>
                    </w:rPr>
                  </w:pPr>
                  <w:r w:rsidRPr="004677D5">
                    <w:rPr>
                      <w:rFonts w:ascii="Arial" w:eastAsia="Calibri" w:hAnsi="Arial" w:cs="Arial"/>
                      <w:b/>
                      <w:szCs w:val="24"/>
                    </w:rPr>
                    <w:t>388,520</w:t>
                  </w:r>
                </w:p>
              </w:tc>
            </w:tr>
          </w:tbl>
          <w:p w:rsidR="00EC25B8" w:rsidRPr="005C524F" w:rsidRDefault="00EC25B8" w:rsidP="007612F1">
            <w:pPr>
              <w:jc w:val="both"/>
              <w:rPr>
                <w:rFonts w:ascii="Arial" w:eastAsia="Calibri" w:hAnsi="Arial" w:cs="Arial"/>
                <w:b/>
                <w:szCs w:val="24"/>
                <w:lang w:eastAsia="en-US"/>
              </w:rPr>
            </w:pPr>
          </w:p>
        </w:tc>
      </w:tr>
      <w:tr w:rsidR="00E7529E" w:rsidRPr="0089449E">
        <w:tc>
          <w:tcPr>
            <w:tcW w:w="817" w:type="dxa"/>
          </w:tcPr>
          <w:p w:rsidR="00BA5464" w:rsidRDefault="00226A24" w:rsidP="00472040">
            <w:pPr>
              <w:jc w:val="both"/>
              <w:rPr>
                <w:rFonts w:ascii="Arial" w:hAnsi="Arial" w:cs="Arial"/>
                <w:szCs w:val="24"/>
              </w:rPr>
            </w:pPr>
            <w:r>
              <w:rPr>
                <w:rFonts w:ascii="Arial" w:hAnsi="Arial" w:cs="Arial"/>
                <w:b/>
                <w:szCs w:val="24"/>
              </w:rPr>
              <w:lastRenderedPageBreak/>
              <w:t>6</w:t>
            </w:r>
            <w:r w:rsidR="005C524F" w:rsidRPr="005C524F">
              <w:rPr>
                <w:rFonts w:ascii="Arial" w:hAnsi="Arial" w:cs="Arial"/>
                <w:b/>
                <w:szCs w:val="24"/>
              </w:rPr>
              <w:t>.</w:t>
            </w:r>
          </w:p>
          <w:p w:rsidR="00D36049" w:rsidRPr="00CD28C3" w:rsidRDefault="00D36049" w:rsidP="00472040">
            <w:pPr>
              <w:jc w:val="both"/>
              <w:rPr>
                <w:rFonts w:ascii="Arial" w:hAnsi="Arial" w:cs="Arial"/>
                <w:szCs w:val="24"/>
              </w:rPr>
            </w:pPr>
          </w:p>
        </w:tc>
        <w:tc>
          <w:tcPr>
            <w:tcW w:w="8647" w:type="dxa"/>
          </w:tcPr>
          <w:p w:rsidR="00BA5464" w:rsidRPr="005C524F" w:rsidRDefault="005C524F" w:rsidP="00790343">
            <w:pPr>
              <w:jc w:val="both"/>
              <w:rPr>
                <w:rFonts w:ascii="Arial" w:eastAsia="Calibri" w:hAnsi="Arial" w:cs="Arial"/>
                <w:b/>
                <w:szCs w:val="24"/>
                <w:lang w:eastAsia="en-US"/>
              </w:rPr>
            </w:pPr>
            <w:r w:rsidRPr="005C524F">
              <w:rPr>
                <w:rFonts w:ascii="Arial" w:eastAsia="Calibri" w:hAnsi="Arial" w:cs="Arial"/>
                <w:b/>
                <w:szCs w:val="24"/>
                <w:lang w:eastAsia="en-US"/>
              </w:rPr>
              <w:t>Highland Folk Museum</w:t>
            </w:r>
          </w:p>
        </w:tc>
      </w:tr>
      <w:tr w:rsidR="006342FC" w:rsidRPr="0089449E">
        <w:tc>
          <w:tcPr>
            <w:tcW w:w="817" w:type="dxa"/>
          </w:tcPr>
          <w:p w:rsidR="006342FC" w:rsidRDefault="00226A24" w:rsidP="00472040">
            <w:pPr>
              <w:jc w:val="both"/>
              <w:rPr>
                <w:rFonts w:ascii="Arial" w:hAnsi="Arial" w:cs="Arial"/>
                <w:szCs w:val="24"/>
              </w:rPr>
            </w:pPr>
            <w:r>
              <w:rPr>
                <w:rFonts w:ascii="Arial" w:hAnsi="Arial" w:cs="Arial"/>
                <w:szCs w:val="24"/>
              </w:rPr>
              <w:t>6</w:t>
            </w:r>
            <w:r w:rsidR="005C524F">
              <w:rPr>
                <w:rFonts w:ascii="Arial" w:hAnsi="Arial" w:cs="Arial"/>
                <w:szCs w:val="24"/>
              </w:rPr>
              <w:t>.1</w:t>
            </w:r>
          </w:p>
        </w:tc>
        <w:tc>
          <w:tcPr>
            <w:tcW w:w="8647" w:type="dxa"/>
          </w:tcPr>
          <w:p w:rsidR="006342FC" w:rsidRDefault="005C524F" w:rsidP="005C524F">
            <w:pPr>
              <w:jc w:val="both"/>
              <w:rPr>
                <w:rFonts w:ascii="Arial" w:hAnsi="Arial" w:cs="Arial"/>
                <w:szCs w:val="24"/>
              </w:rPr>
            </w:pPr>
            <w:r w:rsidRPr="005C524F">
              <w:rPr>
                <w:rFonts w:ascii="Arial" w:hAnsi="Arial" w:cs="Arial"/>
                <w:szCs w:val="24"/>
              </w:rPr>
              <w:t xml:space="preserve">At the meeting of 23 August 2016 Directors considered a report and related presentation on a proposed long term vision for </w:t>
            </w:r>
            <w:r w:rsidR="00EC25B8">
              <w:rPr>
                <w:rFonts w:ascii="Arial" w:hAnsi="Arial" w:cs="Arial"/>
                <w:szCs w:val="24"/>
              </w:rPr>
              <w:t>Highland Folk Museum (</w:t>
            </w:r>
            <w:r w:rsidRPr="005C524F">
              <w:rPr>
                <w:rFonts w:ascii="Arial" w:hAnsi="Arial" w:cs="Arial"/>
                <w:szCs w:val="24"/>
              </w:rPr>
              <w:t>HFM</w:t>
            </w:r>
            <w:r w:rsidR="00EC25B8">
              <w:rPr>
                <w:rFonts w:ascii="Arial" w:hAnsi="Arial" w:cs="Arial"/>
                <w:szCs w:val="24"/>
              </w:rPr>
              <w:t>)</w:t>
            </w:r>
            <w:r w:rsidRPr="005C524F">
              <w:rPr>
                <w:rFonts w:ascii="Arial" w:hAnsi="Arial" w:cs="Arial"/>
                <w:szCs w:val="24"/>
              </w:rPr>
              <w:t>, including phased capital developments.</w:t>
            </w:r>
            <w:r>
              <w:rPr>
                <w:rFonts w:ascii="Arial" w:hAnsi="Arial" w:cs="Arial"/>
                <w:szCs w:val="24"/>
              </w:rPr>
              <w:t xml:space="preserve"> </w:t>
            </w:r>
            <w:r w:rsidRPr="005C524F">
              <w:rPr>
                <w:rFonts w:ascii="Arial" w:hAnsi="Arial" w:cs="Arial"/>
                <w:szCs w:val="24"/>
              </w:rPr>
              <w:t>The next of these, Phase 3, was outlined in detail as including new, enlarged café, shop and reception facilities, upgraded toilets and an exhibition gallery where artefacts from the collection would be displayed.</w:t>
            </w:r>
            <w:r>
              <w:rPr>
                <w:rFonts w:ascii="Arial" w:hAnsi="Arial" w:cs="Arial"/>
                <w:szCs w:val="24"/>
              </w:rPr>
              <w:t xml:space="preserve"> </w:t>
            </w:r>
            <w:r w:rsidRPr="005C524F">
              <w:rPr>
                <w:rFonts w:ascii="Arial" w:hAnsi="Arial" w:cs="Arial"/>
                <w:szCs w:val="24"/>
              </w:rPr>
              <w:t xml:space="preserve">Directors asked that a future Board meeting </w:t>
            </w:r>
            <w:r>
              <w:rPr>
                <w:rFonts w:ascii="Arial" w:hAnsi="Arial" w:cs="Arial"/>
                <w:szCs w:val="24"/>
              </w:rPr>
              <w:t>discuss</w:t>
            </w:r>
            <w:r w:rsidRPr="005C524F">
              <w:rPr>
                <w:rFonts w:ascii="Arial" w:hAnsi="Arial" w:cs="Arial"/>
                <w:szCs w:val="24"/>
              </w:rPr>
              <w:t xml:space="preserve"> resource implications of Phase 3 being taken forward.</w:t>
            </w:r>
          </w:p>
          <w:p w:rsidR="005C524F" w:rsidRDefault="005C524F" w:rsidP="005C524F">
            <w:pPr>
              <w:jc w:val="both"/>
              <w:rPr>
                <w:rFonts w:ascii="Arial" w:hAnsi="Arial" w:cs="Arial"/>
                <w:szCs w:val="24"/>
              </w:rPr>
            </w:pPr>
          </w:p>
        </w:tc>
      </w:tr>
      <w:tr w:rsidR="005C524F" w:rsidRPr="0089449E">
        <w:tc>
          <w:tcPr>
            <w:tcW w:w="817" w:type="dxa"/>
          </w:tcPr>
          <w:p w:rsidR="005C524F" w:rsidRDefault="00226A24" w:rsidP="00472040">
            <w:pPr>
              <w:jc w:val="both"/>
              <w:rPr>
                <w:rFonts w:ascii="Arial" w:hAnsi="Arial" w:cs="Arial"/>
                <w:szCs w:val="24"/>
              </w:rPr>
            </w:pPr>
            <w:r>
              <w:rPr>
                <w:rFonts w:ascii="Arial" w:hAnsi="Arial" w:cs="Arial"/>
                <w:szCs w:val="24"/>
              </w:rPr>
              <w:t>6</w:t>
            </w:r>
            <w:r w:rsidR="005C524F">
              <w:rPr>
                <w:rFonts w:ascii="Arial" w:hAnsi="Arial" w:cs="Arial"/>
                <w:szCs w:val="24"/>
              </w:rPr>
              <w:t>.2</w:t>
            </w:r>
          </w:p>
        </w:tc>
        <w:tc>
          <w:tcPr>
            <w:tcW w:w="8647" w:type="dxa"/>
          </w:tcPr>
          <w:p w:rsidR="00D1679A" w:rsidRDefault="00D1679A" w:rsidP="00D1679A">
            <w:pPr>
              <w:pStyle w:val="NoSpacing"/>
              <w:jc w:val="both"/>
              <w:rPr>
                <w:rFonts w:ascii="Arial" w:hAnsi="Arial" w:cs="Arial"/>
              </w:rPr>
            </w:pPr>
            <w:r>
              <w:rPr>
                <w:rFonts w:ascii="Arial" w:hAnsi="Arial" w:cs="Arial"/>
              </w:rPr>
              <w:t>Project scoping and some initial design work have already been undertaken. This projected the cost to be approximately £4m and concluded that, with operational modifications, it would be possible for HFM to remain open to the public during the construction phase.</w:t>
            </w:r>
          </w:p>
          <w:p w:rsidR="00E77AE9" w:rsidRDefault="00E77AE9" w:rsidP="00D1679A">
            <w:pPr>
              <w:pStyle w:val="NoSpacing"/>
              <w:jc w:val="both"/>
              <w:rPr>
                <w:rFonts w:ascii="Arial" w:hAnsi="Arial" w:cs="Arial"/>
              </w:rPr>
            </w:pPr>
          </w:p>
          <w:p w:rsidR="00D1679A" w:rsidRDefault="00D1679A" w:rsidP="00D1679A">
            <w:pPr>
              <w:pStyle w:val="NoSpacing"/>
              <w:jc w:val="both"/>
              <w:rPr>
                <w:rFonts w:ascii="Arial" w:hAnsi="Arial" w:cs="Arial"/>
              </w:rPr>
            </w:pPr>
            <w:r>
              <w:rPr>
                <w:rFonts w:ascii="Arial" w:hAnsi="Arial" w:cs="Arial"/>
              </w:rPr>
              <w:t>The key tasks in the preparation phase are</w:t>
            </w:r>
            <w:r w:rsidR="00297A0D">
              <w:rPr>
                <w:rFonts w:ascii="Arial" w:hAnsi="Arial" w:cs="Arial"/>
              </w:rPr>
              <w:t>:</w:t>
            </w:r>
          </w:p>
          <w:p w:rsidR="00297A0D" w:rsidRDefault="00297A0D" w:rsidP="00D1679A">
            <w:pPr>
              <w:pStyle w:val="NoSpacing"/>
              <w:jc w:val="both"/>
              <w:rPr>
                <w:rFonts w:ascii="Arial" w:hAnsi="Arial" w:cs="Arial"/>
              </w:rPr>
            </w:pPr>
          </w:p>
          <w:p w:rsidR="00D1679A" w:rsidRDefault="00D1679A" w:rsidP="00297A0D">
            <w:pPr>
              <w:pStyle w:val="NoSpacing"/>
              <w:numPr>
                <w:ilvl w:val="0"/>
                <w:numId w:val="11"/>
              </w:numPr>
              <w:ind w:left="459" w:hanging="425"/>
              <w:jc w:val="both"/>
              <w:rPr>
                <w:rFonts w:ascii="Arial" w:hAnsi="Arial" w:cs="Arial"/>
              </w:rPr>
            </w:pPr>
            <w:r>
              <w:rPr>
                <w:rFonts w:ascii="Arial" w:hAnsi="Arial" w:cs="Arial"/>
              </w:rPr>
              <w:t>Assembling the funding package, via multiple applications and fundraising</w:t>
            </w:r>
          </w:p>
          <w:p w:rsidR="00D1679A" w:rsidRDefault="00D1679A" w:rsidP="00297A0D">
            <w:pPr>
              <w:pStyle w:val="NoSpacing"/>
              <w:numPr>
                <w:ilvl w:val="0"/>
                <w:numId w:val="11"/>
              </w:numPr>
              <w:ind w:left="459" w:hanging="425"/>
              <w:jc w:val="both"/>
              <w:rPr>
                <w:rFonts w:ascii="Arial" w:hAnsi="Arial" w:cs="Arial"/>
              </w:rPr>
            </w:pPr>
            <w:r>
              <w:rPr>
                <w:rFonts w:ascii="Arial" w:hAnsi="Arial" w:cs="Arial"/>
              </w:rPr>
              <w:t>Undertaking project sponsor role, effectively directing the design and bu</w:t>
            </w:r>
            <w:r w:rsidR="00297A0D">
              <w:rPr>
                <w:rFonts w:ascii="Arial" w:hAnsi="Arial" w:cs="Arial"/>
              </w:rPr>
              <w:t>ild process</w:t>
            </w:r>
          </w:p>
          <w:p w:rsidR="005C524F" w:rsidRDefault="00D1679A" w:rsidP="00D1679A">
            <w:pPr>
              <w:pStyle w:val="NoSpacing"/>
              <w:numPr>
                <w:ilvl w:val="0"/>
                <w:numId w:val="11"/>
              </w:numPr>
              <w:ind w:left="459" w:hanging="425"/>
              <w:jc w:val="both"/>
              <w:rPr>
                <w:rFonts w:ascii="Arial" w:hAnsi="Arial" w:cs="Arial"/>
              </w:rPr>
            </w:pPr>
            <w:r>
              <w:rPr>
                <w:rFonts w:ascii="Arial" w:hAnsi="Arial" w:cs="Arial"/>
              </w:rPr>
              <w:t>Planning for visitor experience and services delivery during construction</w:t>
            </w:r>
            <w:r w:rsidR="0026371C">
              <w:rPr>
                <w:rFonts w:ascii="Arial" w:hAnsi="Arial" w:cs="Arial"/>
              </w:rPr>
              <w:t>.</w:t>
            </w:r>
          </w:p>
          <w:p w:rsidR="0026371C" w:rsidRPr="004677D5" w:rsidRDefault="0026371C" w:rsidP="0026371C">
            <w:pPr>
              <w:pStyle w:val="NoSpacing"/>
              <w:ind w:left="459"/>
              <w:jc w:val="both"/>
              <w:rPr>
                <w:rFonts w:ascii="Arial" w:hAnsi="Arial" w:cs="Arial"/>
              </w:rPr>
            </w:pPr>
          </w:p>
        </w:tc>
      </w:tr>
      <w:tr w:rsidR="00D1679A" w:rsidRPr="0089449E">
        <w:tc>
          <w:tcPr>
            <w:tcW w:w="817" w:type="dxa"/>
          </w:tcPr>
          <w:p w:rsidR="00D1679A" w:rsidRDefault="00226A24" w:rsidP="00472040">
            <w:pPr>
              <w:jc w:val="both"/>
              <w:rPr>
                <w:rFonts w:ascii="Arial" w:hAnsi="Arial" w:cs="Arial"/>
                <w:szCs w:val="24"/>
              </w:rPr>
            </w:pPr>
            <w:r>
              <w:rPr>
                <w:rFonts w:ascii="Arial" w:hAnsi="Arial" w:cs="Arial"/>
                <w:szCs w:val="24"/>
              </w:rPr>
              <w:t>6</w:t>
            </w:r>
            <w:r w:rsidR="00D1679A">
              <w:rPr>
                <w:rFonts w:ascii="Arial" w:hAnsi="Arial" w:cs="Arial"/>
                <w:szCs w:val="24"/>
              </w:rPr>
              <w:t>.3</w:t>
            </w:r>
          </w:p>
        </w:tc>
        <w:tc>
          <w:tcPr>
            <w:tcW w:w="8647" w:type="dxa"/>
          </w:tcPr>
          <w:p w:rsidR="00D1679A" w:rsidRDefault="00D1679A" w:rsidP="00D1679A">
            <w:pPr>
              <w:pStyle w:val="NoSpacing"/>
              <w:jc w:val="both"/>
              <w:rPr>
                <w:rFonts w:ascii="Arial" w:hAnsi="Arial" w:cs="Arial"/>
              </w:rPr>
            </w:pPr>
            <w:r>
              <w:rPr>
                <w:rFonts w:ascii="Arial" w:hAnsi="Arial" w:cs="Arial"/>
              </w:rPr>
              <w:t xml:space="preserve">Partly informed by the experience of delivering Am Fasgadh, it is believed that the best results will be achieved if project preparation is undertaken in-house, led the Principal Cultural Manager, supported by the Museum’s Operation Manager, </w:t>
            </w:r>
            <w:r w:rsidR="0088344E">
              <w:rPr>
                <w:rFonts w:ascii="Arial" w:hAnsi="Arial" w:cs="Arial"/>
              </w:rPr>
              <w:t>Curatorial M</w:t>
            </w:r>
            <w:r>
              <w:rPr>
                <w:rFonts w:ascii="Arial" w:hAnsi="Arial" w:cs="Arial"/>
              </w:rPr>
              <w:t xml:space="preserve">anager and HLH’s Estates Manager. The recent appointment to the long vacant </w:t>
            </w:r>
            <w:r w:rsidR="0088344E">
              <w:rPr>
                <w:rFonts w:ascii="Arial" w:hAnsi="Arial" w:cs="Arial"/>
              </w:rPr>
              <w:t>Curatorial</w:t>
            </w:r>
            <w:r>
              <w:rPr>
                <w:rFonts w:ascii="Arial" w:hAnsi="Arial" w:cs="Arial"/>
              </w:rPr>
              <w:t xml:space="preserve"> Manager post </w:t>
            </w:r>
            <w:r w:rsidR="00001099">
              <w:rPr>
                <w:rFonts w:ascii="Arial" w:hAnsi="Arial" w:cs="Arial"/>
              </w:rPr>
              <w:t>provides confidence</w:t>
            </w:r>
            <w:r>
              <w:rPr>
                <w:rFonts w:ascii="Arial" w:hAnsi="Arial" w:cs="Arial"/>
              </w:rPr>
              <w:t xml:space="preserve"> that the resources </w:t>
            </w:r>
            <w:r w:rsidR="00001099">
              <w:rPr>
                <w:rFonts w:ascii="Arial" w:hAnsi="Arial" w:cs="Arial"/>
              </w:rPr>
              <w:t xml:space="preserve">are in place </w:t>
            </w:r>
            <w:r>
              <w:rPr>
                <w:rFonts w:ascii="Arial" w:hAnsi="Arial" w:cs="Arial"/>
              </w:rPr>
              <w:t xml:space="preserve">to take this project forward in-house during the fundraising and planning phase. </w:t>
            </w:r>
          </w:p>
          <w:p w:rsidR="00D1679A" w:rsidRDefault="00D1679A" w:rsidP="00D1679A">
            <w:pPr>
              <w:pStyle w:val="NoSpacing"/>
              <w:jc w:val="both"/>
              <w:rPr>
                <w:rFonts w:ascii="Arial" w:hAnsi="Arial" w:cs="Arial"/>
              </w:rPr>
            </w:pPr>
          </w:p>
        </w:tc>
      </w:tr>
      <w:tr w:rsidR="008A3353" w:rsidRPr="009B0904" w:rsidTr="008A3353">
        <w:trPr>
          <w:trHeight w:val="498"/>
        </w:trPr>
        <w:tc>
          <w:tcPr>
            <w:tcW w:w="817" w:type="dxa"/>
          </w:tcPr>
          <w:p w:rsidR="008A3353" w:rsidRDefault="00226A24" w:rsidP="00B40A81">
            <w:pPr>
              <w:autoSpaceDE w:val="0"/>
              <w:autoSpaceDN w:val="0"/>
              <w:adjustRightInd w:val="0"/>
              <w:rPr>
                <w:rFonts w:ascii="Arial" w:hAnsi="Arial" w:cs="Arial"/>
                <w:b/>
              </w:rPr>
            </w:pPr>
            <w:r>
              <w:rPr>
                <w:rFonts w:ascii="Arial" w:hAnsi="Arial" w:cs="Arial"/>
                <w:b/>
              </w:rPr>
              <w:t>7</w:t>
            </w:r>
            <w:r w:rsidR="008A3353" w:rsidRPr="008A3353">
              <w:rPr>
                <w:rFonts w:ascii="Arial" w:hAnsi="Arial" w:cs="Arial"/>
                <w:b/>
              </w:rPr>
              <w:t>.</w:t>
            </w:r>
          </w:p>
          <w:p w:rsidR="00B4768B" w:rsidRDefault="00B4768B" w:rsidP="00B40A81">
            <w:pPr>
              <w:autoSpaceDE w:val="0"/>
              <w:autoSpaceDN w:val="0"/>
              <w:adjustRightInd w:val="0"/>
              <w:rPr>
                <w:rFonts w:ascii="Arial" w:hAnsi="Arial" w:cs="Arial"/>
                <w:b/>
              </w:rPr>
            </w:pPr>
          </w:p>
          <w:p w:rsidR="00B4768B" w:rsidRPr="00C23166" w:rsidRDefault="00226A24" w:rsidP="00B40A81">
            <w:pPr>
              <w:autoSpaceDE w:val="0"/>
              <w:autoSpaceDN w:val="0"/>
              <w:adjustRightInd w:val="0"/>
              <w:rPr>
                <w:rFonts w:ascii="Arial" w:hAnsi="Arial" w:cs="Arial"/>
              </w:rPr>
            </w:pPr>
            <w:r>
              <w:rPr>
                <w:rFonts w:ascii="Arial" w:hAnsi="Arial" w:cs="Arial"/>
              </w:rPr>
              <w:t>7</w:t>
            </w:r>
            <w:r w:rsidR="00C23166" w:rsidRPr="00C23166">
              <w:rPr>
                <w:rFonts w:ascii="Arial" w:hAnsi="Arial" w:cs="Arial"/>
              </w:rPr>
              <w:t>.1</w:t>
            </w:r>
          </w:p>
        </w:tc>
        <w:tc>
          <w:tcPr>
            <w:tcW w:w="8647" w:type="dxa"/>
          </w:tcPr>
          <w:p w:rsidR="00B4768B" w:rsidRDefault="00B4768B" w:rsidP="00B4768B">
            <w:pPr>
              <w:autoSpaceDE w:val="0"/>
              <w:autoSpaceDN w:val="0"/>
              <w:adjustRightInd w:val="0"/>
              <w:jc w:val="both"/>
              <w:rPr>
                <w:rFonts w:ascii="Arial" w:hAnsi="Arial" w:cs="Arial"/>
                <w:b/>
                <w:szCs w:val="24"/>
              </w:rPr>
            </w:pPr>
            <w:r w:rsidRPr="00554631">
              <w:rPr>
                <w:rFonts w:ascii="Arial" w:hAnsi="Arial" w:cs="Arial"/>
                <w:b/>
                <w:szCs w:val="24"/>
              </w:rPr>
              <w:t>Tenders Approved/Contracts Awarded</w:t>
            </w:r>
          </w:p>
          <w:p w:rsidR="00B12596" w:rsidRDefault="00B12596" w:rsidP="00590C36">
            <w:pPr>
              <w:autoSpaceDE w:val="0"/>
              <w:autoSpaceDN w:val="0"/>
              <w:adjustRightInd w:val="0"/>
              <w:jc w:val="both"/>
              <w:rPr>
                <w:rFonts w:ascii="Arial" w:hAnsi="Arial" w:cs="Arial"/>
                <w:b/>
              </w:rPr>
            </w:pPr>
          </w:p>
          <w:tbl>
            <w:tblPr>
              <w:tblStyle w:val="TableGrid"/>
              <w:tblW w:w="8647" w:type="dxa"/>
              <w:tblLayout w:type="fixed"/>
              <w:tblLook w:val="04A0" w:firstRow="1" w:lastRow="0" w:firstColumn="1" w:lastColumn="0" w:noHBand="0" w:noVBand="1"/>
            </w:tblPr>
            <w:tblGrid>
              <w:gridCol w:w="2439"/>
              <w:gridCol w:w="4365"/>
              <w:gridCol w:w="1843"/>
            </w:tblGrid>
            <w:tr w:rsidR="00CA5E5B" w:rsidRPr="00B36987" w:rsidTr="009E4318">
              <w:tc>
                <w:tcPr>
                  <w:tcW w:w="2439" w:type="dxa"/>
                </w:tcPr>
                <w:p w:rsidR="00CA5E5B" w:rsidRPr="00297A0D" w:rsidRDefault="00CA5E5B" w:rsidP="00851F7B">
                  <w:pPr>
                    <w:rPr>
                      <w:rFonts w:ascii="Arial" w:hAnsi="Arial" w:cs="Arial"/>
                      <w:szCs w:val="24"/>
                    </w:rPr>
                  </w:pPr>
                  <w:r w:rsidRPr="00297A0D">
                    <w:rPr>
                      <w:rFonts w:ascii="Arial" w:hAnsi="Arial" w:cs="Arial"/>
                      <w:szCs w:val="24"/>
                    </w:rPr>
                    <w:t>The Design Concept</w:t>
                  </w:r>
                </w:p>
              </w:tc>
              <w:tc>
                <w:tcPr>
                  <w:tcW w:w="4365" w:type="dxa"/>
                </w:tcPr>
                <w:p w:rsidR="00CA5E5B" w:rsidRPr="00297A0D" w:rsidRDefault="00CA5E5B" w:rsidP="00851F7B">
                  <w:pPr>
                    <w:rPr>
                      <w:rFonts w:ascii="Arial" w:hAnsi="Arial" w:cs="Arial"/>
                      <w:szCs w:val="24"/>
                    </w:rPr>
                  </w:pPr>
                  <w:r w:rsidRPr="00297A0D">
                    <w:rPr>
                      <w:rFonts w:ascii="Arial" w:hAnsi="Arial" w:cs="Arial"/>
                      <w:szCs w:val="24"/>
                    </w:rPr>
                    <w:t>Fit out of Alness Library</w:t>
                  </w:r>
                </w:p>
              </w:tc>
              <w:tc>
                <w:tcPr>
                  <w:tcW w:w="1843" w:type="dxa"/>
                </w:tcPr>
                <w:p w:rsidR="00CA5E5B" w:rsidRPr="00297A0D" w:rsidRDefault="00CA5E5B" w:rsidP="00851F7B">
                  <w:pPr>
                    <w:rPr>
                      <w:rFonts w:ascii="Arial" w:hAnsi="Arial" w:cs="Arial"/>
                      <w:szCs w:val="24"/>
                    </w:rPr>
                  </w:pPr>
                  <w:r w:rsidRPr="00297A0D">
                    <w:rPr>
                      <w:rFonts w:ascii="Arial" w:hAnsi="Arial" w:cs="Arial"/>
                      <w:szCs w:val="24"/>
                    </w:rPr>
                    <w:t>Aug 16-Dec 16</w:t>
                  </w:r>
                </w:p>
              </w:tc>
            </w:tr>
            <w:tr w:rsidR="00CA5E5B" w:rsidRPr="00B36987" w:rsidTr="009E4318">
              <w:tc>
                <w:tcPr>
                  <w:tcW w:w="2439" w:type="dxa"/>
                </w:tcPr>
                <w:p w:rsidR="00CA5E5B" w:rsidRPr="00297A0D" w:rsidRDefault="00CA5E5B" w:rsidP="00851F7B">
                  <w:pPr>
                    <w:rPr>
                      <w:rFonts w:ascii="Arial" w:hAnsi="Arial" w:cs="Arial"/>
                      <w:szCs w:val="24"/>
                    </w:rPr>
                  </w:pPr>
                  <w:r w:rsidRPr="00297A0D">
                    <w:rPr>
                      <w:rFonts w:ascii="Arial" w:hAnsi="Arial" w:cs="Arial"/>
                      <w:szCs w:val="24"/>
                    </w:rPr>
                    <w:t>Fitness Training Scotland</w:t>
                  </w:r>
                </w:p>
              </w:tc>
              <w:tc>
                <w:tcPr>
                  <w:tcW w:w="4365" w:type="dxa"/>
                </w:tcPr>
                <w:p w:rsidR="00CA5E5B" w:rsidRPr="00297A0D" w:rsidRDefault="00CA5E5B" w:rsidP="00851F7B">
                  <w:pPr>
                    <w:rPr>
                      <w:rFonts w:ascii="Arial" w:hAnsi="Arial" w:cs="Arial"/>
                      <w:szCs w:val="24"/>
                    </w:rPr>
                  </w:pPr>
                  <w:r w:rsidRPr="00297A0D">
                    <w:rPr>
                      <w:rFonts w:ascii="Arial" w:hAnsi="Arial" w:cs="Arial"/>
                      <w:szCs w:val="24"/>
                    </w:rPr>
                    <w:t>Level 3 Award in Education and Training – Leisure staff</w:t>
                  </w:r>
                </w:p>
              </w:tc>
              <w:tc>
                <w:tcPr>
                  <w:tcW w:w="1843" w:type="dxa"/>
                </w:tcPr>
                <w:p w:rsidR="00CA5E5B" w:rsidRPr="00297A0D" w:rsidRDefault="00CA5E5B" w:rsidP="00851F7B">
                  <w:pPr>
                    <w:rPr>
                      <w:rFonts w:ascii="Arial" w:hAnsi="Arial" w:cs="Arial"/>
                      <w:szCs w:val="24"/>
                    </w:rPr>
                  </w:pPr>
                  <w:r w:rsidRPr="00297A0D">
                    <w:rPr>
                      <w:rFonts w:ascii="Arial" w:hAnsi="Arial" w:cs="Arial"/>
                      <w:szCs w:val="24"/>
                    </w:rPr>
                    <w:t>Aug 16-Jul 17</w:t>
                  </w:r>
                </w:p>
              </w:tc>
            </w:tr>
            <w:tr w:rsidR="00CA5E5B" w:rsidRPr="00B36987" w:rsidTr="009E4318">
              <w:tc>
                <w:tcPr>
                  <w:tcW w:w="2439" w:type="dxa"/>
                </w:tcPr>
                <w:p w:rsidR="00CA5E5B" w:rsidRPr="00297A0D" w:rsidRDefault="00CA5E5B" w:rsidP="009E4318">
                  <w:pPr>
                    <w:rPr>
                      <w:rFonts w:ascii="Arial" w:hAnsi="Arial" w:cs="Arial"/>
                      <w:szCs w:val="24"/>
                    </w:rPr>
                  </w:pPr>
                  <w:r w:rsidRPr="00297A0D">
                    <w:rPr>
                      <w:rFonts w:ascii="Arial" w:hAnsi="Arial" w:cs="Arial"/>
                      <w:szCs w:val="24"/>
                    </w:rPr>
                    <w:t>Achins ookshop</w:t>
                  </w:r>
                </w:p>
              </w:tc>
              <w:tc>
                <w:tcPr>
                  <w:tcW w:w="4365" w:type="dxa"/>
                </w:tcPr>
                <w:p w:rsidR="00CA5E5B" w:rsidRPr="00297A0D" w:rsidRDefault="00CA5E5B" w:rsidP="00851F7B">
                  <w:pPr>
                    <w:rPr>
                      <w:rFonts w:ascii="Arial" w:hAnsi="Arial" w:cs="Arial"/>
                      <w:szCs w:val="24"/>
                    </w:rPr>
                  </w:pPr>
                  <w:r w:rsidRPr="00297A0D">
                    <w:rPr>
                      <w:rFonts w:ascii="Arial" w:hAnsi="Arial" w:cs="Arial"/>
                      <w:szCs w:val="24"/>
                    </w:rPr>
                    <w:t>Provision of Ad hoc library materials</w:t>
                  </w:r>
                </w:p>
              </w:tc>
              <w:tc>
                <w:tcPr>
                  <w:tcW w:w="1843" w:type="dxa"/>
                </w:tcPr>
                <w:p w:rsidR="00CA5E5B" w:rsidRPr="00297A0D" w:rsidRDefault="00CA5E5B" w:rsidP="00851F7B">
                  <w:pPr>
                    <w:rPr>
                      <w:rFonts w:ascii="Arial" w:hAnsi="Arial" w:cs="Arial"/>
                      <w:szCs w:val="24"/>
                    </w:rPr>
                  </w:pPr>
                  <w:r w:rsidRPr="00297A0D">
                    <w:rPr>
                      <w:rFonts w:ascii="Arial" w:hAnsi="Arial" w:cs="Arial"/>
                      <w:szCs w:val="24"/>
                    </w:rPr>
                    <w:t>Aug 16-Jul 19</w:t>
                  </w:r>
                </w:p>
              </w:tc>
            </w:tr>
            <w:tr w:rsidR="00CA5E5B" w:rsidRPr="00B36987" w:rsidTr="009E4318">
              <w:tc>
                <w:tcPr>
                  <w:tcW w:w="2439"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Bibliotheca</w:t>
                  </w:r>
                </w:p>
              </w:tc>
              <w:tc>
                <w:tcPr>
                  <w:tcW w:w="4365"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RFID machine for Highland libraries</w:t>
                  </w:r>
                </w:p>
              </w:tc>
              <w:tc>
                <w:tcPr>
                  <w:tcW w:w="1843"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Aug 16-Jul 20</w:t>
                  </w:r>
                </w:p>
              </w:tc>
            </w:tr>
            <w:tr w:rsidR="00CA5E5B" w:rsidRPr="00B36987" w:rsidTr="009E4318">
              <w:tc>
                <w:tcPr>
                  <w:tcW w:w="2439"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DUFI Art</w:t>
                  </w:r>
                </w:p>
              </w:tc>
              <w:tc>
                <w:tcPr>
                  <w:tcW w:w="4365"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Castle Viewpoint Creative Commission 1 Stairwell Graphic Art</w:t>
                  </w:r>
                </w:p>
              </w:tc>
              <w:tc>
                <w:tcPr>
                  <w:tcW w:w="1843"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Aug 16-Feb 17</w:t>
                  </w:r>
                </w:p>
              </w:tc>
            </w:tr>
            <w:tr w:rsidR="00CA5E5B" w:rsidRPr="00B36987" w:rsidTr="009E4318">
              <w:tc>
                <w:tcPr>
                  <w:tcW w:w="2439"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Less Than Nothing Productions</w:t>
                  </w:r>
                </w:p>
              </w:tc>
              <w:tc>
                <w:tcPr>
                  <w:tcW w:w="4365"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Castle Viewpoint Creative Commission 2 1</w:t>
                  </w:r>
                  <w:r w:rsidRPr="00297A0D">
                    <w:rPr>
                      <w:rFonts w:ascii="Arial" w:hAnsi="Arial" w:cs="Arial"/>
                      <w:szCs w:val="24"/>
                      <w:vertAlign w:val="superscript"/>
                    </w:rPr>
                    <w:t>st</w:t>
                  </w:r>
                  <w:r w:rsidRPr="00297A0D">
                    <w:rPr>
                      <w:rFonts w:ascii="Arial" w:hAnsi="Arial" w:cs="Arial"/>
                      <w:szCs w:val="24"/>
                    </w:rPr>
                    <w:t xml:space="preserve"> Floor Animation</w:t>
                  </w:r>
                </w:p>
              </w:tc>
              <w:tc>
                <w:tcPr>
                  <w:tcW w:w="1843"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Aug 16-Feb 17</w:t>
                  </w:r>
                </w:p>
              </w:tc>
            </w:tr>
            <w:tr w:rsidR="00CA5E5B" w:rsidRPr="00B36987" w:rsidTr="009E4318">
              <w:tc>
                <w:tcPr>
                  <w:tcW w:w="2439"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DUFI Art</w:t>
                  </w:r>
                </w:p>
              </w:tc>
              <w:tc>
                <w:tcPr>
                  <w:tcW w:w="4365"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Castle Viewpoint Creative Commission 3 1</w:t>
                  </w:r>
                  <w:r w:rsidRPr="00297A0D">
                    <w:rPr>
                      <w:rFonts w:ascii="Arial" w:hAnsi="Arial" w:cs="Arial"/>
                      <w:szCs w:val="24"/>
                      <w:vertAlign w:val="superscript"/>
                    </w:rPr>
                    <w:t>st</w:t>
                  </w:r>
                  <w:r w:rsidRPr="00297A0D">
                    <w:rPr>
                      <w:rFonts w:ascii="Arial" w:hAnsi="Arial" w:cs="Arial"/>
                      <w:szCs w:val="24"/>
                    </w:rPr>
                    <w:t xml:space="preserve"> Floor Graphic Art</w:t>
                  </w:r>
                </w:p>
              </w:tc>
              <w:tc>
                <w:tcPr>
                  <w:tcW w:w="1843"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Aug 16-Feb 17</w:t>
                  </w:r>
                </w:p>
              </w:tc>
            </w:tr>
            <w:tr w:rsidR="00CA5E5B" w:rsidRPr="00B36987" w:rsidTr="009E4318">
              <w:tc>
                <w:tcPr>
                  <w:tcW w:w="2439"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Fuzzy Duck</w:t>
                  </w:r>
                </w:p>
              </w:tc>
              <w:tc>
                <w:tcPr>
                  <w:tcW w:w="4365"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Castle Viewpoint Creative Commission 4 2</w:t>
                  </w:r>
                  <w:r w:rsidRPr="00297A0D">
                    <w:rPr>
                      <w:rFonts w:ascii="Arial" w:hAnsi="Arial" w:cs="Arial"/>
                      <w:szCs w:val="24"/>
                      <w:vertAlign w:val="superscript"/>
                    </w:rPr>
                    <w:t>nd</w:t>
                  </w:r>
                  <w:r w:rsidRPr="00297A0D">
                    <w:rPr>
                      <w:rFonts w:ascii="Arial" w:hAnsi="Arial" w:cs="Arial"/>
                      <w:szCs w:val="24"/>
                    </w:rPr>
                    <w:t xml:space="preserve"> Floor Animation</w:t>
                  </w:r>
                </w:p>
              </w:tc>
              <w:tc>
                <w:tcPr>
                  <w:tcW w:w="1843"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Aug 16-Feb 17</w:t>
                  </w:r>
                </w:p>
              </w:tc>
            </w:tr>
            <w:tr w:rsidR="00CA5E5B" w:rsidRPr="00B36987" w:rsidTr="009E4318">
              <w:tc>
                <w:tcPr>
                  <w:tcW w:w="2439"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DP Digital Media</w:t>
                  </w:r>
                </w:p>
              </w:tc>
              <w:tc>
                <w:tcPr>
                  <w:tcW w:w="4365"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You Time Promotional Films</w:t>
                  </w:r>
                </w:p>
                <w:p w:rsidR="00CA5E5B" w:rsidRPr="00297A0D" w:rsidRDefault="00CA5E5B" w:rsidP="00851F7B">
                  <w:pPr>
                    <w:rPr>
                      <w:rFonts w:ascii="Arial" w:hAnsi="Arial" w:cs="Arial"/>
                      <w:szCs w:val="24"/>
                    </w:rPr>
                  </w:pPr>
                </w:p>
              </w:tc>
              <w:tc>
                <w:tcPr>
                  <w:tcW w:w="1843"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Oct-Dec 16</w:t>
                  </w:r>
                </w:p>
              </w:tc>
            </w:tr>
            <w:tr w:rsidR="00CA5E5B" w:rsidRPr="00B36987" w:rsidTr="009E4318">
              <w:tc>
                <w:tcPr>
                  <w:tcW w:w="2439"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The Design Concept</w:t>
                  </w:r>
                </w:p>
              </w:tc>
              <w:tc>
                <w:tcPr>
                  <w:tcW w:w="4365" w:type="dxa"/>
                  <w:tcBorders>
                    <w:bottom w:val="single" w:sz="4" w:space="0" w:color="auto"/>
                  </w:tcBorders>
                </w:tcPr>
                <w:p w:rsidR="00CA5E5B" w:rsidRPr="00297A0D" w:rsidRDefault="00CA5E5B" w:rsidP="00297A0D">
                  <w:pPr>
                    <w:rPr>
                      <w:rFonts w:ascii="Arial" w:hAnsi="Arial" w:cs="Arial"/>
                      <w:szCs w:val="24"/>
                    </w:rPr>
                  </w:pPr>
                  <w:r w:rsidRPr="00297A0D">
                    <w:rPr>
                      <w:rFonts w:ascii="Arial" w:hAnsi="Arial" w:cs="Arial"/>
                      <w:szCs w:val="24"/>
                    </w:rPr>
                    <w:t>Fit out of Grantown Library</w:t>
                  </w:r>
                </w:p>
              </w:tc>
              <w:tc>
                <w:tcPr>
                  <w:tcW w:w="1843" w:type="dxa"/>
                  <w:tcBorders>
                    <w:bottom w:val="single" w:sz="4" w:space="0" w:color="auto"/>
                  </w:tcBorders>
                </w:tcPr>
                <w:p w:rsidR="00CA5E5B" w:rsidRPr="00297A0D" w:rsidRDefault="00CA5E5B" w:rsidP="00851F7B">
                  <w:pPr>
                    <w:rPr>
                      <w:rFonts w:ascii="Arial" w:hAnsi="Arial" w:cs="Arial"/>
                      <w:szCs w:val="24"/>
                    </w:rPr>
                  </w:pPr>
                  <w:r w:rsidRPr="00297A0D">
                    <w:rPr>
                      <w:rFonts w:ascii="Arial" w:hAnsi="Arial" w:cs="Arial"/>
                      <w:szCs w:val="24"/>
                    </w:rPr>
                    <w:t>Nov-Apr 17</w:t>
                  </w:r>
                </w:p>
              </w:tc>
            </w:tr>
          </w:tbl>
          <w:p w:rsidR="00B4768B" w:rsidRPr="008A3353" w:rsidRDefault="00B4768B" w:rsidP="00B4768B">
            <w:pPr>
              <w:autoSpaceDE w:val="0"/>
              <w:autoSpaceDN w:val="0"/>
              <w:adjustRightInd w:val="0"/>
              <w:jc w:val="both"/>
              <w:rPr>
                <w:rFonts w:ascii="Arial" w:hAnsi="Arial" w:cs="Arial"/>
                <w:b/>
              </w:rPr>
            </w:pPr>
          </w:p>
        </w:tc>
      </w:tr>
      <w:tr w:rsidR="00B4768B" w:rsidRPr="009B0904" w:rsidTr="008A3353">
        <w:trPr>
          <w:trHeight w:val="498"/>
        </w:trPr>
        <w:tc>
          <w:tcPr>
            <w:tcW w:w="817" w:type="dxa"/>
          </w:tcPr>
          <w:p w:rsidR="008512B8" w:rsidRDefault="008512B8" w:rsidP="00532972">
            <w:pPr>
              <w:autoSpaceDE w:val="0"/>
              <w:autoSpaceDN w:val="0"/>
              <w:adjustRightInd w:val="0"/>
              <w:rPr>
                <w:rFonts w:ascii="Arial" w:hAnsi="Arial" w:cs="Arial"/>
                <w:b/>
              </w:rPr>
            </w:pPr>
          </w:p>
          <w:p w:rsidR="009E4318" w:rsidRDefault="009E4318" w:rsidP="00532972">
            <w:pPr>
              <w:autoSpaceDE w:val="0"/>
              <w:autoSpaceDN w:val="0"/>
              <w:adjustRightInd w:val="0"/>
              <w:rPr>
                <w:rFonts w:ascii="Arial" w:hAnsi="Arial" w:cs="Arial"/>
                <w:b/>
              </w:rPr>
            </w:pPr>
          </w:p>
          <w:p w:rsidR="00B4768B" w:rsidRDefault="00226A24" w:rsidP="00532972">
            <w:pPr>
              <w:autoSpaceDE w:val="0"/>
              <w:autoSpaceDN w:val="0"/>
              <w:adjustRightInd w:val="0"/>
              <w:rPr>
                <w:rFonts w:ascii="Arial" w:hAnsi="Arial" w:cs="Arial"/>
                <w:b/>
              </w:rPr>
            </w:pPr>
            <w:r>
              <w:rPr>
                <w:rFonts w:ascii="Arial" w:hAnsi="Arial" w:cs="Arial"/>
                <w:b/>
              </w:rPr>
              <w:lastRenderedPageBreak/>
              <w:t>8</w:t>
            </w:r>
            <w:r w:rsidR="00B4768B">
              <w:rPr>
                <w:rFonts w:ascii="Arial" w:hAnsi="Arial" w:cs="Arial"/>
                <w:b/>
              </w:rPr>
              <w:t>.</w:t>
            </w:r>
          </w:p>
        </w:tc>
        <w:tc>
          <w:tcPr>
            <w:tcW w:w="8647" w:type="dxa"/>
          </w:tcPr>
          <w:p w:rsidR="008512B8" w:rsidRDefault="008512B8" w:rsidP="00B4768B">
            <w:pPr>
              <w:autoSpaceDE w:val="0"/>
              <w:autoSpaceDN w:val="0"/>
              <w:adjustRightInd w:val="0"/>
              <w:jc w:val="both"/>
              <w:rPr>
                <w:rFonts w:ascii="Arial" w:hAnsi="Arial" w:cs="Arial"/>
                <w:b/>
              </w:rPr>
            </w:pPr>
          </w:p>
          <w:p w:rsidR="009E4318" w:rsidRDefault="009E4318" w:rsidP="00B4768B">
            <w:pPr>
              <w:autoSpaceDE w:val="0"/>
              <w:autoSpaceDN w:val="0"/>
              <w:adjustRightInd w:val="0"/>
              <w:jc w:val="both"/>
              <w:rPr>
                <w:rFonts w:ascii="Arial" w:hAnsi="Arial" w:cs="Arial"/>
                <w:b/>
              </w:rPr>
            </w:pPr>
          </w:p>
          <w:p w:rsidR="00B4768B" w:rsidRDefault="00B4768B" w:rsidP="00B4768B">
            <w:pPr>
              <w:autoSpaceDE w:val="0"/>
              <w:autoSpaceDN w:val="0"/>
              <w:adjustRightInd w:val="0"/>
              <w:jc w:val="both"/>
              <w:rPr>
                <w:rFonts w:ascii="Arial" w:hAnsi="Arial" w:cs="Arial"/>
                <w:b/>
              </w:rPr>
            </w:pPr>
            <w:r w:rsidRPr="008A3353">
              <w:rPr>
                <w:rFonts w:ascii="Arial" w:hAnsi="Arial" w:cs="Arial"/>
                <w:b/>
              </w:rPr>
              <w:lastRenderedPageBreak/>
              <w:t>Implications</w:t>
            </w:r>
          </w:p>
          <w:p w:rsidR="00B4768B" w:rsidRPr="00554631" w:rsidRDefault="00B4768B" w:rsidP="00B4768B">
            <w:pPr>
              <w:autoSpaceDE w:val="0"/>
              <w:autoSpaceDN w:val="0"/>
              <w:adjustRightInd w:val="0"/>
              <w:jc w:val="both"/>
              <w:rPr>
                <w:rFonts w:ascii="Arial" w:hAnsi="Arial" w:cs="Arial"/>
                <w:b/>
                <w:szCs w:val="24"/>
              </w:rPr>
            </w:pPr>
          </w:p>
        </w:tc>
      </w:tr>
      <w:tr w:rsidR="00A53534" w:rsidRPr="009B0904" w:rsidTr="003B450B">
        <w:trPr>
          <w:trHeight w:val="2315"/>
        </w:trPr>
        <w:tc>
          <w:tcPr>
            <w:tcW w:w="817" w:type="dxa"/>
          </w:tcPr>
          <w:p w:rsidR="00A53534" w:rsidRPr="009B0904" w:rsidRDefault="00226A24" w:rsidP="00590C36">
            <w:pPr>
              <w:autoSpaceDE w:val="0"/>
              <w:autoSpaceDN w:val="0"/>
              <w:adjustRightInd w:val="0"/>
              <w:rPr>
                <w:rFonts w:ascii="Arial" w:hAnsi="Arial" w:cs="Arial"/>
              </w:rPr>
            </w:pPr>
            <w:r>
              <w:rPr>
                <w:rFonts w:ascii="Arial" w:hAnsi="Arial" w:cs="Arial"/>
              </w:rPr>
              <w:lastRenderedPageBreak/>
              <w:t>8</w:t>
            </w:r>
            <w:r w:rsidR="00A53534" w:rsidRPr="009B0904">
              <w:rPr>
                <w:rFonts w:ascii="Arial" w:hAnsi="Arial" w:cs="Arial"/>
              </w:rPr>
              <w:t>.1</w:t>
            </w:r>
          </w:p>
          <w:p w:rsidR="002A21D3" w:rsidRPr="009B0904" w:rsidRDefault="002A21D3" w:rsidP="00590C36">
            <w:pPr>
              <w:autoSpaceDE w:val="0"/>
              <w:autoSpaceDN w:val="0"/>
              <w:adjustRightInd w:val="0"/>
              <w:rPr>
                <w:rFonts w:ascii="Arial" w:hAnsi="Arial" w:cs="Arial"/>
              </w:rPr>
            </w:pPr>
          </w:p>
          <w:p w:rsidR="00EA70C6" w:rsidRPr="009B0904" w:rsidRDefault="00EA70C6" w:rsidP="00590C36">
            <w:pPr>
              <w:autoSpaceDE w:val="0"/>
              <w:autoSpaceDN w:val="0"/>
              <w:adjustRightInd w:val="0"/>
              <w:rPr>
                <w:rFonts w:ascii="Arial" w:hAnsi="Arial" w:cs="Arial"/>
              </w:rPr>
            </w:pPr>
          </w:p>
          <w:p w:rsidR="00E25517" w:rsidRDefault="00E25517" w:rsidP="00590C36">
            <w:pPr>
              <w:autoSpaceDE w:val="0"/>
              <w:autoSpaceDN w:val="0"/>
              <w:adjustRightInd w:val="0"/>
              <w:rPr>
                <w:rFonts w:ascii="Arial" w:hAnsi="Arial" w:cs="Arial"/>
              </w:rPr>
            </w:pPr>
          </w:p>
          <w:p w:rsidR="00EA70C6" w:rsidRPr="009B0904" w:rsidRDefault="00226A24" w:rsidP="00590C36">
            <w:pPr>
              <w:autoSpaceDE w:val="0"/>
              <w:autoSpaceDN w:val="0"/>
              <w:adjustRightInd w:val="0"/>
              <w:rPr>
                <w:rFonts w:ascii="Arial" w:hAnsi="Arial" w:cs="Arial"/>
              </w:rPr>
            </w:pPr>
            <w:r>
              <w:rPr>
                <w:rFonts w:ascii="Arial" w:hAnsi="Arial" w:cs="Arial"/>
              </w:rPr>
              <w:t>8</w:t>
            </w:r>
            <w:r w:rsidR="00EA70C6" w:rsidRPr="009B0904">
              <w:rPr>
                <w:rFonts w:ascii="Arial" w:hAnsi="Arial" w:cs="Arial"/>
              </w:rPr>
              <w:t>.2</w:t>
            </w:r>
          </w:p>
          <w:p w:rsidR="002A21D3" w:rsidRPr="009B0904" w:rsidRDefault="002A21D3" w:rsidP="00590C36">
            <w:pPr>
              <w:autoSpaceDE w:val="0"/>
              <w:autoSpaceDN w:val="0"/>
              <w:adjustRightInd w:val="0"/>
              <w:rPr>
                <w:rFonts w:ascii="Arial" w:hAnsi="Arial" w:cs="Arial"/>
              </w:rPr>
            </w:pPr>
          </w:p>
          <w:p w:rsidR="00EA70C6" w:rsidRPr="009B0904" w:rsidRDefault="00EA70C6" w:rsidP="00590C36">
            <w:pPr>
              <w:autoSpaceDE w:val="0"/>
              <w:autoSpaceDN w:val="0"/>
              <w:adjustRightInd w:val="0"/>
              <w:rPr>
                <w:rFonts w:ascii="Arial" w:hAnsi="Arial" w:cs="Arial"/>
              </w:rPr>
            </w:pPr>
          </w:p>
          <w:p w:rsidR="00EA70C6" w:rsidRPr="009B0904" w:rsidRDefault="00226A24" w:rsidP="00590C36">
            <w:pPr>
              <w:autoSpaceDE w:val="0"/>
              <w:autoSpaceDN w:val="0"/>
              <w:adjustRightInd w:val="0"/>
              <w:rPr>
                <w:rFonts w:ascii="Arial" w:hAnsi="Arial" w:cs="Arial"/>
              </w:rPr>
            </w:pPr>
            <w:r>
              <w:rPr>
                <w:rFonts w:ascii="Arial" w:hAnsi="Arial" w:cs="Arial"/>
              </w:rPr>
              <w:t>8</w:t>
            </w:r>
            <w:r w:rsidR="00EA70C6" w:rsidRPr="009B0904">
              <w:rPr>
                <w:rFonts w:ascii="Arial" w:hAnsi="Arial" w:cs="Arial"/>
              </w:rPr>
              <w:t>.3</w:t>
            </w:r>
          </w:p>
          <w:p w:rsidR="003924C9" w:rsidRPr="009B0904" w:rsidRDefault="003924C9" w:rsidP="00590C36">
            <w:pPr>
              <w:autoSpaceDE w:val="0"/>
              <w:autoSpaceDN w:val="0"/>
              <w:adjustRightInd w:val="0"/>
              <w:rPr>
                <w:rFonts w:ascii="Arial" w:hAnsi="Arial" w:cs="Arial"/>
              </w:rPr>
            </w:pPr>
          </w:p>
          <w:p w:rsidR="00EA70C6" w:rsidRPr="009B0904" w:rsidRDefault="00EA70C6" w:rsidP="00590C36">
            <w:pPr>
              <w:autoSpaceDE w:val="0"/>
              <w:autoSpaceDN w:val="0"/>
              <w:adjustRightInd w:val="0"/>
              <w:rPr>
                <w:rFonts w:ascii="Arial" w:hAnsi="Arial" w:cs="Arial"/>
              </w:rPr>
            </w:pPr>
          </w:p>
        </w:tc>
        <w:tc>
          <w:tcPr>
            <w:tcW w:w="8647" w:type="dxa"/>
          </w:tcPr>
          <w:p w:rsidR="00E25517" w:rsidRDefault="00EA70C6" w:rsidP="00E25517">
            <w:pPr>
              <w:jc w:val="both"/>
              <w:rPr>
                <w:rFonts w:ascii="Arial" w:eastAsia="Calibri" w:hAnsi="Arial" w:cs="Arial"/>
                <w:szCs w:val="24"/>
                <w:lang w:eastAsia="en-US"/>
              </w:rPr>
            </w:pPr>
            <w:r w:rsidRPr="009B0904">
              <w:rPr>
                <w:rFonts w:ascii="Arial" w:hAnsi="Arial" w:cs="Arial"/>
              </w:rPr>
              <w:t>Resource Implications –</w:t>
            </w:r>
            <w:r w:rsidR="002A21D3" w:rsidRPr="009B0904">
              <w:rPr>
                <w:rFonts w:ascii="Arial" w:hAnsi="Arial" w:cs="Arial"/>
              </w:rPr>
              <w:t xml:space="preserve"> </w:t>
            </w:r>
            <w:r w:rsidR="00E25517" w:rsidRPr="00E25517">
              <w:rPr>
                <w:rFonts w:ascii="Arial" w:eastAsia="Calibri" w:hAnsi="Arial" w:cs="Arial"/>
                <w:szCs w:val="24"/>
                <w:lang w:eastAsia="en-US"/>
              </w:rPr>
              <w:t>there are no new resource implications associated with the recommendations of this report. Once the VAT position is clarified an adjustment may be required.</w:t>
            </w:r>
          </w:p>
          <w:p w:rsidR="00E25517" w:rsidRPr="00E25517" w:rsidRDefault="00E25517" w:rsidP="00E25517">
            <w:pPr>
              <w:jc w:val="both"/>
              <w:rPr>
                <w:rFonts w:ascii="Arial" w:eastAsia="Calibri" w:hAnsi="Arial" w:cs="Arial"/>
                <w:szCs w:val="24"/>
                <w:lang w:eastAsia="en-US"/>
              </w:rPr>
            </w:pPr>
          </w:p>
          <w:p w:rsidR="00EA70C6" w:rsidRPr="009B0904" w:rsidRDefault="00EA70C6" w:rsidP="00590C36">
            <w:pPr>
              <w:autoSpaceDE w:val="0"/>
              <w:autoSpaceDN w:val="0"/>
              <w:adjustRightInd w:val="0"/>
              <w:jc w:val="both"/>
              <w:rPr>
                <w:rFonts w:ascii="Arial" w:hAnsi="Arial" w:cs="Arial"/>
              </w:rPr>
            </w:pPr>
            <w:r w:rsidRPr="009B0904">
              <w:rPr>
                <w:rFonts w:ascii="Arial" w:hAnsi="Arial" w:cs="Arial"/>
              </w:rPr>
              <w:t xml:space="preserve">Legal Implications </w:t>
            </w:r>
            <w:r w:rsidR="002A21D3" w:rsidRPr="009B0904">
              <w:rPr>
                <w:rFonts w:ascii="Arial" w:hAnsi="Arial" w:cs="Arial"/>
              </w:rPr>
              <w:t xml:space="preserve">– </w:t>
            </w:r>
            <w:r w:rsidR="00472040" w:rsidRPr="009B0904">
              <w:rPr>
                <w:rFonts w:ascii="Arial" w:hAnsi="Arial" w:cs="Arial"/>
              </w:rPr>
              <w:t>t</w:t>
            </w:r>
            <w:r w:rsidR="002A21D3" w:rsidRPr="009B0904">
              <w:rPr>
                <w:rFonts w:ascii="Arial" w:hAnsi="Arial" w:cs="Arial"/>
              </w:rPr>
              <w:t xml:space="preserve">here are no </w:t>
            </w:r>
            <w:r w:rsidR="005A64AF" w:rsidRPr="009B0904">
              <w:rPr>
                <w:rFonts w:ascii="Arial" w:hAnsi="Arial" w:cs="Arial"/>
              </w:rPr>
              <w:t xml:space="preserve">new </w:t>
            </w:r>
            <w:r w:rsidR="002A21D3" w:rsidRPr="009B0904">
              <w:rPr>
                <w:rFonts w:ascii="Arial" w:hAnsi="Arial" w:cs="Arial"/>
              </w:rPr>
              <w:t>legal implications arising from the content of this report.</w:t>
            </w:r>
          </w:p>
          <w:p w:rsidR="00EA70C6" w:rsidRPr="009B0904" w:rsidRDefault="00EA70C6" w:rsidP="00590C36">
            <w:pPr>
              <w:autoSpaceDE w:val="0"/>
              <w:autoSpaceDN w:val="0"/>
              <w:adjustRightInd w:val="0"/>
              <w:jc w:val="both"/>
              <w:rPr>
                <w:rFonts w:ascii="Arial" w:hAnsi="Arial" w:cs="Arial"/>
              </w:rPr>
            </w:pPr>
          </w:p>
          <w:p w:rsidR="004D3C32" w:rsidRPr="00F070CF" w:rsidRDefault="00EA70C6" w:rsidP="00472040">
            <w:pPr>
              <w:autoSpaceDE w:val="0"/>
              <w:autoSpaceDN w:val="0"/>
              <w:adjustRightInd w:val="0"/>
              <w:jc w:val="both"/>
              <w:rPr>
                <w:rFonts w:ascii="Arial" w:hAnsi="Arial" w:cs="Arial"/>
                <w:i/>
              </w:rPr>
            </w:pPr>
            <w:r w:rsidRPr="009B0904">
              <w:rPr>
                <w:rFonts w:ascii="Arial" w:hAnsi="Arial" w:cs="Arial"/>
              </w:rPr>
              <w:t xml:space="preserve">Risk Implications </w:t>
            </w:r>
            <w:r w:rsidR="00023E37" w:rsidRPr="009B0904">
              <w:rPr>
                <w:rFonts w:ascii="Arial" w:hAnsi="Arial" w:cs="Arial"/>
              </w:rPr>
              <w:t xml:space="preserve">– </w:t>
            </w:r>
            <w:r w:rsidR="00472040" w:rsidRPr="009B0904">
              <w:rPr>
                <w:rFonts w:ascii="Arial" w:hAnsi="Arial" w:cs="Arial"/>
              </w:rPr>
              <w:t>t</w:t>
            </w:r>
            <w:r w:rsidR="00023E37" w:rsidRPr="009B0904">
              <w:rPr>
                <w:rFonts w:ascii="Arial" w:hAnsi="Arial" w:cs="Arial"/>
              </w:rPr>
              <w:t>here are no new risks arising from the content of this report</w:t>
            </w:r>
            <w:r w:rsidR="00A53534" w:rsidRPr="009B0904">
              <w:rPr>
                <w:rFonts w:ascii="Arial" w:hAnsi="Arial" w:cs="Arial"/>
                <w:i/>
              </w:rPr>
              <w:t>.</w:t>
            </w:r>
          </w:p>
        </w:tc>
      </w:tr>
      <w:tr w:rsidR="006B6192" w:rsidRPr="0089449E" w:rsidTr="00BA5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6B6192" w:rsidRPr="0089449E" w:rsidRDefault="007273AE" w:rsidP="00BA5464">
            <w:pPr>
              <w:pStyle w:val="Heading2"/>
              <w:jc w:val="both"/>
              <w:rPr>
                <w:rFonts w:ascii="Arial" w:hAnsi="Arial" w:cs="Arial"/>
                <w:b/>
                <w:szCs w:val="24"/>
                <w:u w:val="none"/>
              </w:rPr>
            </w:pPr>
            <w:r>
              <w:rPr>
                <w:rFonts w:ascii="Arial" w:hAnsi="Arial" w:cs="Arial"/>
                <w:b/>
                <w:szCs w:val="24"/>
                <w:u w:val="none"/>
              </w:rPr>
              <w:t>Recommendations</w:t>
            </w:r>
          </w:p>
          <w:p w:rsidR="006B6192" w:rsidRPr="0089449E" w:rsidRDefault="006B6192" w:rsidP="00BA5464">
            <w:pPr>
              <w:jc w:val="both"/>
              <w:rPr>
                <w:rFonts w:ascii="Arial" w:hAnsi="Arial" w:cs="Arial"/>
              </w:rPr>
            </w:pPr>
          </w:p>
          <w:p w:rsidR="008512B8" w:rsidRDefault="008512B8" w:rsidP="008512B8">
            <w:pPr>
              <w:jc w:val="both"/>
              <w:rPr>
                <w:rFonts w:ascii="Arial" w:hAnsi="Arial" w:cs="Arial"/>
              </w:rPr>
            </w:pPr>
            <w:r>
              <w:rPr>
                <w:rFonts w:ascii="Arial" w:hAnsi="Arial" w:cs="Arial"/>
              </w:rPr>
              <w:t>It is recommended that Directors note:</w:t>
            </w:r>
          </w:p>
          <w:p w:rsidR="008512B8" w:rsidRDefault="008512B8" w:rsidP="008512B8">
            <w:pPr>
              <w:jc w:val="both"/>
              <w:rPr>
                <w:rFonts w:ascii="Arial" w:hAnsi="Arial" w:cs="Arial"/>
              </w:rPr>
            </w:pPr>
          </w:p>
          <w:p w:rsidR="009E4318" w:rsidRPr="00226A24" w:rsidRDefault="009E4318" w:rsidP="009E4318">
            <w:pPr>
              <w:pStyle w:val="ListParagraph"/>
              <w:numPr>
                <w:ilvl w:val="0"/>
                <w:numId w:val="19"/>
              </w:numPr>
              <w:ind w:left="567" w:hanging="283"/>
              <w:jc w:val="both"/>
              <w:rPr>
                <w:rFonts w:ascii="Arial" w:hAnsi="Arial" w:cs="Arial"/>
                <w:sz w:val="24"/>
                <w:szCs w:val="24"/>
              </w:rPr>
            </w:pPr>
            <w:r w:rsidRPr="00226A24">
              <w:rPr>
                <w:rFonts w:ascii="Arial" w:hAnsi="Arial" w:cs="Arial"/>
                <w:sz w:val="24"/>
                <w:szCs w:val="24"/>
              </w:rPr>
              <w:t xml:space="preserve">the current financial position of High Life Highland as detailed in </w:t>
            </w:r>
            <w:r w:rsidRPr="00226A24">
              <w:rPr>
                <w:rFonts w:ascii="Arial" w:hAnsi="Arial" w:cs="Arial"/>
                <w:b/>
                <w:sz w:val="24"/>
                <w:szCs w:val="24"/>
              </w:rPr>
              <w:t>Appendix A;</w:t>
            </w:r>
          </w:p>
          <w:p w:rsidR="009E4318" w:rsidRPr="00226A24" w:rsidRDefault="009E4318" w:rsidP="009E4318">
            <w:pPr>
              <w:pStyle w:val="ListParagraph"/>
              <w:numPr>
                <w:ilvl w:val="0"/>
                <w:numId w:val="19"/>
              </w:numPr>
              <w:ind w:left="567" w:hanging="283"/>
              <w:jc w:val="both"/>
              <w:rPr>
                <w:rFonts w:ascii="Arial" w:hAnsi="Arial" w:cs="Arial"/>
                <w:sz w:val="24"/>
                <w:szCs w:val="24"/>
              </w:rPr>
            </w:pPr>
            <w:r w:rsidRPr="00226A24">
              <w:rPr>
                <w:rFonts w:ascii="Arial" w:hAnsi="Arial" w:cs="Arial"/>
                <w:sz w:val="24"/>
                <w:szCs w:val="24"/>
              </w:rPr>
              <w:t>the financial results for the 7 months to October 2016 report a surplus of £18,273;</w:t>
            </w:r>
          </w:p>
          <w:p w:rsidR="009E4318" w:rsidRPr="00494A2F" w:rsidRDefault="009E4318" w:rsidP="009E4318">
            <w:pPr>
              <w:pStyle w:val="ListParagraph"/>
              <w:numPr>
                <w:ilvl w:val="0"/>
                <w:numId w:val="19"/>
              </w:numPr>
              <w:ind w:left="567" w:hanging="283"/>
              <w:jc w:val="both"/>
              <w:rPr>
                <w:rFonts w:ascii="Arial" w:hAnsi="Arial" w:cs="Arial"/>
                <w:szCs w:val="24"/>
              </w:rPr>
            </w:pPr>
            <w:r w:rsidRPr="00226A24">
              <w:rPr>
                <w:rFonts w:ascii="Arial" w:hAnsi="Arial" w:cs="Arial"/>
                <w:sz w:val="24"/>
                <w:szCs w:val="24"/>
              </w:rPr>
              <w:t xml:space="preserve">the projected final out-turn for the year </w:t>
            </w:r>
            <w:r>
              <w:rPr>
                <w:rFonts w:ascii="Arial" w:hAnsi="Arial" w:cs="Arial"/>
                <w:sz w:val="24"/>
                <w:szCs w:val="24"/>
              </w:rPr>
              <w:t xml:space="preserve">is a surplus to budget of </w:t>
            </w:r>
            <w:r w:rsidRPr="00226A24">
              <w:rPr>
                <w:rFonts w:ascii="Arial" w:hAnsi="Arial" w:cs="Arial"/>
                <w:sz w:val="24"/>
                <w:szCs w:val="24"/>
              </w:rPr>
              <w:t>c</w:t>
            </w:r>
            <w:r>
              <w:rPr>
                <w:rFonts w:ascii="Arial" w:hAnsi="Arial" w:cs="Arial"/>
                <w:sz w:val="24"/>
                <w:szCs w:val="24"/>
              </w:rPr>
              <w:t xml:space="preserve"> </w:t>
            </w:r>
            <w:r w:rsidRPr="00226A24">
              <w:rPr>
                <w:rFonts w:ascii="Arial" w:hAnsi="Arial" w:cs="Arial"/>
                <w:sz w:val="24"/>
                <w:szCs w:val="24"/>
              </w:rPr>
              <w:t>£</w:t>
            </w:r>
            <w:r>
              <w:rPr>
                <w:rFonts w:ascii="Arial" w:hAnsi="Arial" w:cs="Arial"/>
                <w:sz w:val="24"/>
                <w:szCs w:val="24"/>
              </w:rPr>
              <w:t>25</w:t>
            </w:r>
            <w:r w:rsidRPr="00226A24">
              <w:rPr>
                <w:rFonts w:ascii="Arial" w:hAnsi="Arial" w:cs="Arial"/>
                <w:sz w:val="24"/>
                <w:szCs w:val="24"/>
              </w:rPr>
              <w:t xml:space="preserve">K; </w:t>
            </w:r>
          </w:p>
          <w:p w:rsidR="009E4318" w:rsidRPr="00226A24" w:rsidRDefault="009E4318" w:rsidP="009E4318">
            <w:pPr>
              <w:pStyle w:val="ListParagraph"/>
              <w:numPr>
                <w:ilvl w:val="0"/>
                <w:numId w:val="19"/>
              </w:numPr>
              <w:ind w:left="567" w:hanging="283"/>
              <w:jc w:val="both"/>
              <w:rPr>
                <w:rFonts w:ascii="Arial" w:hAnsi="Arial" w:cs="Arial"/>
                <w:sz w:val="24"/>
                <w:szCs w:val="24"/>
              </w:rPr>
            </w:pPr>
            <w:r w:rsidRPr="00226A24">
              <w:rPr>
                <w:rFonts w:ascii="Arial" w:hAnsi="Arial" w:cs="Arial"/>
                <w:sz w:val="24"/>
                <w:szCs w:val="24"/>
              </w:rPr>
              <w:t>the award of contracts to The Design Concept</w:t>
            </w:r>
            <w:r>
              <w:rPr>
                <w:rFonts w:ascii="Arial" w:hAnsi="Arial" w:cs="Arial"/>
                <w:sz w:val="24"/>
                <w:szCs w:val="24"/>
              </w:rPr>
              <w:t xml:space="preserve"> (x2) </w:t>
            </w:r>
            <w:r w:rsidRPr="00226A24">
              <w:rPr>
                <w:rFonts w:ascii="Arial" w:hAnsi="Arial" w:cs="Arial"/>
                <w:sz w:val="24"/>
                <w:szCs w:val="24"/>
              </w:rPr>
              <w:t xml:space="preserve"> Fitness Training Scotland, Achins Bookshop, Bibliotheca, DUFI Art</w:t>
            </w:r>
            <w:r>
              <w:rPr>
                <w:rFonts w:ascii="Arial" w:hAnsi="Arial" w:cs="Arial"/>
                <w:sz w:val="24"/>
                <w:szCs w:val="24"/>
              </w:rPr>
              <w:t xml:space="preserve"> (x2),</w:t>
            </w:r>
            <w:r w:rsidRPr="00226A24">
              <w:rPr>
                <w:rFonts w:ascii="Arial" w:hAnsi="Arial" w:cs="Arial"/>
                <w:sz w:val="24"/>
                <w:szCs w:val="24"/>
              </w:rPr>
              <w:t xml:space="preserve"> Less than Nothing Production, </w:t>
            </w:r>
            <w:r>
              <w:rPr>
                <w:rFonts w:ascii="Arial" w:hAnsi="Arial" w:cs="Arial"/>
                <w:sz w:val="24"/>
                <w:szCs w:val="24"/>
              </w:rPr>
              <w:t>Fuzzy Duck, DP Digital Media</w:t>
            </w:r>
            <w:r w:rsidRPr="00226A24">
              <w:rPr>
                <w:rFonts w:ascii="Arial" w:hAnsi="Arial" w:cs="Arial"/>
                <w:sz w:val="24"/>
                <w:szCs w:val="24"/>
              </w:rPr>
              <w:t>;</w:t>
            </w:r>
          </w:p>
          <w:p w:rsidR="009E4318" w:rsidRPr="008512B8" w:rsidRDefault="009E4318" w:rsidP="009E4318">
            <w:pPr>
              <w:pStyle w:val="ListParagraph"/>
              <w:numPr>
                <w:ilvl w:val="0"/>
                <w:numId w:val="19"/>
              </w:numPr>
              <w:ind w:left="567" w:hanging="283"/>
              <w:jc w:val="both"/>
              <w:rPr>
                <w:rFonts w:ascii="Arial" w:hAnsi="Arial" w:cs="Arial"/>
                <w:szCs w:val="24"/>
              </w:rPr>
            </w:pPr>
            <w:r w:rsidRPr="00226A24">
              <w:rPr>
                <w:rFonts w:ascii="Arial" w:hAnsi="Arial" w:cs="Arial"/>
                <w:sz w:val="24"/>
                <w:szCs w:val="24"/>
              </w:rPr>
              <w:t>the update on VAT;</w:t>
            </w:r>
          </w:p>
          <w:p w:rsidR="009E4318" w:rsidRPr="009E4318" w:rsidRDefault="009E4318" w:rsidP="009E4318">
            <w:pPr>
              <w:pStyle w:val="ListParagraph"/>
              <w:numPr>
                <w:ilvl w:val="0"/>
                <w:numId w:val="19"/>
              </w:numPr>
              <w:ind w:left="567" w:hanging="283"/>
              <w:jc w:val="both"/>
              <w:rPr>
                <w:rFonts w:ascii="Arial" w:hAnsi="Arial" w:cs="Arial"/>
                <w:szCs w:val="24"/>
              </w:rPr>
            </w:pPr>
            <w:r>
              <w:rPr>
                <w:rFonts w:ascii="Arial" w:hAnsi="Arial" w:cs="Arial"/>
                <w:sz w:val="24"/>
                <w:szCs w:val="24"/>
              </w:rPr>
              <w:t xml:space="preserve">the update on the Highland Folk Museum Phase 3 project; and </w:t>
            </w:r>
          </w:p>
          <w:p w:rsidR="009E4318" w:rsidRPr="009E4318" w:rsidRDefault="009E4318" w:rsidP="009E4318">
            <w:pPr>
              <w:pStyle w:val="ListParagraph"/>
              <w:numPr>
                <w:ilvl w:val="0"/>
                <w:numId w:val="19"/>
              </w:numPr>
              <w:ind w:left="567" w:hanging="283"/>
              <w:jc w:val="both"/>
              <w:rPr>
                <w:rFonts w:ascii="Arial" w:hAnsi="Arial" w:cs="Arial"/>
                <w:szCs w:val="24"/>
              </w:rPr>
            </w:pPr>
            <w:r>
              <w:rPr>
                <w:rFonts w:ascii="Arial" w:hAnsi="Arial" w:cs="Arial"/>
                <w:sz w:val="24"/>
                <w:szCs w:val="24"/>
              </w:rPr>
              <w:t>approve the Financial Statements for the year end 31 March 2016 which are represented.</w:t>
            </w:r>
          </w:p>
        </w:tc>
      </w:tr>
    </w:tbl>
    <w:p w:rsidR="00281BD6" w:rsidRDefault="00281BD6" w:rsidP="00416BFF">
      <w:pPr>
        <w:rPr>
          <w:rFonts w:ascii="Arial" w:hAnsi="Arial" w:cs="Arial"/>
          <w:szCs w:val="24"/>
        </w:rPr>
      </w:pPr>
    </w:p>
    <w:p w:rsidR="006B6192" w:rsidRDefault="006B6192"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Designation:</w:t>
      </w:r>
      <w:r w:rsidR="0067538A" w:rsidRPr="009B0904">
        <w:rPr>
          <w:rFonts w:ascii="Arial" w:hAnsi="Arial" w:cs="Arial"/>
          <w:szCs w:val="24"/>
        </w:rPr>
        <w:tab/>
        <w:t>Chief Executive</w:t>
      </w:r>
    </w:p>
    <w:p w:rsidR="0039450A" w:rsidRPr="009B0904" w:rsidRDefault="0039450A" w:rsidP="00532972">
      <w:pPr>
        <w:tabs>
          <w:tab w:val="left" w:pos="1701"/>
        </w:tabs>
        <w:rPr>
          <w:rFonts w:ascii="Arial" w:hAnsi="Arial" w:cs="Arial"/>
          <w:szCs w:val="24"/>
        </w:rPr>
      </w:pPr>
    </w:p>
    <w:p w:rsidR="00655F80" w:rsidRPr="009B0904" w:rsidRDefault="00532972" w:rsidP="00532972">
      <w:pPr>
        <w:tabs>
          <w:tab w:val="left" w:pos="1701"/>
        </w:tabs>
        <w:rPr>
          <w:rFonts w:ascii="Arial" w:hAnsi="Arial" w:cs="Arial"/>
          <w:szCs w:val="24"/>
        </w:rPr>
      </w:pPr>
      <w:r>
        <w:rPr>
          <w:rFonts w:ascii="Arial" w:hAnsi="Arial" w:cs="Arial"/>
          <w:szCs w:val="24"/>
        </w:rPr>
        <w:t>Date:</w:t>
      </w:r>
      <w:r>
        <w:rPr>
          <w:rFonts w:ascii="Arial" w:hAnsi="Arial" w:cs="Arial"/>
          <w:szCs w:val="24"/>
        </w:rPr>
        <w:tab/>
      </w:r>
      <w:r w:rsidR="00297A0D">
        <w:rPr>
          <w:rFonts w:ascii="Arial" w:hAnsi="Arial" w:cs="Arial"/>
          <w:szCs w:val="24"/>
        </w:rPr>
        <w:t>1 December 2016</w:t>
      </w:r>
    </w:p>
    <w:p w:rsidR="003E6B08" w:rsidRDefault="003E6B08">
      <w:pPr>
        <w:rPr>
          <w:rFonts w:ascii="Arial" w:hAnsi="Arial" w:cs="Arial"/>
          <w:szCs w:val="24"/>
        </w:rPr>
      </w:pPr>
    </w:p>
    <w:p w:rsidR="00532972" w:rsidRDefault="00532972">
      <w:pPr>
        <w:rPr>
          <w:rFonts w:ascii="Arial" w:hAnsi="Arial" w:cs="Arial"/>
          <w:szCs w:val="24"/>
        </w:rPr>
        <w:sectPr w:rsidR="00532972" w:rsidSect="00297A0D">
          <w:pgSz w:w="11906" w:h="16838"/>
          <w:pgMar w:top="1560" w:right="1440" w:bottom="1134" w:left="1440" w:header="720" w:footer="720" w:gutter="0"/>
          <w:cols w:space="720"/>
        </w:sectPr>
      </w:pPr>
    </w:p>
    <w:p w:rsidR="00290EB5" w:rsidRDefault="00290EB5" w:rsidP="00290EB5">
      <w:pPr>
        <w:rPr>
          <w:rFonts w:ascii="Arial" w:hAnsi="Arial" w:cs="Arial"/>
          <w:szCs w:val="24"/>
        </w:rPr>
      </w:pPr>
    </w:p>
    <w:p w:rsidR="00532972" w:rsidRDefault="00532972" w:rsidP="00290EB5">
      <w:pPr>
        <w:rPr>
          <w:rFonts w:ascii="Arial" w:hAnsi="Arial" w:cs="Arial"/>
          <w:b/>
          <w:szCs w:val="24"/>
        </w:rPr>
      </w:pPr>
    </w:p>
    <w:p w:rsidR="00290EB5" w:rsidRDefault="00290EB5" w:rsidP="00290EB5">
      <w:pPr>
        <w:rPr>
          <w:rFonts w:ascii="Arial" w:hAnsi="Arial" w:cs="Arial"/>
          <w:b/>
          <w:szCs w:val="24"/>
        </w:rPr>
      </w:pPr>
      <w:r w:rsidRPr="00D943A1">
        <w:rPr>
          <w:rFonts w:ascii="Arial" w:hAnsi="Arial" w:cs="Arial"/>
          <w:b/>
          <w:szCs w:val="24"/>
        </w:rPr>
        <w:t>Summary Results - Consolidated</w:t>
      </w:r>
      <w:r w:rsidRPr="00D943A1">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86F9F">
        <w:rPr>
          <w:rFonts w:ascii="Arial" w:hAnsi="Arial" w:cs="Arial"/>
          <w:szCs w:val="24"/>
        </w:rPr>
        <w:t xml:space="preserve">            </w:t>
      </w:r>
      <w:r w:rsidRPr="00D943A1">
        <w:rPr>
          <w:rFonts w:ascii="Arial" w:hAnsi="Arial" w:cs="Arial"/>
          <w:b/>
          <w:szCs w:val="24"/>
        </w:rPr>
        <w:t xml:space="preserve">APPENDIX A </w:t>
      </w:r>
    </w:p>
    <w:p w:rsidR="00290EB5" w:rsidRDefault="00290EB5" w:rsidP="00290EB5">
      <w:pPr>
        <w:rPr>
          <w:rFonts w:ascii="Arial" w:hAnsi="Arial" w:cs="Arial"/>
          <w:b/>
          <w:szCs w:val="24"/>
        </w:rPr>
      </w:pPr>
    </w:p>
    <w:p w:rsidR="00290EB5" w:rsidRDefault="00290EB5" w:rsidP="00290EB5">
      <w:pPr>
        <w:rPr>
          <w:rFonts w:ascii="Arial" w:hAnsi="Arial" w:cs="Arial"/>
          <w:b/>
          <w:szCs w:val="24"/>
        </w:rPr>
      </w:pPr>
    </w:p>
    <w:p w:rsidR="00290EB5" w:rsidRPr="00D943A1" w:rsidRDefault="00290EB5" w:rsidP="00290EB5">
      <w:pPr>
        <w:rPr>
          <w:rFonts w:ascii="Arial" w:hAnsi="Arial" w:cs="Arial"/>
          <w:b/>
          <w:szCs w:val="24"/>
        </w:rPr>
      </w:pPr>
      <w:r>
        <w:rPr>
          <w:rFonts w:ascii="Arial" w:hAnsi="Arial" w:cs="Arial"/>
          <w:b/>
          <w:szCs w:val="24"/>
        </w:rPr>
        <w:tab/>
      </w:r>
    </w:p>
    <w:tbl>
      <w:tblPr>
        <w:tblW w:w="13200" w:type="dxa"/>
        <w:tblInd w:w="103" w:type="dxa"/>
        <w:tblLook w:val="04A0" w:firstRow="1" w:lastRow="0" w:firstColumn="1" w:lastColumn="0" w:noHBand="0" w:noVBand="1"/>
      </w:tblPr>
      <w:tblGrid>
        <w:gridCol w:w="3000"/>
        <w:gridCol w:w="2880"/>
        <w:gridCol w:w="2540"/>
        <w:gridCol w:w="1920"/>
        <w:gridCol w:w="2860"/>
      </w:tblGrid>
      <w:tr w:rsidR="002033AE" w:rsidRPr="002033AE" w:rsidTr="002033AE">
        <w:trPr>
          <w:trHeight w:val="315"/>
        </w:trPr>
        <w:tc>
          <w:tcPr>
            <w:tcW w:w="30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2033AE" w:rsidRPr="002033AE" w:rsidRDefault="002033AE" w:rsidP="002033AE">
            <w:pPr>
              <w:rPr>
                <w:rFonts w:ascii="Arial" w:hAnsi="Arial" w:cs="Arial"/>
                <w:b/>
                <w:bCs/>
                <w:color w:val="000000"/>
                <w:szCs w:val="24"/>
              </w:rPr>
            </w:pPr>
            <w:r w:rsidRPr="002033AE">
              <w:rPr>
                <w:rFonts w:ascii="Arial" w:hAnsi="Arial" w:cs="Arial"/>
                <w:b/>
                <w:bCs/>
                <w:color w:val="000000"/>
                <w:szCs w:val="24"/>
              </w:rPr>
              <w:t>Consolidated Results</w:t>
            </w:r>
          </w:p>
        </w:tc>
        <w:tc>
          <w:tcPr>
            <w:tcW w:w="2880" w:type="dxa"/>
            <w:tcBorders>
              <w:top w:val="single" w:sz="4" w:space="0" w:color="auto"/>
              <w:left w:val="nil"/>
              <w:bottom w:val="single" w:sz="4" w:space="0" w:color="auto"/>
              <w:right w:val="single" w:sz="4" w:space="0" w:color="auto"/>
            </w:tcBorders>
            <w:shd w:val="clear" w:color="DCE6F1" w:fill="DCE6F1"/>
            <w:noWrap/>
            <w:vAlign w:val="bottom"/>
            <w:hideMark/>
          </w:tcPr>
          <w:p w:rsidR="002033AE" w:rsidRPr="002033AE" w:rsidRDefault="002033AE" w:rsidP="002033AE">
            <w:pPr>
              <w:jc w:val="center"/>
              <w:rPr>
                <w:rFonts w:ascii="Arial" w:hAnsi="Arial" w:cs="Arial"/>
                <w:b/>
                <w:bCs/>
                <w:color w:val="000000"/>
                <w:szCs w:val="24"/>
              </w:rPr>
            </w:pPr>
            <w:r w:rsidRPr="002033AE">
              <w:rPr>
                <w:rFonts w:ascii="Arial" w:hAnsi="Arial" w:cs="Arial"/>
                <w:b/>
                <w:bCs/>
                <w:color w:val="000000"/>
                <w:szCs w:val="24"/>
              </w:rPr>
              <w:t>Annual Budget</w:t>
            </w:r>
          </w:p>
        </w:tc>
        <w:tc>
          <w:tcPr>
            <w:tcW w:w="2540" w:type="dxa"/>
            <w:tcBorders>
              <w:top w:val="single" w:sz="4" w:space="0" w:color="auto"/>
              <w:left w:val="nil"/>
              <w:bottom w:val="single" w:sz="4" w:space="0" w:color="auto"/>
              <w:right w:val="single" w:sz="4" w:space="0" w:color="auto"/>
            </w:tcBorders>
            <w:shd w:val="clear" w:color="DCE6F1" w:fill="DCE6F1"/>
            <w:noWrap/>
            <w:vAlign w:val="bottom"/>
            <w:hideMark/>
          </w:tcPr>
          <w:p w:rsidR="002033AE" w:rsidRPr="002033AE" w:rsidRDefault="002033AE" w:rsidP="002033AE">
            <w:pPr>
              <w:jc w:val="center"/>
              <w:rPr>
                <w:rFonts w:ascii="Arial" w:hAnsi="Arial" w:cs="Arial"/>
                <w:b/>
                <w:bCs/>
                <w:color w:val="000000"/>
                <w:szCs w:val="24"/>
              </w:rPr>
            </w:pPr>
            <w:r w:rsidRPr="002033AE">
              <w:rPr>
                <w:rFonts w:ascii="Arial" w:hAnsi="Arial" w:cs="Arial"/>
                <w:b/>
                <w:bCs/>
                <w:color w:val="000000"/>
                <w:szCs w:val="24"/>
              </w:rPr>
              <w:t>Budget YTD</w:t>
            </w:r>
          </w:p>
        </w:tc>
        <w:tc>
          <w:tcPr>
            <w:tcW w:w="1920" w:type="dxa"/>
            <w:tcBorders>
              <w:top w:val="single" w:sz="4" w:space="0" w:color="auto"/>
              <w:left w:val="nil"/>
              <w:bottom w:val="single" w:sz="4" w:space="0" w:color="auto"/>
              <w:right w:val="single" w:sz="4" w:space="0" w:color="auto"/>
            </w:tcBorders>
            <w:shd w:val="clear" w:color="DCE6F1" w:fill="DCE6F1"/>
            <w:noWrap/>
            <w:vAlign w:val="bottom"/>
            <w:hideMark/>
          </w:tcPr>
          <w:p w:rsidR="002033AE" w:rsidRPr="002033AE" w:rsidRDefault="002033AE" w:rsidP="002033AE">
            <w:pPr>
              <w:jc w:val="center"/>
              <w:rPr>
                <w:rFonts w:ascii="Arial" w:hAnsi="Arial" w:cs="Arial"/>
                <w:b/>
                <w:bCs/>
                <w:color w:val="000000"/>
                <w:szCs w:val="24"/>
              </w:rPr>
            </w:pPr>
            <w:r w:rsidRPr="002033AE">
              <w:rPr>
                <w:rFonts w:ascii="Arial" w:hAnsi="Arial" w:cs="Arial"/>
                <w:b/>
                <w:bCs/>
                <w:color w:val="000000"/>
                <w:szCs w:val="24"/>
              </w:rPr>
              <w:t>Actual YTD</w:t>
            </w:r>
          </w:p>
        </w:tc>
        <w:tc>
          <w:tcPr>
            <w:tcW w:w="2860" w:type="dxa"/>
            <w:tcBorders>
              <w:top w:val="single" w:sz="4" w:space="0" w:color="auto"/>
              <w:left w:val="nil"/>
              <w:bottom w:val="single" w:sz="4" w:space="0" w:color="auto"/>
              <w:right w:val="single" w:sz="4" w:space="0" w:color="auto"/>
            </w:tcBorders>
            <w:shd w:val="clear" w:color="DCE6F1" w:fill="DCE6F1"/>
            <w:noWrap/>
            <w:vAlign w:val="bottom"/>
            <w:hideMark/>
          </w:tcPr>
          <w:p w:rsidR="002033AE" w:rsidRPr="002033AE" w:rsidRDefault="002033AE" w:rsidP="002033AE">
            <w:pPr>
              <w:jc w:val="center"/>
              <w:rPr>
                <w:rFonts w:ascii="Arial" w:hAnsi="Arial" w:cs="Arial"/>
                <w:b/>
                <w:bCs/>
                <w:color w:val="000000"/>
                <w:szCs w:val="24"/>
              </w:rPr>
            </w:pPr>
            <w:r w:rsidRPr="002033AE">
              <w:rPr>
                <w:rFonts w:ascii="Arial" w:hAnsi="Arial" w:cs="Arial"/>
                <w:b/>
                <w:bCs/>
                <w:color w:val="000000"/>
                <w:szCs w:val="24"/>
              </w:rPr>
              <w:t>Variance YTD</w:t>
            </w:r>
          </w:p>
        </w:tc>
      </w:tr>
      <w:tr w:rsidR="002033AE" w:rsidRPr="002033AE" w:rsidTr="002033AE">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2033AE" w:rsidRPr="002033AE" w:rsidRDefault="002033AE" w:rsidP="002033AE">
            <w:pPr>
              <w:rPr>
                <w:rFonts w:ascii="Arial" w:hAnsi="Arial" w:cs="Arial"/>
                <w:color w:val="000000"/>
                <w:szCs w:val="24"/>
              </w:rPr>
            </w:pPr>
            <w:r w:rsidRPr="002033AE">
              <w:rPr>
                <w:rFonts w:ascii="Arial" w:hAnsi="Arial" w:cs="Arial"/>
                <w:color w:val="000000"/>
                <w:szCs w:val="24"/>
              </w:rPr>
              <w:t>Income</w:t>
            </w:r>
          </w:p>
        </w:tc>
        <w:tc>
          <w:tcPr>
            <w:tcW w:w="288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000000"/>
                <w:szCs w:val="24"/>
              </w:rPr>
              <w:t xml:space="preserve">25,724,105 </w:t>
            </w:r>
          </w:p>
        </w:tc>
        <w:tc>
          <w:tcPr>
            <w:tcW w:w="254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000000"/>
                <w:szCs w:val="24"/>
              </w:rPr>
              <w:t xml:space="preserve">17,683,844 </w:t>
            </w:r>
          </w:p>
        </w:tc>
        <w:tc>
          <w:tcPr>
            <w:tcW w:w="192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000000"/>
                <w:szCs w:val="24"/>
              </w:rPr>
              <w:t xml:space="preserve">18,144,349 </w:t>
            </w:r>
          </w:p>
        </w:tc>
        <w:tc>
          <w:tcPr>
            <w:tcW w:w="286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000000"/>
                <w:szCs w:val="24"/>
              </w:rPr>
              <w:t xml:space="preserve">460,505 </w:t>
            </w:r>
          </w:p>
        </w:tc>
      </w:tr>
      <w:tr w:rsidR="002033AE" w:rsidRPr="002033AE" w:rsidTr="002033AE">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2033AE" w:rsidRPr="002033AE" w:rsidRDefault="002033AE" w:rsidP="002033AE">
            <w:pPr>
              <w:rPr>
                <w:rFonts w:ascii="Arial" w:hAnsi="Arial" w:cs="Arial"/>
                <w:color w:val="000000"/>
                <w:szCs w:val="24"/>
              </w:rPr>
            </w:pPr>
            <w:r w:rsidRPr="002033AE">
              <w:rPr>
                <w:rFonts w:ascii="Arial" w:hAnsi="Arial" w:cs="Arial"/>
                <w:color w:val="000000"/>
                <w:szCs w:val="24"/>
              </w:rPr>
              <w:t>Other Costs</w:t>
            </w:r>
          </w:p>
        </w:tc>
        <w:tc>
          <w:tcPr>
            <w:tcW w:w="288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FF0000"/>
                <w:szCs w:val="24"/>
              </w:rPr>
              <w:t>(6,951,332)</w:t>
            </w:r>
          </w:p>
        </w:tc>
        <w:tc>
          <w:tcPr>
            <w:tcW w:w="254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FF0000"/>
                <w:szCs w:val="24"/>
              </w:rPr>
              <w:t>(3,552,394)</w:t>
            </w:r>
          </w:p>
        </w:tc>
        <w:tc>
          <w:tcPr>
            <w:tcW w:w="192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FF0000"/>
                <w:szCs w:val="24"/>
              </w:rPr>
              <w:t>(3,900,455)</w:t>
            </w:r>
          </w:p>
        </w:tc>
        <w:tc>
          <w:tcPr>
            <w:tcW w:w="286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FF0000"/>
                <w:szCs w:val="24"/>
              </w:rPr>
              <w:t>(348,061)</w:t>
            </w:r>
          </w:p>
        </w:tc>
      </w:tr>
      <w:tr w:rsidR="002033AE" w:rsidRPr="002033AE" w:rsidTr="002033AE">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2033AE" w:rsidRPr="002033AE" w:rsidRDefault="002033AE" w:rsidP="002033AE">
            <w:pPr>
              <w:rPr>
                <w:rFonts w:ascii="Arial" w:hAnsi="Arial" w:cs="Arial"/>
                <w:color w:val="000000"/>
                <w:szCs w:val="24"/>
              </w:rPr>
            </w:pPr>
            <w:r w:rsidRPr="002033AE">
              <w:rPr>
                <w:rFonts w:ascii="Arial" w:hAnsi="Arial" w:cs="Arial"/>
                <w:color w:val="000000"/>
                <w:szCs w:val="24"/>
              </w:rPr>
              <w:t>Staff Costs</w:t>
            </w:r>
          </w:p>
        </w:tc>
        <w:tc>
          <w:tcPr>
            <w:tcW w:w="288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FF0000"/>
                <w:szCs w:val="24"/>
              </w:rPr>
              <w:t>(18,772,773)</w:t>
            </w:r>
          </w:p>
        </w:tc>
        <w:tc>
          <w:tcPr>
            <w:tcW w:w="254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FF0000"/>
                <w:szCs w:val="24"/>
              </w:rPr>
              <w:t>(11,004,867)</w:t>
            </w:r>
          </w:p>
        </w:tc>
        <w:tc>
          <w:tcPr>
            <w:tcW w:w="192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FF0000"/>
                <w:szCs w:val="24"/>
              </w:rPr>
              <w:t>(11,099,038)</w:t>
            </w:r>
          </w:p>
        </w:tc>
        <w:tc>
          <w:tcPr>
            <w:tcW w:w="2860" w:type="dxa"/>
            <w:tcBorders>
              <w:top w:val="nil"/>
              <w:left w:val="nil"/>
              <w:bottom w:val="single" w:sz="4" w:space="0" w:color="auto"/>
              <w:right w:val="single" w:sz="4" w:space="0" w:color="auto"/>
            </w:tcBorders>
            <w:shd w:val="clear" w:color="auto" w:fill="auto"/>
            <w:noWrap/>
            <w:vAlign w:val="bottom"/>
            <w:hideMark/>
          </w:tcPr>
          <w:p w:rsidR="002033AE" w:rsidRPr="002033AE" w:rsidRDefault="002033AE" w:rsidP="002033AE">
            <w:pPr>
              <w:jc w:val="right"/>
              <w:rPr>
                <w:rFonts w:ascii="Arial" w:hAnsi="Arial" w:cs="Arial"/>
                <w:color w:val="000000"/>
                <w:szCs w:val="24"/>
              </w:rPr>
            </w:pPr>
            <w:r w:rsidRPr="002033AE">
              <w:rPr>
                <w:rFonts w:ascii="Arial" w:hAnsi="Arial" w:cs="Arial"/>
                <w:color w:val="FF0000"/>
                <w:szCs w:val="24"/>
              </w:rPr>
              <w:t>(94,171)</w:t>
            </w:r>
          </w:p>
        </w:tc>
      </w:tr>
      <w:tr w:rsidR="002033AE" w:rsidRPr="002033AE" w:rsidTr="002033AE">
        <w:trPr>
          <w:trHeight w:val="315"/>
        </w:trPr>
        <w:tc>
          <w:tcPr>
            <w:tcW w:w="3000" w:type="dxa"/>
            <w:tcBorders>
              <w:top w:val="nil"/>
              <w:left w:val="single" w:sz="4" w:space="0" w:color="auto"/>
              <w:bottom w:val="single" w:sz="4" w:space="0" w:color="auto"/>
              <w:right w:val="single" w:sz="4" w:space="0" w:color="auto"/>
            </w:tcBorders>
            <w:shd w:val="clear" w:color="DCE6F1" w:fill="DCE6F1"/>
            <w:noWrap/>
            <w:vAlign w:val="bottom"/>
            <w:hideMark/>
          </w:tcPr>
          <w:p w:rsidR="002033AE" w:rsidRPr="002033AE" w:rsidRDefault="002033AE" w:rsidP="002033AE">
            <w:pPr>
              <w:rPr>
                <w:rFonts w:ascii="Arial" w:hAnsi="Arial" w:cs="Arial"/>
                <w:b/>
                <w:bCs/>
                <w:color w:val="000000"/>
                <w:szCs w:val="24"/>
              </w:rPr>
            </w:pPr>
            <w:r w:rsidRPr="002033AE">
              <w:rPr>
                <w:rFonts w:ascii="Arial" w:hAnsi="Arial" w:cs="Arial"/>
                <w:b/>
                <w:bCs/>
                <w:color w:val="000000"/>
                <w:szCs w:val="24"/>
              </w:rPr>
              <w:t>Surplus (Deficit)</w:t>
            </w:r>
          </w:p>
        </w:tc>
        <w:tc>
          <w:tcPr>
            <w:tcW w:w="2880" w:type="dxa"/>
            <w:tcBorders>
              <w:top w:val="nil"/>
              <w:left w:val="nil"/>
              <w:bottom w:val="single" w:sz="4" w:space="0" w:color="auto"/>
              <w:right w:val="single" w:sz="4" w:space="0" w:color="auto"/>
            </w:tcBorders>
            <w:shd w:val="clear" w:color="DCE6F1" w:fill="DCE6F1"/>
            <w:noWrap/>
            <w:vAlign w:val="bottom"/>
            <w:hideMark/>
          </w:tcPr>
          <w:p w:rsidR="002033AE" w:rsidRPr="002033AE" w:rsidRDefault="002033AE" w:rsidP="002033AE">
            <w:pPr>
              <w:jc w:val="right"/>
              <w:rPr>
                <w:rFonts w:ascii="Arial" w:hAnsi="Arial" w:cs="Arial"/>
                <w:b/>
                <w:bCs/>
                <w:color w:val="000000"/>
                <w:szCs w:val="24"/>
              </w:rPr>
            </w:pPr>
            <w:r w:rsidRPr="002033AE">
              <w:rPr>
                <w:rFonts w:ascii="Arial" w:hAnsi="Arial" w:cs="Arial"/>
                <w:b/>
                <w:bCs/>
                <w:color w:val="000000"/>
                <w:szCs w:val="24"/>
              </w:rPr>
              <w:t xml:space="preserve">0 </w:t>
            </w:r>
          </w:p>
        </w:tc>
        <w:tc>
          <w:tcPr>
            <w:tcW w:w="2540" w:type="dxa"/>
            <w:tcBorders>
              <w:top w:val="nil"/>
              <w:left w:val="nil"/>
              <w:bottom w:val="single" w:sz="4" w:space="0" w:color="auto"/>
              <w:right w:val="single" w:sz="4" w:space="0" w:color="auto"/>
            </w:tcBorders>
            <w:shd w:val="clear" w:color="DCE6F1" w:fill="DCE6F1"/>
            <w:noWrap/>
            <w:vAlign w:val="bottom"/>
            <w:hideMark/>
          </w:tcPr>
          <w:p w:rsidR="002033AE" w:rsidRPr="002033AE" w:rsidRDefault="002033AE" w:rsidP="002033AE">
            <w:pPr>
              <w:jc w:val="right"/>
              <w:rPr>
                <w:rFonts w:ascii="Arial" w:hAnsi="Arial" w:cs="Arial"/>
                <w:b/>
                <w:bCs/>
                <w:color w:val="000000"/>
                <w:szCs w:val="24"/>
              </w:rPr>
            </w:pPr>
            <w:r w:rsidRPr="002033AE">
              <w:rPr>
                <w:rFonts w:ascii="Arial" w:hAnsi="Arial" w:cs="Arial"/>
                <w:b/>
                <w:bCs/>
                <w:color w:val="000000"/>
                <w:szCs w:val="24"/>
              </w:rPr>
              <w:t xml:space="preserve">3,126,583 </w:t>
            </w:r>
          </w:p>
        </w:tc>
        <w:tc>
          <w:tcPr>
            <w:tcW w:w="1920" w:type="dxa"/>
            <w:tcBorders>
              <w:top w:val="nil"/>
              <w:left w:val="nil"/>
              <w:bottom w:val="single" w:sz="4" w:space="0" w:color="auto"/>
              <w:right w:val="single" w:sz="4" w:space="0" w:color="auto"/>
            </w:tcBorders>
            <w:shd w:val="clear" w:color="DCE6F1" w:fill="DCE6F1"/>
            <w:noWrap/>
            <w:vAlign w:val="bottom"/>
            <w:hideMark/>
          </w:tcPr>
          <w:p w:rsidR="002033AE" w:rsidRPr="002033AE" w:rsidRDefault="002033AE" w:rsidP="002033AE">
            <w:pPr>
              <w:jc w:val="right"/>
              <w:rPr>
                <w:rFonts w:ascii="Arial" w:hAnsi="Arial" w:cs="Arial"/>
                <w:b/>
                <w:bCs/>
                <w:color w:val="000000"/>
                <w:szCs w:val="24"/>
              </w:rPr>
            </w:pPr>
            <w:r w:rsidRPr="002033AE">
              <w:rPr>
                <w:rFonts w:ascii="Arial" w:hAnsi="Arial" w:cs="Arial"/>
                <w:b/>
                <w:bCs/>
                <w:color w:val="000000"/>
                <w:szCs w:val="24"/>
              </w:rPr>
              <w:t xml:space="preserve">3,144,856 </w:t>
            </w:r>
          </w:p>
        </w:tc>
        <w:tc>
          <w:tcPr>
            <w:tcW w:w="2860" w:type="dxa"/>
            <w:tcBorders>
              <w:top w:val="nil"/>
              <w:left w:val="nil"/>
              <w:bottom w:val="single" w:sz="4" w:space="0" w:color="auto"/>
              <w:right w:val="single" w:sz="4" w:space="0" w:color="auto"/>
            </w:tcBorders>
            <w:shd w:val="clear" w:color="DCE6F1" w:fill="DCE6F1"/>
            <w:noWrap/>
            <w:vAlign w:val="bottom"/>
            <w:hideMark/>
          </w:tcPr>
          <w:p w:rsidR="002033AE" w:rsidRPr="002033AE" w:rsidRDefault="002033AE" w:rsidP="002033AE">
            <w:pPr>
              <w:jc w:val="right"/>
              <w:rPr>
                <w:rFonts w:ascii="Arial" w:hAnsi="Arial" w:cs="Arial"/>
                <w:b/>
                <w:bCs/>
                <w:color w:val="000000"/>
                <w:szCs w:val="24"/>
              </w:rPr>
            </w:pPr>
            <w:r w:rsidRPr="002033AE">
              <w:rPr>
                <w:rFonts w:ascii="Arial" w:hAnsi="Arial" w:cs="Arial"/>
                <w:b/>
                <w:bCs/>
                <w:color w:val="000000"/>
                <w:szCs w:val="24"/>
              </w:rPr>
              <w:t xml:space="preserve">18,273 </w:t>
            </w:r>
          </w:p>
        </w:tc>
      </w:tr>
    </w:tbl>
    <w:p w:rsidR="00290EB5" w:rsidRDefault="00290EB5" w:rsidP="00290EB5">
      <w:pPr>
        <w:rPr>
          <w:rFonts w:ascii="Arial" w:hAnsi="Arial" w:cs="Arial"/>
          <w:szCs w:val="24"/>
        </w:rPr>
      </w:pPr>
    </w:p>
    <w:p w:rsidR="00BD357C" w:rsidRDefault="00BD357C">
      <w:pPr>
        <w:rPr>
          <w:rFonts w:ascii="Arial" w:hAnsi="Arial" w:cs="Arial"/>
          <w:b/>
          <w:szCs w:val="24"/>
        </w:rPr>
      </w:pPr>
    </w:p>
    <w:p w:rsidR="00686F9F" w:rsidRDefault="00686F9F">
      <w:pPr>
        <w:rPr>
          <w:rFonts w:ascii="Arial" w:hAnsi="Arial" w:cs="Arial"/>
          <w:b/>
          <w:szCs w:val="24"/>
        </w:rPr>
      </w:pPr>
    </w:p>
    <w:p w:rsidR="00290EB5" w:rsidRDefault="00B074BD" w:rsidP="00290EB5">
      <w:pPr>
        <w:rPr>
          <w:rFonts w:ascii="Arial" w:hAnsi="Arial" w:cs="Arial"/>
          <w:b/>
          <w:szCs w:val="24"/>
        </w:rPr>
      </w:pPr>
      <w:r>
        <w:rPr>
          <w:rFonts w:ascii="Arial" w:hAnsi="Arial" w:cs="Arial"/>
          <w:b/>
          <w:szCs w:val="24"/>
        </w:rPr>
        <w:t>B</w:t>
      </w:r>
      <w:r w:rsidR="00290EB5" w:rsidRPr="00D943A1">
        <w:rPr>
          <w:rFonts w:ascii="Arial" w:hAnsi="Arial" w:cs="Arial"/>
          <w:b/>
          <w:szCs w:val="24"/>
        </w:rPr>
        <w:t>reakdown of Results –</w:t>
      </w:r>
      <w:r w:rsidR="007273AE">
        <w:rPr>
          <w:rFonts w:ascii="Arial" w:hAnsi="Arial" w:cs="Arial"/>
          <w:b/>
          <w:szCs w:val="24"/>
        </w:rPr>
        <w:t xml:space="preserve"> </w:t>
      </w:r>
      <w:r w:rsidR="00290EB5" w:rsidRPr="00D943A1">
        <w:rPr>
          <w:rFonts w:ascii="Arial" w:hAnsi="Arial" w:cs="Arial"/>
          <w:b/>
          <w:szCs w:val="24"/>
        </w:rPr>
        <w:t>By Activity</w:t>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Pr>
          <w:rFonts w:ascii="Arial" w:hAnsi="Arial" w:cs="Arial"/>
          <w:b/>
          <w:szCs w:val="24"/>
        </w:rPr>
        <w:t xml:space="preserve">                                                     </w:t>
      </w:r>
      <w:r w:rsidR="00290EB5" w:rsidRPr="00D943A1">
        <w:rPr>
          <w:rFonts w:ascii="Arial" w:hAnsi="Arial" w:cs="Arial"/>
          <w:b/>
          <w:szCs w:val="24"/>
        </w:rPr>
        <w:t>APPENDIX B</w:t>
      </w:r>
    </w:p>
    <w:p w:rsidR="00290EB5" w:rsidRDefault="00290EB5" w:rsidP="00290EB5">
      <w:pPr>
        <w:rPr>
          <w:rFonts w:ascii="Arial" w:hAnsi="Arial" w:cs="Arial"/>
          <w:b/>
          <w:szCs w:val="24"/>
        </w:rPr>
      </w:pPr>
    </w:p>
    <w:p w:rsidR="00686F9F" w:rsidRDefault="00686F9F" w:rsidP="00290EB5">
      <w:pPr>
        <w:rPr>
          <w:rFonts w:ascii="Arial" w:hAnsi="Arial" w:cs="Arial"/>
          <w:b/>
          <w:szCs w:val="24"/>
        </w:rPr>
      </w:pPr>
    </w:p>
    <w:tbl>
      <w:tblPr>
        <w:tblW w:w="13000" w:type="dxa"/>
        <w:tblInd w:w="103" w:type="dxa"/>
        <w:tblLook w:val="04A0" w:firstRow="1" w:lastRow="0" w:firstColumn="1" w:lastColumn="0" w:noHBand="0" w:noVBand="1"/>
      </w:tblPr>
      <w:tblGrid>
        <w:gridCol w:w="2940"/>
        <w:gridCol w:w="2180"/>
        <w:gridCol w:w="1920"/>
        <w:gridCol w:w="2140"/>
        <w:gridCol w:w="2080"/>
        <w:gridCol w:w="1740"/>
      </w:tblGrid>
      <w:tr w:rsidR="00363CA0" w:rsidRPr="00363CA0" w:rsidTr="00363CA0">
        <w:trPr>
          <w:trHeight w:val="630"/>
        </w:trPr>
        <w:tc>
          <w:tcPr>
            <w:tcW w:w="29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63CA0" w:rsidRPr="00363CA0" w:rsidRDefault="00363CA0" w:rsidP="00363CA0">
            <w:pPr>
              <w:rPr>
                <w:rFonts w:ascii="Arial" w:hAnsi="Arial" w:cs="Arial"/>
                <w:b/>
                <w:bCs/>
                <w:color w:val="000000"/>
                <w:szCs w:val="24"/>
              </w:rPr>
            </w:pPr>
            <w:r w:rsidRPr="00363CA0">
              <w:rPr>
                <w:rFonts w:ascii="Arial" w:hAnsi="Arial" w:cs="Arial"/>
                <w:b/>
                <w:bCs/>
                <w:color w:val="000000"/>
                <w:szCs w:val="24"/>
              </w:rPr>
              <w:t>Sector</w:t>
            </w:r>
          </w:p>
        </w:tc>
        <w:tc>
          <w:tcPr>
            <w:tcW w:w="2180" w:type="dxa"/>
            <w:tcBorders>
              <w:top w:val="single" w:sz="4" w:space="0" w:color="auto"/>
              <w:left w:val="nil"/>
              <w:bottom w:val="single" w:sz="4" w:space="0" w:color="auto"/>
              <w:right w:val="single" w:sz="4" w:space="0" w:color="auto"/>
            </w:tcBorders>
            <w:shd w:val="clear" w:color="DCE6F1" w:fill="DCE6F1"/>
            <w:noWrap/>
            <w:vAlign w:val="bottom"/>
            <w:hideMark/>
          </w:tcPr>
          <w:p w:rsidR="00363CA0" w:rsidRPr="00363CA0" w:rsidRDefault="00363CA0" w:rsidP="00363CA0">
            <w:pPr>
              <w:jc w:val="center"/>
              <w:rPr>
                <w:rFonts w:ascii="Arial" w:hAnsi="Arial" w:cs="Arial"/>
                <w:b/>
                <w:bCs/>
                <w:color w:val="000000"/>
                <w:szCs w:val="24"/>
              </w:rPr>
            </w:pPr>
            <w:r w:rsidRPr="00363CA0">
              <w:rPr>
                <w:rFonts w:ascii="Arial" w:hAnsi="Arial" w:cs="Arial"/>
                <w:b/>
                <w:bCs/>
                <w:color w:val="000000"/>
                <w:szCs w:val="24"/>
              </w:rPr>
              <w:t>Annual Budget</w:t>
            </w:r>
          </w:p>
        </w:tc>
        <w:tc>
          <w:tcPr>
            <w:tcW w:w="1920" w:type="dxa"/>
            <w:tcBorders>
              <w:top w:val="single" w:sz="4" w:space="0" w:color="auto"/>
              <w:left w:val="nil"/>
              <w:bottom w:val="single" w:sz="4" w:space="0" w:color="auto"/>
              <w:right w:val="single" w:sz="4" w:space="0" w:color="auto"/>
            </w:tcBorders>
            <w:shd w:val="clear" w:color="DCE6F1" w:fill="DCE6F1"/>
            <w:noWrap/>
            <w:vAlign w:val="bottom"/>
            <w:hideMark/>
          </w:tcPr>
          <w:p w:rsidR="00363CA0" w:rsidRPr="00363CA0" w:rsidRDefault="00363CA0" w:rsidP="00363CA0">
            <w:pPr>
              <w:jc w:val="center"/>
              <w:rPr>
                <w:rFonts w:ascii="Arial" w:hAnsi="Arial" w:cs="Arial"/>
                <w:b/>
                <w:bCs/>
                <w:color w:val="000000"/>
                <w:szCs w:val="24"/>
              </w:rPr>
            </w:pPr>
            <w:r w:rsidRPr="00363CA0">
              <w:rPr>
                <w:rFonts w:ascii="Arial" w:hAnsi="Arial" w:cs="Arial"/>
                <w:b/>
                <w:bCs/>
                <w:color w:val="000000"/>
                <w:szCs w:val="24"/>
              </w:rPr>
              <w:t>Budget YTD</w:t>
            </w:r>
          </w:p>
        </w:tc>
        <w:tc>
          <w:tcPr>
            <w:tcW w:w="2140" w:type="dxa"/>
            <w:tcBorders>
              <w:top w:val="single" w:sz="4" w:space="0" w:color="auto"/>
              <w:left w:val="nil"/>
              <w:bottom w:val="single" w:sz="4" w:space="0" w:color="auto"/>
              <w:right w:val="single" w:sz="4" w:space="0" w:color="auto"/>
            </w:tcBorders>
            <w:shd w:val="clear" w:color="DCE6F1" w:fill="DCE6F1"/>
            <w:noWrap/>
            <w:vAlign w:val="bottom"/>
            <w:hideMark/>
          </w:tcPr>
          <w:p w:rsidR="00363CA0" w:rsidRPr="00363CA0" w:rsidRDefault="00363CA0" w:rsidP="00363CA0">
            <w:pPr>
              <w:jc w:val="center"/>
              <w:rPr>
                <w:rFonts w:ascii="Arial" w:hAnsi="Arial" w:cs="Arial"/>
                <w:b/>
                <w:bCs/>
                <w:color w:val="000000"/>
                <w:szCs w:val="24"/>
              </w:rPr>
            </w:pPr>
            <w:r w:rsidRPr="00363CA0">
              <w:rPr>
                <w:rFonts w:ascii="Arial" w:hAnsi="Arial" w:cs="Arial"/>
                <w:b/>
                <w:bCs/>
                <w:color w:val="000000"/>
                <w:szCs w:val="24"/>
              </w:rPr>
              <w:t>Actual YTD</w:t>
            </w:r>
          </w:p>
        </w:tc>
        <w:tc>
          <w:tcPr>
            <w:tcW w:w="2080" w:type="dxa"/>
            <w:tcBorders>
              <w:top w:val="single" w:sz="4" w:space="0" w:color="auto"/>
              <w:left w:val="nil"/>
              <w:bottom w:val="single" w:sz="4" w:space="0" w:color="auto"/>
              <w:right w:val="single" w:sz="4" w:space="0" w:color="auto"/>
            </w:tcBorders>
            <w:shd w:val="clear" w:color="DCE6F1" w:fill="DCE6F1"/>
            <w:noWrap/>
            <w:vAlign w:val="bottom"/>
            <w:hideMark/>
          </w:tcPr>
          <w:p w:rsidR="00363CA0" w:rsidRPr="00363CA0" w:rsidRDefault="00363CA0" w:rsidP="00363CA0">
            <w:pPr>
              <w:jc w:val="center"/>
              <w:rPr>
                <w:rFonts w:ascii="Arial" w:hAnsi="Arial" w:cs="Arial"/>
                <w:b/>
                <w:bCs/>
                <w:color w:val="000000"/>
                <w:szCs w:val="24"/>
              </w:rPr>
            </w:pPr>
            <w:r w:rsidRPr="00363CA0">
              <w:rPr>
                <w:rFonts w:ascii="Arial" w:hAnsi="Arial" w:cs="Arial"/>
                <w:b/>
                <w:bCs/>
                <w:color w:val="000000"/>
                <w:szCs w:val="24"/>
              </w:rPr>
              <w:t>Variance YTD</w:t>
            </w:r>
          </w:p>
        </w:tc>
        <w:tc>
          <w:tcPr>
            <w:tcW w:w="1740" w:type="dxa"/>
            <w:tcBorders>
              <w:top w:val="nil"/>
              <w:left w:val="nil"/>
              <w:bottom w:val="nil"/>
              <w:right w:val="single" w:sz="4" w:space="0" w:color="auto"/>
            </w:tcBorders>
            <w:shd w:val="clear" w:color="DCE6F1" w:fill="DCE6F1"/>
            <w:vAlign w:val="bottom"/>
            <w:hideMark/>
          </w:tcPr>
          <w:p w:rsidR="00363CA0" w:rsidRPr="00363CA0" w:rsidRDefault="00363CA0" w:rsidP="00363CA0">
            <w:pPr>
              <w:jc w:val="center"/>
              <w:rPr>
                <w:rFonts w:ascii="Arial" w:hAnsi="Arial" w:cs="Arial"/>
                <w:b/>
                <w:bCs/>
                <w:color w:val="000000"/>
                <w:szCs w:val="24"/>
              </w:rPr>
            </w:pPr>
            <w:r w:rsidRPr="00363CA0">
              <w:rPr>
                <w:rFonts w:ascii="Arial" w:hAnsi="Arial" w:cs="Arial"/>
                <w:b/>
                <w:bCs/>
                <w:color w:val="000000"/>
                <w:szCs w:val="24"/>
              </w:rPr>
              <w:t>% Variance to  YTD Budget</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Adult</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(628,447)</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(323,200)</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(320,817)</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2,382 </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-0.74%</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Archives</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(658,215)</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(345,577)</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(328,673)</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16,904 </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-4.89%</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Arts</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(251,314)</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(163,643)</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(163,533)</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110 </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-0.07%</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Facilities</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(2,015,472)</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(943,521)</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(941,689)</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1,832 </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-0.19%</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Libraries</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(3,626,701)</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(1,906,061)</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(1,899,197)</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6,864 </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-0.36%</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Management</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(2,567,416)</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(1,228,229)</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(1,237,580)</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(9,350)</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0.76%</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Museums</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(848,724)</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(537,776)</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(509,007)</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28,769 </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-5.35%</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Outdoor</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(116,028)</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(67,679)</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(96,369)</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(28,689)</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42.39%</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SLA</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12,684,086 </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9,871,100 </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9,871,100 </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0 </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0.00%</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4677D5" w:rsidP="00363CA0">
            <w:pPr>
              <w:rPr>
                <w:rFonts w:ascii="Arial" w:hAnsi="Arial" w:cs="Arial"/>
                <w:color w:val="000000"/>
                <w:szCs w:val="24"/>
              </w:rPr>
            </w:pPr>
            <w:r>
              <w:rPr>
                <w:rFonts w:ascii="Arial" w:hAnsi="Arial" w:cs="Arial"/>
                <w:color w:val="000000"/>
                <w:szCs w:val="24"/>
              </w:rPr>
              <w:t>S</w:t>
            </w:r>
            <w:r w:rsidR="00363CA0" w:rsidRPr="00363CA0">
              <w:rPr>
                <w:rFonts w:ascii="Arial" w:hAnsi="Arial" w:cs="Arial"/>
                <w:color w:val="000000"/>
                <w:szCs w:val="24"/>
              </w:rPr>
              <w:t>ports</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(547,587)</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(370,724)</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(371,415)</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(691)</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0.19%</w:t>
            </w:r>
          </w:p>
        </w:tc>
      </w:tr>
      <w:tr w:rsidR="00363CA0" w:rsidRPr="00363CA0" w:rsidTr="00363CA0">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363CA0" w:rsidRPr="00363CA0" w:rsidRDefault="00363CA0" w:rsidP="00363CA0">
            <w:pPr>
              <w:rPr>
                <w:rFonts w:ascii="Arial" w:hAnsi="Arial" w:cs="Arial"/>
                <w:color w:val="000000"/>
                <w:szCs w:val="24"/>
              </w:rPr>
            </w:pPr>
            <w:r w:rsidRPr="00363CA0">
              <w:rPr>
                <w:rFonts w:ascii="Arial" w:hAnsi="Arial" w:cs="Arial"/>
                <w:color w:val="000000"/>
                <w:szCs w:val="24"/>
              </w:rPr>
              <w:t>Youth</w:t>
            </w:r>
            <w:r>
              <w:rPr>
                <w:rFonts w:ascii="Arial" w:hAnsi="Arial" w:cs="Arial"/>
                <w:color w:val="000000"/>
                <w:szCs w:val="24"/>
              </w:rPr>
              <w:t xml:space="preserve"> </w:t>
            </w:r>
            <w:r w:rsidRPr="00363CA0">
              <w:rPr>
                <w:rFonts w:ascii="Arial" w:hAnsi="Arial" w:cs="Arial"/>
                <w:color w:val="000000"/>
                <w:szCs w:val="24"/>
              </w:rPr>
              <w:t>work</w:t>
            </w:r>
          </w:p>
        </w:tc>
        <w:tc>
          <w:tcPr>
            <w:tcW w:w="21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(1,424,182)</w:t>
            </w:r>
          </w:p>
        </w:tc>
        <w:tc>
          <w:tcPr>
            <w:tcW w:w="192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(858,108)</w:t>
            </w:r>
          </w:p>
        </w:tc>
        <w:tc>
          <w:tcPr>
            <w:tcW w:w="214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FF0000"/>
                <w:szCs w:val="24"/>
              </w:rPr>
              <w:t>(857,964)</w:t>
            </w:r>
          </w:p>
        </w:tc>
        <w:tc>
          <w:tcPr>
            <w:tcW w:w="2080" w:type="dxa"/>
            <w:tcBorders>
              <w:top w:val="nil"/>
              <w:left w:val="nil"/>
              <w:bottom w:val="single" w:sz="4" w:space="0" w:color="auto"/>
              <w:right w:val="single" w:sz="4" w:space="0" w:color="auto"/>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 xml:space="preserve">143 </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jc w:val="right"/>
              <w:rPr>
                <w:rFonts w:ascii="Arial" w:hAnsi="Arial" w:cs="Arial"/>
                <w:color w:val="000000"/>
                <w:szCs w:val="24"/>
              </w:rPr>
            </w:pPr>
            <w:r w:rsidRPr="00363CA0">
              <w:rPr>
                <w:rFonts w:ascii="Arial" w:hAnsi="Arial" w:cs="Arial"/>
                <w:color w:val="000000"/>
                <w:szCs w:val="24"/>
              </w:rPr>
              <w:t>-0.02%</w:t>
            </w:r>
          </w:p>
        </w:tc>
      </w:tr>
      <w:tr w:rsidR="00363CA0" w:rsidRPr="00363CA0" w:rsidTr="00363CA0">
        <w:trPr>
          <w:trHeight w:val="315"/>
        </w:trPr>
        <w:tc>
          <w:tcPr>
            <w:tcW w:w="2940" w:type="dxa"/>
            <w:tcBorders>
              <w:top w:val="nil"/>
              <w:left w:val="single" w:sz="4" w:space="0" w:color="auto"/>
              <w:bottom w:val="single" w:sz="4" w:space="0" w:color="auto"/>
              <w:right w:val="single" w:sz="4" w:space="0" w:color="auto"/>
            </w:tcBorders>
            <w:shd w:val="clear" w:color="DCE6F1" w:fill="DCE6F1"/>
            <w:noWrap/>
            <w:vAlign w:val="bottom"/>
            <w:hideMark/>
          </w:tcPr>
          <w:p w:rsidR="00363CA0" w:rsidRPr="00363CA0" w:rsidRDefault="00363CA0" w:rsidP="00363CA0">
            <w:pPr>
              <w:rPr>
                <w:rFonts w:ascii="Arial" w:hAnsi="Arial" w:cs="Arial"/>
                <w:b/>
                <w:bCs/>
                <w:color w:val="000000"/>
                <w:szCs w:val="24"/>
              </w:rPr>
            </w:pPr>
            <w:r w:rsidRPr="00363CA0">
              <w:rPr>
                <w:rFonts w:ascii="Arial" w:hAnsi="Arial" w:cs="Arial"/>
                <w:b/>
                <w:bCs/>
                <w:color w:val="000000"/>
                <w:szCs w:val="24"/>
              </w:rPr>
              <w:t>Surplus (Deficit)</w:t>
            </w:r>
          </w:p>
        </w:tc>
        <w:tc>
          <w:tcPr>
            <w:tcW w:w="2180" w:type="dxa"/>
            <w:tcBorders>
              <w:top w:val="nil"/>
              <w:left w:val="nil"/>
              <w:bottom w:val="single" w:sz="4" w:space="0" w:color="auto"/>
              <w:right w:val="single" w:sz="4" w:space="0" w:color="auto"/>
            </w:tcBorders>
            <w:shd w:val="clear" w:color="DCE6F1" w:fill="DCE6F1"/>
            <w:noWrap/>
            <w:vAlign w:val="bottom"/>
            <w:hideMark/>
          </w:tcPr>
          <w:p w:rsidR="00363CA0" w:rsidRPr="00363CA0" w:rsidRDefault="00363CA0" w:rsidP="00363CA0">
            <w:pPr>
              <w:jc w:val="right"/>
              <w:rPr>
                <w:rFonts w:ascii="Arial" w:hAnsi="Arial" w:cs="Arial"/>
                <w:b/>
                <w:bCs/>
                <w:color w:val="000000"/>
                <w:szCs w:val="24"/>
              </w:rPr>
            </w:pPr>
            <w:r w:rsidRPr="00363CA0">
              <w:rPr>
                <w:rFonts w:ascii="Arial" w:hAnsi="Arial" w:cs="Arial"/>
                <w:b/>
                <w:bCs/>
                <w:color w:val="000000"/>
                <w:szCs w:val="24"/>
              </w:rPr>
              <w:t xml:space="preserve">0 </w:t>
            </w:r>
          </w:p>
        </w:tc>
        <w:tc>
          <w:tcPr>
            <w:tcW w:w="1920" w:type="dxa"/>
            <w:tcBorders>
              <w:top w:val="nil"/>
              <w:left w:val="nil"/>
              <w:bottom w:val="single" w:sz="4" w:space="0" w:color="auto"/>
              <w:right w:val="single" w:sz="4" w:space="0" w:color="auto"/>
            </w:tcBorders>
            <w:shd w:val="clear" w:color="DCE6F1" w:fill="DCE6F1"/>
            <w:noWrap/>
            <w:vAlign w:val="bottom"/>
            <w:hideMark/>
          </w:tcPr>
          <w:p w:rsidR="00363CA0" w:rsidRPr="00363CA0" w:rsidRDefault="00363CA0" w:rsidP="00363CA0">
            <w:pPr>
              <w:jc w:val="right"/>
              <w:rPr>
                <w:rFonts w:ascii="Arial" w:hAnsi="Arial" w:cs="Arial"/>
                <w:b/>
                <w:bCs/>
                <w:color w:val="000000"/>
                <w:szCs w:val="24"/>
              </w:rPr>
            </w:pPr>
            <w:r w:rsidRPr="00363CA0">
              <w:rPr>
                <w:rFonts w:ascii="Arial" w:hAnsi="Arial" w:cs="Arial"/>
                <w:b/>
                <w:bCs/>
                <w:color w:val="000000"/>
                <w:szCs w:val="24"/>
              </w:rPr>
              <w:t xml:space="preserve">3,126,583 </w:t>
            </w:r>
          </w:p>
        </w:tc>
        <w:tc>
          <w:tcPr>
            <w:tcW w:w="2140" w:type="dxa"/>
            <w:tcBorders>
              <w:top w:val="nil"/>
              <w:left w:val="nil"/>
              <w:bottom w:val="single" w:sz="4" w:space="0" w:color="auto"/>
              <w:right w:val="single" w:sz="4" w:space="0" w:color="auto"/>
            </w:tcBorders>
            <w:shd w:val="clear" w:color="DCE6F1" w:fill="DCE6F1"/>
            <w:noWrap/>
            <w:vAlign w:val="bottom"/>
            <w:hideMark/>
          </w:tcPr>
          <w:p w:rsidR="00363CA0" w:rsidRPr="00363CA0" w:rsidRDefault="00363CA0" w:rsidP="00363CA0">
            <w:pPr>
              <w:jc w:val="right"/>
              <w:rPr>
                <w:rFonts w:ascii="Arial" w:hAnsi="Arial" w:cs="Arial"/>
                <w:b/>
                <w:bCs/>
                <w:color w:val="000000"/>
                <w:szCs w:val="24"/>
              </w:rPr>
            </w:pPr>
            <w:r w:rsidRPr="00363CA0">
              <w:rPr>
                <w:rFonts w:ascii="Arial" w:hAnsi="Arial" w:cs="Arial"/>
                <w:b/>
                <w:bCs/>
                <w:color w:val="000000"/>
                <w:szCs w:val="24"/>
              </w:rPr>
              <w:t xml:space="preserve">3,144,856 </w:t>
            </w:r>
          </w:p>
        </w:tc>
        <w:tc>
          <w:tcPr>
            <w:tcW w:w="2080" w:type="dxa"/>
            <w:tcBorders>
              <w:top w:val="nil"/>
              <w:left w:val="nil"/>
              <w:bottom w:val="single" w:sz="4" w:space="0" w:color="auto"/>
              <w:right w:val="single" w:sz="4" w:space="0" w:color="auto"/>
            </w:tcBorders>
            <w:shd w:val="clear" w:color="DCE6F1" w:fill="DCE6F1"/>
            <w:noWrap/>
            <w:vAlign w:val="bottom"/>
            <w:hideMark/>
          </w:tcPr>
          <w:p w:rsidR="00363CA0" w:rsidRPr="00363CA0" w:rsidRDefault="00363CA0" w:rsidP="00363CA0">
            <w:pPr>
              <w:jc w:val="right"/>
              <w:rPr>
                <w:rFonts w:ascii="Arial" w:hAnsi="Arial" w:cs="Arial"/>
                <w:b/>
                <w:bCs/>
                <w:color w:val="000000"/>
                <w:szCs w:val="24"/>
              </w:rPr>
            </w:pPr>
            <w:r w:rsidRPr="00363CA0">
              <w:rPr>
                <w:rFonts w:ascii="Arial" w:hAnsi="Arial" w:cs="Arial"/>
                <w:b/>
                <w:bCs/>
                <w:color w:val="000000"/>
                <w:szCs w:val="24"/>
              </w:rPr>
              <w:t xml:space="preserve">18,273 </w:t>
            </w:r>
          </w:p>
        </w:tc>
        <w:tc>
          <w:tcPr>
            <w:tcW w:w="1740" w:type="dxa"/>
            <w:tcBorders>
              <w:top w:val="nil"/>
              <w:left w:val="nil"/>
              <w:bottom w:val="nil"/>
              <w:right w:val="nil"/>
            </w:tcBorders>
            <w:shd w:val="clear" w:color="auto" w:fill="auto"/>
            <w:noWrap/>
            <w:vAlign w:val="bottom"/>
            <w:hideMark/>
          </w:tcPr>
          <w:p w:rsidR="00363CA0" w:rsidRPr="00363CA0" w:rsidRDefault="00363CA0" w:rsidP="00363CA0">
            <w:pPr>
              <w:rPr>
                <w:rFonts w:ascii="Verdana" w:hAnsi="Verdana"/>
                <w:color w:val="000000"/>
                <w:sz w:val="20"/>
              </w:rPr>
            </w:pPr>
          </w:p>
        </w:tc>
      </w:tr>
    </w:tbl>
    <w:p w:rsidR="00686F9F" w:rsidRDefault="00686F9F">
      <w:pPr>
        <w:rPr>
          <w:rFonts w:ascii="Arial" w:hAnsi="Arial" w:cs="Arial"/>
          <w:b/>
          <w:szCs w:val="24"/>
        </w:rPr>
      </w:pPr>
      <w:r>
        <w:rPr>
          <w:rFonts w:ascii="Arial" w:hAnsi="Arial" w:cs="Arial"/>
          <w:b/>
          <w:szCs w:val="24"/>
        </w:rPr>
        <w:br w:type="page"/>
      </w:r>
    </w:p>
    <w:p w:rsidR="00290EB5" w:rsidRDefault="00290EB5" w:rsidP="00290EB5">
      <w:pPr>
        <w:rPr>
          <w:rFonts w:ascii="Arial" w:hAnsi="Arial" w:cs="Arial"/>
          <w:b/>
          <w:szCs w:val="24"/>
        </w:rPr>
      </w:pPr>
      <w:r>
        <w:rPr>
          <w:rFonts w:ascii="Arial" w:hAnsi="Arial" w:cs="Arial"/>
          <w:b/>
          <w:szCs w:val="24"/>
        </w:rPr>
        <w:lastRenderedPageBreak/>
        <w:t xml:space="preserve">Breakdown of Variance - By </w:t>
      </w:r>
      <w:r w:rsidR="00F12AD6">
        <w:rPr>
          <w:rFonts w:ascii="Arial" w:hAnsi="Arial" w:cs="Arial"/>
          <w:b/>
          <w:szCs w:val="24"/>
        </w:rPr>
        <w:t>Activity</w:t>
      </w:r>
      <w:r w:rsidR="009962A4">
        <w:rPr>
          <w:rFonts w:ascii="Arial" w:hAnsi="Arial" w:cs="Arial"/>
          <w:b/>
          <w:szCs w:val="24"/>
        </w:rPr>
        <w:t xml:space="preserve"> and Category</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Appendix B </w:t>
      </w:r>
      <w:r w:rsidR="00532972">
        <w:rPr>
          <w:rFonts w:ascii="Arial" w:hAnsi="Arial" w:cs="Arial"/>
          <w:b/>
          <w:szCs w:val="24"/>
        </w:rPr>
        <w:t>(Contd)</w:t>
      </w:r>
    </w:p>
    <w:p w:rsidR="00290EB5" w:rsidRDefault="00290EB5" w:rsidP="00290EB5">
      <w:pPr>
        <w:rPr>
          <w:rFonts w:ascii="Arial" w:hAnsi="Arial" w:cs="Arial"/>
          <w:b/>
          <w:szCs w:val="24"/>
        </w:rPr>
      </w:pPr>
    </w:p>
    <w:p w:rsidR="0087113C" w:rsidRDefault="0087113C" w:rsidP="00290EB5">
      <w:pPr>
        <w:rPr>
          <w:rFonts w:ascii="Arial" w:hAnsi="Arial" w:cs="Arial"/>
          <w:b/>
          <w:szCs w:val="24"/>
        </w:rPr>
      </w:pPr>
    </w:p>
    <w:p w:rsidR="009663B6" w:rsidRDefault="009663B6" w:rsidP="00686F9F">
      <w:pPr>
        <w:rPr>
          <w:rFonts w:ascii="Arial" w:hAnsi="Arial" w:cs="Arial"/>
          <w:b/>
          <w:sz w:val="18"/>
          <w:szCs w:val="18"/>
        </w:rPr>
      </w:pPr>
    </w:p>
    <w:tbl>
      <w:tblPr>
        <w:tblW w:w="15737" w:type="dxa"/>
        <w:tblInd w:w="103" w:type="dxa"/>
        <w:tblLook w:val="04A0" w:firstRow="1" w:lastRow="0" w:firstColumn="1" w:lastColumn="0" w:noHBand="0" w:noVBand="1"/>
      </w:tblPr>
      <w:tblGrid>
        <w:gridCol w:w="2240"/>
        <w:gridCol w:w="1217"/>
        <w:gridCol w:w="1820"/>
        <w:gridCol w:w="1840"/>
        <w:gridCol w:w="1820"/>
        <w:gridCol w:w="1840"/>
        <w:gridCol w:w="1820"/>
        <w:gridCol w:w="1700"/>
        <w:gridCol w:w="1440"/>
      </w:tblGrid>
      <w:tr w:rsidR="00491692" w:rsidRPr="00491692" w:rsidTr="00491692">
        <w:trPr>
          <w:trHeight w:val="945"/>
        </w:trPr>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491692" w:rsidRPr="00491692" w:rsidRDefault="00491692" w:rsidP="00491692">
            <w:pPr>
              <w:rPr>
                <w:rFonts w:ascii="Arial" w:hAnsi="Arial" w:cs="Arial"/>
                <w:b/>
                <w:bCs/>
                <w:color w:val="000000"/>
                <w:szCs w:val="24"/>
              </w:rPr>
            </w:pPr>
            <w:r w:rsidRPr="00491692">
              <w:rPr>
                <w:rFonts w:ascii="Arial" w:hAnsi="Arial" w:cs="Arial"/>
                <w:b/>
                <w:bCs/>
                <w:color w:val="000000"/>
                <w:szCs w:val="24"/>
              </w:rPr>
              <w:t>Sector</w:t>
            </w:r>
          </w:p>
        </w:tc>
        <w:tc>
          <w:tcPr>
            <w:tcW w:w="1217" w:type="dxa"/>
            <w:tcBorders>
              <w:top w:val="single" w:sz="4" w:space="0" w:color="auto"/>
              <w:left w:val="nil"/>
              <w:bottom w:val="single" w:sz="4" w:space="0" w:color="auto"/>
              <w:right w:val="single" w:sz="4" w:space="0" w:color="auto"/>
            </w:tcBorders>
            <w:shd w:val="clear" w:color="DCE6F1" w:fill="DCE6F1"/>
            <w:vAlign w:val="bottom"/>
            <w:hideMark/>
          </w:tcPr>
          <w:p w:rsidR="00491692" w:rsidRPr="00491692" w:rsidRDefault="00491692" w:rsidP="00491692">
            <w:pPr>
              <w:jc w:val="center"/>
              <w:rPr>
                <w:rFonts w:ascii="Arial" w:hAnsi="Arial" w:cs="Arial"/>
                <w:b/>
                <w:bCs/>
                <w:color w:val="000000"/>
                <w:szCs w:val="24"/>
              </w:rPr>
            </w:pPr>
            <w:r w:rsidRPr="00491692">
              <w:rPr>
                <w:rFonts w:ascii="Arial" w:hAnsi="Arial" w:cs="Arial"/>
                <w:b/>
                <w:bCs/>
                <w:color w:val="000000"/>
                <w:szCs w:val="24"/>
              </w:rPr>
              <w:t>Variance YTD - Income</w:t>
            </w:r>
          </w:p>
        </w:tc>
        <w:tc>
          <w:tcPr>
            <w:tcW w:w="1820" w:type="dxa"/>
            <w:tcBorders>
              <w:top w:val="single" w:sz="4" w:space="0" w:color="auto"/>
              <w:left w:val="nil"/>
              <w:bottom w:val="single" w:sz="4" w:space="0" w:color="auto"/>
              <w:right w:val="single" w:sz="4" w:space="0" w:color="auto"/>
            </w:tcBorders>
            <w:shd w:val="clear" w:color="DCE6F1" w:fill="DCE6F1"/>
            <w:vAlign w:val="bottom"/>
            <w:hideMark/>
          </w:tcPr>
          <w:p w:rsidR="00491692" w:rsidRPr="00491692" w:rsidRDefault="00491692" w:rsidP="00491692">
            <w:pPr>
              <w:jc w:val="center"/>
              <w:rPr>
                <w:rFonts w:ascii="Arial" w:hAnsi="Arial" w:cs="Arial"/>
                <w:b/>
                <w:bCs/>
                <w:color w:val="000000"/>
                <w:szCs w:val="24"/>
              </w:rPr>
            </w:pPr>
            <w:r w:rsidRPr="00491692">
              <w:rPr>
                <w:rFonts w:ascii="Arial" w:hAnsi="Arial" w:cs="Arial"/>
                <w:b/>
                <w:bCs/>
                <w:color w:val="000000"/>
                <w:szCs w:val="24"/>
              </w:rPr>
              <w:t>% Variance on YTD Budget</w:t>
            </w:r>
          </w:p>
        </w:tc>
        <w:tc>
          <w:tcPr>
            <w:tcW w:w="1840" w:type="dxa"/>
            <w:tcBorders>
              <w:top w:val="single" w:sz="4" w:space="0" w:color="auto"/>
              <w:left w:val="nil"/>
              <w:bottom w:val="single" w:sz="4" w:space="0" w:color="auto"/>
              <w:right w:val="single" w:sz="4" w:space="0" w:color="auto"/>
            </w:tcBorders>
            <w:shd w:val="clear" w:color="DCE6F1" w:fill="DCE6F1"/>
            <w:vAlign w:val="bottom"/>
            <w:hideMark/>
          </w:tcPr>
          <w:p w:rsidR="00491692" w:rsidRPr="00491692" w:rsidRDefault="00491692" w:rsidP="00491692">
            <w:pPr>
              <w:jc w:val="center"/>
              <w:rPr>
                <w:rFonts w:ascii="Arial" w:hAnsi="Arial" w:cs="Arial"/>
                <w:b/>
                <w:bCs/>
                <w:color w:val="000000"/>
                <w:szCs w:val="24"/>
              </w:rPr>
            </w:pPr>
            <w:r w:rsidRPr="00491692">
              <w:rPr>
                <w:rFonts w:ascii="Arial" w:hAnsi="Arial" w:cs="Arial"/>
                <w:b/>
                <w:bCs/>
                <w:color w:val="000000"/>
                <w:szCs w:val="24"/>
              </w:rPr>
              <w:t>Variance YTD - Other Costs</w:t>
            </w:r>
          </w:p>
        </w:tc>
        <w:tc>
          <w:tcPr>
            <w:tcW w:w="1820" w:type="dxa"/>
            <w:tcBorders>
              <w:top w:val="single" w:sz="4" w:space="0" w:color="auto"/>
              <w:left w:val="nil"/>
              <w:bottom w:val="single" w:sz="4" w:space="0" w:color="auto"/>
              <w:right w:val="single" w:sz="4" w:space="0" w:color="auto"/>
            </w:tcBorders>
            <w:shd w:val="clear" w:color="DCE6F1" w:fill="DCE6F1"/>
            <w:vAlign w:val="bottom"/>
            <w:hideMark/>
          </w:tcPr>
          <w:p w:rsidR="00491692" w:rsidRPr="00491692" w:rsidRDefault="00491692" w:rsidP="00491692">
            <w:pPr>
              <w:jc w:val="center"/>
              <w:rPr>
                <w:rFonts w:ascii="Arial" w:hAnsi="Arial" w:cs="Arial"/>
                <w:b/>
                <w:bCs/>
                <w:color w:val="000000"/>
                <w:szCs w:val="24"/>
              </w:rPr>
            </w:pPr>
            <w:r w:rsidRPr="00491692">
              <w:rPr>
                <w:rFonts w:ascii="Arial" w:hAnsi="Arial" w:cs="Arial"/>
                <w:b/>
                <w:bCs/>
                <w:color w:val="000000"/>
                <w:szCs w:val="24"/>
              </w:rPr>
              <w:t>% Variance on YTD Budget</w:t>
            </w:r>
          </w:p>
        </w:tc>
        <w:tc>
          <w:tcPr>
            <w:tcW w:w="1840" w:type="dxa"/>
            <w:tcBorders>
              <w:top w:val="single" w:sz="4" w:space="0" w:color="auto"/>
              <w:left w:val="nil"/>
              <w:bottom w:val="single" w:sz="4" w:space="0" w:color="auto"/>
              <w:right w:val="single" w:sz="4" w:space="0" w:color="auto"/>
            </w:tcBorders>
            <w:shd w:val="clear" w:color="DCE6F1" w:fill="DCE6F1"/>
            <w:vAlign w:val="bottom"/>
            <w:hideMark/>
          </w:tcPr>
          <w:p w:rsidR="00491692" w:rsidRPr="00491692" w:rsidRDefault="00491692" w:rsidP="00491692">
            <w:pPr>
              <w:jc w:val="center"/>
              <w:rPr>
                <w:rFonts w:ascii="Arial" w:hAnsi="Arial" w:cs="Arial"/>
                <w:b/>
                <w:bCs/>
                <w:color w:val="000000"/>
                <w:szCs w:val="24"/>
              </w:rPr>
            </w:pPr>
            <w:r w:rsidRPr="00491692">
              <w:rPr>
                <w:rFonts w:ascii="Arial" w:hAnsi="Arial" w:cs="Arial"/>
                <w:b/>
                <w:bCs/>
                <w:color w:val="000000"/>
                <w:szCs w:val="24"/>
              </w:rPr>
              <w:t>Variance YTD - Staff Costs</w:t>
            </w:r>
          </w:p>
        </w:tc>
        <w:tc>
          <w:tcPr>
            <w:tcW w:w="1820" w:type="dxa"/>
            <w:tcBorders>
              <w:top w:val="single" w:sz="4" w:space="0" w:color="auto"/>
              <w:left w:val="nil"/>
              <w:bottom w:val="single" w:sz="4" w:space="0" w:color="auto"/>
              <w:right w:val="single" w:sz="4" w:space="0" w:color="auto"/>
            </w:tcBorders>
            <w:shd w:val="clear" w:color="DCE6F1" w:fill="DCE6F1"/>
            <w:vAlign w:val="bottom"/>
            <w:hideMark/>
          </w:tcPr>
          <w:p w:rsidR="00491692" w:rsidRPr="00491692" w:rsidRDefault="00491692" w:rsidP="00491692">
            <w:pPr>
              <w:jc w:val="center"/>
              <w:rPr>
                <w:rFonts w:ascii="Arial" w:hAnsi="Arial" w:cs="Arial"/>
                <w:b/>
                <w:bCs/>
                <w:color w:val="000000"/>
                <w:szCs w:val="24"/>
              </w:rPr>
            </w:pPr>
            <w:r w:rsidRPr="00491692">
              <w:rPr>
                <w:rFonts w:ascii="Arial" w:hAnsi="Arial" w:cs="Arial"/>
                <w:b/>
                <w:bCs/>
                <w:color w:val="000000"/>
                <w:szCs w:val="24"/>
              </w:rPr>
              <w:t>% Variance on YTD Budget</w:t>
            </w:r>
          </w:p>
        </w:tc>
        <w:tc>
          <w:tcPr>
            <w:tcW w:w="1700" w:type="dxa"/>
            <w:tcBorders>
              <w:top w:val="single" w:sz="4" w:space="0" w:color="auto"/>
              <w:left w:val="nil"/>
              <w:bottom w:val="single" w:sz="4" w:space="0" w:color="auto"/>
              <w:right w:val="single" w:sz="4" w:space="0" w:color="auto"/>
            </w:tcBorders>
            <w:shd w:val="clear" w:color="DCE6F1" w:fill="DCE6F1"/>
            <w:vAlign w:val="bottom"/>
            <w:hideMark/>
          </w:tcPr>
          <w:p w:rsidR="00491692" w:rsidRPr="00491692" w:rsidRDefault="00491692" w:rsidP="00491692">
            <w:pPr>
              <w:jc w:val="center"/>
              <w:rPr>
                <w:rFonts w:ascii="Arial" w:hAnsi="Arial" w:cs="Arial"/>
                <w:b/>
                <w:bCs/>
                <w:color w:val="000000"/>
                <w:szCs w:val="24"/>
              </w:rPr>
            </w:pPr>
            <w:r w:rsidRPr="00491692">
              <w:rPr>
                <w:rFonts w:ascii="Arial" w:hAnsi="Arial" w:cs="Arial"/>
                <w:b/>
                <w:bCs/>
                <w:color w:val="000000"/>
                <w:szCs w:val="24"/>
              </w:rPr>
              <w:t>Variance YTD</w:t>
            </w:r>
          </w:p>
        </w:tc>
        <w:tc>
          <w:tcPr>
            <w:tcW w:w="1440" w:type="dxa"/>
            <w:tcBorders>
              <w:top w:val="single" w:sz="4" w:space="0" w:color="auto"/>
              <w:left w:val="nil"/>
              <w:bottom w:val="single" w:sz="4" w:space="0" w:color="auto"/>
              <w:right w:val="single" w:sz="4" w:space="0" w:color="auto"/>
            </w:tcBorders>
            <w:shd w:val="clear" w:color="DCE6F1" w:fill="DCE6F1"/>
            <w:vAlign w:val="bottom"/>
            <w:hideMark/>
          </w:tcPr>
          <w:p w:rsidR="00491692" w:rsidRPr="00491692" w:rsidRDefault="00491692" w:rsidP="00491692">
            <w:pPr>
              <w:jc w:val="center"/>
              <w:rPr>
                <w:rFonts w:ascii="Arial" w:hAnsi="Arial" w:cs="Arial"/>
                <w:b/>
                <w:bCs/>
                <w:color w:val="000000"/>
                <w:szCs w:val="24"/>
              </w:rPr>
            </w:pPr>
            <w:r w:rsidRPr="00491692">
              <w:rPr>
                <w:rFonts w:ascii="Arial" w:hAnsi="Arial" w:cs="Arial"/>
                <w:b/>
                <w:bCs/>
                <w:color w:val="000000"/>
                <w:szCs w:val="24"/>
              </w:rPr>
              <w:t>% Variance on YTD Budget</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Adult</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(12,257)</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-33.58%</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11,575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-26.59%</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3,064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2,382 </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-0.74%</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Archives</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8,424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8.01%</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(14,568)</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62.23%</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23,047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-5%</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16,904 </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-4.89%</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Arts</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10,462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64.61%</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(4,679)</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10.42%</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(5,673)</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4%</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110 </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-0.07%</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Facilities</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185,820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3.27%</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(97,623)</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7.72%</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(86,365)</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2%</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1,832 </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-0.19%</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Libraries</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10,908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14.13%</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(23,921)</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9.07%</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19,877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6,864 </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-0.36%</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Management</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20,450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131.93%</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(34,081)</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7.53%</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4,280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(9,350)</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0.76%</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Museums</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48,875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13.44%</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(52,068)</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12.86%</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31,961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-6%</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28,769 </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-5.35%</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Outdoor</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(24,324)</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-50.25%</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(5,907)</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17.02%</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1,542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-2%</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(28,689)</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42.39%</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Sports</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98,552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18.14%</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(58,762)</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124.64%</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(40,482)</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5%</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(691)</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0.19%</w:t>
            </w:r>
          </w:p>
        </w:tc>
      </w:tr>
      <w:tr w:rsidR="00491692" w:rsidRPr="00491692" w:rsidTr="00491692">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491692">
            <w:pPr>
              <w:rPr>
                <w:rFonts w:ascii="Arial" w:hAnsi="Arial" w:cs="Arial"/>
                <w:color w:val="000000"/>
                <w:szCs w:val="24"/>
              </w:rPr>
            </w:pPr>
            <w:r w:rsidRPr="00491692">
              <w:rPr>
                <w:rFonts w:ascii="Arial" w:hAnsi="Arial" w:cs="Arial"/>
                <w:color w:val="000000"/>
                <w:szCs w:val="24"/>
              </w:rPr>
              <w:t>Youth</w:t>
            </w:r>
            <w:r>
              <w:rPr>
                <w:rFonts w:ascii="Arial" w:hAnsi="Arial" w:cs="Arial"/>
                <w:color w:val="000000"/>
                <w:szCs w:val="24"/>
              </w:rPr>
              <w:t xml:space="preserve"> </w:t>
            </w:r>
            <w:r w:rsidRPr="00491692">
              <w:rPr>
                <w:rFonts w:ascii="Arial" w:hAnsi="Arial" w:cs="Arial"/>
                <w:color w:val="000000"/>
                <w:szCs w:val="24"/>
              </w:rPr>
              <w:t>work</w:t>
            </w:r>
          </w:p>
        </w:tc>
        <w:tc>
          <w:tcPr>
            <w:tcW w:w="1217"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113,595 </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495.27%</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(68,028)</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106.54%</w:t>
            </w:r>
          </w:p>
        </w:tc>
        <w:tc>
          <w:tcPr>
            <w:tcW w:w="18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FF0000"/>
                <w:szCs w:val="24"/>
              </w:rPr>
              <w:t>(45,432)</w:t>
            </w:r>
          </w:p>
        </w:tc>
        <w:tc>
          <w:tcPr>
            <w:tcW w:w="182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6%</w:t>
            </w:r>
          </w:p>
        </w:tc>
        <w:tc>
          <w:tcPr>
            <w:tcW w:w="170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 xml:space="preserve">142 </w:t>
            </w:r>
          </w:p>
        </w:tc>
        <w:tc>
          <w:tcPr>
            <w:tcW w:w="1440"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491692">
            <w:pPr>
              <w:jc w:val="right"/>
              <w:rPr>
                <w:rFonts w:ascii="Arial" w:hAnsi="Arial" w:cs="Arial"/>
                <w:color w:val="000000"/>
                <w:szCs w:val="24"/>
              </w:rPr>
            </w:pPr>
            <w:r w:rsidRPr="00491692">
              <w:rPr>
                <w:rFonts w:ascii="Arial" w:hAnsi="Arial" w:cs="Arial"/>
                <w:color w:val="000000"/>
                <w:szCs w:val="24"/>
              </w:rPr>
              <w:t>-0.02%</w:t>
            </w:r>
          </w:p>
        </w:tc>
      </w:tr>
      <w:tr w:rsidR="00491692" w:rsidRPr="00491692" w:rsidTr="00491692">
        <w:trPr>
          <w:trHeight w:val="315"/>
        </w:trPr>
        <w:tc>
          <w:tcPr>
            <w:tcW w:w="2240" w:type="dxa"/>
            <w:tcBorders>
              <w:top w:val="nil"/>
              <w:left w:val="single" w:sz="4" w:space="0" w:color="auto"/>
              <w:bottom w:val="single" w:sz="4" w:space="0" w:color="auto"/>
              <w:right w:val="single" w:sz="4" w:space="0" w:color="auto"/>
            </w:tcBorders>
            <w:shd w:val="clear" w:color="DCE6F1" w:fill="DCE6F1"/>
            <w:noWrap/>
            <w:vAlign w:val="bottom"/>
            <w:hideMark/>
          </w:tcPr>
          <w:p w:rsidR="00491692" w:rsidRPr="00491692" w:rsidRDefault="00491692" w:rsidP="00491692">
            <w:pPr>
              <w:rPr>
                <w:rFonts w:ascii="Arial" w:hAnsi="Arial" w:cs="Arial"/>
                <w:b/>
                <w:bCs/>
                <w:color w:val="000000"/>
                <w:szCs w:val="24"/>
              </w:rPr>
            </w:pPr>
            <w:r w:rsidRPr="00363CA0">
              <w:rPr>
                <w:rFonts w:ascii="Arial" w:hAnsi="Arial" w:cs="Arial"/>
                <w:b/>
                <w:bCs/>
                <w:color w:val="000000"/>
                <w:szCs w:val="24"/>
              </w:rPr>
              <w:t>Surplus (Deficit)</w:t>
            </w:r>
          </w:p>
        </w:tc>
        <w:tc>
          <w:tcPr>
            <w:tcW w:w="1217" w:type="dxa"/>
            <w:tcBorders>
              <w:top w:val="nil"/>
              <w:left w:val="nil"/>
              <w:bottom w:val="single" w:sz="4" w:space="0" w:color="auto"/>
              <w:right w:val="single" w:sz="4" w:space="0" w:color="auto"/>
            </w:tcBorders>
            <w:shd w:val="clear" w:color="DCE6F1" w:fill="DCE6F1"/>
            <w:noWrap/>
            <w:vAlign w:val="bottom"/>
            <w:hideMark/>
          </w:tcPr>
          <w:p w:rsidR="00491692" w:rsidRPr="00491692" w:rsidRDefault="00491692" w:rsidP="00491692">
            <w:pPr>
              <w:jc w:val="right"/>
              <w:rPr>
                <w:rFonts w:ascii="Arial" w:hAnsi="Arial" w:cs="Arial"/>
                <w:b/>
                <w:bCs/>
                <w:color w:val="000000"/>
                <w:szCs w:val="24"/>
              </w:rPr>
            </w:pPr>
            <w:r w:rsidRPr="00491692">
              <w:rPr>
                <w:rFonts w:ascii="Arial" w:hAnsi="Arial" w:cs="Arial"/>
                <w:b/>
                <w:bCs/>
                <w:color w:val="000000"/>
                <w:szCs w:val="24"/>
              </w:rPr>
              <w:t xml:space="preserve">460,505 </w:t>
            </w:r>
          </w:p>
        </w:tc>
        <w:tc>
          <w:tcPr>
            <w:tcW w:w="1820" w:type="dxa"/>
            <w:tcBorders>
              <w:top w:val="nil"/>
              <w:left w:val="nil"/>
              <w:bottom w:val="single" w:sz="4" w:space="0" w:color="auto"/>
              <w:right w:val="single" w:sz="4" w:space="0" w:color="auto"/>
            </w:tcBorders>
            <w:shd w:val="clear" w:color="DCE6F1" w:fill="DCE6F1"/>
            <w:noWrap/>
            <w:vAlign w:val="bottom"/>
            <w:hideMark/>
          </w:tcPr>
          <w:p w:rsidR="00491692" w:rsidRPr="00491692" w:rsidRDefault="00491692" w:rsidP="00491692">
            <w:pPr>
              <w:rPr>
                <w:rFonts w:ascii="Arial" w:hAnsi="Arial" w:cs="Arial"/>
                <w:b/>
                <w:bCs/>
                <w:color w:val="000000"/>
                <w:szCs w:val="24"/>
              </w:rPr>
            </w:pPr>
            <w:r w:rsidRPr="00491692">
              <w:rPr>
                <w:rFonts w:ascii="Arial" w:hAnsi="Arial" w:cs="Arial"/>
                <w:b/>
                <w:bCs/>
                <w:color w:val="000000"/>
                <w:szCs w:val="24"/>
              </w:rPr>
              <w:t> </w:t>
            </w:r>
          </w:p>
        </w:tc>
        <w:tc>
          <w:tcPr>
            <w:tcW w:w="1840" w:type="dxa"/>
            <w:tcBorders>
              <w:top w:val="nil"/>
              <w:left w:val="nil"/>
              <w:bottom w:val="single" w:sz="4" w:space="0" w:color="auto"/>
              <w:right w:val="single" w:sz="4" w:space="0" w:color="auto"/>
            </w:tcBorders>
            <w:shd w:val="clear" w:color="DCE6F1" w:fill="DCE6F1"/>
            <w:noWrap/>
            <w:vAlign w:val="bottom"/>
            <w:hideMark/>
          </w:tcPr>
          <w:p w:rsidR="00491692" w:rsidRPr="00491692" w:rsidRDefault="00491692" w:rsidP="00491692">
            <w:pPr>
              <w:jc w:val="right"/>
              <w:rPr>
                <w:rFonts w:ascii="Arial" w:hAnsi="Arial" w:cs="Arial"/>
                <w:b/>
                <w:bCs/>
                <w:color w:val="000000"/>
                <w:szCs w:val="24"/>
              </w:rPr>
            </w:pPr>
            <w:r w:rsidRPr="00491692">
              <w:rPr>
                <w:rFonts w:ascii="Arial" w:hAnsi="Arial" w:cs="Arial"/>
                <w:b/>
                <w:bCs/>
                <w:color w:val="FF0000"/>
                <w:szCs w:val="24"/>
              </w:rPr>
              <w:t>(348,061)</w:t>
            </w:r>
          </w:p>
        </w:tc>
        <w:tc>
          <w:tcPr>
            <w:tcW w:w="1820" w:type="dxa"/>
            <w:tcBorders>
              <w:top w:val="nil"/>
              <w:left w:val="nil"/>
              <w:bottom w:val="single" w:sz="4" w:space="0" w:color="auto"/>
              <w:right w:val="single" w:sz="4" w:space="0" w:color="auto"/>
            </w:tcBorders>
            <w:shd w:val="clear" w:color="DCE6F1" w:fill="DCE6F1"/>
            <w:noWrap/>
            <w:vAlign w:val="bottom"/>
            <w:hideMark/>
          </w:tcPr>
          <w:p w:rsidR="00491692" w:rsidRPr="00491692" w:rsidRDefault="00491692" w:rsidP="00491692">
            <w:pPr>
              <w:rPr>
                <w:rFonts w:ascii="Arial" w:hAnsi="Arial" w:cs="Arial"/>
                <w:b/>
                <w:bCs/>
                <w:color w:val="000000"/>
                <w:szCs w:val="24"/>
              </w:rPr>
            </w:pPr>
            <w:r w:rsidRPr="00491692">
              <w:rPr>
                <w:rFonts w:ascii="Arial" w:hAnsi="Arial" w:cs="Arial"/>
                <w:b/>
                <w:bCs/>
                <w:color w:val="000000"/>
                <w:szCs w:val="24"/>
              </w:rPr>
              <w:t> </w:t>
            </w:r>
          </w:p>
        </w:tc>
        <w:tc>
          <w:tcPr>
            <w:tcW w:w="1840" w:type="dxa"/>
            <w:tcBorders>
              <w:top w:val="nil"/>
              <w:left w:val="nil"/>
              <w:bottom w:val="single" w:sz="4" w:space="0" w:color="auto"/>
              <w:right w:val="single" w:sz="4" w:space="0" w:color="auto"/>
            </w:tcBorders>
            <w:shd w:val="clear" w:color="DCE6F1" w:fill="DCE6F1"/>
            <w:noWrap/>
            <w:vAlign w:val="bottom"/>
            <w:hideMark/>
          </w:tcPr>
          <w:p w:rsidR="00491692" w:rsidRPr="00491692" w:rsidRDefault="00491692" w:rsidP="00491692">
            <w:pPr>
              <w:jc w:val="right"/>
              <w:rPr>
                <w:rFonts w:ascii="Arial" w:hAnsi="Arial" w:cs="Arial"/>
                <w:b/>
                <w:bCs/>
                <w:color w:val="000000"/>
                <w:szCs w:val="24"/>
              </w:rPr>
            </w:pPr>
            <w:r w:rsidRPr="00491692">
              <w:rPr>
                <w:rFonts w:ascii="Arial" w:hAnsi="Arial" w:cs="Arial"/>
                <w:b/>
                <w:bCs/>
                <w:color w:val="FF0000"/>
                <w:szCs w:val="24"/>
              </w:rPr>
              <w:t>(94,181)</w:t>
            </w:r>
          </w:p>
        </w:tc>
        <w:tc>
          <w:tcPr>
            <w:tcW w:w="1820" w:type="dxa"/>
            <w:tcBorders>
              <w:top w:val="nil"/>
              <w:left w:val="nil"/>
              <w:bottom w:val="single" w:sz="4" w:space="0" w:color="auto"/>
              <w:right w:val="single" w:sz="4" w:space="0" w:color="auto"/>
            </w:tcBorders>
            <w:shd w:val="clear" w:color="DCE6F1" w:fill="DCE6F1"/>
            <w:noWrap/>
            <w:vAlign w:val="bottom"/>
            <w:hideMark/>
          </w:tcPr>
          <w:p w:rsidR="00491692" w:rsidRPr="00491692" w:rsidRDefault="00491692" w:rsidP="00491692">
            <w:pPr>
              <w:rPr>
                <w:rFonts w:ascii="Arial" w:hAnsi="Arial" w:cs="Arial"/>
                <w:b/>
                <w:bCs/>
                <w:color w:val="000000"/>
                <w:szCs w:val="24"/>
              </w:rPr>
            </w:pPr>
            <w:r w:rsidRPr="00491692">
              <w:rPr>
                <w:rFonts w:ascii="Arial" w:hAnsi="Arial" w:cs="Arial"/>
                <w:b/>
                <w:bCs/>
                <w:color w:val="000000"/>
                <w:szCs w:val="24"/>
              </w:rPr>
              <w:t> </w:t>
            </w:r>
          </w:p>
        </w:tc>
        <w:tc>
          <w:tcPr>
            <w:tcW w:w="1700" w:type="dxa"/>
            <w:tcBorders>
              <w:top w:val="nil"/>
              <w:left w:val="nil"/>
              <w:bottom w:val="single" w:sz="4" w:space="0" w:color="auto"/>
              <w:right w:val="single" w:sz="4" w:space="0" w:color="auto"/>
            </w:tcBorders>
            <w:shd w:val="clear" w:color="DCE6F1" w:fill="DCE6F1"/>
            <w:noWrap/>
            <w:vAlign w:val="bottom"/>
            <w:hideMark/>
          </w:tcPr>
          <w:p w:rsidR="00491692" w:rsidRPr="00491692" w:rsidRDefault="00491692" w:rsidP="00491692">
            <w:pPr>
              <w:jc w:val="right"/>
              <w:rPr>
                <w:rFonts w:ascii="Arial" w:hAnsi="Arial" w:cs="Arial"/>
                <w:b/>
                <w:bCs/>
                <w:color w:val="000000"/>
                <w:szCs w:val="24"/>
              </w:rPr>
            </w:pPr>
            <w:r w:rsidRPr="00491692">
              <w:rPr>
                <w:rFonts w:ascii="Arial" w:hAnsi="Arial" w:cs="Arial"/>
                <w:b/>
                <w:bCs/>
                <w:color w:val="000000"/>
                <w:szCs w:val="24"/>
              </w:rPr>
              <w:t xml:space="preserve">18,273 </w:t>
            </w:r>
          </w:p>
        </w:tc>
        <w:tc>
          <w:tcPr>
            <w:tcW w:w="1440" w:type="dxa"/>
            <w:tcBorders>
              <w:top w:val="nil"/>
              <w:left w:val="nil"/>
              <w:bottom w:val="single" w:sz="4" w:space="0" w:color="auto"/>
              <w:right w:val="single" w:sz="4" w:space="0" w:color="auto"/>
            </w:tcBorders>
            <w:shd w:val="clear" w:color="DCE6F1" w:fill="DCE6F1"/>
            <w:noWrap/>
            <w:vAlign w:val="bottom"/>
            <w:hideMark/>
          </w:tcPr>
          <w:p w:rsidR="00491692" w:rsidRPr="00491692" w:rsidRDefault="00491692" w:rsidP="00491692">
            <w:pPr>
              <w:rPr>
                <w:rFonts w:ascii="Arial" w:hAnsi="Arial" w:cs="Arial"/>
                <w:b/>
                <w:bCs/>
                <w:color w:val="000000"/>
                <w:szCs w:val="24"/>
              </w:rPr>
            </w:pPr>
            <w:r w:rsidRPr="00491692">
              <w:rPr>
                <w:rFonts w:ascii="Arial" w:hAnsi="Arial" w:cs="Arial"/>
                <w:b/>
                <w:bCs/>
                <w:color w:val="000000"/>
                <w:szCs w:val="24"/>
              </w:rPr>
              <w:t> </w:t>
            </w:r>
          </w:p>
        </w:tc>
      </w:tr>
    </w:tbl>
    <w:p w:rsidR="00A36B18" w:rsidRDefault="00A36B18" w:rsidP="009663B6">
      <w:pPr>
        <w:spacing w:after="200" w:line="276" w:lineRule="auto"/>
        <w:rPr>
          <w:rFonts w:ascii="Calibri" w:eastAsia="Calibri" w:hAnsi="Calibri"/>
          <w:sz w:val="22"/>
          <w:szCs w:val="22"/>
          <w:lang w:eastAsia="en-US"/>
        </w:rPr>
        <w:sectPr w:rsidR="00A36B18" w:rsidSect="00686F9F">
          <w:pgSz w:w="16838" w:h="11906" w:orient="landscape" w:code="9"/>
          <w:pgMar w:top="993" w:right="992" w:bottom="993" w:left="851" w:header="720" w:footer="720" w:gutter="0"/>
          <w:cols w:space="720"/>
        </w:sectPr>
      </w:pPr>
    </w:p>
    <w:p w:rsidR="009663B6" w:rsidRDefault="009663B6" w:rsidP="009663B6">
      <w:pPr>
        <w:spacing w:after="200" w:line="276" w:lineRule="auto"/>
        <w:rPr>
          <w:rFonts w:ascii="Calibri" w:eastAsia="Calibri" w:hAnsi="Calibri"/>
          <w:sz w:val="22"/>
          <w:szCs w:val="22"/>
          <w:lang w:eastAsia="en-US"/>
        </w:rPr>
      </w:pPr>
    </w:p>
    <w:p w:rsidR="00745EAB" w:rsidRDefault="00B47775" w:rsidP="000D5DA0">
      <w:pPr>
        <w:spacing w:after="200" w:line="276" w:lineRule="auto"/>
        <w:jc w:val="right"/>
        <w:rPr>
          <w:rFonts w:ascii="Arial" w:hAnsi="Arial" w:cs="Arial"/>
          <w:b/>
          <w:szCs w:val="24"/>
        </w:rPr>
      </w:pPr>
      <w:r>
        <w:rPr>
          <w:rFonts w:ascii="Arial" w:hAnsi="Arial" w:cs="Arial"/>
          <w:b/>
          <w:szCs w:val="24"/>
        </w:rPr>
        <w:t>A</w:t>
      </w:r>
      <w:r w:rsidR="00D36049">
        <w:rPr>
          <w:rFonts w:ascii="Arial" w:hAnsi="Arial" w:cs="Arial"/>
          <w:b/>
          <w:szCs w:val="24"/>
        </w:rPr>
        <w:t xml:space="preserve">PPENDIX </w:t>
      </w:r>
      <w:r w:rsidR="00491692">
        <w:rPr>
          <w:rFonts w:ascii="Arial" w:hAnsi="Arial" w:cs="Arial"/>
          <w:b/>
          <w:szCs w:val="24"/>
        </w:rPr>
        <w:t>C</w:t>
      </w:r>
    </w:p>
    <w:p w:rsidR="00745EAB" w:rsidRDefault="00745EAB" w:rsidP="000D5DA0">
      <w:pPr>
        <w:spacing w:after="200" w:line="276" w:lineRule="auto"/>
        <w:jc w:val="right"/>
        <w:rPr>
          <w:rFonts w:ascii="Arial" w:hAnsi="Arial" w:cs="Arial"/>
          <w:b/>
          <w:szCs w:val="24"/>
        </w:rPr>
      </w:pPr>
    </w:p>
    <w:p w:rsidR="00491692" w:rsidRDefault="00491692" w:rsidP="00491692">
      <w:pPr>
        <w:rPr>
          <w:rFonts w:ascii="Arial" w:hAnsi="Arial" w:cs="Arial"/>
          <w:b/>
          <w:szCs w:val="24"/>
        </w:rPr>
      </w:pPr>
      <w:r>
        <w:rPr>
          <w:rFonts w:ascii="Arial" w:hAnsi="Arial" w:cs="Arial"/>
          <w:b/>
          <w:szCs w:val="24"/>
        </w:rPr>
        <w:t>Breakdown of Grant Activities for Sports and Youth work included in Appendix B</w:t>
      </w:r>
    </w:p>
    <w:p w:rsidR="00491692" w:rsidRDefault="00491692" w:rsidP="00491692">
      <w:pPr>
        <w:rPr>
          <w:rFonts w:ascii="Arial" w:hAnsi="Arial" w:cs="Arial"/>
          <w:b/>
          <w:szCs w:val="24"/>
        </w:rPr>
      </w:pPr>
    </w:p>
    <w:tbl>
      <w:tblPr>
        <w:tblW w:w="11140" w:type="dxa"/>
        <w:tblInd w:w="103" w:type="dxa"/>
        <w:tblLook w:val="04A0" w:firstRow="1" w:lastRow="0" w:firstColumn="1" w:lastColumn="0" w:noHBand="0" w:noVBand="1"/>
      </w:tblPr>
      <w:tblGrid>
        <w:gridCol w:w="1829"/>
        <w:gridCol w:w="2421"/>
        <w:gridCol w:w="2615"/>
        <w:gridCol w:w="2256"/>
        <w:gridCol w:w="2019"/>
      </w:tblGrid>
      <w:tr w:rsidR="00491692" w:rsidRPr="00491692" w:rsidTr="00EC25B8">
        <w:trPr>
          <w:trHeight w:val="315"/>
        </w:trPr>
        <w:tc>
          <w:tcPr>
            <w:tcW w:w="11140" w:type="dxa"/>
            <w:gridSpan w:val="5"/>
            <w:tcBorders>
              <w:top w:val="single" w:sz="4" w:space="0" w:color="auto"/>
              <w:left w:val="single" w:sz="4" w:space="0" w:color="auto"/>
              <w:bottom w:val="single" w:sz="4" w:space="0" w:color="auto"/>
              <w:right w:val="single" w:sz="4" w:space="0" w:color="000000"/>
            </w:tcBorders>
            <w:shd w:val="clear" w:color="DCE6F1" w:fill="DCE6F1"/>
            <w:noWrap/>
            <w:vAlign w:val="bottom"/>
            <w:hideMark/>
          </w:tcPr>
          <w:p w:rsidR="00491692" w:rsidRPr="00491692" w:rsidRDefault="00491692" w:rsidP="00EC25B8">
            <w:pPr>
              <w:jc w:val="center"/>
              <w:rPr>
                <w:rFonts w:ascii="Arial" w:hAnsi="Arial" w:cs="Arial"/>
                <w:b/>
                <w:bCs/>
                <w:color w:val="000000"/>
                <w:szCs w:val="24"/>
              </w:rPr>
            </w:pPr>
            <w:r w:rsidRPr="00491692">
              <w:rPr>
                <w:rFonts w:ascii="Arial" w:hAnsi="Arial" w:cs="Arial"/>
                <w:b/>
                <w:bCs/>
                <w:color w:val="000000"/>
                <w:szCs w:val="24"/>
              </w:rPr>
              <w:t>Grant –Related Activity</w:t>
            </w:r>
          </w:p>
        </w:tc>
      </w:tr>
      <w:tr w:rsidR="00491692" w:rsidRPr="00491692" w:rsidTr="00EC25B8">
        <w:trPr>
          <w:trHeight w:val="315"/>
        </w:trPr>
        <w:tc>
          <w:tcPr>
            <w:tcW w:w="1829" w:type="dxa"/>
            <w:tcBorders>
              <w:top w:val="nil"/>
              <w:left w:val="single" w:sz="4" w:space="0" w:color="auto"/>
              <w:bottom w:val="nil"/>
              <w:right w:val="single" w:sz="4" w:space="0" w:color="auto"/>
            </w:tcBorders>
            <w:shd w:val="clear" w:color="DCE6F1" w:fill="DCE6F1"/>
            <w:noWrap/>
            <w:vAlign w:val="bottom"/>
            <w:hideMark/>
          </w:tcPr>
          <w:p w:rsidR="00491692" w:rsidRPr="00491692" w:rsidRDefault="00491692" w:rsidP="00EC25B8">
            <w:pPr>
              <w:rPr>
                <w:rFonts w:ascii="Arial" w:hAnsi="Arial" w:cs="Arial"/>
                <w:b/>
                <w:bCs/>
                <w:color w:val="000000"/>
                <w:szCs w:val="24"/>
              </w:rPr>
            </w:pPr>
            <w:r w:rsidRPr="00491692">
              <w:rPr>
                <w:rFonts w:ascii="Arial" w:hAnsi="Arial" w:cs="Arial"/>
                <w:b/>
                <w:bCs/>
                <w:color w:val="000000"/>
                <w:szCs w:val="24"/>
              </w:rPr>
              <w:t>Sector</w:t>
            </w:r>
          </w:p>
        </w:tc>
        <w:tc>
          <w:tcPr>
            <w:tcW w:w="2421" w:type="dxa"/>
            <w:tcBorders>
              <w:top w:val="nil"/>
              <w:left w:val="nil"/>
              <w:bottom w:val="nil"/>
              <w:right w:val="single" w:sz="4" w:space="0" w:color="auto"/>
            </w:tcBorders>
            <w:shd w:val="clear" w:color="DCE6F1" w:fill="DCE6F1"/>
            <w:vAlign w:val="bottom"/>
            <w:hideMark/>
          </w:tcPr>
          <w:p w:rsidR="00491692" w:rsidRPr="00491692" w:rsidRDefault="00491692" w:rsidP="00EC25B8">
            <w:pPr>
              <w:jc w:val="center"/>
              <w:rPr>
                <w:rFonts w:ascii="Arial" w:hAnsi="Arial" w:cs="Arial"/>
                <w:b/>
                <w:bCs/>
                <w:color w:val="000000"/>
                <w:szCs w:val="24"/>
              </w:rPr>
            </w:pPr>
            <w:r w:rsidRPr="00491692">
              <w:rPr>
                <w:rFonts w:ascii="Arial" w:hAnsi="Arial" w:cs="Arial"/>
                <w:b/>
                <w:bCs/>
                <w:color w:val="000000"/>
                <w:szCs w:val="24"/>
              </w:rPr>
              <w:t>Income (£)</w:t>
            </w:r>
          </w:p>
        </w:tc>
        <w:tc>
          <w:tcPr>
            <w:tcW w:w="2615" w:type="dxa"/>
            <w:tcBorders>
              <w:top w:val="nil"/>
              <w:left w:val="nil"/>
              <w:bottom w:val="nil"/>
              <w:right w:val="single" w:sz="4" w:space="0" w:color="auto"/>
            </w:tcBorders>
            <w:shd w:val="clear" w:color="DCE6F1" w:fill="DCE6F1"/>
            <w:noWrap/>
            <w:vAlign w:val="bottom"/>
            <w:hideMark/>
          </w:tcPr>
          <w:p w:rsidR="00491692" w:rsidRPr="00491692" w:rsidRDefault="00491692" w:rsidP="00EC25B8">
            <w:pPr>
              <w:rPr>
                <w:rFonts w:ascii="Arial" w:hAnsi="Arial" w:cs="Arial"/>
                <w:b/>
                <w:bCs/>
                <w:color w:val="000000"/>
                <w:szCs w:val="24"/>
              </w:rPr>
            </w:pPr>
            <w:r w:rsidRPr="00491692">
              <w:rPr>
                <w:rFonts w:ascii="Arial" w:hAnsi="Arial" w:cs="Arial"/>
                <w:b/>
                <w:bCs/>
                <w:color w:val="000000"/>
                <w:szCs w:val="24"/>
              </w:rPr>
              <w:t>Staff Costs (£)</w:t>
            </w:r>
          </w:p>
        </w:tc>
        <w:tc>
          <w:tcPr>
            <w:tcW w:w="2256" w:type="dxa"/>
            <w:tcBorders>
              <w:top w:val="nil"/>
              <w:left w:val="nil"/>
              <w:bottom w:val="nil"/>
              <w:right w:val="single" w:sz="4" w:space="0" w:color="auto"/>
            </w:tcBorders>
            <w:shd w:val="clear" w:color="DCE6F1" w:fill="DCE6F1"/>
            <w:vAlign w:val="bottom"/>
            <w:hideMark/>
          </w:tcPr>
          <w:p w:rsidR="00491692" w:rsidRPr="00491692" w:rsidRDefault="00491692" w:rsidP="00EC25B8">
            <w:pPr>
              <w:jc w:val="center"/>
              <w:rPr>
                <w:rFonts w:ascii="Arial" w:hAnsi="Arial" w:cs="Arial"/>
                <w:b/>
                <w:bCs/>
                <w:color w:val="000000"/>
                <w:szCs w:val="24"/>
              </w:rPr>
            </w:pPr>
            <w:r w:rsidRPr="00491692">
              <w:rPr>
                <w:rFonts w:ascii="Arial" w:hAnsi="Arial" w:cs="Arial"/>
                <w:b/>
                <w:bCs/>
                <w:color w:val="000000"/>
                <w:szCs w:val="24"/>
              </w:rPr>
              <w:t xml:space="preserve">Other Costs (£) </w:t>
            </w:r>
          </w:p>
        </w:tc>
        <w:tc>
          <w:tcPr>
            <w:tcW w:w="2019" w:type="dxa"/>
            <w:tcBorders>
              <w:top w:val="nil"/>
              <w:left w:val="nil"/>
              <w:bottom w:val="nil"/>
              <w:right w:val="single" w:sz="4" w:space="0" w:color="auto"/>
            </w:tcBorders>
            <w:shd w:val="clear" w:color="DCE6F1" w:fill="DCE6F1"/>
            <w:noWrap/>
            <w:vAlign w:val="bottom"/>
            <w:hideMark/>
          </w:tcPr>
          <w:p w:rsidR="00491692" w:rsidRPr="00491692" w:rsidRDefault="00491692" w:rsidP="00EC25B8">
            <w:pPr>
              <w:rPr>
                <w:rFonts w:ascii="Arial" w:hAnsi="Arial" w:cs="Arial"/>
                <w:b/>
                <w:bCs/>
                <w:color w:val="000000"/>
                <w:szCs w:val="24"/>
              </w:rPr>
            </w:pPr>
            <w:r w:rsidRPr="00491692">
              <w:rPr>
                <w:rFonts w:ascii="Arial" w:hAnsi="Arial" w:cs="Arial"/>
                <w:b/>
                <w:bCs/>
                <w:color w:val="000000"/>
                <w:szCs w:val="24"/>
              </w:rPr>
              <w:t>Surplus (£)</w:t>
            </w:r>
          </w:p>
        </w:tc>
      </w:tr>
      <w:tr w:rsidR="00491692" w:rsidRPr="00491692" w:rsidTr="00EC25B8">
        <w:trPr>
          <w:trHeight w:val="300"/>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000000"/>
                <w:szCs w:val="24"/>
              </w:rPr>
              <w:t>Youth</w:t>
            </w:r>
            <w:r>
              <w:rPr>
                <w:rFonts w:ascii="Arial" w:hAnsi="Arial" w:cs="Arial"/>
                <w:color w:val="000000"/>
                <w:szCs w:val="24"/>
              </w:rPr>
              <w:t xml:space="preserve"> </w:t>
            </w:r>
            <w:r w:rsidRPr="00491692">
              <w:rPr>
                <w:rFonts w:ascii="Arial" w:hAnsi="Arial" w:cs="Arial"/>
                <w:color w:val="000000"/>
                <w:szCs w:val="24"/>
              </w:rPr>
              <w:t>work</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000000"/>
                <w:szCs w:val="24"/>
              </w:rPr>
              <w:t xml:space="preserve">44,011 </w:t>
            </w:r>
          </w:p>
        </w:tc>
        <w:tc>
          <w:tcPr>
            <w:tcW w:w="2615" w:type="dxa"/>
            <w:tcBorders>
              <w:top w:val="single" w:sz="4" w:space="0" w:color="auto"/>
              <w:left w:val="nil"/>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FF0000"/>
                <w:szCs w:val="24"/>
              </w:rPr>
              <w:t>(4,200)</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FF0000"/>
                <w:szCs w:val="24"/>
              </w:rPr>
              <w:t>(16,115)</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000000"/>
                <w:szCs w:val="24"/>
              </w:rPr>
              <w:t xml:space="preserve">23,696 </w:t>
            </w:r>
          </w:p>
        </w:tc>
      </w:tr>
      <w:tr w:rsidR="00491692" w:rsidRPr="00491692" w:rsidTr="00EC25B8">
        <w:trPr>
          <w:trHeight w:val="300"/>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000000"/>
                <w:szCs w:val="24"/>
              </w:rPr>
              <w:t>Sports</w:t>
            </w:r>
          </w:p>
        </w:tc>
        <w:tc>
          <w:tcPr>
            <w:tcW w:w="2421"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000000"/>
                <w:szCs w:val="24"/>
              </w:rPr>
              <w:t xml:space="preserve">67,373 </w:t>
            </w:r>
          </w:p>
        </w:tc>
        <w:tc>
          <w:tcPr>
            <w:tcW w:w="2615"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FF0000"/>
                <w:szCs w:val="24"/>
              </w:rPr>
              <w:t>(34,658)</w:t>
            </w:r>
          </w:p>
        </w:tc>
        <w:tc>
          <w:tcPr>
            <w:tcW w:w="2256"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FF0000"/>
                <w:szCs w:val="24"/>
              </w:rPr>
              <w:t>(28,251)</w:t>
            </w:r>
          </w:p>
        </w:tc>
        <w:tc>
          <w:tcPr>
            <w:tcW w:w="2019" w:type="dxa"/>
            <w:tcBorders>
              <w:top w:val="nil"/>
              <w:left w:val="nil"/>
              <w:bottom w:val="single" w:sz="4" w:space="0" w:color="auto"/>
              <w:right w:val="single" w:sz="4" w:space="0" w:color="auto"/>
            </w:tcBorders>
            <w:shd w:val="clear" w:color="auto" w:fill="auto"/>
            <w:noWrap/>
            <w:vAlign w:val="bottom"/>
            <w:hideMark/>
          </w:tcPr>
          <w:p w:rsidR="00491692" w:rsidRPr="00491692" w:rsidRDefault="00491692" w:rsidP="00EC25B8">
            <w:pPr>
              <w:rPr>
                <w:rFonts w:ascii="Arial" w:hAnsi="Arial" w:cs="Arial"/>
                <w:color w:val="000000"/>
                <w:szCs w:val="24"/>
              </w:rPr>
            </w:pPr>
            <w:r w:rsidRPr="00491692">
              <w:rPr>
                <w:rFonts w:ascii="Arial" w:hAnsi="Arial" w:cs="Arial"/>
                <w:color w:val="000000"/>
                <w:szCs w:val="24"/>
              </w:rPr>
              <w:t xml:space="preserve">4,464 </w:t>
            </w:r>
          </w:p>
        </w:tc>
      </w:tr>
    </w:tbl>
    <w:p w:rsidR="00491692" w:rsidRPr="00301127" w:rsidRDefault="00491692" w:rsidP="00491692">
      <w:pPr>
        <w:spacing w:after="200" w:line="276" w:lineRule="auto"/>
        <w:rPr>
          <w:rFonts w:ascii="Arial" w:eastAsia="Calibri" w:hAnsi="Arial" w:cs="Arial"/>
          <w:b/>
          <w:sz w:val="28"/>
          <w:szCs w:val="28"/>
          <w:lang w:eastAsia="en-US"/>
        </w:rPr>
      </w:pPr>
    </w:p>
    <w:p w:rsidR="00B47775" w:rsidRPr="00B47775" w:rsidRDefault="00B47775" w:rsidP="00297A0D">
      <w:pPr>
        <w:spacing w:after="200" w:line="276" w:lineRule="auto"/>
        <w:rPr>
          <w:rFonts w:ascii="Arial" w:eastAsia="Calibri" w:hAnsi="Arial" w:cs="Arial"/>
          <w:b/>
          <w:sz w:val="28"/>
          <w:szCs w:val="28"/>
          <w:lang w:eastAsia="en-US"/>
        </w:rPr>
      </w:pPr>
      <w:r w:rsidRPr="00B47775">
        <w:rPr>
          <w:rFonts w:ascii="Arial" w:eastAsia="Calibri" w:hAnsi="Arial" w:cs="Arial"/>
          <w:b/>
          <w:sz w:val="28"/>
          <w:szCs w:val="28"/>
          <w:lang w:eastAsia="en-US"/>
        </w:rPr>
        <w:t>Variances over £5,000</w:t>
      </w:r>
    </w:p>
    <w:tbl>
      <w:tblPr>
        <w:tblW w:w="14039" w:type="dxa"/>
        <w:tblInd w:w="103" w:type="dxa"/>
        <w:tblLook w:val="04A0" w:firstRow="1" w:lastRow="0" w:firstColumn="1" w:lastColumn="0" w:noHBand="0" w:noVBand="1"/>
      </w:tblPr>
      <w:tblGrid>
        <w:gridCol w:w="1848"/>
        <w:gridCol w:w="2268"/>
        <w:gridCol w:w="9923"/>
      </w:tblGrid>
      <w:tr w:rsidR="00B47775" w:rsidRPr="00B47775" w:rsidTr="00EC25B8">
        <w:trPr>
          <w:trHeight w:val="422"/>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775" w:rsidRPr="00B47775" w:rsidRDefault="00B47775" w:rsidP="00B47775">
            <w:pPr>
              <w:spacing w:after="200" w:line="276" w:lineRule="auto"/>
              <w:jc w:val="center"/>
              <w:rPr>
                <w:rFonts w:ascii="Arial" w:eastAsia="Calibri" w:hAnsi="Arial" w:cs="Arial"/>
                <w:b/>
                <w:bCs/>
                <w:sz w:val="22"/>
                <w:szCs w:val="22"/>
                <w:lang w:eastAsia="en-US"/>
              </w:rPr>
            </w:pPr>
            <w:r w:rsidRPr="00B47775">
              <w:rPr>
                <w:rFonts w:ascii="Arial" w:eastAsia="Calibri" w:hAnsi="Arial" w:cs="Arial"/>
                <w:b/>
                <w:bCs/>
                <w:sz w:val="22"/>
                <w:szCs w:val="22"/>
                <w:lang w:eastAsia="en-US"/>
              </w:rPr>
              <w:t>Sector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47775" w:rsidRPr="00B47775" w:rsidRDefault="00B47775" w:rsidP="00B47775">
            <w:pPr>
              <w:spacing w:after="200" w:line="276" w:lineRule="auto"/>
              <w:jc w:val="center"/>
              <w:rPr>
                <w:rFonts w:ascii="Arial" w:eastAsia="Calibri" w:hAnsi="Arial" w:cs="Arial"/>
                <w:b/>
                <w:bCs/>
                <w:sz w:val="22"/>
                <w:szCs w:val="22"/>
                <w:lang w:eastAsia="en-US"/>
              </w:rPr>
            </w:pPr>
            <w:r w:rsidRPr="00B47775">
              <w:rPr>
                <w:rFonts w:ascii="Arial" w:eastAsia="Calibri" w:hAnsi="Arial" w:cs="Arial"/>
                <w:b/>
                <w:bCs/>
                <w:sz w:val="22"/>
                <w:szCs w:val="22"/>
                <w:lang w:eastAsia="en-US"/>
              </w:rPr>
              <w:t>Variance</w:t>
            </w:r>
          </w:p>
        </w:tc>
        <w:tc>
          <w:tcPr>
            <w:tcW w:w="9923" w:type="dxa"/>
            <w:tcBorders>
              <w:top w:val="single" w:sz="4" w:space="0" w:color="auto"/>
              <w:left w:val="nil"/>
              <w:bottom w:val="single" w:sz="4" w:space="0" w:color="auto"/>
              <w:right w:val="single" w:sz="4" w:space="0" w:color="auto"/>
            </w:tcBorders>
            <w:shd w:val="clear" w:color="auto" w:fill="auto"/>
            <w:noWrap/>
            <w:vAlign w:val="bottom"/>
            <w:hideMark/>
          </w:tcPr>
          <w:p w:rsidR="00B47775" w:rsidRPr="00B47775" w:rsidRDefault="00B47775" w:rsidP="00B47775">
            <w:pPr>
              <w:spacing w:after="200" w:line="276" w:lineRule="auto"/>
              <w:jc w:val="center"/>
              <w:rPr>
                <w:rFonts w:ascii="Arial" w:eastAsia="Calibri" w:hAnsi="Arial" w:cs="Arial"/>
                <w:b/>
                <w:bCs/>
                <w:sz w:val="22"/>
                <w:szCs w:val="22"/>
                <w:lang w:eastAsia="en-US"/>
              </w:rPr>
            </w:pPr>
            <w:r w:rsidRPr="00B47775">
              <w:rPr>
                <w:rFonts w:ascii="Arial" w:eastAsia="Calibri" w:hAnsi="Arial" w:cs="Arial"/>
                <w:b/>
                <w:bCs/>
                <w:sz w:val="22"/>
                <w:szCs w:val="22"/>
                <w:lang w:eastAsia="en-US"/>
              </w:rPr>
              <w:t>Note</w:t>
            </w:r>
          </w:p>
        </w:tc>
      </w:tr>
      <w:tr w:rsidR="00B47775" w:rsidRPr="00B47775" w:rsidTr="00EC25B8">
        <w:trPr>
          <w:trHeight w:val="574"/>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B47775" w:rsidRPr="00B47775" w:rsidRDefault="00B47775" w:rsidP="00B47775">
            <w:pPr>
              <w:spacing w:after="200" w:line="276" w:lineRule="auto"/>
              <w:jc w:val="center"/>
              <w:rPr>
                <w:rFonts w:ascii="Arial" w:eastAsia="Calibri" w:hAnsi="Arial" w:cs="Arial"/>
                <w:sz w:val="22"/>
                <w:szCs w:val="22"/>
                <w:lang w:eastAsia="en-US"/>
              </w:rPr>
            </w:pPr>
            <w:r w:rsidRPr="00B47775">
              <w:rPr>
                <w:rFonts w:ascii="Arial" w:eastAsia="Calibri" w:hAnsi="Arial" w:cs="Arial"/>
                <w:sz w:val="22"/>
                <w:szCs w:val="22"/>
                <w:lang w:eastAsia="en-US"/>
              </w:rPr>
              <w:t>Archives</w:t>
            </w:r>
          </w:p>
        </w:tc>
        <w:tc>
          <w:tcPr>
            <w:tcW w:w="2268" w:type="dxa"/>
            <w:tcBorders>
              <w:top w:val="nil"/>
              <w:left w:val="nil"/>
              <w:bottom w:val="single" w:sz="4" w:space="0" w:color="auto"/>
              <w:right w:val="single" w:sz="4" w:space="0" w:color="auto"/>
            </w:tcBorders>
            <w:shd w:val="clear" w:color="auto" w:fill="auto"/>
            <w:noWrap/>
            <w:vAlign w:val="center"/>
          </w:tcPr>
          <w:p w:rsidR="00B47775" w:rsidRPr="00B47775" w:rsidRDefault="00B47775" w:rsidP="00B47775">
            <w:pPr>
              <w:spacing w:after="200" w:line="276" w:lineRule="auto"/>
              <w:jc w:val="center"/>
              <w:rPr>
                <w:rFonts w:ascii="Arial" w:eastAsia="Calibri" w:hAnsi="Arial" w:cs="Arial"/>
                <w:b/>
                <w:sz w:val="22"/>
                <w:szCs w:val="22"/>
                <w:lang w:eastAsia="en-US"/>
              </w:rPr>
            </w:pPr>
            <w:r w:rsidRPr="00363CA0">
              <w:rPr>
                <w:rFonts w:ascii="Arial" w:hAnsi="Arial" w:cs="Arial"/>
                <w:color w:val="000000"/>
                <w:szCs w:val="24"/>
              </w:rPr>
              <w:t>16,904</w:t>
            </w:r>
          </w:p>
        </w:tc>
        <w:tc>
          <w:tcPr>
            <w:tcW w:w="9923" w:type="dxa"/>
            <w:tcBorders>
              <w:top w:val="nil"/>
              <w:left w:val="nil"/>
              <w:bottom w:val="single" w:sz="4" w:space="0" w:color="auto"/>
              <w:right w:val="single" w:sz="4" w:space="0" w:color="auto"/>
            </w:tcBorders>
            <w:shd w:val="clear" w:color="auto" w:fill="auto"/>
            <w:noWrap/>
          </w:tcPr>
          <w:p w:rsidR="00B47775" w:rsidRPr="00B47775" w:rsidRDefault="00B47775" w:rsidP="00B47775">
            <w:pPr>
              <w:spacing w:after="200" w:line="276" w:lineRule="auto"/>
              <w:jc w:val="both"/>
              <w:rPr>
                <w:rFonts w:ascii="Arial" w:eastAsia="Calibri" w:hAnsi="Arial" w:cs="Arial"/>
                <w:sz w:val="22"/>
                <w:szCs w:val="22"/>
                <w:lang w:eastAsia="en-US"/>
              </w:rPr>
            </w:pPr>
            <w:r w:rsidRPr="00B47775">
              <w:rPr>
                <w:rFonts w:ascii="Arial" w:eastAsia="Calibri" w:hAnsi="Arial" w:cs="Arial"/>
                <w:sz w:val="22"/>
                <w:szCs w:val="22"/>
                <w:lang w:eastAsia="en-US"/>
              </w:rPr>
              <w:t xml:space="preserve">The majority of this positive variance is due to an archivist vacancy at the Highland Archive Centre for the first </w:t>
            </w:r>
            <w:r>
              <w:rPr>
                <w:rFonts w:ascii="Arial" w:eastAsia="Calibri" w:hAnsi="Arial" w:cs="Arial"/>
                <w:sz w:val="22"/>
                <w:szCs w:val="22"/>
                <w:lang w:eastAsia="en-US"/>
              </w:rPr>
              <w:t>7</w:t>
            </w:r>
            <w:r w:rsidRPr="00B47775">
              <w:rPr>
                <w:rFonts w:ascii="Arial" w:eastAsia="Calibri" w:hAnsi="Arial" w:cs="Arial"/>
                <w:sz w:val="22"/>
                <w:szCs w:val="22"/>
                <w:lang w:eastAsia="en-US"/>
              </w:rPr>
              <w:t xml:space="preserve"> months of the year.  This has been partly offset by the cost of salary increments and additional expenditure on equipment.                </w:t>
            </w:r>
          </w:p>
        </w:tc>
      </w:tr>
      <w:tr w:rsidR="00B47775" w:rsidRPr="00B47775" w:rsidTr="00EC25B8">
        <w:trPr>
          <w:trHeight w:val="558"/>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75" w:rsidRDefault="00B47775" w:rsidP="00B47775">
            <w:pPr>
              <w:jc w:val="center"/>
            </w:pPr>
            <w:r w:rsidRPr="00363CA0">
              <w:rPr>
                <w:rFonts w:ascii="Arial" w:hAnsi="Arial" w:cs="Arial"/>
                <w:color w:val="000000"/>
                <w:szCs w:val="24"/>
              </w:rPr>
              <w:t>Museums</w:t>
            </w:r>
          </w:p>
          <w:p w:rsidR="00B47775" w:rsidRPr="00B47775" w:rsidRDefault="00B47775" w:rsidP="00B47775">
            <w:pPr>
              <w:spacing w:after="200" w:line="276" w:lineRule="auto"/>
              <w:jc w:val="center"/>
              <w:rPr>
                <w:rFonts w:ascii="Arial" w:eastAsia="Calibri" w:hAnsi="Arial" w:cs="Arial"/>
                <w:sz w:val="22"/>
                <w:szCs w:val="22"/>
                <w:lang w:eastAsia="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47775" w:rsidRDefault="00B47775" w:rsidP="00B47775">
            <w:pPr>
              <w:jc w:val="center"/>
              <w:rPr>
                <w:rFonts w:ascii="Arial" w:hAnsi="Arial" w:cs="Arial"/>
                <w:color w:val="000000"/>
                <w:szCs w:val="24"/>
              </w:rPr>
            </w:pPr>
            <w:r>
              <w:rPr>
                <w:rFonts w:ascii="Arial" w:hAnsi="Arial" w:cs="Arial"/>
                <w:color w:val="000000"/>
              </w:rPr>
              <w:t xml:space="preserve">28,769 </w:t>
            </w:r>
          </w:p>
          <w:p w:rsidR="00B47775" w:rsidRPr="00B47775" w:rsidRDefault="00B47775" w:rsidP="00B47775">
            <w:pPr>
              <w:spacing w:after="200" w:line="276" w:lineRule="auto"/>
              <w:jc w:val="center"/>
              <w:rPr>
                <w:rFonts w:ascii="Arial" w:eastAsia="Calibri" w:hAnsi="Arial" w:cs="Arial"/>
                <w:b/>
                <w:color w:val="FF0000"/>
                <w:sz w:val="22"/>
                <w:szCs w:val="22"/>
                <w:lang w:eastAsia="en-US"/>
              </w:rPr>
            </w:pPr>
          </w:p>
        </w:tc>
        <w:tc>
          <w:tcPr>
            <w:tcW w:w="9923" w:type="dxa"/>
            <w:tcBorders>
              <w:top w:val="single" w:sz="4" w:space="0" w:color="auto"/>
              <w:left w:val="nil"/>
              <w:bottom w:val="single" w:sz="4" w:space="0" w:color="auto"/>
              <w:right w:val="single" w:sz="4" w:space="0" w:color="auto"/>
            </w:tcBorders>
            <w:shd w:val="clear" w:color="auto" w:fill="auto"/>
            <w:noWrap/>
          </w:tcPr>
          <w:p w:rsidR="00B47775" w:rsidRPr="00B47775" w:rsidRDefault="00B47775" w:rsidP="00B47775">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The</w:t>
            </w:r>
            <w:r w:rsidR="00C52643">
              <w:rPr>
                <w:rFonts w:ascii="Arial" w:eastAsia="Calibri" w:hAnsi="Arial" w:cs="Arial"/>
                <w:sz w:val="22"/>
                <w:szCs w:val="22"/>
                <w:lang w:eastAsia="en-US"/>
              </w:rPr>
              <w:t xml:space="preserve"> Highland Folk Museum Reported a surplus to budget of £31K for the season up to Oct ’16.</w:t>
            </w:r>
            <w:r w:rsidRPr="00B47775">
              <w:rPr>
                <w:rFonts w:ascii="Arial" w:eastAsia="Calibri" w:hAnsi="Arial" w:cs="Arial"/>
                <w:sz w:val="22"/>
                <w:szCs w:val="22"/>
                <w:lang w:eastAsia="en-US"/>
              </w:rPr>
              <w:t xml:space="preserve">                    </w:t>
            </w:r>
          </w:p>
        </w:tc>
      </w:tr>
      <w:tr w:rsidR="00B47775" w:rsidRPr="00B47775" w:rsidTr="00EC25B8">
        <w:trPr>
          <w:trHeight w:val="585"/>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75" w:rsidRPr="00B47775" w:rsidRDefault="00B47775" w:rsidP="00B47775">
            <w:pPr>
              <w:spacing w:after="200" w:line="276" w:lineRule="auto"/>
              <w:jc w:val="center"/>
              <w:rPr>
                <w:rFonts w:ascii="Arial" w:eastAsia="Calibri" w:hAnsi="Arial" w:cs="Arial"/>
                <w:sz w:val="22"/>
                <w:szCs w:val="22"/>
                <w:lang w:eastAsia="en-US"/>
              </w:rPr>
            </w:pPr>
            <w:r w:rsidRPr="00B47775">
              <w:rPr>
                <w:rFonts w:ascii="Arial" w:eastAsia="Calibri" w:hAnsi="Arial" w:cs="Arial"/>
                <w:sz w:val="22"/>
                <w:szCs w:val="22"/>
                <w:lang w:eastAsia="en-US"/>
              </w:rPr>
              <w:t>Outdoor</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47775" w:rsidRPr="00B47775" w:rsidRDefault="00C52643" w:rsidP="00B47775">
            <w:pPr>
              <w:spacing w:after="200" w:line="276" w:lineRule="auto"/>
              <w:jc w:val="center"/>
              <w:rPr>
                <w:rFonts w:ascii="Arial" w:eastAsia="Calibri" w:hAnsi="Arial" w:cs="Arial"/>
                <w:b/>
                <w:color w:val="FF0000"/>
                <w:sz w:val="22"/>
                <w:szCs w:val="22"/>
                <w:lang w:eastAsia="en-US"/>
              </w:rPr>
            </w:pPr>
            <w:r w:rsidRPr="00491692">
              <w:rPr>
                <w:rFonts w:ascii="Arial" w:hAnsi="Arial" w:cs="Arial"/>
                <w:color w:val="FF0000"/>
                <w:szCs w:val="24"/>
              </w:rPr>
              <w:t>(28,689)</w:t>
            </w:r>
          </w:p>
        </w:tc>
        <w:tc>
          <w:tcPr>
            <w:tcW w:w="9923" w:type="dxa"/>
            <w:tcBorders>
              <w:top w:val="single" w:sz="4" w:space="0" w:color="auto"/>
              <w:left w:val="nil"/>
              <w:bottom w:val="single" w:sz="4" w:space="0" w:color="auto"/>
              <w:right w:val="single" w:sz="4" w:space="0" w:color="auto"/>
            </w:tcBorders>
            <w:shd w:val="clear" w:color="auto" w:fill="auto"/>
          </w:tcPr>
          <w:p w:rsidR="00B47775" w:rsidRPr="00B47775" w:rsidRDefault="002A47A7" w:rsidP="002A47A7">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A structural Budget issue has been identified of £30K and is being dealt with in the Budget Savings required for 2016/</w:t>
            </w:r>
            <w:r w:rsidR="00B47775" w:rsidRPr="00B47775">
              <w:rPr>
                <w:rFonts w:ascii="Arial" w:eastAsia="Calibri" w:hAnsi="Arial" w:cs="Arial"/>
                <w:sz w:val="22"/>
                <w:szCs w:val="22"/>
                <w:lang w:eastAsia="en-US"/>
              </w:rPr>
              <w:t xml:space="preserve"> </w:t>
            </w:r>
          </w:p>
        </w:tc>
      </w:tr>
    </w:tbl>
    <w:p w:rsidR="00D36049" w:rsidRDefault="00D36049" w:rsidP="00297A0D">
      <w:pPr>
        <w:spacing w:after="200" w:line="276" w:lineRule="auto"/>
        <w:rPr>
          <w:rFonts w:ascii="Arial" w:hAnsi="Arial" w:cs="Arial"/>
          <w:b/>
          <w:szCs w:val="24"/>
        </w:rPr>
        <w:sectPr w:rsidR="00D36049" w:rsidSect="003847F5">
          <w:pgSz w:w="16838" w:h="11906" w:orient="landscape" w:code="9"/>
          <w:pgMar w:top="992" w:right="992" w:bottom="992" w:left="851" w:header="720" w:footer="720" w:gutter="0"/>
          <w:cols w:space="720"/>
        </w:sectPr>
      </w:pPr>
    </w:p>
    <w:p w:rsidR="00D36049" w:rsidRDefault="00D36049" w:rsidP="00297A0D">
      <w:pPr>
        <w:spacing w:after="200" w:line="276" w:lineRule="auto"/>
        <w:rPr>
          <w:rFonts w:ascii="Calibri" w:eastAsia="Calibri" w:hAnsi="Calibri"/>
          <w:sz w:val="22"/>
          <w:szCs w:val="22"/>
          <w:lang w:eastAsia="en-US"/>
        </w:rPr>
      </w:pPr>
    </w:p>
    <w:sectPr w:rsidR="00D36049" w:rsidSect="00D36049">
      <w:pgSz w:w="11906" w:h="16838" w:code="9"/>
      <w:pgMar w:top="992" w:right="992" w:bottom="85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BB" w:rsidRDefault="00A436BB">
      <w:r>
        <w:separator/>
      </w:r>
    </w:p>
  </w:endnote>
  <w:endnote w:type="continuationSeparator" w:id="0">
    <w:p w:rsidR="00A436BB" w:rsidRDefault="00A4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BB" w:rsidRDefault="00A436BB">
      <w:r>
        <w:separator/>
      </w:r>
    </w:p>
  </w:footnote>
  <w:footnote w:type="continuationSeparator" w:id="0">
    <w:p w:rsidR="00A436BB" w:rsidRDefault="00A43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240"/>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E46345E"/>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752B5A"/>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9822E0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FBF01D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FD23D1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30742D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6EE098D"/>
    <w:multiLevelType w:val="hybridMultilevel"/>
    <w:tmpl w:val="12DCCB7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C13607"/>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07E557F"/>
    <w:multiLevelType w:val="hybridMultilevel"/>
    <w:tmpl w:val="A88ED9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1C0C95"/>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0CF4A08"/>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222187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AF709A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BE237E6"/>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83B5B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73277442"/>
    <w:multiLevelType w:val="hybridMultilevel"/>
    <w:tmpl w:val="A412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17"/>
  </w:num>
  <w:num w:numId="2">
    <w:abstractNumId w:val="15"/>
  </w:num>
  <w:num w:numId="3">
    <w:abstractNumId w:val="10"/>
  </w:num>
  <w:num w:numId="4">
    <w:abstractNumId w:val="12"/>
  </w:num>
  <w:num w:numId="5">
    <w:abstractNumId w:val="2"/>
  </w:num>
  <w:num w:numId="6">
    <w:abstractNumId w:val="18"/>
  </w:num>
  <w:num w:numId="7">
    <w:abstractNumId w:val="14"/>
  </w:num>
  <w:num w:numId="8">
    <w:abstractNumId w:val="4"/>
  </w:num>
  <w:num w:numId="9">
    <w:abstractNumId w:val="13"/>
  </w:num>
  <w:num w:numId="10">
    <w:abstractNumId w:val="1"/>
  </w:num>
  <w:num w:numId="11">
    <w:abstractNumId w:val="16"/>
  </w:num>
  <w:num w:numId="12">
    <w:abstractNumId w:val="9"/>
  </w:num>
  <w:num w:numId="13">
    <w:abstractNumId w:val="7"/>
  </w:num>
  <w:num w:numId="14">
    <w:abstractNumId w:val="6"/>
  </w:num>
  <w:num w:numId="15">
    <w:abstractNumId w:val="8"/>
  </w:num>
  <w:num w:numId="16">
    <w:abstractNumId w:val="3"/>
  </w:num>
  <w:num w:numId="17">
    <w:abstractNumId w:val="0"/>
  </w:num>
  <w:num w:numId="18">
    <w:abstractNumId w:val="5"/>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01099"/>
    <w:rsid w:val="00023E37"/>
    <w:rsid w:val="000261C0"/>
    <w:rsid w:val="00031D1E"/>
    <w:rsid w:val="0005207E"/>
    <w:rsid w:val="00054DE1"/>
    <w:rsid w:val="000551EE"/>
    <w:rsid w:val="000A71BA"/>
    <w:rsid w:val="000B0A7F"/>
    <w:rsid w:val="000D5DA0"/>
    <w:rsid w:val="000F274B"/>
    <w:rsid w:val="000F29AC"/>
    <w:rsid w:val="000F6071"/>
    <w:rsid w:val="00102BA1"/>
    <w:rsid w:val="00103AC5"/>
    <w:rsid w:val="00104179"/>
    <w:rsid w:val="0010458D"/>
    <w:rsid w:val="001072B4"/>
    <w:rsid w:val="00131281"/>
    <w:rsid w:val="00144B3B"/>
    <w:rsid w:val="001575A7"/>
    <w:rsid w:val="001641A6"/>
    <w:rsid w:val="00165861"/>
    <w:rsid w:val="00167E3E"/>
    <w:rsid w:val="001766FB"/>
    <w:rsid w:val="001867B9"/>
    <w:rsid w:val="00186D8B"/>
    <w:rsid w:val="001B7F3F"/>
    <w:rsid w:val="001C4993"/>
    <w:rsid w:val="001C4B5C"/>
    <w:rsid w:val="001D1D38"/>
    <w:rsid w:val="001D3067"/>
    <w:rsid w:val="001D5EE7"/>
    <w:rsid w:val="001E6629"/>
    <w:rsid w:val="001F1ECE"/>
    <w:rsid w:val="002033AE"/>
    <w:rsid w:val="00226235"/>
    <w:rsid w:val="00226A24"/>
    <w:rsid w:val="00226B15"/>
    <w:rsid w:val="00227B07"/>
    <w:rsid w:val="0023686E"/>
    <w:rsid w:val="0024004B"/>
    <w:rsid w:val="0024242C"/>
    <w:rsid w:val="0026371C"/>
    <w:rsid w:val="00275972"/>
    <w:rsid w:val="00281BD6"/>
    <w:rsid w:val="00283C8A"/>
    <w:rsid w:val="00290EB5"/>
    <w:rsid w:val="00291E51"/>
    <w:rsid w:val="0029314E"/>
    <w:rsid w:val="00297A0D"/>
    <w:rsid w:val="002A050E"/>
    <w:rsid w:val="002A21D3"/>
    <w:rsid w:val="002A47A7"/>
    <w:rsid w:val="002A660A"/>
    <w:rsid w:val="002B078E"/>
    <w:rsid w:val="002B567A"/>
    <w:rsid w:val="002B7DC4"/>
    <w:rsid w:val="002C5CF0"/>
    <w:rsid w:val="002D76CB"/>
    <w:rsid w:val="002D7E65"/>
    <w:rsid w:val="00301127"/>
    <w:rsid w:val="003105C9"/>
    <w:rsid w:val="00311342"/>
    <w:rsid w:val="00312F45"/>
    <w:rsid w:val="003150AF"/>
    <w:rsid w:val="00315D04"/>
    <w:rsid w:val="0031751B"/>
    <w:rsid w:val="0032499A"/>
    <w:rsid w:val="00326648"/>
    <w:rsid w:val="0033499A"/>
    <w:rsid w:val="0034407D"/>
    <w:rsid w:val="00345B42"/>
    <w:rsid w:val="00351BDC"/>
    <w:rsid w:val="00356332"/>
    <w:rsid w:val="00356B53"/>
    <w:rsid w:val="00363CA0"/>
    <w:rsid w:val="00373946"/>
    <w:rsid w:val="00383762"/>
    <w:rsid w:val="003847F5"/>
    <w:rsid w:val="00386649"/>
    <w:rsid w:val="003924C9"/>
    <w:rsid w:val="0039450A"/>
    <w:rsid w:val="003B450B"/>
    <w:rsid w:val="003D2A83"/>
    <w:rsid w:val="003D4E84"/>
    <w:rsid w:val="003E6B08"/>
    <w:rsid w:val="00402985"/>
    <w:rsid w:val="00411F29"/>
    <w:rsid w:val="00414B67"/>
    <w:rsid w:val="00416BFF"/>
    <w:rsid w:val="00420554"/>
    <w:rsid w:val="004264D6"/>
    <w:rsid w:val="004353F3"/>
    <w:rsid w:val="00445D1F"/>
    <w:rsid w:val="0046574A"/>
    <w:rsid w:val="004677D5"/>
    <w:rsid w:val="00472040"/>
    <w:rsid w:val="004829CD"/>
    <w:rsid w:val="00485C73"/>
    <w:rsid w:val="00491692"/>
    <w:rsid w:val="00494A2F"/>
    <w:rsid w:val="004A13CB"/>
    <w:rsid w:val="004B19DE"/>
    <w:rsid w:val="004B3658"/>
    <w:rsid w:val="004C0A19"/>
    <w:rsid w:val="004D3C32"/>
    <w:rsid w:val="004E2042"/>
    <w:rsid w:val="004F0001"/>
    <w:rsid w:val="004F0983"/>
    <w:rsid w:val="004F4D60"/>
    <w:rsid w:val="004F6740"/>
    <w:rsid w:val="00502B22"/>
    <w:rsid w:val="00504936"/>
    <w:rsid w:val="00532972"/>
    <w:rsid w:val="00540480"/>
    <w:rsid w:val="00541767"/>
    <w:rsid w:val="005458DE"/>
    <w:rsid w:val="00554631"/>
    <w:rsid w:val="00562183"/>
    <w:rsid w:val="00576020"/>
    <w:rsid w:val="00581415"/>
    <w:rsid w:val="00590256"/>
    <w:rsid w:val="00590C36"/>
    <w:rsid w:val="0059426B"/>
    <w:rsid w:val="00597AF6"/>
    <w:rsid w:val="005A19A5"/>
    <w:rsid w:val="005A64AF"/>
    <w:rsid w:val="005B050B"/>
    <w:rsid w:val="005C11FC"/>
    <w:rsid w:val="005C524F"/>
    <w:rsid w:val="005D09D1"/>
    <w:rsid w:val="005E23D5"/>
    <w:rsid w:val="005E3760"/>
    <w:rsid w:val="005E693A"/>
    <w:rsid w:val="006103C1"/>
    <w:rsid w:val="0061518E"/>
    <w:rsid w:val="00620E1F"/>
    <w:rsid w:val="006342FC"/>
    <w:rsid w:val="0063477B"/>
    <w:rsid w:val="00635750"/>
    <w:rsid w:val="00642DF4"/>
    <w:rsid w:val="00646F67"/>
    <w:rsid w:val="00655F80"/>
    <w:rsid w:val="00663093"/>
    <w:rsid w:val="00664A83"/>
    <w:rsid w:val="0067538A"/>
    <w:rsid w:val="006753D0"/>
    <w:rsid w:val="0067745D"/>
    <w:rsid w:val="00686F9F"/>
    <w:rsid w:val="0069001D"/>
    <w:rsid w:val="00692422"/>
    <w:rsid w:val="006A137F"/>
    <w:rsid w:val="006B6192"/>
    <w:rsid w:val="006D0028"/>
    <w:rsid w:val="006D29ED"/>
    <w:rsid w:val="006D4204"/>
    <w:rsid w:val="006F7CC2"/>
    <w:rsid w:val="0070225D"/>
    <w:rsid w:val="00707C87"/>
    <w:rsid w:val="007118F2"/>
    <w:rsid w:val="007161EF"/>
    <w:rsid w:val="007214D1"/>
    <w:rsid w:val="007273AE"/>
    <w:rsid w:val="0073017A"/>
    <w:rsid w:val="0074360E"/>
    <w:rsid w:val="00745EAB"/>
    <w:rsid w:val="00755B8E"/>
    <w:rsid w:val="00757433"/>
    <w:rsid w:val="007612F1"/>
    <w:rsid w:val="00764050"/>
    <w:rsid w:val="00771880"/>
    <w:rsid w:val="007723DB"/>
    <w:rsid w:val="00773952"/>
    <w:rsid w:val="00776884"/>
    <w:rsid w:val="00790343"/>
    <w:rsid w:val="007A2BD4"/>
    <w:rsid w:val="007A353F"/>
    <w:rsid w:val="007A535E"/>
    <w:rsid w:val="007D3CAA"/>
    <w:rsid w:val="007D52F9"/>
    <w:rsid w:val="007E2203"/>
    <w:rsid w:val="007E4E27"/>
    <w:rsid w:val="00800D2C"/>
    <w:rsid w:val="0081070E"/>
    <w:rsid w:val="00811A6F"/>
    <w:rsid w:val="008173B1"/>
    <w:rsid w:val="00817421"/>
    <w:rsid w:val="00824F07"/>
    <w:rsid w:val="00825FD9"/>
    <w:rsid w:val="0083012E"/>
    <w:rsid w:val="008301D0"/>
    <w:rsid w:val="00831A88"/>
    <w:rsid w:val="0083625F"/>
    <w:rsid w:val="0084154D"/>
    <w:rsid w:val="008512B8"/>
    <w:rsid w:val="00851F7B"/>
    <w:rsid w:val="00861ABD"/>
    <w:rsid w:val="0087113C"/>
    <w:rsid w:val="00874988"/>
    <w:rsid w:val="0088344E"/>
    <w:rsid w:val="0089449E"/>
    <w:rsid w:val="008A058F"/>
    <w:rsid w:val="008A1F14"/>
    <w:rsid w:val="008A3353"/>
    <w:rsid w:val="008A685F"/>
    <w:rsid w:val="008B4D54"/>
    <w:rsid w:val="008B7A0C"/>
    <w:rsid w:val="008E6DEF"/>
    <w:rsid w:val="008F5A22"/>
    <w:rsid w:val="00905B0C"/>
    <w:rsid w:val="00907435"/>
    <w:rsid w:val="0091163E"/>
    <w:rsid w:val="00935284"/>
    <w:rsid w:val="009361C3"/>
    <w:rsid w:val="0096411F"/>
    <w:rsid w:val="009663B6"/>
    <w:rsid w:val="0097099E"/>
    <w:rsid w:val="00981955"/>
    <w:rsid w:val="00982461"/>
    <w:rsid w:val="009962A4"/>
    <w:rsid w:val="00997DBB"/>
    <w:rsid w:val="009A5D16"/>
    <w:rsid w:val="009B0904"/>
    <w:rsid w:val="009B223B"/>
    <w:rsid w:val="009D1CEF"/>
    <w:rsid w:val="009D3BFC"/>
    <w:rsid w:val="009E3DB8"/>
    <w:rsid w:val="009E4318"/>
    <w:rsid w:val="009F701B"/>
    <w:rsid w:val="00A04E17"/>
    <w:rsid w:val="00A122DA"/>
    <w:rsid w:val="00A322EB"/>
    <w:rsid w:val="00A332F9"/>
    <w:rsid w:val="00A36B18"/>
    <w:rsid w:val="00A3726F"/>
    <w:rsid w:val="00A37942"/>
    <w:rsid w:val="00A40F8E"/>
    <w:rsid w:val="00A43127"/>
    <w:rsid w:val="00A43167"/>
    <w:rsid w:val="00A436BB"/>
    <w:rsid w:val="00A47A09"/>
    <w:rsid w:val="00A53534"/>
    <w:rsid w:val="00A57EC6"/>
    <w:rsid w:val="00A6213E"/>
    <w:rsid w:val="00A72014"/>
    <w:rsid w:val="00A8159A"/>
    <w:rsid w:val="00A84EFA"/>
    <w:rsid w:val="00A90002"/>
    <w:rsid w:val="00A95BB7"/>
    <w:rsid w:val="00AA1CCB"/>
    <w:rsid w:val="00AA54D9"/>
    <w:rsid w:val="00AC146F"/>
    <w:rsid w:val="00AD0502"/>
    <w:rsid w:val="00AD0CDF"/>
    <w:rsid w:val="00AD0D67"/>
    <w:rsid w:val="00AF02B6"/>
    <w:rsid w:val="00AF2B92"/>
    <w:rsid w:val="00AF7FD6"/>
    <w:rsid w:val="00B0145D"/>
    <w:rsid w:val="00B074BD"/>
    <w:rsid w:val="00B12596"/>
    <w:rsid w:val="00B40A81"/>
    <w:rsid w:val="00B437C8"/>
    <w:rsid w:val="00B43C0F"/>
    <w:rsid w:val="00B4511E"/>
    <w:rsid w:val="00B4768B"/>
    <w:rsid w:val="00B47775"/>
    <w:rsid w:val="00B52BA6"/>
    <w:rsid w:val="00B56CDC"/>
    <w:rsid w:val="00B65EFA"/>
    <w:rsid w:val="00B65F30"/>
    <w:rsid w:val="00B705B3"/>
    <w:rsid w:val="00B71D3A"/>
    <w:rsid w:val="00B71E7C"/>
    <w:rsid w:val="00B76551"/>
    <w:rsid w:val="00B84929"/>
    <w:rsid w:val="00B961F3"/>
    <w:rsid w:val="00B9658E"/>
    <w:rsid w:val="00BA5464"/>
    <w:rsid w:val="00BB028D"/>
    <w:rsid w:val="00BB237D"/>
    <w:rsid w:val="00BB271A"/>
    <w:rsid w:val="00BB4A08"/>
    <w:rsid w:val="00BD07BA"/>
    <w:rsid w:val="00BD357C"/>
    <w:rsid w:val="00BD6973"/>
    <w:rsid w:val="00BF6128"/>
    <w:rsid w:val="00C029AC"/>
    <w:rsid w:val="00C17981"/>
    <w:rsid w:val="00C22F15"/>
    <w:rsid w:val="00C22F42"/>
    <w:rsid w:val="00C23166"/>
    <w:rsid w:val="00C234B4"/>
    <w:rsid w:val="00C343AE"/>
    <w:rsid w:val="00C43EA6"/>
    <w:rsid w:val="00C443BA"/>
    <w:rsid w:val="00C51396"/>
    <w:rsid w:val="00C51930"/>
    <w:rsid w:val="00C52643"/>
    <w:rsid w:val="00C533AA"/>
    <w:rsid w:val="00C6544A"/>
    <w:rsid w:val="00C65D64"/>
    <w:rsid w:val="00C72956"/>
    <w:rsid w:val="00C73DE0"/>
    <w:rsid w:val="00C75BFB"/>
    <w:rsid w:val="00C8005D"/>
    <w:rsid w:val="00C97A35"/>
    <w:rsid w:val="00CA48CC"/>
    <w:rsid w:val="00CA5E5B"/>
    <w:rsid w:val="00CD28C3"/>
    <w:rsid w:val="00CD4E51"/>
    <w:rsid w:val="00CE1288"/>
    <w:rsid w:val="00CE3569"/>
    <w:rsid w:val="00CE375E"/>
    <w:rsid w:val="00CE4010"/>
    <w:rsid w:val="00CE4D7F"/>
    <w:rsid w:val="00CF10FD"/>
    <w:rsid w:val="00CF250B"/>
    <w:rsid w:val="00D15130"/>
    <w:rsid w:val="00D1679A"/>
    <w:rsid w:val="00D35C5C"/>
    <w:rsid w:val="00D36049"/>
    <w:rsid w:val="00D54220"/>
    <w:rsid w:val="00D57CDF"/>
    <w:rsid w:val="00D658D1"/>
    <w:rsid w:val="00D72885"/>
    <w:rsid w:val="00D72D2F"/>
    <w:rsid w:val="00D76EA7"/>
    <w:rsid w:val="00D842DB"/>
    <w:rsid w:val="00D91DC8"/>
    <w:rsid w:val="00D92939"/>
    <w:rsid w:val="00DA76B5"/>
    <w:rsid w:val="00DB3601"/>
    <w:rsid w:val="00DD646D"/>
    <w:rsid w:val="00DD6E3A"/>
    <w:rsid w:val="00DE1E6C"/>
    <w:rsid w:val="00DE3803"/>
    <w:rsid w:val="00DE5F32"/>
    <w:rsid w:val="00DE7C73"/>
    <w:rsid w:val="00DF5B00"/>
    <w:rsid w:val="00E2541B"/>
    <w:rsid w:val="00E25517"/>
    <w:rsid w:val="00E25D85"/>
    <w:rsid w:val="00E27197"/>
    <w:rsid w:val="00E345B1"/>
    <w:rsid w:val="00E36F6C"/>
    <w:rsid w:val="00E41E4E"/>
    <w:rsid w:val="00E61416"/>
    <w:rsid w:val="00E7529E"/>
    <w:rsid w:val="00E77AE9"/>
    <w:rsid w:val="00E812AE"/>
    <w:rsid w:val="00E82BE9"/>
    <w:rsid w:val="00EA48CA"/>
    <w:rsid w:val="00EA70C6"/>
    <w:rsid w:val="00EB47AD"/>
    <w:rsid w:val="00EC25B8"/>
    <w:rsid w:val="00EC455A"/>
    <w:rsid w:val="00EE431A"/>
    <w:rsid w:val="00EE6C0C"/>
    <w:rsid w:val="00EF519D"/>
    <w:rsid w:val="00F036A4"/>
    <w:rsid w:val="00F067E4"/>
    <w:rsid w:val="00F070CF"/>
    <w:rsid w:val="00F12AD6"/>
    <w:rsid w:val="00F13F0F"/>
    <w:rsid w:val="00F2002B"/>
    <w:rsid w:val="00F222EC"/>
    <w:rsid w:val="00F22C6B"/>
    <w:rsid w:val="00F32670"/>
    <w:rsid w:val="00F41E17"/>
    <w:rsid w:val="00F47321"/>
    <w:rsid w:val="00F66E63"/>
    <w:rsid w:val="00F778E4"/>
    <w:rsid w:val="00F77C28"/>
    <w:rsid w:val="00FA053D"/>
    <w:rsid w:val="00FA5BC7"/>
    <w:rsid w:val="00FA7E93"/>
    <w:rsid w:val="00FB11B3"/>
    <w:rsid w:val="00FB7E98"/>
    <w:rsid w:val="00FD3F7E"/>
    <w:rsid w:val="00FE4D79"/>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0C"/>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679A"/>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CA5E5B"/>
    <w:pPr>
      <w:spacing w:before="100" w:beforeAutospacing="1" w:after="100" w:afterAutospacing="1"/>
    </w:pPr>
    <w:rPr>
      <w:rFonts w:eastAsia="Calibri"/>
      <w:szCs w:val="24"/>
    </w:rPr>
  </w:style>
  <w:style w:type="character" w:styleId="CommentReference">
    <w:name w:val="annotation reference"/>
    <w:basedOn w:val="DefaultParagraphFont"/>
    <w:uiPriority w:val="99"/>
    <w:semiHidden/>
    <w:unhideWhenUsed/>
    <w:rsid w:val="00874988"/>
    <w:rPr>
      <w:sz w:val="16"/>
      <w:szCs w:val="16"/>
    </w:rPr>
  </w:style>
  <w:style w:type="paragraph" w:styleId="CommentText">
    <w:name w:val="annotation text"/>
    <w:basedOn w:val="Normal"/>
    <w:link w:val="CommentTextChar"/>
    <w:uiPriority w:val="99"/>
    <w:semiHidden/>
    <w:unhideWhenUsed/>
    <w:rsid w:val="00874988"/>
    <w:rPr>
      <w:sz w:val="20"/>
    </w:rPr>
  </w:style>
  <w:style w:type="character" w:customStyle="1" w:styleId="CommentTextChar">
    <w:name w:val="Comment Text Char"/>
    <w:basedOn w:val="DefaultParagraphFont"/>
    <w:link w:val="CommentText"/>
    <w:uiPriority w:val="99"/>
    <w:semiHidden/>
    <w:rsid w:val="00874988"/>
  </w:style>
  <w:style w:type="paragraph" w:styleId="CommentSubject">
    <w:name w:val="annotation subject"/>
    <w:basedOn w:val="CommentText"/>
    <w:next w:val="CommentText"/>
    <w:link w:val="CommentSubjectChar"/>
    <w:uiPriority w:val="99"/>
    <w:semiHidden/>
    <w:unhideWhenUsed/>
    <w:rsid w:val="00874988"/>
    <w:rPr>
      <w:b/>
      <w:bCs/>
    </w:rPr>
  </w:style>
  <w:style w:type="character" w:customStyle="1" w:styleId="CommentSubjectChar">
    <w:name w:val="Comment Subject Char"/>
    <w:basedOn w:val="CommentTextChar"/>
    <w:link w:val="CommentSubject"/>
    <w:uiPriority w:val="99"/>
    <w:semiHidden/>
    <w:rsid w:val="008749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0C"/>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679A"/>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CA5E5B"/>
    <w:pPr>
      <w:spacing w:before="100" w:beforeAutospacing="1" w:after="100" w:afterAutospacing="1"/>
    </w:pPr>
    <w:rPr>
      <w:rFonts w:eastAsia="Calibri"/>
      <w:szCs w:val="24"/>
    </w:rPr>
  </w:style>
  <w:style w:type="character" w:styleId="CommentReference">
    <w:name w:val="annotation reference"/>
    <w:basedOn w:val="DefaultParagraphFont"/>
    <w:uiPriority w:val="99"/>
    <w:semiHidden/>
    <w:unhideWhenUsed/>
    <w:rsid w:val="00874988"/>
    <w:rPr>
      <w:sz w:val="16"/>
      <w:szCs w:val="16"/>
    </w:rPr>
  </w:style>
  <w:style w:type="paragraph" w:styleId="CommentText">
    <w:name w:val="annotation text"/>
    <w:basedOn w:val="Normal"/>
    <w:link w:val="CommentTextChar"/>
    <w:uiPriority w:val="99"/>
    <w:semiHidden/>
    <w:unhideWhenUsed/>
    <w:rsid w:val="00874988"/>
    <w:rPr>
      <w:sz w:val="20"/>
    </w:rPr>
  </w:style>
  <w:style w:type="character" w:customStyle="1" w:styleId="CommentTextChar">
    <w:name w:val="Comment Text Char"/>
    <w:basedOn w:val="DefaultParagraphFont"/>
    <w:link w:val="CommentText"/>
    <w:uiPriority w:val="99"/>
    <w:semiHidden/>
    <w:rsid w:val="00874988"/>
  </w:style>
  <w:style w:type="paragraph" w:styleId="CommentSubject">
    <w:name w:val="annotation subject"/>
    <w:basedOn w:val="CommentText"/>
    <w:next w:val="CommentText"/>
    <w:link w:val="CommentSubjectChar"/>
    <w:uiPriority w:val="99"/>
    <w:semiHidden/>
    <w:unhideWhenUsed/>
    <w:rsid w:val="00874988"/>
    <w:rPr>
      <w:b/>
      <w:bCs/>
    </w:rPr>
  </w:style>
  <w:style w:type="character" w:customStyle="1" w:styleId="CommentSubjectChar">
    <w:name w:val="Comment Subject Char"/>
    <w:basedOn w:val="CommentTextChar"/>
    <w:link w:val="CommentSubject"/>
    <w:uiPriority w:val="99"/>
    <w:semiHidden/>
    <w:rsid w:val="00874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195">
      <w:bodyDiv w:val="1"/>
      <w:marLeft w:val="0"/>
      <w:marRight w:val="0"/>
      <w:marTop w:val="0"/>
      <w:marBottom w:val="0"/>
      <w:divBdr>
        <w:top w:val="none" w:sz="0" w:space="0" w:color="auto"/>
        <w:left w:val="none" w:sz="0" w:space="0" w:color="auto"/>
        <w:bottom w:val="none" w:sz="0" w:space="0" w:color="auto"/>
        <w:right w:val="none" w:sz="0" w:space="0" w:color="auto"/>
      </w:divBdr>
    </w:div>
    <w:div w:id="138888276">
      <w:bodyDiv w:val="1"/>
      <w:marLeft w:val="0"/>
      <w:marRight w:val="0"/>
      <w:marTop w:val="0"/>
      <w:marBottom w:val="0"/>
      <w:divBdr>
        <w:top w:val="none" w:sz="0" w:space="0" w:color="auto"/>
        <w:left w:val="none" w:sz="0" w:space="0" w:color="auto"/>
        <w:bottom w:val="none" w:sz="0" w:space="0" w:color="auto"/>
        <w:right w:val="none" w:sz="0" w:space="0" w:color="auto"/>
      </w:divBdr>
    </w:div>
    <w:div w:id="159203626">
      <w:bodyDiv w:val="1"/>
      <w:marLeft w:val="0"/>
      <w:marRight w:val="0"/>
      <w:marTop w:val="0"/>
      <w:marBottom w:val="0"/>
      <w:divBdr>
        <w:top w:val="none" w:sz="0" w:space="0" w:color="auto"/>
        <w:left w:val="none" w:sz="0" w:space="0" w:color="auto"/>
        <w:bottom w:val="none" w:sz="0" w:space="0" w:color="auto"/>
        <w:right w:val="none" w:sz="0" w:space="0" w:color="auto"/>
      </w:divBdr>
    </w:div>
    <w:div w:id="167986271">
      <w:bodyDiv w:val="1"/>
      <w:marLeft w:val="0"/>
      <w:marRight w:val="0"/>
      <w:marTop w:val="0"/>
      <w:marBottom w:val="0"/>
      <w:divBdr>
        <w:top w:val="none" w:sz="0" w:space="0" w:color="auto"/>
        <w:left w:val="none" w:sz="0" w:space="0" w:color="auto"/>
        <w:bottom w:val="none" w:sz="0" w:space="0" w:color="auto"/>
        <w:right w:val="none" w:sz="0" w:space="0" w:color="auto"/>
      </w:divBdr>
    </w:div>
    <w:div w:id="201943978">
      <w:bodyDiv w:val="1"/>
      <w:marLeft w:val="0"/>
      <w:marRight w:val="0"/>
      <w:marTop w:val="0"/>
      <w:marBottom w:val="0"/>
      <w:divBdr>
        <w:top w:val="none" w:sz="0" w:space="0" w:color="auto"/>
        <w:left w:val="none" w:sz="0" w:space="0" w:color="auto"/>
        <w:bottom w:val="none" w:sz="0" w:space="0" w:color="auto"/>
        <w:right w:val="none" w:sz="0" w:space="0" w:color="auto"/>
      </w:divBdr>
    </w:div>
    <w:div w:id="202905148">
      <w:bodyDiv w:val="1"/>
      <w:marLeft w:val="0"/>
      <w:marRight w:val="0"/>
      <w:marTop w:val="0"/>
      <w:marBottom w:val="0"/>
      <w:divBdr>
        <w:top w:val="none" w:sz="0" w:space="0" w:color="auto"/>
        <w:left w:val="none" w:sz="0" w:space="0" w:color="auto"/>
        <w:bottom w:val="none" w:sz="0" w:space="0" w:color="auto"/>
        <w:right w:val="none" w:sz="0" w:space="0" w:color="auto"/>
      </w:divBdr>
    </w:div>
    <w:div w:id="231086354">
      <w:bodyDiv w:val="1"/>
      <w:marLeft w:val="0"/>
      <w:marRight w:val="0"/>
      <w:marTop w:val="0"/>
      <w:marBottom w:val="0"/>
      <w:divBdr>
        <w:top w:val="none" w:sz="0" w:space="0" w:color="auto"/>
        <w:left w:val="none" w:sz="0" w:space="0" w:color="auto"/>
        <w:bottom w:val="none" w:sz="0" w:space="0" w:color="auto"/>
        <w:right w:val="none" w:sz="0" w:space="0" w:color="auto"/>
      </w:divBdr>
    </w:div>
    <w:div w:id="263348074">
      <w:bodyDiv w:val="1"/>
      <w:marLeft w:val="0"/>
      <w:marRight w:val="0"/>
      <w:marTop w:val="0"/>
      <w:marBottom w:val="0"/>
      <w:divBdr>
        <w:top w:val="none" w:sz="0" w:space="0" w:color="auto"/>
        <w:left w:val="none" w:sz="0" w:space="0" w:color="auto"/>
        <w:bottom w:val="none" w:sz="0" w:space="0" w:color="auto"/>
        <w:right w:val="none" w:sz="0" w:space="0" w:color="auto"/>
      </w:divBdr>
    </w:div>
    <w:div w:id="282925118">
      <w:bodyDiv w:val="1"/>
      <w:marLeft w:val="0"/>
      <w:marRight w:val="0"/>
      <w:marTop w:val="0"/>
      <w:marBottom w:val="0"/>
      <w:divBdr>
        <w:top w:val="none" w:sz="0" w:space="0" w:color="auto"/>
        <w:left w:val="none" w:sz="0" w:space="0" w:color="auto"/>
        <w:bottom w:val="none" w:sz="0" w:space="0" w:color="auto"/>
        <w:right w:val="none" w:sz="0" w:space="0" w:color="auto"/>
      </w:divBdr>
    </w:div>
    <w:div w:id="284820748">
      <w:bodyDiv w:val="1"/>
      <w:marLeft w:val="0"/>
      <w:marRight w:val="0"/>
      <w:marTop w:val="0"/>
      <w:marBottom w:val="0"/>
      <w:divBdr>
        <w:top w:val="none" w:sz="0" w:space="0" w:color="auto"/>
        <w:left w:val="none" w:sz="0" w:space="0" w:color="auto"/>
        <w:bottom w:val="none" w:sz="0" w:space="0" w:color="auto"/>
        <w:right w:val="none" w:sz="0" w:space="0" w:color="auto"/>
      </w:divBdr>
    </w:div>
    <w:div w:id="298073383">
      <w:bodyDiv w:val="1"/>
      <w:marLeft w:val="0"/>
      <w:marRight w:val="0"/>
      <w:marTop w:val="0"/>
      <w:marBottom w:val="0"/>
      <w:divBdr>
        <w:top w:val="none" w:sz="0" w:space="0" w:color="auto"/>
        <w:left w:val="none" w:sz="0" w:space="0" w:color="auto"/>
        <w:bottom w:val="none" w:sz="0" w:space="0" w:color="auto"/>
        <w:right w:val="none" w:sz="0" w:space="0" w:color="auto"/>
      </w:divBdr>
    </w:div>
    <w:div w:id="389503959">
      <w:bodyDiv w:val="1"/>
      <w:marLeft w:val="0"/>
      <w:marRight w:val="0"/>
      <w:marTop w:val="0"/>
      <w:marBottom w:val="0"/>
      <w:divBdr>
        <w:top w:val="none" w:sz="0" w:space="0" w:color="auto"/>
        <w:left w:val="none" w:sz="0" w:space="0" w:color="auto"/>
        <w:bottom w:val="none" w:sz="0" w:space="0" w:color="auto"/>
        <w:right w:val="none" w:sz="0" w:space="0" w:color="auto"/>
      </w:divBdr>
    </w:div>
    <w:div w:id="400713386">
      <w:bodyDiv w:val="1"/>
      <w:marLeft w:val="0"/>
      <w:marRight w:val="0"/>
      <w:marTop w:val="0"/>
      <w:marBottom w:val="0"/>
      <w:divBdr>
        <w:top w:val="none" w:sz="0" w:space="0" w:color="auto"/>
        <w:left w:val="none" w:sz="0" w:space="0" w:color="auto"/>
        <w:bottom w:val="none" w:sz="0" w:space="0" w:color="auto"/>
        <w:right w:val="none" w:sz="0" w:space="0" w:color="auto"/>
      </w:divBdr>
    </w:div>
    <w:div w:id="428551397">
      <w:bodyDiv w:val="1"/>
      <w:marLeft w:val="0"/>
      <w:marRight w:val="0"/>
      <w:marTop w:val="0"/>
      <w:marBottom w:val="0"/>
      <w:divBdr>
        <w:top w:val="none" w:sz="0" w:space="0" w:color="auto"/>
        <w:left w:val="none" w:sz="0" w:space="0" w:color="auto"/>
        <w:bottom w:val="none" w:sz="0" w:space="0" w:color="auto"/>
        <w:right w:val="none" w:sz="0" w:space="0" w:color="auto"/>
      </w:divBdr>
    </w:div>
    <w:div w:id="442581055">
      <w:bodyDiv w:val="1"/>
      <w:marLeft w:val="0"/>
      <w:marRight w:val="0"/>
      <w:marTop w:val="0"/>
      <w:marBottom w:val="0"/>
      <w:divBdr>
        <w:top w:val="none" w:sz="0" w:space="0" w:color="auto"/>
        <w:left w:val="none" w:sz="0" w:space="0" w:color="auto"/>
        <w:bottom w:val="none" w:sz="0" w:space="0" w:color="auto"/>
        <w:right w:val="none" w:sz="0" w:space="0" w:color="auto"/>
      </w:divBdr>
    </w:div>
    <w:div w:id="482163713">
      <w:bodyDiv w:val="1"/>
      <w:marLeft w:val="0"/>
      <w:marRight w:val="0"/>
      <w:marTop w:val="0"/>
      <w:marBottom w:val="0"/>
      <w:divBdr>
        <w:top w:val="none" w:sz="0" w:space="0" w:color="auto"/>
        <w:left w:val="none" w:sz="0" w:space="0" w:color="auto"/>
        <w:bottom w:val="none" w:sz="0" w:space="0" w:color="auto"/>
        <w:right w:val="none" w:sz="0" w:space="0" w:color="auto"/>
      </w:divBdr>
    </w:div>
    <w:div w:id="487212207">
      <w:bodyDiv w:val="1"/>
      <w:marLeft w:val="0"/>
      <w:marRight w:val="0"/>
      <w:marTop w:val="0"/>
      <w:marBottom w:val="0"/>
      <w:divBdr>
        <w:top w:val="none" w:sz="0" w:space="0" w:color="auto"/>
        <w:left w:val="none" w:sz="0" w:space="0" w:color="auto"/>
        <w:bottom w:val="none" w:sz="0" w:space="0" w:color="auto"/>
        <w:right w:val="none" w:sz="0" w:space="0" w:color="auto"/>
      </w:divBdr>
    </w:div>
    <w:div w:id="500051774">
      <w:bodyDiv w:val="1"/>
      <w:marLeft w:val="0"/>
      <w:marRight w:val="0"/>
      <w:marTop w:val="0"/>
      <w:marBottom w:val="0"/>
      <w:divBdr>
        <w:top w:val="none" w:sz="0" w:space="0" w:color="auto"/>
        <w:left w:val="none" w:sz="0" w:space="0" w:color="auto"/>
        <w:bottom w:val="none" w:sz="0" w:space="0" w:color="auto"/>
        <w:right w:val="none" w:sz="0" w:space="0" w:color="auto"/>
      </w:divBdr>
    </w:div>
    <w:div w:id="509024157">
      <w:bodyDiv w:val="1"/>
      <w:marLeft w:val="0"/>
      <w:marRight w:val="0"/>
      <w:marTop w:val="0"/>
      <w:marBottom w:val="0"/>
      <w:divBdr>
        <w:top w:val="none" w:sz="0" w:space="0" w:color="auto"/>
        <w:left w:val="none" w:sz="0" w:space="0" w:color="auto"/>
        <w:bottom w:val="none" w:sz="0" w:space="0" w:color="auto"/>
        <w:right w:val="none" w:sz="0" w:space="0" w:color="auto"/>
      </w:divBdr>
    </w:div>
    <w:div w:id="552429831">
      <w:bodyDiv w:val="1"/>
      <w:marLeft w:val="0"/>
      <w:marRight w:val="0"/>
      <w:marTop w:val="0"/>
      <w:marBottom w:val="0"/>
      <w:divBdr>
        <w:top w:val="none" w:sz="0" w:space="0" w:color="auto"/>
        <w:left w:val="none" w:sz="0" w:space="0" w:color="auto"/>
        <w:bottom w:val="none" w:sz="0" w:space="0" w:color="auto"/>
        <w:right w:val="none" w:sz="0" w:space="0" w:color="auto"/>
      </w:divBdr>
    </w:div>
    <w:div w:id="578565495">
      <w:bodyDiv w:val="1"/>
      <w:marLeft w:val="0"/>
      <w:marRight w:val="0"/>
      <w:marTop w:val="0"/>
      <w:marBottom w:val="0"/>
      <w:divBdr>
        <w:top w:val="none" w:sz="0" w:space="0" w:color="auto"/>
        <w:left w:val="none" w:sz="0" w:space="0" w:color="auto"/>
        <w:bottom w:val="none" w:sz="0" w:space="0" w:color="auto"/>
        <w:right w:val="none" w:sz="0" w:space="0" w:color="auto"/>
      </w:divBdr>
    </w:div>
    <w:div w:id="586352200">
      <w:bodyDiv w:val="1"/>
      <w:marLeft w:val="0"/>
      <w:marRight w:val="0"/>
      <w:marTop w:val="0"/>
      <w:marBottom w:val="0"/>
      <w:divBdr>
        <w:top w:val="none" w:sz="0" w:space="0" w:color="auto"/>
        <w:left w:val="none" w:sz="0" w:space="0" w:color="auto"/>
        <w:bottom w:val="none" w:sz="0" w:space="0" w:color="auto"/>
        <w:right w:val="none" w:sz="0" w:space="0" w:color="auto"/>
      </w:divBdr>
    </w:div>
    <w:div w:id="641891343">
      <w:bodyDiv w:val="1"/>
      <w:marLeft w:val="0"/>
      <w:marRight w:val="0"/>
      <w:marTop w:val="0"/>
      <w:marBottom w:val="0"/>
      <w:divBdr>
        <w:top w:val="none" w:sz="0" w:space="0" w:color="auto"/>
        <w:left w:val="none" w:sz="0" w:space="0" w:color="auto"/>
        <w:bottom w:val="none" w:sz="0" w:space="0" w:color="auto"/>
        <w:right w:val="none" w:sz="0" w:space="0" w:color="auto"/>
      </w:divBdr>
    </w:div>
    <w:div w:id="675034500">
      <w:bodyDiv w:val="1"/>
      <w:marLeft w:val="0"/>
      <w:marRight w:val="0"/>
      <w:marTop w:val="0"/>
      <w:marBottom w:val="0"/>
      <w:divBdr>
        <w:top w:val="none" w:sz="0" w:space="0" w:color="auto"/>
        <w:left w:val="none" w:sz="0" w:space="0" w:color="auto"/>
        <w:bottom w:val="none" w:sz="0" w:space="0" w:color="auto"/>
        <w:right w:val="none" w:sz="0" w:space="0" w:color="auto"/>
      </w:divBdr>
    </w:div>
    <w:div w:id="707023867">
      <w:bodyDiv w:val="1"/>
      <w:marLeft w:val="0"/>
      <w:marRight w:val="0"/>
      <w:marTop w:val="0"/>
      <w:marBottom w:val="0"/>
      <w:divBdr>
        <w:top w:val="none" w:sz="0" w:space="0" w:color="auto"/>
        <w:left w:val="none" w:sz="0" w:space="0" w:color="auto"/>
        <w:bottom w:val="none" w:sz="0" w:space="0" w:color="auto"/>
        <w:right w:val="none" w:sz="0" w:space="0" w:color="auto"/>
      </w:divBdr>
    </w:div>
    <w:div w:id="714280137">
      <w:bodyDiv w:val="1"/>
      <w:marLeft w:val="0"/>
      <w:marRight w:val="0"/>
      <w:marTop w:val="0"/>
      <w:marBottom w:val="0"/>
      <w:divBdr>
        <w:top w:val="none" w:sz="0" w:space="0" w:color="auto"/>
        <w:left w:val="none" w:sz="0" w:space="0" w:color="auto"/>
        <w:bottom w:val="none" w:sz="0" w:space="0" w:color="auto"/>
        <w:right w:val="none" w:sz="0" w:space="0" w:color="auto"/>
      </w:divBdr>
    </w:div>
    <w:div w:id="736629043">
      <w:bodyDiv w:val="1"/>
      <w:marLeft w:val="0"/>
      <w:marRight w:val="0"/>
      <w:marTop w:val="0"/>
      <w:marBottom w:val="0"/>
      <w:divBdr>
        <w:top w:val="none" w:sz="0" w:space="0" w:color="auto"/>
        <w:left w:val="none" w:sz="0" w:space="0" w:color="auto"/>
        <w:bottom w:val="none" w:sz="0" w:space="0" w:color="auto"/>
        <w:right w:val="none" w:sz="0" w:space="0" w:color="auto"/>
      </w:divBdr>
    </w:div>
    <w:div w:id="761296691">
      <w:bodyDiv w:val="1"/>
      <w:marLeft w:val="0"/>
      <w:marRight w:val="0"/>
      <w:marTop w:val="0"/>
      <w:marBottom w:val="0"/>
      <w:divBdr>
        <w:top w:val="none" w:sz="0" w:space="0" w:color="auto"/>
        <w:left w:val="none" w:sz="0" w:space="0" w:color="auto"/>
        <w:bottom w:val="none" w:sz="0" w:space="0" w:color="auto"/>
        <w:right w:val="none" w:sz="0" w:space="0" w:color="auto"/>
      </w:divBdr>
    </w:div>
    <w:div w:id="764113712">
      <w:bodyDiv w:val="1"/>
      <w:marLeft w:val="0"/>
      <w:marRight w:val="0"/>
      <w:marTop w:val="0"/>
      <w:marBottom w:val="0"/>
      <w:divBdr>
        <w:top w:val="none" w:sz="0" w:space="0" w:color="auto"/>
        <w:left w:val="none" w:sz="0" w:space="0" w:color="auto"/>
        <w:bottom w:val="none" w:sz="0" w:space="0" w:color="auto"/>
        <w:right w:val="none" w:sz="0" w:space="0" w:color="auto"/>
      </w:divBdr>
    </w:div>
    <w:div w:id="766120305">
      <w:bodyDiv w:val="1"/>
      <w:marLeft w:val="0"/>
      <w:marRight w:val="0"/>
      <w:marTop w:val="0"/>
      <w:marBottom w:val="0"/>
      <w:divBdr>
        <w:top w:val="none" w:sz="0" w:space="0" w:color="auto"/>
        <w:left w:val="none" w:sz="0" w:space="0" w:color="auto"/>
        <w:bottom w:val="none" w:sz="0" w:space="0" w:color="auto"/>
        <w:right w:val="none" w:sz="0" w:space="0" w:color="auto"/>
      </w:divBdr>
    </w:div>
    <w:div w:id="782461193">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07094713">
      <w:bodyDiv w:val="1"/>
      <w:marLeft w:val="0"/>
      <w:marRight w:val="0"/>
      <w:marTop w:val="0"/>
      <w:marBottom w:val="0"/>
      <w:divBdr>
        <w:top w:val="none" w:sz="0" w:space="0" w:color="auto"/>
        <w:left w:val="none" w:sz="0" w:space="0" w:color="auto"/>
        <w:bottom w:val="none" w:sz="0" w:space="0" w:color="auto"/>
        <w:right w:val="none" w:sz="0" w:space="0" w:color="auto"/>
      </w:divBdr>
    </w:div>
    <w:div w:id="807238523">
      <w:bodyDiv w:val="1"/>
      <w:marLeft w:val="0"/>
      <w:marRight w:val="0"/>
      <w:marTop w:val="0"/>
      <w:marBottom w:val="0"/>
      <w:divBdr>
        <w:top w:val="none" w:sz="0" w:space="0" w:color="auto"/>
        <w:left w:val="none" w:sz="0" w:space="0" w:color="auto"/>
        <w:bottom w:val="none" w:sz="0" w:space="0" w:color="auto"/>
        <w:right w:val="none" w:sz="0" w:space="0" w:color="auto"/>
      </w:divBdr>
    </w:div>
    <w:div w:id="864095465">
      <w:bodyDiv w:val="1"/>
      <w:marLeft w:val="0"/>
      <w:marRight w:val="0"/>
      <w:marTop w:val="0"/>
      <w:marBottom w:val="0"/>
      <w:divBdr>
        <w:top w:val="none" w:sz="0" w:space="0" w:color="auto"/>
        <w:left w:val="none" w:sz="0" w:space="0" w:color="auto"/>
        <w:bottom w:val="none" w:sz="0" w:space="0" w:color="auto"/>
        <w:right w:val="none" w:sz="0" w:space="0" w:color="auto"/>
      </w:divBdr>
    </w:div>
    <w:div w:id="883712576">
      <w:bodyDiv w:val="1"/>
      <w:marLeft w:val="0"/>
      <w:marRight w:val="0"/>
      <w:marTop w:val="0"/>
      <w:marBottom w:val="0"/>
      <w:divBdr>
        <w:top w:val="none" w:sz="0" w:space="0" w:color="auto"/>
        <w:left w:val="none" w:sz="0" w:space="0" w:color="auto"/>
        <w:bottom w:val="none" w:sz="0" w:space="0" w:color="auto"/>
        <w:right w:val="none" w:sz="0" w:space="0" w:color="auto"/>
      </w:divBdr>
    </w:div>
    <w:div w:id="918978295">
      <w:bodyDiv w:val="1"/>
      <w:marLeft w:val="0"/>
      <w:marRight w:val="0"/>
      <w:marTop w:val="0"/>
      <w:marBottom w:val="0"/>
      <w:divBdr>
        <w:top w:val="none" w:sz="0" w:space="0" w:color="auto"/>
        <w:left w:val="none" w:sz="0" w:space="0" w:color="auto"/>
        <w:bottom w:val="none" w:sz="0" w:space="0" w:color="auto"/>
        <w:right w:val="none" w:sz="0" w:space="0" w:color="auto"/>
      </w:divBdr>
    </w:div>
    <w:div w:id="923345867">
      <w:bodyDiv w:val="1"/>
      <w:marLeft w:val="0"/>
      <w:marRight w:val="0"/>
      <w:marTop w:val="0"/>
      <w:marBottom w:val="0"/>
      <w:divBdr>
        <w:top w:val="none" w:sz="0" w:space="0" w:color="auto"/>
        <w:left w:val="none" w:sz="0" w:space="0" w:color="auto"/>
        <w:bottom w:val="none" w:sz="0" w:space="0" w:color="auto"/>
        <w:right w:val="none" w:sz="0" w:space="0" w:color="auto"/>
      </w:divBdr>
    </w:div>
    <w:div w:id="943076195">
      <w:bodyDiv w:val="1"/>
      <w:marLeft w:val="0"/>
      <w:marRight w:val="0"/>
      <w:marTop w:val="0"/>
      <w:marBottom w:val="0"/>
      <w:divBdr>
        <w:top w:val="none" w:sz="0" w:space="0" w:color="auto"/>
        <w:left w:val="none" w:sz="0" w:space="0" w:color="auto"/>
        <w:bottom w:val="none" w:sz="0" w:space="0" w:color="auto"/>
        <w:right w:val="none" w:sz="0" w:space="0" w:color="auto"/>
      </w:divBdr>
    </w:div>
    <w:div w:id="950169828">
      <w:bodyDiv w:val="1"/>
      <w:marLeft w:val="0"/>
      <w:marRight w:val="0"/>
      <w:marTop w:val="0"/>
      <w:marBottom w:val="0"/>
      <w:divBdr>
        <w:top w:val="none" w:sz="0" w:space="0" w:color="auto"/>
        <w:left w:val="none" w:sz="0" w:space="0" w:color="auto"/>
        <w:bottom w:val="none" w:sz="0" w:space="0" w:color="auto"/>
        <w:right w:val="none" w:sz="0" w:space="0" w:color="auto"/>
      </w:divBdr>
    </w:div>
    <w:div w:id="967510151">
      <w:bodyDiv w:val="1"/>
      <w:marLeft w:val="0"/>
      <w:marRight w:val="0"/>
      <w:marTop w:val="0"/>
      <w:marBottom w:val="0"/>
      <w:divBdr>
        <w:top w:val="none" w:sz="0" w:space="0" w:color="auto"/>
        <w:left w:val="none" w:sz="0" w:space="0" w:color="auto"/>
        <w:bottom w:val="none" w:sz="0" w:space="0" w:color="auto"/>
        <w:right w:val="none" w:sz="0" w:space="0" w:color="auto"/>
      </w:divBdr>
    </w:div>
    <w:div w:id="979647480">
      <w:bodyDiv w:val="1"/>
      <w:marLeft w:val="0"/>
      <w:marRight w:val="0"/>
      <w:marTop w:val="0"/>
      <w:marBottom w:val="0"/>
      <w:divBdr>
        <w:top w:val="none" w:sz="0" w:space="0" w:color="auto"/>
        <w:left w:val="none" w:sz="0" w:space="0" w:color="auto"/>
        <w:bottom w:val="none" w:sz="0" w:space="0" w:color="auto"/>
        <w:right w:val="none" w:sz="0" w:space="0" w:color="auto"/>
      </w:divBdr>
    </w:div>
    <w:div w:id="1005786341">
      <w:bodyDiv w:val="1"/>
      <w:marLeft w:val="0"/>
      <w:marRight w:val="0"/>
      <w:marTop w:val="0"/>
      <w:marBottom w:val="0"/>
      <w:divBdr>
        <w:top w:val="none" w:sz="0" w:space="0" w:color="auto"/>
        <w:left w:val="none" w:sz="0" w:space="0" w:color="auto"/>
        <w:bottom w:val="none" w:sz="0" w:space="0" w:color="auto"/>
        <w:right w:val="none" w:sz="0" w:space="0" w:color="auto"/>
      </w:divBdr>
    </w:div>
    <w:div w:id="1030493468">
      <w:bodyDiv w:val="1"/>
      <w:marLeft w:val="0"/>
      <w:marRight w:val="0"/>
      <w:marTop w:val="0"/>
      <w:marBottom w:val="0"/>
      <w:divBdr>
        <w:top w:val="none" w:sz="0" w:space="0" w:color="auto"/>
        <w:left w:val="none" w:sz="0" w:space="0" w:color="auto"/>
        <w:bottom w:val="none" w:sz="0" w:space="0" w:color="auto"/>
        <w:right w:val="none" w:sz="0" w:space="0" w:color="auto"/>
      </w:divBdr>
    </w:div>
    <w:div w:id="1046221852">
      <w:bodyDiv w:val="1"/>
      <w:marLeft w:val="0"/>
      <w:marRight w:val="0"/>
      <w:marTop w:val="0"/>
      <w:marBottom w:val="0"/>
      <w:divBdr>
        <w:top w:val="none" w:sz="0" w:space="0" w:color="auto"/>
        <w:left w:val="none" w:sz="0" w:space="0" w:color="auto"/>
        <w:bottom w:val="none" w:sz="0" w:space="0" w:color="auto"/>
        <w:right w:val="none" w:sz="0" w:space="0" w:color="auto"/>
      </w:divBdr>
    </w:div>
    <w:div w:id="1070229875">
      <w:bodyDiv w:val="1"/>
      <w:marLeft w:val="0"/>
      <w:marRight w:val="0"/>
      <w:marTop w:val="0"/>
      <w:marBottom w:val="0"/>
      <w:divBdr>
        <w:top w:val="none" w:sz="0" w:space="0" w:color="auto"/>
        <w:left w:val="none" w:sz="0" w:space="0" w:color="auto"/>
        <w:bottom w:val="none" w:sz="0" w:space="0" w:color="auto"/>
        <w:right w:val="none" w:sz="0" w:space="0" w:color="auto"/>
      </w:divBdr>
    </w:div>
    <w:div w:id="1101218852">
      <w:bodyDiv w:val="1"/>
      <w:marLeft w:val="0"/>
      <w:marRight w:val="0"/>
      <w:marTop w:val="0"/>
      <w:marBottom w:val="0"/>
      <w:divBdr>
        <w:top w:val="none" w:sz="0" w:space="0" w:color="auto"/>
        <w:left w:val="none" w:sz="0" w:space="0" w:color="auto"/>
        <w:bottom w:val="none" w:sz="0" w:space="0" w:color="auto"/>
        <w:right w:val="none" w:sz="0" w:space="0" w:color="auto"/>
      </w:divBdr>
    </w:div>
    <w:div w:id="1130199687">
      <w:bodyDiv w:val="1"/>
      <w:marLeft w:val="0"/>
      <w:marRight w:val="0"/>
      <w:marTop w:val="0"/>
      <w:marBottom w:val="0"/>
      <w:divBdr>
        <w:top w:val="none" w:sz="0" w:space="0" w:color="auto"/>
        <w:left w:val="none" w:sz="0" w:space="0" w:color="auto"/>
        <w:bottom w:val="none" w:sz="0" w:space="0" w:color="auto"/>
        <w:right w:val="none" w:sz="0" w:space="0" w:color="auto"/>
      </w:divBdr>
    </w:div>
    <w:div w:id="1154642365">
      <w:bodyDiv w:val="1"/>
      <w:marLeft w:val="0"/>
      <w:marRight w:val="0"/>
      <w:marTop w:val="0"/>
      <w:marBottom w:val="0"/>
      <w:divBdr>
        <w:top w:val="none" w:sz="0" w:space="0" w:color="auto"/>
        <w:left w:val="none" w:sz="0" w:space="0" w:color="auto"/>
        <w:bottom w:val="none" w:sz="0" w:space="0" w:color="auto"/>
        <w:right w:val="none" w:sz="0" w:space="0" w:color="auto"/>
      </w:divBdr>
    </w:div>
    <w:div w:id="1162501373">
      <w:bodyDiv w:val="1"/>
      <w:marLeft w:val="0"/>
      <w:marRight w:val="0"/>
      <w:marTop w:val="0"/>
      <w:marBottom w:val="0"/>
      <w:divBdr>
        <w:top w:val="none" w:sz="0" w:space="0" w:color="auto"/>
        <w:left w:val="none" w:sz="0" w:space="0" w:color="auto"/>
        <w:bottom w:val="none" w:sz="0" w:space="0" w:color="auto"/>
        <w:right w:val="none" w:sz="0" w:space="0" w:color="auto"/>
      </w:divBdr>
    </w:div>
    <w:div w:id="1190609557">
      <w:bodyDiv w:val="1"/>
      <w:marLeft w:val="0"/>
      <w:marRight w:val="0"/>
      <w:marTop w:val="0"/>
      <w:marBottom w:val="0"/>
      <w:divBdr>
        <w:top w:val="none" w:sz="0" w:space="0" w:color="auto"/>
        <w:left w:val="none" w:sz="0" w:space="0" w:color="auto"/>
        <w:bottom w:val="none" w:sz="0" w:space="0" w:color="auto"/>
        <w:right w:val="none" w:sz="0" w:space="0" w:color="auto"/>
      </w:divBdr>
    </w:div>
    <w:div w:id="1206941258">
      <w:bodyDiv w:val="1"/>
      <w:marLeft w:val="0"/>
      <w:marRight w:val="0"/>
      <w:marTop w:val="0"/>
      <w:marBottom w:val="0"/>
      <w:divBdr>
        <w:top w:val="none" w:sz="0" w:space="0" w:color="auto"/>
        <w:left w:val="none" w:sz="0" w:space="0" w:color="auto"/>
        <w:bottom w:val="none" w:sz="0" w:space="0" w:color="auto"/>
        <w:right w:val="none" w:sz="0" w:space="0" w:color="auto"/>
      </w:divBdr>
    </w:div>
    <w:div w:id="1232159575">
      <w:bodyDiv w:val="1"/>
      <w:marLeft w:val="0"/>
      <w:marRight w:val="0"/>
      <w:marTop w:val="0"/>
      <w:marBottom w:val="0"/>
      <w:divBdr>
        <w:top w:val="none" w:sz="0" w:space="0" w:color="auto"/>
        <w:left w:val="none" w:sz="0" w:space="0" w:color="auto"/>
        <w:bottom w:val="none" w:sz="0" w:space="0" w:color="auto"/>
        <w:right w:val="none" w:sz="0" w:space="0" w:color="auto"/>
      </w:divBdr>
    </w:div>
    <w:div w:id="1251349403">
      <w:bodyDiv w:val="1"/>
      <w:marLeft w:val="0"/>
      <w:marRight w:val="0"/>
      <w:marTop w:val="0"/>
      <w:marBottom w:val="0"/>
      <w:divBdr>
        <w:top w:val="none" w:sz="0" w:space="0" w:color="auto"/>
        <w:left w:val="none" w:sz="0" w:space="0" w:color="auto"/>
        <w:bottom w:val="none" w:sz="0" w:space="0" w:color="auto"/>
        <w:right w:val="none" w:sz="0" w:space="0" w:color="auto"/>
      </w:divBdr>
    </w:div>
    <w:div w:id="1290428521">
      <w:bodyDiv w:val="1"/>
      <w:marLeft w:val="0"/>
      <w:marRight w:val="0"/>
      <w:marTop w:val="0"/>
      <w:marBottom w:val="0"/>
      <w:divBdr>
        <w:top w:val="none" w:sz="0" w:space="0" w:color="auto"/>
        <w:left w:val="none" w:sz="0" w:space="0" w:color="auto"/>
        <w:bottom w:val="none" w:sz="0" w:space="0" w:color="auto"/>
        <w:right w:val="none" w:sz="0" w:space="0" w:color="auto"/>
      </w:divBdr>
    </w:div>
    <w:div w:id="1298027070">
      <w:bodyDiv w:val="1"/>
      <w:marLeft w:val="0"/>
      <w:marRight w:val="0"/>
      <w:marTop w:val="0"/>
      <w:marBottom w:val="0"/>
      <w:divBdr>
        <w:top w:val="none" w:sz="0" w:space="0" w:color="auto"/>
        <w:left w:val="none" w:sz="0" w:space="0" w:color="auto"/>
        <w:bottom w:val="none" w:sz="0" w:space="0" w:color="auto"/>
        <w:right w:val="none" w:sz="0" w:space="0" w:color="auto"/>
      </w:divBdr>
    </w:div>
    <w:div w:id="1304964254">
      <w:bodyDiv w:val="1"/>
      <w:marLeft w:val="0"/>
      <w:marRight w:val="0"/>
      <w:marTop w:val="0"/>
      <w:marBottom w:val="0"/>
      <w:divBdr>
        <w:top w:val="none" w:sz="0" w:space="0" w:color="auto"/>
        <w:left w:val="none" w:sz="0" w:space="0" w:color="auto"/>
        <w:bottom w:val="none" w:sz="0" w:space="0" w:color="auto"/>
        <w:right w:val="none" w:sz="0" w:space="0" w:color="auto"/>
      </w:divBdr>
    </w:div>
    <w:div w:id="1306423505">
      <w:bodyDiv w:val="1"/>
      <w:marLeft w:val="0"/>
      <w:marRight w:val="0"/>
      <w:marTop w:val="0"/>
      <w:marBottom w:val="0"/>
      <w:divBdr>
        <w:top w:val="none" w:sz="0" w:space="0" w:color="auto"/>
        <w:left w:val="none" w:sz="0" w:space="0" w:color="auto"/>
        <w:bottom w:val="none" w:sz="0" w:space="0" w:color="auto"/>
        <w:right w:val="none" w:sz="0" w:space="0" w:color="auto"/>
      </w:divBdr>
    </w:div>
    <w:div w:id="1322739362">
      <w:bodyDiv w:val="1"/>
      <w:marLeft w:val="0"/>
      <w:marRight w:val="0"/>
      <w:marTop w:val="0"/>
      <w:marBottom w:val="0"/>
      <w:divBdr>
        <w:top w:val="none" w:sz="0" w:space="0" w:color="auto"/>
        <w:left w:val="none" w:sz="0" w:space="0" w:color="auto"/>
        <w:bottom w:val="none" w:sz="0" w:space="0" w:color="auto"/>
        <w:right w:val="none" w:sz="0" w:space="0" w:color="auto"/>
      </w:divBdr>
    </w:div>
    <w:div w:id="1341195795">
      <w:bodyDiv w:val="1"/>
      <w:marLeft w:val="0"/>
      <w:marRight w:val="0"/>
      <w:marTop w:val="0"/>
      <w:marBottom w:val="0"/>
      <w:divBdr>
        <w:top w:val="none" w:sz="0" w:space="0" w:color="auto"/>
        <w:left w:val="none" w:sz="0" w:space="0" w:color="auto"/>
        <w:bottom w:val="none" w:sz="0" w:space="0" w:color="auto"/>
        <w:right w:val="none" w:sz="0" w:space="0" w:color="auto"/>
      </w:divBdr>
    </w:div>
    <w:div w:id="1353142184">
      <w:bodyDiv w:val="1"/>
      <w:marLeft w:val="0"/>
      <w:marRight w:val="0"/>
      <w:marTop w:val="0"/>
      <w:marBottom w:val="0"/>
      <w:divBdr>
        <w:top w:val="none" w:sz="0" w:space="0" w:color="auto"/>
        <w:left w:val="none" w:sz="0" w:space="0" w:color="auto"/>
        <w:bottom w:val="none" w:sz="0" w:space="0" w:color="auto"/>
        <w:right w:val="none" w:sz="0" w:space="0" w:color="auto"/>
      </w:divBdr>
    </w:div>
    <w:div w:id="1364596383">
      <w:bodyDiv w:val="1"/>
      <w:marLeft w:val="0"/>
      <w:marRight w:val="0"/>
      <w:marTop w:val="0"/>
      <w:marBottom w:val="0"/>
      <w:divBdr>
        <w:top w:val="none" w:sz="0" w:space="0" w:color="auto"/>
        <w:left w:val="none" w:sz="0" w:space="0" w:color="auto"/>
        <w:bottom w:val="none" w:sz="0" w:space="0" w:color="auto"/>
        <w:right w:val="none" w:sz="0" w:space="0" w:color="auto"/>
      </w:divBdr>
    </w:div>
    <w:div w:id="1370372115">
      <w:bodyDiv w:val="1"/>
      <w:marLeft w:val="0"/>
      <w:marRight w:val="0"/>
      <w:marTop w:val="0"/>
      <w:marBottom w:val="0"/>
      <w:divBdr>
        <w:top w:val="none" w:sz="0" w:space="0" w:color="auto"/>
        <w:left w:val="none" w:sz="0" w:space="0" w:color="auto"/>
        <w:bottom w:val="none" w:sz="0" w:space="0" w:color="auto"/>
        <w:right w:val="none" w:sz="0" w:space="0" w:color="auto"/>
      </w:divBdr>
    </w:div>
    <w:div w:id="1428424124">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63696571">
      <w:bodyDiv w:val="1"/>
      <w:marLeft w:val="0"/>
      <w:marRight w:val="0"/>
      <w:marTop w:val="0"/>
      <w:marBottom w:val="0"/>
      <w:divBdr>
        <w:top w:val="none" w:sz="0" w:space="0" w:color="auto"/>
        <w:left w:val="none" w:sz="0" w:space="0" w:color="auto"/>
        <w:bottom w:val="none" w:sz="0" w:space="0" w:color="auto"/>
        <w:right w:val="none" w:sz="0" w:space="0" w:color="auto"/>
      </w:divBdr>
    </w:div>
    <w:div w:id="1470827875">
      <w:bodyDiv w:val="1"/>
      <w:marLeft w:val="0"/>
      <w:marRight w:val="0"/>
      <w:marTop w:val="0"/>
      <w:marBottom w:val="0"/>
      <w:divBdr>
        <w:top w:val="none" w:sz="0" w:space="0" w:color="auto"/>
        <w:left w:val="none" w:sz="0" w:space="0" w:color="auto"/>
        <w:bottom w:val="none" w:sz="0" w:space="0" w:color="auto"/>
        <w:right w:val="none" w:sz="0" w:space="0" w:color="auto"/>
      </w:divBdr>
    </w:div>
    <w:div w:id="1472135189">
      <w:bodyDiv w:val="1"/>
      <w:marLeft w:val="0"/>
      <w:marRight w:val="0"/>
      <w:marTop w:val="0"/>
      <w:marBottom w:val="0"/>
      <w:divBdr>
        <w:top w:val="none" w:sz="0" w:space="0" w:color="auto"/>
        <w:left w:val="none" w:sz="0" w:space="0" w:color="auto"/>
        <w:bottom w:val="none" w:sz="0" w:space="0" w:color="auto"/>
        <w:right w:val="none" w:sz="0" w:space="0" w:color="auto"/>
      </w:divBdr>
    </w:div>
    <w:div w:id="1473404444">
      <w:bodyDiv w:val="1"/>
      <w:marLeft w:val="0"/>
      <w:marRight w:val="0"/>
      <w:marTop w:val="0"/>
      <w:marBottom w:val="0"/>
      <w:divBdr>
        <w:top w:val="none" w:sz="0" w:space="0" w:color="auto"/>
        <w:left w:val="none" w:sz="0" w:space="0" w:color="auto"/>
        <w:bottom w:val="none" w:sz="0" w:space="0" w:color="auto"/>
        <w:right w:val="none" w:sz="0" w:space="0" w:color="auto"/>
      </w:divBdr>
    </w:div>
    <w:div w:id="1473450702">
      <w:bodyDiv w:val="1"/>
      <w:marLeft w:val="0"/>
      <w:marRight w:val="0"/>
      <w:marTop w:val="0"/>
      <w:marBottom w:val="0"/>
      <w:divBdr>
        <w:top w:val="none" w:sz="0" w:space="0" w:color="auto"/>
        <w:left w:val="none" w:sz="0" w:space="0" w:color="auto"/>
        <w:bottom w:val="none" w:sz="0" w:space="0" w:color="auto"/>
        <w:right w:val="none" w:sz="0" w:space="0" w:color="auto"/>
      </w:divBdr>
    </w:div>
    <w:div w:id="1495339360">
      <w:bodyDiv w:val="1"/>
      <w:marLeft w:val="0"/>
      <w:marRight w:val="0"/>
      <w:marTop w:val="0"/>
      <w:marBottom w:val="0"/>
      <w:divBdr>
        <w:top w:val="none" w:sz="0" w:space="0" w:color="auto"/>
        <w:left w:val="none" w:sz="0" w:space="0" w:color="auto"/>
        <w:bottom w:val="none" w:sz="0" w:space="0" w:color="auto"/>
        <w:right w:val="none" w:sz="0" w:space="0" w:color="auto"/>
      </w:divBdr>
    </w:div>
    <w:div w:id="1505508745">
      <w:bodyDiv w:val="1"/>
      <w:marLeft w:val="0"/>
      <w:marRight w:val="0"/>
      <w:marTop w:val="0"/>
      <w:marBottom w:val="0"/>
      <w:divBdr>
        <w:top w:val="none" w:sz="0" w:space="0" w:color="auto"/>
        <w:left w:val="none" w:sz="0" w:space="0" w:color="auto"/>
        <w:bottom w:val="none" w:sz="0" w:space="0" w:color="auto"/>
        <w:right w:val="none" w:sz="0" w:space="0" w:color="auto"/>
      </w:divBdr>
    </w:div>
    <w:div w:id="1519931014">
      <w:bodyDiv w:val="1"/>
      <w:marLeft w:val="0"/>
      <w:marRight w:val="0"/>
      <w:marTop w:val="0"/>
      <w:marBottom w:val="0"/>
      <w:divBdr>
        <w:top w:val="none" w:sz="0" w:space="0" w:color="auto"/>
        <w:left w:val="none" w:sz="0" w:space="0" w:color="auto"/>
        <w:bottom w:val="none" w:sz="0" w:space="0" w:color="auto"/>
        <w:right w:val="none" w:sz="0" w:space="0" w:color="auto"/>
      </w:divBdr>
    </w:div>
    <w:div w:id="1568567730">
      <w:bodyDiv w:val="1"/>
      <w:marLeft w:val="0"/>
      <w:marRight w:val="0"/>
      <w:marTop w:val="0"/>
      <w:marBottom w:val="0"/>
      <w:divBdr>
        <w:top w:val="none" w:sz="0" w:space="0" w:color="auto"/>
        <w:left w:val="none" w:sz="0" w:space="0" w:color="auto"/>
        <w:bottom w:val="none" w:sz="0" w:space="0" w:color="auto"/>
        <w:right w:val="none" w:sz="0" w:space="0" w:color="auto"/>
      </w:divBdr>
    </w:div>
    <w:div w:id="1579749295">
      <w:bodyDiv w:val="1"/>
      <w:marLeft w:val="0"/>
      <w:marRight w:val="0"/>
      <w:marTop w:val="0"/>
      <w:marBottom w:val="0"/>
      <w:divBdr>
        <w:top w:val="none" w:sz="0" w:space="0" w:color="auto"/>
        <w:left w:val="none" w:sz="0" w:space="0" w:color="auto"/>
        <w:bottom w:val="none" w:sz="0" w:space="0" w:color="auto"/>
        <w:right w:val="none" w:sz="0" w:space="0" w:color="auto"/>
      </w:divBdr>
    </w:div>
    <w:div w:id="1587762108">
      <w:bodyDiv w:val="1"/>
      <w:marLeft w:val="0"/>
      <w:marRight w:val="0"/>
      <w:marTop w:val="0"/>
      <w:marBottom w:val="0"/>
      <w:divBdr>
        <w:top w:val="none" w:sz="0" w:space="0" w:color="auto"/>
        <w:left w:val="none" w:sz="0" w:space="0" w:color="auto"/>
        <w:bottom w:val="none" w:sz="0" w:space="0" w:color="auto"/>
        <w:right w:val="none" w:sz="0" w:space="0" w:color="auto"/>
      </w:divBdr>
    </w:div>
    <w:div w:id="1598442845">
      <w:bodyDiv w:val="1"/>
      <w:marLeft w:val="0"/>
      <w:marRight w:val="0"/>
      <w:marTop w:val="0"/>
      <w:marBottom w:val="0"/>
      <w:divBdr>
        <w:top w:val="none" w:sz="0" w:space="0" w:color="auto"/>
        <w:left w:val="none" w:sz="0" w:space="0" w:color="auto"/>
        <w:bottom w:val="none" w:sz="0" w:space="0" w:color="auto"/>
        <w:right w:val="none" w:sz="0" w:space="0" w:color="auto"/>
      </w:divBdr>
    </w:div>
    <w:div w:id="1609117166">
      <w:bodyDiv w:val="1"/>
      <w:marLeft w:val="0"/>
      <w:marRight w:val="0"/>
      <w:marTop w:val="0"/>
      <w:marBottom w:val="0"/>
      <w:divBdr>
        <w:top w:val="none" w:sz="0" w:space="0" w:color="auto"/>
        <w:left w:val="none" w:sz="0" w:space="0" w:color="auto"/>
        <w:bottom w:val="none" w:sz="0" w:space="0" w:color="auto"/>
        <w:right w:val="none" w:sz="0" w:space="0" w:color="auto"/>
      </w:divBdr>
    </w:div>
    <w:div w:id="1610820606">
      <w:bodyDiv w:val="1"/>
      <w:marLeft w:val="0"/>
      <w:marRight w:val="0"/>
      <w:marTop w:val="0"/>
      <w:marBottom w:val="0"/>
      <w:divBdr>
        <w:top w:val="none" w:sz="0" w:space="0" w:color="auto"/>
        <w:left w:val="none" w:sz="0" w:space="0" w:color="auto"/>
        <w:bottom w:val="none" w:sz="0" w:space="0" w:color="auto"/>
        <w:right w:val="none" w:sz="0" w:space="0" w:color="auto"/>
      </w:divBdr>
    </w:div>
    <w:div w:id="1630818448">
      <w:bodyDiv w:val="1"/>
      <w:marLeft w:val="0"/>
      <w:marRight w:val="0"/>
      <w:marTop w:val="0"/>
      <w:marBottom w:val="0"/>
      <w:divBdr>
        <w:top w:val="none" w:sz="0" w:space="0" w:color="auto"/>
        <w:left w:val="none" w:sz="0" w:space="0" w:color="auto"/>
        <w:bottom w:val="none" w:sz="0" w:space="0" w:color="auto"/>
        <w:right w:val="none" w:sz="0" w:space="0" w:color="auto"/>
      </w:divBdr>
    </w:div>
    <w:div w:id="1652632645">
      <w:bodyDiv w:val="1"/>
      <w:marLeft w:val="0"/>
      <w:marRight w:val="0"/>
      <w:marTop w:val="0"/>
      <w:marBottom w:val="0"/>
      <w:divBdr>
        <w:top w:val="none" w:sz="0" w:space="0" w:color="auto"/>
        <w:left w:val="none" w:sz="0" w:space="0" w:color="auto"/>
        <w:bottom w:val="none" w:sz="0" w:space="0" w:color="auto"/>
        <w:right w:val="none" w:sz="0" w:space="0" w:color="auto"/>
      </w:divBdr>
    </w:div>
    <w:div w:id="1666544647">
      <w:bodyDiv w:val="1"/>
      <w:marLeft w:val="0"/>
      <w:marRight w:val="0"/>
      <w:marTop w:val="0"/>
      <w:marBottom w:val="0"/>
      <w:divBdr>
        <w:top w:val="none" w:sz="0" w:space="0" w:color="auto"/>
        <w:left w:val="none" w:sz="0" w:space="0" w:color="auto"/>
        <w:bottom w:val="none" w:sz="0" w:space="0" w:color="auto"/>
        <w:right w:val="none" w:sz="0" w:space="0" w:color="auto"/>
      </w:divBdr>
    </w:div>
    <w:div w:id="1729257465">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750879732">
      <w:bodyDiv w:val="1"/>
      <w:marLeft w:val="0"/>
      <w:marRight w:val="0"/>
      <w:marTop w:val="0"/>
      <w:marBottom w:val="0"/>
      <w:divBdr>
        <w:top w:val="none" w:sz="0" w:space="0" w:color="auto"/>
        <w:left w:val="none" w:sz="0" w:space="0" w:color="auto"/>
        <w:bottom w:val="none" w:sz="0" w:space="0" w:color="auto"/>
        <w:right w:val="none" w:sz="0" w:space="0" w:color="auto"/>
      </w:divBdr>
    </w:div>
    <w:div w:id="1794129751">
      <w:bodyDiv w:val="1"/>
      <w:marLeft w:val="0"/>
      <w:marRight w:val="0"/>
      <w:marTop w:val="0"/>
      <w:marBottom w:val="0"/>
      <w:divBdr>
        <w:top w:val="none" w:sz="0" w:space="0" w:color="auto"/>
        <w:left w:val="none" w:sz="0" w:space="0" w:color="auto"/>
        <w:bottom w:val="none" w:sz="0" w:space="0" w:color="auto"/>
        <w:right w:val="none" w:sz="0" w:space="0" w:color="auto"/>
      </w:divBdr>
    </w:div>
    <w:div w:id="1837920863">
      <w:bodyDiv w:val="1"/>
      <w:marLeft w:val="0"/>
      <w:marRight w:val="0"/>
      <w:marTop w:val="0"/>
      <w:marBottom w:val="0"/>
      <w:divBdr>
        <w:top w:val="none" w:sz="0" w:space="0" w:color="auto"/>
        <w:left w:val="none" w:sz="0" w:space="0" w:color="auto"/>
        <w:bottom w:val="none" w:sz="0" w:space="0" w:color="auto"/>
        <w:right w:val="none" w:sz="0" w:space="0" w:color="auto"/>
      </w:divBdr>
    </w:div>
    <w:div w:id="1879511883">
      <w:bodyDiv w:val="1"/>
      <w:marLeft w:val="0"/>
      <w:marRight w:val="0"/>
      <w:marTop w:val="0"/>
      <w:marBottom w:val="0"/>
      <w:divBdr>
        <w:top w:val="none" w:sz="0" w:space="0" w:color="auto"/>
        <w:left w:val="none" w:sz="0" w:space="0" w:color="auto"/>
        <w:bottom w:val="none" w:sz="0" w:space="0" w:color="auto"/>
        <w:right w:val="none" w:sz="0" w:space="0" w:color="auto"/>
      </w:divBdr>
    </w:div>
    <w:div w:id="1885091538">
      <w:bodyDiv w:val="1"/>
      <w:marLeft w:val="0"/>
      <w:marRight w:val="0"/>
      <w:marTop w:val="0"/>
      <w:marBottom w:val="0"/>
      <w:divBdr>
        <w:top w:val="none" w:sz="0" w:space="0" w:color="auto"/>
        <w:left w:val="none" w:sz="0" w:space="0" w:color="auto"/>
        <w:bottom w:val="none" w:sz="0" w:space="0" w:color="auto"/>
        <w:right w:val="none" w:sz="0" w:space="0" w:color="auto"/>
      </w:divBdr>
    </w:div>
    <w:div w:id="1895892260">
      <w:bodyDiv w:val="1"/>
      <w:marLeft w:val="0"/>
      <w:marRight w:val="0"/>
      <w:marTop w:val="0"/>
      <w:marBottom w:val="0"/>
      <w:divBdr>
        <w:top w:val="none" w:sz="0" w:space="0" w:color="auto"/>
        <w:left w:val="none" w:sz="0" w:space="0" w:color="auto"/>
        <w:bottom w:val="none" w:sz="0" w:space="0" w:color="auto"/>
        <w:right w:val="none" w:sz="0" w:space="0" w:color="auto"/>
      </w:divBdr>
    </w:div>
    <w:div w:id="1940066952">
      <w:bodyDiv w:val="1"/>
      <w:marLeft w:val="0"/>
      <w:marRight w:val="0"/>
      <w:marTop w:val="0"/>
      <w:marBottom w:val="0"/>
      <w:divBdr>
        <w:top w:val="none" w:sz="0" w:space="0" w:color="auto"/>
        <w:left w:val="none" w:sz="0" w:space="0" w:color="auto"/>
        <w:bottom w:val="none" w:sz="0" w:space="0" w:color="auto"/>
        <w:right w:val="none" w:sz="0" w:space="0" w:color="auto"/>
      </w:divBdr>
    </w:div>
    <w:div w:id="1940483819">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59944131">
      <w:bodyDiv w:val="1"/>
      <w:marLeft w:val="0"/>
      <w:marRight w:val="0"/>
      <w:marTop w:val="0"/>
      <w:marBottom w:val="0"/>
      <w:divBdr>
        <w:top w:val="none" w:sz="0" w:space="0" w:color="auto"/>
        <w:left w:val="none" w:sz="0" w:space="0" w:color="auto"/>
        <w:bottom w:val="none" w:sz="0" w:space="0" w:color="auto"/>
        <w:right w:val="none" w:sz="0" w:space="0" w:color="auto"/>
      </w:divBdr>
    </w:div>
    <w:div w:id="1985741486">
      <w:bodyDiv w:val="1"/>
      <w:marLeft w:val="0"/>
      <w:marRight w:val="0"/>
      <w:marTop w:val="0"/>
      <w:marBottom w:val="0"/>
      <w:divBdr>
        <w:top w:val="none" w:sz="0" w:space="0" w:color="auto"/>
        <w:left w:val="none" w:sz="0" w:space="0" w:color="auto"/>
        <w:bottom w:val="none" w:sz="0" w:space="0" w:color="auto"/>
        <w:right w:val="none" w:sz="0" w:space="0" w:color="auto"/>
      </w:divBdr>
    </w:div>
    <w:div w:id="1986548490">
      <w:bodyDiv w:val="1"/>
      <w:marLeft w:val="0"/>
      <w:marRight w:val="0"/>
      <w:marTop w:val="0"/>
      <w:marBottom w:val="0"/>
      <w:divBdr>
        <w:top w:val="none" w:sz="0" w:space="0" w:color="auto"/>
        <w:left w:val="none" w:sz="0" w:space="0" w:color="auto"/>
        <w:bottom w:val="none" w:sz="0" w:space="0" w:color="auto"/>
        <w:right w:val="none" w:sz="0" w:space="0" w:color="auto"/>
      </w:divBdr>
    </w:div>
    <w:div w:id="2010058490">
      <w:bodyDiv w:val="1"/>
      <w:marLeft w:val="0"/>
      <w:marRight w:val="0"/>
      <w:marTop w:val="0"/>
      <w:marBottom w:val="0"/>
      <w:divBdr>
        <w:top w:val="none" w:sz="0" w:space="0" w:color="auto"/>
        <w:left w:val="none" w:sz="0" w:space="0" w:color="auto"/>
        <w:bottom w:val="none" w:sz="0" w:space="0" w:color="auto"/>
        <w:right w:val="none" w:sz="0" w:space="0" w:color="auto"/>
      </w:divBdr>
    </w:div>
    <w:div w:id="2035955888">
      <w:bodyDiv w:val="1"/>
      <w:marLeft w:val="0"/>
      <w:marRight w:val="0"/>
      <w:marTop w:val="0"/>
      <w:marBottom w:val="0"/>
      <w:divBdr>
        <w:top w:val="none" w:sz="0" w:space="0" w:color="auto"/>
        <w:left w:val="none" w:sz="0" w:space="0" w:color="auto"/>
        <w:bottom w:val="none" w:sz="0" w:space="0" w:color="auto"/>
        <w:right w:val="none" w:sz="0" w:space="0" w:color="auto"/>
      </w:divBdr>
    </w:div>
    <w:div w:id="2051294742">
      <w:bodyDiv w:val="1"/>
      <w:marLeft w:val="0"/>
      <w:marRight w:val="0"/>
      <w:marTop w:val="0"/>
      <w:marBottom w:val="0"/>
      <w:divBdr>
        <w:top w:val="none" w:sz="0" w:space="0" w:color="auto"/>
        <w:left w:val="none" w:sz="0" w:space="0" w:color="auto"/>
        <w:bottom w:val="none" w:sz="0" w:space="0" w:color="auto"/>
        <w:right w:val="none" w:sz="0" w:space="0" w:color="auto"/>
      </w:divBdr>
    </w:div>
    <w:div w:id="2104910772">
      <w:bodyDiv w:val="1"/>
      <w:marLeft w:val="0"/>
      <w:marRight w:val="0"/>
      <w:marTop w:val="0"/>
      <w:marBottom w:val="0"/>
      <w:divBdr>
        <w:top w:val="none" w:sz="0" w:space="0" w:color="auto"/>
        <w:left w:val="none" w:sz="0" w:space="0" w:color="auto"/>
        <w:bottom w:val="none" w:sz="0" w:space="0" w:color="auto"/>
        <w:right w:val="none" w:sz="0" w:space="0" w:color="auto"/>
      </w:divBdr>
    </w:div>
    <w:div w:id="21428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470F-5227-4F55-A7C3-E1B03A3E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2016-12-01T14:51:00Z</cp:lastPrinted>
  <dcterms:created xsi:type="dcterms:W3CDTF">2016-12-07T11:09:00Z</dcterms:created>
  <dcterms:modified xsi:type="dcterms:W3CDTF">2016-12-07T11:09:00Z</dcterms:modified>
</cp:coreProperties>
</file>