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204"/>
        <w:gridCol w:w="3260"/>
      </w:tblGrid>
      <w:tr w:rsidR="00B84929" w:rsidRPr="0089449E" w:rsidTr="00B76551">
        <w:trPr>
          <w:cantSplit/>
          <w:trHeight w:val="993"/>
        </w:trPr>
        <w:tc>
          <w:tcPr>
            <w:tcW w:w="6204" w:type="dxa"/>
          </w:tcPr>
          <w:p w:rsidR="00DE1E6C" w:rsidRPr="0089449E" w:rsidRDefault="00B84929" w:rsidP="002B7DC4">
            <w:pPr>
              <w:pStyle w:val="BodyText"/>
              <w:jc w:val="left"/>
              <w:rPr>
                <w:rFonts w:ascii="Arial" w:hAnsi="Arial" w:cs="Arial"/>
                <w:szCs w:val="24"/>
              </w:rPr>
            </w:pPr>
            <w:r w:rsidRPr="0089449E">
              <w:rPr>
                <w:rFonts w:ascii="Arial" w:hAnsi="Arial" w:cs="Arial"/>
                <w:szCs w:val="24"/>
              </w:rPr>
              <w:t xml:space="preserve">HIGH LIFE HIGHLAND </w:t>
            </w:r>
          </w:p>
          <w:p w:rsidR="002B7DC4" w:rsidRPr="0089449E" w:rsidRDefault="00DE1E6C" w:rsidP="002B7DC4">
            <w:pPr>
              <w:pStyle w:val="BodyText"/>
              <w:jc w:val="left"/>
              <w:rPr>
                <w:rFonts w:ascii="Arial" w:hAnsi="Arial" w:cs="Arial"/>
                <w:szCs w:val="24"/>
              </w:rPr>
            </w:pPr>
            <w:r w:rsidRPr="0089449E">
              <w:rPr>
                <w:rFonts w:ascii="Arial" w:hAnsi="Arial" w:cs="Arial"/>
                <w:szCs w:val="24"/>
              </w:rPr>
              <w:t>REPORT TO BOARD OF DIRECTORS</w:t>
            </w:r>
          </w:p>
          <w:p w:rsidR="002B7DC4" w:rsidRPr="0089449E" w:rsidRDefault="000757C8" w:rsidP="002B7DC4">
            <w:pPr>
              <w:pStyle w:val="BodyText"/>
              <w:jc w:val="left"/>
              <w:rPr>
                <w:rFonts w:ascii="Arial" w:hAnsi="Arial" w:cs="Arial"/>
                <w:szCs w:val="24"/>
              </w:rPr>
            </w:pPr>
            <w:r>
              <w:rPr>
                <w:rFonts w:ascii="Arial" w:hAnsi="Arial" w:cs="Arial"/>
                <w:szCs w:val="24"/>
              </w:rPr>
              <w:t>1</w:t>
            </w:r>
            <w:r w:rsidR="0016608B">
              <w:rPr>
                <w:rFonts w:ascii="Arial" w:hAnsi="Arial" w:cs="Arial"/>
                <w:szCs w:val="24"/>
              </w:rPr>
              <w:t>5</w:t>
            </w:r>
            <w:r>
              <w:rPr>
                <w:rFonts w:ascii="Arial" w:hAnsi="Arial" w:cs="Arial"/>
                <w:szCs w:val="24"/>
              </w:rPr>
              <w:t xml:space="preserve"> June</w:t>
            </w:r>
            <w:r w:rsidR="00BC1EA8">
              <w:rPr>
                <w:rFonts w:ascii="Arial" w:hAnsi="Arial" w:cs="Arial"/>
                <w:szCs w:val="24"/>
              </w:rPr>
              <w:t xml:space="preserve"> 201</w:t>
            </w:r>
            <w:r w:rsidR="0016608B">
              <w:rPr>
                <w:rFonts w:ascii="Arial" w:hAnsi="Arial" w:cs="Arial"/>
                <w:szCs w:val="24"/>
              </w:rPr>
              <w:t>7</w:t>
            </w:r>
          </w:p>
          <w:p w:rsidR="00B84929" w:rsidRPr="0089449E" w:rsidRDefault="00B84929" w:rsidP="002B7DC4">
            <w:pPr>
              <w:pStyle w:val="BodyText"/>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c>
          <w:tcPr>
            <w:tcW w:w="3260" w:type="dxa"/>
          </w:tcPr>
          <w:p w:rsidR="00C17981" w:rsidRDefault="00B0145D" w:rsidP="00472040">
            <w:pPr>
              <w:rPr>
                <w:rFonts w:ascii="Arial" w:hAnsi="Arial" w:cs="Arial"/>
                <w:szCs w:val="24"/>
              </w:rPr>
            </w:pPr>
            <w:r>
              <w:rPr>
                <w:rFonts w:ascii="Arial" w:hAnsi="Arial" w:cs="Arial"/>
                <w:szCs w:val="24"/>
              </w:rPr>
              <w:t>AGENDA ITEM</w:t>
            </w:r>
            <w:r w:rsidR="00716DD2">
              <w:rPr>
                <w:rFonts w:ascii="Arial" w:hAnsi="Arial" w:cs="Arial"/>
                <w:szCs w:val="24"/>
              </w:rPr>
              <w:t xml:space="preserve"> </w:t>
            </w:r>
            <w:r>
              <w:rPr>
                <w:rFonts w:ascii="Arial" w:hAnsi="Arial" w:cs="Arial"/>
                <w:szCs w:val="24"/>
              </w:rPr>
              <w:t xml:space="preserve"> </w:t>
            </w:r>
          </w:p>
          <w:p w:rsidR="00B84929" w:rsidRPr="0089449E" w:rsidRDefault="00B84929" w:rsidP="00716DD2">
            <w:pPr>
              <w:rPr>
                <w:rFonts w:ascii="Arial" w:hAnsi="Arial" w:cs="Arial"/>
                <w:szCs w:val="24"/>
              </w:rPr>
            </w:pPr>
            <w:r w:rsidRPr="0089449E">
              <w:rPr>
                <w:rFonts w:ascii="Arial" w:hAnsi="Arial" w:cs="Arial"/>
                <w:szCs w:val="24"/>
              </w:rPr>
              <w:t>REPORT N</w:t>
            </w:r>
            <w:r w:rsidR="004A13CB">
              <w:rPr>
                <w:rFonts w:ascii="Arial" w:hAnsi="Arial" w:cs="Arial"/>
                <w:szCs w:val="24"/>
              </w:rPr>
              <w:t>o</w:t>
            </w:r>
            <w:r w:rsidR="001D5EE7">
              <w:rPr>
                <w:rFonts w:ascii="Arial" w:hAnsi="Arial" w:cs="Arial"/>
                <w:szCs w:val="24"/>
              </w:rPr>
              <w:t xml:space="preserve"> </w:t>
            </w:r>
            <w:r w:rsidR="00C17981">
              <w:rPr>
                <w:rFonts w:ascii="Arial" w:hAnsi="Arial" w:cs="Arial"/>
                <w:szCs w:val="24"/>
              </w:rPr>
              <w:t>HLH</w:t>
            </w:r>
            <w:r w:rsidR="00716DD2">
              <w:rPr>
                <w:rFonts w:ascii="Arial" w:hAnsi="Arial" w:cs="Arial"/>
                <w:szCs w:val="24"/>
              </w:rPr>
              <w:t xml:space="preserve">   </w:t>
            </w:r>
            <w:r w:rsidR="001D5EE7">
              <w:rPr>
                <w:rFonts w:ascii="Arial" w:hAnsi="Arial" w:cs="Arial"/>
                <w:szCs w:val="24"/>
              </w:rPr>
              <w:t>/1</w:t>
            </w:r>
            <w:r w:rsidR="00DD10C8">
              <w:rPr>
                <w:rFonts w:ascii="Arial" w:hAnsi="Arial" w:cs="Arial"/>
                <w:szCs w:val="24"/>
              </w:rPr>
              <w:t>7</w:t>
            </w:r>
          </w:p>
        </w:tc>
      </w:tr>
    </w:tbl>
    <w:p w:rsidR="0039450A" w:rsidRPr="0089449E" w:rsidRDefault="0067745D" w:rsidP="00DE1E6C">
      <w:pPr>
        <w:pStyle w:val="Heading2"/>
        <w:rPr>
          <w:rFonts w:ascii="Arial" w:hAnsi="Arial" w:cs="Arial"/>
          <w:b/>
          <w:szCs w:val="24"/>
          <w:u w:val="none"/>
        </w:rPr>
      </w:pPr>
      <w:r>
        <w:rPr>
          <w:rFonts w:ascii="Arial" w:hAnsi="Arial" w:cs="Arial"/>
          <w:b/>
          <w:szCs w:val="24"/>
          <w:u w:val="none"/>
        </w:rPr>
        <w:t>FINANCE REPORT</w:t>
      </w:r>
      <w:r w:rsidRPr="0089449E">
        <w:rPr>
          <w:rFonts w:ascii="Arial" w:hAnsi="Arial" w:cs="Arial"/>
          <w:b/>
          <w:szCs w:val="24"/>
          <w:u w:val="none"/>
        </w:rPr>
        <w:t xml:space="preserve"> -</w:t>
      </w:r>
      <w:r w:rsidR="00DE1E6C" w:rsidRPr="0089449E">
        <w:rPr>
          <w:rFonts w:ascii="Arial" w:hAnsi="Arial" w:cs="Arial"/>
          <w:b/>
          <w:szCs w:val="24"/>
          <w:u w:val="none"/>
        </w:rPr>
        <w:t xml:space="preserve">   </w:t>
      </w:r>
      <w:r w:rsidR="0039450A" w:rsidRPr="0089449E">
        <w:rPr>
          <w:rFonts w:ascii="Arial" w:hAnsi="Arial" w:cs="Arial"/>
          <w:b/>
          <w:szCs w:val="24"/>
          <w:u w:val="none"/>
        </w:rPr>
        <w:t xml:space="preserve">Report </w:t>
      </w:r>
      <w:r w:rsidR="00A8159A" w:rsidRPr="0089449E">
        <w:rPr>
          <w:rFonts w:ascii="Arial" w:hAnsi="Arial" w:cs="Arial"/>
          <w:b/>
          <w:szCs w:val="24"/>
          <w:u w:val="none"/>
        </w:rPr>
        <w:t>by</w:t>
      </w:r>
      <w:r w:rsidR="002B7DC4" w:rsidRPr="0089449E">
        <w:rPr>
          <w:rFonts w:ascii="Arial" w:hAnsi="Arial" w:cs="Arial"/>
          <w:b/>
          <w:szCs w:val="24"/>
          <w:u w:val="none"/>
        </w:rPr>
        <w:t xml:space="preserve"> Chief Executive</w:t>
      </w:r>
    </w:p>
    <w:p w:rsidR="0039450A" w:rsidRPr="0089449E" w:rsidRDefault="0039450A" w:rsidP="00DE3803">
      <w:pPr>
        <w:pStyle w:val="Heading1"/>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89449E">
        <w:trPr>
          <w:cantSplit/>
        </w:trPr>
        <w:tc>
          <w:tcPr>
            <w:tcW w:w="9464" w:type="dxa"/>
          </w:tcPr>
          <w:p w:rsidR="0039450A" w:rsidRPr="0089449E" w:rsidRDefault="002B7DC4" w:rsidP="00472040">
            <w:pPr>
              <w:pStyle w:val="Heading2"/>
              <w:jc w:val="both"/>
              <w:rPr>
                <w:rFonts w:ascii="Arial" w:hAnsi="Arial" w:cs="Arial"/>
                <w:b/>
                <w:szCs w:val="24"/>
                <w:u w:val="none"/>
              </w:rPr>
            </w:pPr>
            <w:r w:rsidRPr="0089449E">
              <w:rPr>
                <w:rFonts w:ascii="Arial" w:hAnsi="Arial" w:cs="Arial"/>
                <w:b/>
                <w:szCs w:val="24"/>
                <w:u w:val="none"/>
              </w:rPr>
              <w:t>Summary</w:t>
            </w:r>
          </w:p>
          <w:p w:rsidR="002B7DC4" w:rsidRPr="0089449E" w:rsidRDefault="002B7DC4" w:rsidP="00472040">
            <w:pPr>
              <w:jc w:val="both"/>
              <w:rPr>
                <w:rFonts w:ascii="Arial" w:hAnsi="Arial" w:cs="Arial"/>
              </w:rPr>
            </w:pPr>
          </w:p>
          <w:p w:rsidR="002B7DC4" w:rsidRDefault="00023E37" w:rsidP="00472040">
            <w:pPr>
              <w:contextualSpacing/>
              <w:jc w:val="both"/>
              <w:rPr>
                <w:rFonts w:ascii="Arial" w:hAnsi="Arial" w:cs="Arial"/>
              </w:rPr>
            </w:pPr>
            <w:r>
              <w:rPr>
                <w:rFonts w:ascii="Arial" w:hAnsi="Arial" w:cs="Arial"/>
              </w:rPr>
              <w:t xml:space="preserve">This report provides </w:t>
            </w:r>
            <w:r w:rsidR="007E2203">
              <w:rPr>
                <w:rFonts w:ascii="Arial" w:hAnsi="Arial" w:cs="Arial"/>
              </w:rPr>
              <w:t>D</w:t>
            </w:r>
            <w:r>
              <w:rPr>
                <w:rFonts w:ascii="Arial" w:hAnsi="Arial" w:cs="Arial"/>
              </w:rPr>
              <w:t>irectors with an update on the financial performance of High Life Highland</w:t>
            </w:r>
            <w:r w:rsidR="000757C8" w:rsidRPr="000757C8">
              <w:rPr>
                <w:rFonts w:ascii="Arial" w:eastAsia="Calibri" w:hAnsi="Arial" w:cs="Arial"/>
                <w:szCs w:val="24"/>
                <w:lang w:eastAsia="en-US"/>
              </w:rPr>
              <w:t xml:space="preserve"> for the financial year </w:t>
            </w:r>
            <w:r w:rsidR="0016608B">
              <w:rPr>
                <w:rFonts w:ascii="Arial" w:eastAsia="Calibri" w:hAnsi="Arial" w:cs="Arial"/>
                <w:szCs w:val="24"/>
                <w:lang w:eastAsia="en-US"/>
              </w:rPr>
              <w:t>2016/17</w:t>
            </w:r>
            <w:r w:rsidR="00716DD2">
              <w:rPr>
                <w:rFonts w:ascii="Arial" w:hAnsi="Arial" w:cs="Arial"/>
              </w:rPr>
              <w:t>.</w:t>
            </w:r>
            <w:r w:rsidR="005A3624">
              <w:rPr>
                <w:rFonts w:ascii="Arial" w:hAnsi="Arial" w:cs="Arial"/>
              </w:rPr>
              <w:t xml:space="preserve"> </w:t>
            </w:r>
          </w:p>
          <w:p w:rsidR="00023E37" w:rsidRDefault="00023E37" w:rsidP="00472040">
            <w:pPr>
              <w:jc w:val="both"/>
              <w:rPr>
                <w:rFonts w:ascii="Arial" w:hAnsi="Arial" w:cs="Arial"/>
              </w:rPr>
            </w:pPr>
          </w:p>
          <w:p w:rsidR="00C92F7F" w:rsidRPr="000F2276" w:rsidRDefault="00C92F7F" w:rsidP="00C92F7F">
            <w:pPr>
              <w:jc w:val="both"/>
              <w:rPr>
                <w:rFonts w:ascii="Arial" w:hAnsi="Arial" w:cs="Arial"/>
              </w:rPr>
            </w:pPr>
            <w:r w:rsidRPr="000F2276">
              <w:rPr>
                <w:rFonts w:ascii="Arial" w:hAnsi="Arial" w:cs="Arial"/>
              </w:rPr>
              <w:t>I</w:t>
            </w:r>
            <w:r>
              <w:rPr>
                <w:rFonts w:ascii="Arial" w:hAnsi="Arial" w:cs="Arial"/>
              </w:rPr>
              <w:t>t is recommended that Directors</w:t>
            </w:r>
            <w:r w:rsidR="00CB63C6">
              <w:rPr>
                <w:rFonts w:ascii="Arial" w:hAnsi="Arial" w:cs="Arial"/>
              </w:rPr>
              <w:t xml:space="preserve"> note</w:t>
            </w:r>
            <w:r w:rsidRPr="000F2276">
              <w:rPr>
                <w:rFonts w:ascii="Arial" w:hAnsi="Arial" w:cs="Arial"/>
              </w:rPr>
              <w:t>:</w:t>
            </w:r>
          </w:p>
          <w:p w:rsidR="00C92F7F" w:rsidRPr="000F2276" w:rsidRDefault="00C92F7F" w:rsidP="00C92F7F">
            <w:pPr>
              <w:jc w:val="both"/>
              <w:rPr>
                <w:rFonts w:ascii="Arial" w:hAnsi="Arial" w:cs="Arial"/>
              </w:rPr>
            </w:pPr>
          </w:p>
          <w:p w:rsidR="000757C8" w:rsidRPr="000757C8" w:rsidRDefault="00C92F7F" w:rsidP="00344232">
            <w:pPr>
              <w:numPr>
                <w:ilvl w:val="0"/>
                <w:numId w:val="33"/>
              </w:numPr>
              <w:ind w:left="709" w:hanging="425"/>
              <w:contextualSpacing/>
              <w:jc w:val="both"/>
              <w:rPr>
                <w:rFonts w:ascii="Arial" w:eastAsia="Calibri" w:hAnsi="Arial" w:cs="Arial"/>
                <w:szCs w:val="24"/>
                <w:lang w:eastAsia="en-US"/>
              </w:rPr>
            </w:pPr>
            <w:bookmarkStart w:id="0" w:name="OLE_LINK1"/>
            <w:bookmarkStart w:id="1" w:name="OLE_LINK2"/>
            <w:r w:rsidRPr="00CB55D1">
              <w:rPr>
                <w:rFonts w:ascii="Arial" w:hAnsi="Arial" w:cs="Arial"/>
                <w:szCs w:val="24"/>
              </w:rPr>
              <w:t>the</w:t>
            </w:r>
            <w:r w:rsidR="00FC5923">
              <w:rPr>
                <w:rFonts w:ascii="Arial" w:eastAsia="Calibri" w:hAnsi="Arial" w:cs="Arial"/>
                <w:szCs w:val="24"/>
                <w:lang w:eastAsia="en-US"/>
              </w:rPr>
              <w:t xml:space="preserve"> draft year end out-</w:t>
            </w:r>
            <w:r w:rsidR="000757C8" w:rsidRPr="000757C8">
              <w:rPr>
                <w:rFonts w:ascii="Arial" w:eastAsia="Calibri" w:hAnsi="Arial" w:cs="Arial"/>
                <w:szCs w:val="24"/>
                <w:lang w:eastAsia="en-US"/>
              </w:rPr>
              <w:t xml:space="preserve">turn, subject to Audit, for </w:t>
            </w:r>
            <w:r w:rsidR="0016608B">
              <w:rPr>
                <w:rFonts w:ascii="Arial" w:eastAsia="Calibri" w:hAnsi="Arial" w:cs="Arial"/>
                <w:szCs w:val="24"/>
                <w:lang w:eastAsia="en-US"/>
              </w:rPr>
              <w:t>2016/17</w:t>
            </w:r>
            <w:r w:rsidR="000757C8" w:rsidRPr="000757C8">
              <w:rPr>
                <w:rFonts w:ascii="Arial" w:eastAsia="Calibri" w:hAnsi="Arial" w:cs="Arial"/>
                <w:szCs w:val="24"/>
                <w:lang w:eastAsia="en-US"/>
              </w:rPr>
              <w:t xml:space="preserve"> for High Life Highland as detailed in </w:t>
            </w:r>
            <w:r w:rsidR="000757C8" w:rsidRPr="000757C8">
              <w:rPr>
                <w:rFonts w:ascii="Arial" w:eastAsia="Calibri" w:hAnsi="Arial" w:cs="Arial"/>
                <w:b/>
                <w:szCs w:val="24"/>
                <w:lang w:eastAsia="en-US"/>
              </w:rPr>
              <w:t>Appendix A</w:t>
            </w:r>
            <w:r w:rsidR="000757C8" w:rsidRPr="000757C8">
              <w:rPr>
                <w:rFonts w:ascii="Arial" w:eastAsia="Calibri" w:hAnsi="Arial" w:cs="Arial"/>
                <w:szCs w:val="24"/>
                <w:lang w:eastAsia="en-US"/>
              </w:rPr>
              <w:t xml:space="preserve"> reports a surplus of £</w:t>
            </w:r>
            <w:r w:rsidR="0016608B">
              <w:rPr>
                <w:rFonts w:ascii="Arial" w:eastAsia="Calibri" w:hAnsi="Arial" w:cs="Arial"/>
                <w:szCs w:val="24"/>
                <w:lang w:eastAsia="en-US"/>
              </w:rPr>
              <w:t>119,232</w:t>
            </w:r>
            <w:r w:rsidR="000757C8" w:rsidRPr="000757C8">
              <w:rPr>
                <w:rFonts w:ascii="Arial" w:eastAsia="Calibri" w:hAnsi="Arial" w:cs="Arial"/>
                <w:color w:val="FF0000"/>
                <w:szCs w:val="24"/>
                <w:lang w:eastAsia="en-US"/>
              </w:rPr>
              <w:t xml:space="preserve"> </w:t>
            </w:r>
            <w:r w:rsidR="000757C8" w:rsidRPr="000757C8">
              <w:rPr>
                <w:rFonts w:ascii="Arial" w:eastAsia="Calibri" w:hAnsi="Arial" w:cs="Arial"/>
                <w:szCs w:val="24"/>
                <w:lang w:eastAsia="en-US"/>
              </w:rPr>
              <w:t>to Unrestricted Reserves</w:t>
            </w:r>
            <w:r w:rsidR="0016608B">
              <w:rPr>
                <w:rFonts w:ascii="Arial" w:eastAsia="Calibri" w:hAnsi="Arial" w:cs="Arial"/>
                <w:szCs w:val="24"/>
                <w:lang w:eastAsia="en-US"/>
              </w:rPr>
              <w:t xml:space="preserve"> for the year</w:t>
            </w:r>
            <w:r w:rsidR="000757C8" w:rsidRPr="000757C8">
              <w:rPr>
                <w:rFonts w:ascii="Arial" w:eastAsia="Calibri" w:hAnsi="Arial" w:cs="Arial"/>
                <w:szCs w:val="24"/>
                <w:lang w:eastAsia="en-US"/>
              </w:rPr>
              <w:t xml:space="preserve"> and a transfer</w:t>
            </w:r>
            <w:r w:rsidR="0016608B">
              <w:rPr>
                <w:rFonts w:ascii="Arial" w:eastAsia="Calibri" w:hAnsi="Arial" w:cs="Arial"/>
                <w:szCs w:val="24"/>
                <w:lang w:eastAsia="en-US"/>
              </w:rPr>
              <w:t xml:space="preserve"> from </w:t>
            </w:r>
            <w:r w:rsidR="000757C8" w:rsidRPr="000757C8">
              <w:rPr>
                <w:rFonts w:ascii="Arial" w:eastAsia="Calibri" w:hAnsi="Arial" w:cs="Arial"/>
                <w:szCs w:val="24"/>
                <w:lang w:eastAsia="en-US"/>
              </w:rPr>
              <w:t xml:space="preserve">Restricted Reserves </w:t>
            </w:r>
            <w:r w:rsidR="0016608B">
              <w:rPr>
                <w:rFonts w:ascii="Arial" w:eastAsia="Calibri" w:hAnsi="Arial" w:cs="Arial"/>
                <w:szCs w:val="24"/>
                <w:lang w:eastAsia="en-US"/>
              </w:rPr>
              <w:t xml:space="preserve">to Unrestricted Reserves (Grant income) of </w:t>
            </w:r>
            <w:r w:rsidR="000757C8" w:rsidRPr="000757C8">
              <w:rPr>
                <w:rFonts w:ascii="Arial" w:eastAsia="Calibri" w:hAnsi="Arial" w:cs="Arial"/>
                <w:szCs w:val="24"/>
                <w:lang w:eastAsia="en-US"/>
              </w:rPr>
              <w:t>£</w:t>
            </w:r>
            <w:r w:rsidR="0016608B">
              <w:rPr>
                <w:rFonts w:ascii="Arial" w:eastAsia="Calibri" w:hAnsi="Arial" w:cs="Arial"/>
                <w:szCs w:val="24"/>
                <w:lang w:eastAsia="en-US"/>
              </w:rPr>
              <w:t>115,675</w:t>
            </w:r>
            <w:r w:rsidR="009875B5">
              <w:rPr>
                <w:rFonts w:ascii="Arial" w:eastAsia="Calibri" w:hAnsi="Arial" w:cs="Arial"/>
                <w:szCs w:val="24"/>
                <w:lang w:eastAsia="en-US"/>
              </w:rPr>
              <w:t xml:space="preserve"> giving a total t</w:t>
            </w:r>
            <w:r w:rsidR="0016608B">
              <w:rPr>
                <w:rFonts w:ascii="Arial" w:eastAsia="Calibri" w:hAnsi="Arial" w:cs="Arial"/>
                <w:szCs w:val="24"/>
                <w:lang w:eastAsia="en-US"/>
              </w:rPr>
              <w:t>ransfer to Unrestricted reserves of £234,907</w:t>
            </w:r>
            <w:r w:rsidR="00344232">
              <w:rPr>
                <w:rFonts w:ascii="Arial" w:eastAsia="Calibri" w:hAnsi="Arial" w:cs="Arial"/>
                <w:szCs w:val="24"/>
                <w:lang w:eastAsia="en-US"/>
              </w:rPr>
              <w:t>;</w:t>
            </w:r>
          </w:p>
          <w:p w:rsidR="00344232" w:rsidRDefault="008C5158" w:rsidP="00344232">
            <w:pPr>
              <w:pStyle w:val="ListParagraph"/>
              <w:numPr>
                <w:ilvl w:val="0"/>
                <w:numId w:val="33"/>
              </w:numPr>
              <w:ind w:left="709" w:hanging="425"/>
              <w:jc w:val="both"/>
              <w:rPr>
                <w:rFonts w:ascii="Arial" w:hAnsi="Arial" w:cs="Arial"/>
                <w:sz w:val="24"/>
                <w:szCs w:val="24"/>
              </w:rPr>
            </w:pPr>
            <w:r w:rsidRPr="00137D7A">
              <w:rPr>
                <w:rFonts w:ascii="Arial" w:hAnsi="Arial" w:cs="Arial"/>
                <w:sz w:val="24"/>
                <w:szCs w:val="24"/>
              </w:rPr>
              <w:t xml:space="preserve">the </w:t>
            </w:r>
            <w:r w:rsidR="00C92F7F" w:rsidRPr="00137D7A">
              <w:rPr>
                <w:rFonts w:ascii="Arial" w:hAnsi="Arial" w:cs="Arial"/>
                <w:sz w:val="24"/>
                <w:szCs w:val="24"/>
              </w:rPr>
              <w:t xml:space="preserve">award of contracts </w:t>
            </w:r>
            <w:r w:rsidR="00802484">
              <w:rPr>
                <w:rFonts w:ascii="Arial" w:hAnsi="Arial" w:cs="Arial"/>
                <w:sz w:val="24"/>
                <w:szCs w:val="24"/>
              </w:rPr>
              <w:t xml:space="preserve">to </w:t>
            </w:r>
            <w:proofErr w:type="spellStart"/>
            <w:r w:rsidR="00802484">
              <w:rPr>
                <w:rFonts w:ascii="Arial" w:hAnsi="Arial" w:cs="Arial"/>
                <w:sz w:val="24"/>
                <w:szCs w:val="24"/>
              </w:rPr>
              <w:t>Caterpods</w:t>
            </w:r>
            <w:proofErr w:type="spellEnd"/>
            <w:r w:rsidR="00802484">
              <w:rPr>
                <w:rFonts w:ascii="Arial" w:hAnsi="Arial" w:cs="Arial"/>
                <w:sz w:val="24"/>
                <w:szCs w:val="24"/>
              </w:rPr>
              <w:t xml:space="preserve"> and Creative Services (Scotland) Ltd. </w:t>
            </w:r>
            <w:r w:rsidR="004749D1" w:rsidRPr="00137D7A">
              <w:rPr>
                <w:rFonts w:ascii="Arial" w:hAnsi="Arial" w:cs="Arial"/>
                <w:sz w:val="24"/>
                <w:szCs w:val="24"/>
              </w:rPr>
              <w:t xml:space="preserve">as detailed in </w:t>
            </w:r>
            <w:r w:rsidR="00CB63C6" w:rsidRPr="00CB63C6">
              <w:rPr>
                <w:rFonts w:ascii="Arial" w:hAnsi="Arial" w:cs="Arial"/>
                <w:b/>
                <w:sz w:val="24"/>
                <w:szCs w:val="24"/>
              </w:rPr>
              <w:t>paragraph</w:t>
            </w:r>
            <w:r w:rsidR="004749D1" w:rsidRPr="00137D7A">
              <w:rPr>
                <w:rFonts w:ascii="Arial" w:hAnsi="Arial" w:cs="Arial"/>
                <w:b/>
                <w:sz w:val="24"/>
                <w:szCs w:val="24"/>
              </w:rPr>
              <w:t xml:space="preserve"> </w:t>
            </w:r>
            <w:r w:rsidR="00400D9D">
              <w:rPr>
                <w:rFonts w:ascii="Arial" w:hAnsi="Arial" w:cs="Arial"/>
                <w:b/>
                <w:sz w:val="24"/>
                <w:szCs w:val="24"/>
              </w:rPr>
              <w:t>9</w:t>
            </w:r>
            <w:r w:rsidR="00A57DCC">
              <w:rPr>
                <w:rFonts w:ascii="Arial" w:hAnsi="Arial" w:cs="Arial"/>
                <w:sz w:val="24"/>
                <w:szCs w:val="24"/>
              </w:rPr>
              <w:t xml:space="preserve"> of th</w:t>
            </w:r>
            <w:r w:rsidR="00FC5923">
              <w:rPr>
                <w:rFonts w:ascii="Arial" w:hAnsi="Arial" w:cs="Arial"/>
                <w:sz w:val="24"/>
                <w:szCs w:val="24"/>
              </w:rPr>
              <w:t xml:space="preserve">is </w:t>
            </w:r>
            <w:r w:rsidR="00A57DCC">
              <w:rPr>
                <w:rFonts w:ascii="Arial" w:hAnsi="Arial" w:cs="Arial"/>
                <w:sz w:val="24"/>
                <w:szCs w:val="24"/>
              </w:rPr>
              <w:t>report</w:t>
            </w:r>
            <w:bookmarkEnd w:id="0"/>
            <w:bookmarkEnd w:id="1"/>
            <w:r w:rsidR="00344232">
              <w:rPr>
                <w:rFonts w:ascii="Arial" w:hAnsi="Arial" w:cs="Arial"/>
                <w:sz w:val="24"/>
                <w:szCs w:val="24"/>
              </w:rPr>
              <w:t>; and</w:t>
            </w:r>
          </w:p>
          <w:p w:rsidR="00344232" w:rsidRPr="00344232" w:rsidRDefault="00344232" w:rsidP="00344232">
            <w:pPr>
              <w:pStyle w:val="ListParagraph"/>
              <w:numPr>
                <w:ilvl w:val="0"/>
                <w:numId w:val="33"/>
              </w:numPr>
              <w:ind w:left="709" w:hanging="425"/>
              <w:jc w:val="both"/>
              <w:rPr>
                <w:rFonts w:ascii="Arial" w:hAnsi="Arial" w:cs="Arial"/>
                <w:sz w:val="24"/>
                <w:szCs w:val="24"/>
              </w:rPr>
            </w:pPr>
            <w:proofErr w:type="gramStart"/>
            <w:r w:rsidRPr="00344232">
              <w:rPr>
                <w:rFonts w:ascii="Arial" w:hAnsi="Arial" w:cs="Arial"/>
                <w:sz w:val="24"/>
                <w:szCs w:val="24"/>
              </w:rPr>
              <w:t>approve</w:t>
            </w:r>
            <w:proofErr w:type="gramEnd"/>
            <w:r w:rsidRPr="00344232">
              <w:rPr>
                <w:rFonts w:ascii="Arial" w:hAnsi="Arial" w:cs="Arial"/>
                <w:sz w:val="24"/>
                <w:szCs w:val="24"/>
              </w:rPr>
              <w:t xml:space="preserve"> the three year Audit plan proposal</w:t>
            </w:r>
            <w:r>
              <w:rPr>
                <w:rFonts w:ascii="Arial" w:hAnsi="Arial" w:cs="Arial"/>
                <w:sz w:val="24"/>
                <w:szCs w:val="24"/>
              </w:rPr>
              <w:t>.</w:t>
            </w:r>
          </w:p>
        </w:tc>
      </w:tr>
    </w:tbl>
    <w:p w:rsidR="0097099E" w:rsidRPr="0089449E" w:rsidRDefault="0097099E" w:rsidP="00472040">
      <w:pPr>
        <w:jc w:val="both"/>
        <w:rPr>
          <w:rFonts w:ascii="Arial" w:hAnsi="Arial" w:cs="Arial"/>
          <w:szCs w:val="24"/>
        </w:rPr>
      </w:pPr>
    </w:p>
    <w:tbl>
      <w:tblPr>
        <w:tblW w:w="9606" w:type="dxa"/>
        <w:tblLayout w:type="fixed"/>
        <w:tblLook w:val="0000" w:firstRow="0" w:lastRow="0" w:firstColumn="0" w:lastColumn="0" w:noHBand="0" w:noVBand="0"/>
      </w:tblPr>
      <w:tblGrid>
        <w:gridCol w:w="817"/>
        <w:gridCol w:w="8789"/>
      </w:tblGrid>
      <w:tr w:rsidR="00A53534" w:rsidRPr="0089449E" w:rsidTr="001B2922">
        <w:tc>
          <w:tcPr>
            <w:tcW w:w="817" w:type="dxa"/>
          </w:tcPr>
          <w:p w:rsidR="00A53534" w:rsidRPr="0089449E" w:rsidRDefault="008B4D54" w:rsidP="00472040">
            <w:pPr>
              <w:jc w:val="both"/>
              <w:rPr>
                <w:rFonts w:ascii="Arial" w:hAnsi="Arial" w:cs="Arial"/>
                <w:b/>
                <w:szCs w:val="24"/>
              </w:rPr>
            </w:pPr>
            <w:r>
              <w:rPr>
                <w:rFonts w:ascii="Arial" w:hAnsi="Arial" w:cs="Arial"/>
                <w:b/>
                <w:szCs w:val="24"/>
              </w:rPr>
              <w:t>1</w:t>
            </w:r>
            <w:r w:rsidR="00A53534" w:rsidRPr="0089449E">
              <w:rPr>
                <w:rFonts w:ascii="Arial" w:hAnsi="Arial" w:cs="Arial"/>
                <w:b/>
                <w:szCs w:val="24"/>
              </w:rPr>
              <w:t>.</w:t>
            </w:r>
          </w:p>
        </w:tc>
        <w:tc>
          <w:tcPr>
            <w:tcW w:w="8789" w:type="dxa"/>
          </w:tcPr>
          <w:p w:rsidR="00A53534" w:rsidRPr="0089449E" w:rsidRDefault="00A53534" w:rsidP="00472040">
            <w:pPr>
              <w:jc w:val="both"/>
              <w:rPr>
                <w:rFonts w:ascii="Arial" w:hAnsi="Arial" w:cs="Arial"/>
                <w:b/>
              </w:rPr>
            </w:pPr>
            <w:r w:rsidRPr="0089449E">
              <w:rPr>
                <w:rFonts w:ascii="Arial" w:hAnsi="Arial" w:cs="Arial"/>
                <w:b/>
              </w:rPr>
              <w:t>Business Plan Contribution</w:t>
            </w:r>
          </w:p>
          <w:p w:rsidR="00A53534" w:rsidRPr="0089449E" w:rsidRDefault="00A53534" w:rsidP="00472040">
            <w:pPr>
              <w:jc w:val="both"/>
              <w:rPr>
                <w:rFonts w:ascii="Arial" w:hAnsi="Arial" w:cs="Arial"/>
                <w:szCs w:val="24"/>
              </w:rPr>
            </w:pPr>
          </w:p>
        </w:tc>
      </w:tr>
      <w:tr w:rsidR="00A53534" w:rsidRPr="0089449E" w:rsidTr="001B2922">
        <w:tc>
          <w:tcPr>
            <w:tcW w:w="817" w:type="dxa"/>
          </w:tcPr>
          <w:p w:rsidR="00A53534" w:rsidRPr="007161EF" w:rsidRDefault="008B4D54" w:rsidP="00472040">
            <w:pPr>
              <w:jc w:val="both"/>
              <w:rPr>
                <w:rFonts w:ascii="Arial" w:hAnsi="Arial" w:cs="Arial"/>
                <w:szCs w:val="24"/>
              </w:rPr>
            </w:pPr>
            <w:r>
              <w:rPr>
                <w:rFonts w:ascii="Arial" w:hAnsi="Arial" w:cs="Arial"/>
                <w:szCs w:val="24"/>
              </w:rPr>
              <w:t>1</w:t>
            </w:r>
            <w:r w:rsidR="00A53534" w:rsidRPr="007161EF">
              <w:rPr>
                <w:rFonts w:ascii="Arial" w:hAnsi="Arial" w:cs="Arial"/>
                <w:szCs w:val="24"/>
              </w:rPr>
              <w:t>.1</w:t>
            </w:r>
          </w:p>
        </w:tc>
        <w:tc>
          <w:tcPr>
            <w:tcW w:w="8789" w:type="dxa"/>
          </w:tcPr>
          <w:p w:rsidR="00B0145D" w:rsidRPr="00B0145D" w:rsidRDefault="00B0145D" w:rsidP="00B0145D">
            <w:pPr>
              <w:jc w:val="both"/>
              <w:rPr>
                <w:rFonts w:ascii="Arial" w:hAnsi="Arial" w:cs="Arial"/>
              </w:rPr>
            </w:pPr>
            <w:r w:rsidRPr="00B0145D">
              <w:rPr>
                <w:rFonts w:ascii="Arial" w:hAnsi="Arial" w:cs="Arial"/>
              </w:rPr>
              <w:t>This report supports the highlighted Business Outcome</w:t>
            </w:r>
            <w:r w:rsidR="00542E12">
              <w:rPr>
                <w:rFonts w:ascii="Arial" w:hAnsi="Arial" w:cs="Arial"/>
              </w:rPr>
              <w:t>s</w:t>
            </w:r>
            <w:r w:rsidRPr="00B0145D">
              <w:rPr>
                <w:rFonts w:ascii="Arial" w:hAnsi="Arial" w:cs="Arial"/>
              </w:rPr>
              <w:t xml:space="preserve"> from the High Life Highland (HLH) Business Plan:</w:t>
            </w:r>
          </w:p>
          <w:p w:rsidR="00B0145D" w:rsidRPr="00B0145D" w:rsidRDefault="00B0145D" w:rsidP="00B0145D">
            <w:pPr>
              <w:jc w:val="both"/>
              <w:rPr>
                <w:rFonts w:ascii="Arial" w:hAnsi="Arial" w:cs="Arial"/>
              </w:rPr>
            </w:pPr>
          </w:p>
          <w:p w:rsidR="0031751B" w:rsidRPr="00542E12" w:rsidRDefault="0031751B" w:rsidP="0031751B">
            <w:pPr>
              <w:pStyle w:val="ListParagraph"/>
              <w:numPr>
                <w:ilvl w:val="0"/>
                <w:numId w:val="6"/>
              </w:numPr>
              <w:spacing w:after="0" w:line="240" w:lineRule="auto"/>
              <w:jc w:val="both"/>
              <w:rPr>
                <w:rFonts w:ascii="Arial" w:hAnsi="Arial" w:cs="Arial"/>
                <w:b/>
                <w:sz w:val="24"/>
                <w:szCs w:val="24"/>
              </w:rPr>
            </w:pPr>
            <w:r w:rsidRPr="00542E12">
              <w:rPr>
                <w:rFonts w:ascii="Arial" w:hAnsi="Arial" w:cs="Arial"/>
                <w:b/>
                <w:sz w:val="24"/>
                <w:szCs w:val="24"/>
              </w:rPr>
              <w:t>To advance sustainable growth and financial sustainability</w:t>
            </w:r>
          </w:p>
          <w:p w:rsidR="0031751B" w:rsidRPr="00050D22" w:rsidRDefault="0031751B" w:rsidP="0031751B">
            <w:pPr>
              <w:pStyle w:val="ListParagraph"/>
              <w:numPr>
                <w:ilvl w:val="0"/>
                <w:numId w:val="6"/>
              </w:numPr>
              <w:spacing w:after="0" w:line="240" w:lineRule="auto"/>
              <w:jc w:val="both"/>
              <w:rPr>
                <w:rFonts w:ascii="Arial" w:hAnsi="Arial" w:cs="Arial"/>
                <w:b/>
                <w:sz w:val="24"/>
                <w:szCs w:val="24"/>
              </w:rPr>
            </w:pPr>
            <w:r w:rsidRPr="00050D22">
              <w:rPr>
                <w:rFonts w:ascii="Arial" w:hAnsi="Arial" w:cs="Arial"/>
                <w:b/>
                <w:sz w:val="24"/>
                <w:szCs w:val="24"/>
              </w:rPr>
              <w:t>Deliver the Service Delivery Contract with THC</w:t>
            </w:r>
          </w:p>
          <w:p w:rsidR="0031751B" w:rsidRPr="003A3BC3" w:rsidRDefault="0031751B" w:rsidP="0031751B">
            <w:pPr>
              <w:pStyle w:val="ListParagraph"/>
              <w:numPr>
                <w:ilvl w:val="0"/>
                <w:numId w:val="6"/>
              </w:numPr>
              <w:spacing w:after="0" w:line="240" w:lineRule="auto"/>
              <w:jc w:val="both"/>
              <w:rPr>
                <w:rFonts w:ascii="Arial" w:hAnsi="Arial" w:cs="Arial"/>
                <w:sz w:val="24"/>
                <w:szCs w:val="24"/>
              </w:rPr>
            </w:pPr>
            <w:r w:rsidRPr="003A3BC3">
              <w:rPr>
                <w:rFonts w:ascii="Arial" w:hAnsi="Arial" w:cs="Arial"/>
                <w:sz w:val="24"/>
                <w:szCs w:val="24"/>
              </w:rPr>
              <w:t>Improving staff satisfaction</w:t>
            </w:r>
          </w:p>
          <w:p w:rsidR="0031751B" w:rsidRPr="004749D1" w:rsidRDefault="0031751B" w:rsidP="0031751B">
            <w:pPr>
              <w:pStyle w:val="ListParagraph"/>
              <w:numPr>
                <w:ilvl w:val="0"/>
                <w:numId w:val="6"/>
              </w:numPr>
              <w:spacing w:after="0" w:line="240" w:lineRule="auto"/>
              <w:jc w:val="both"/>
              <w:rPr>
                <w:rFonts w:ascii="Arial" w:hAnsi="Arial" w:cs="Arial"/>
                <w:sz w:val="24"/>
                <w:szCs w:val="24"/>
              </w:rPr>
            </w:pPr>
            <w:r w:rsidRPr="004749D1">
              <w:rPr>
                <w:rFonts w:ascii="Arial" w:hAnsi="Arial" w:cs="Arial"/>
                <w:sz w:val="24"/>
                <w:szCs w:val="24"/>
              </w:rPr>
              <w:t>Improving customer satisfaction</w:t>
            </w:r>
          </w:p>
          <w:p w:rsidR="0031751B" w:rsidRPr="00FF59DD" w:rsidRDefault="0031751B" w:rsidP="0031751B">
            <w:pPr>
              <w:pStyle w:val="ListParagraph"/>
              <w:numPr>
                <w:ilvl w:val="0"/>
                <w:numId w:val="6"/>
              </w:numPr>
              <w:spacing w:after="0" w:line="240" w:lineRule="auto"/>
              <w:jc w:val="both"/>
              <w:rPr>
                <w:rFonts w:ascii="Arial" w:hAnsi="Arial" w:cs="Arial"/>
                <w:sz w:val="24"/>
                <w:szCs w:val="24"/>
              </w:rPr>
            </w:pPr>
            <w:r w:rsidRPr="00FF59DD">
              <w:rPr>
                <w:rFonts w:ascii="Arial" w:hAnsi="Arial" w:cs="Arial"/>
                <w:sz w:val="24"/>
                <w:szCs w:val="24"/>
              </w:rPr>
              <w:t>A positive company image</w:t>
            </w:r>
          </w:p>
          <w:p w:rsidR="0031751B" w:rsidRPr="001216C7" w:rsidRDefault="0031751B" w:rsidP="0031751B">
            <w:pPr>
              <w:pStyle w:val="ListParagraph"/>
              <w:numPr>
                <w:ilvl w:val="0"/>
                <w:numId w:val="6"/>
              </w:numPr>
              <w:spacing w:after="0" w:line="240" w:lineRule="auto"/>
              <w:jc w:val="both"/>
              <w:rPr>
                <w:rFonts w:ascii="Arial" w:hAnsi="Arial" w:cs="Arial"/>
                <w:sz w:val="24"/>
                <w:szCs w:val="24"/>
              </w:rPr>
            </w:pPr>
            <w:r w:rsidRPr="001216C7">
              <w:rPr>
                <w:rFonts w:ascii="Arial" w:hAnsi="Arial" w:cs="Arial"/>
                <w:sz w:val="24"/>
                <w:szCs w:val="24"/>
              </w:rPr>
              <w:t>Services designed around customers and through market opportunities</w:t>
            </w:r>
          </w:p>
          <w:p w:rsidR="0031751B" w:rsidRPr="003A3BC3" w:rsidRDefault="0031751B" w:rsidP="0031751B">
            <w:pPr>
              <w:pStyle w:val="ListParagraph"/>
              <w:numPr>
                <w:ilvl w:val="0"/>
                <w:numId w:val="6"/>
              </w:numPr>
              <w:spacing w:after="0" w:line="240" w:lineRule="auto"/>
              <w:jc w:val="both"/>
              <w:rPr>
                <w:rFonts w:ascii="Arial" w:hAnsi="Arial" w:cs="Arial"/>
                <w:sz w:val="24"/>
                <w:szCs w:val="24"/>
              </w:rPr>
            </w:pPr>
            <w:r w:rsidRPr="003A3BC3">
              <w:rPr>
                <w:rFonts w:ascii="Arial" w:hAnsi="Arial" w:cs="Arial"/>
                <w:sz w:val="24"/>
                <w:szCs w:val="24"/>
              </w:rPr>
              <w:t>Sustain a good health and safety performance</w:t>
            </w:r>
          </w:p>
          <w:p w:rsidR="0031751B" w:rsidRPr="003A3BC3" w:rsidRDefault="0031751B" w:rsidP="0031751B">
            <w:pPr>
              <w:pStyle w:val="ListParagraph"/>
              <w:numPr>
                <w:ilvl w:val="0"/>
                <w:numId w:val="6"/>
              </w:numPr>
              <w:spacing w:after="0" w:line="240" w:lineRule="auto"/>
              <w:jc w:val="both"/>
              <w:rPr>
                <w:rFonts w:ascii="Arial" w:hAnsi="Arial" w:cs="Arial"/>
                <w:sz w:val="24"/>
                <w:szCs w:val="24"/>
              </w:rPr>
            </w:pPr>
            <w:r w:rsidRPr="003A3BC3">
              <w:rPr>
                <w:rFonts w:ascii="Arial" w:hAnsi="Arial" w:cs="Arial"/>
                <w:sz w:val="24"/>
                <w:szCs w:val="24"/>
              </w:rPr>
              <w:t>A trusted partner</w:t>
            </w:r>
          </w:p>
          <w:p w:rsidR="00C51930" w:rsidRPr="00B0145D" w:rsidRDefault="00C51930" w:rsidP="0031751B">
            <w:pPr>
              <w:contextualSpacing/>
              <w:jc w:val="both"/>
              <w:rPr>
                <w:rFonts w:ascii="Arial" w:hAnsi="Arial" w:cs="Arial"/>
              </w:rPr>
            </w:pPr>
          </w:p>
        </w:tc>
      </w:tr>
      <w:tr w:rsidR="00A53534" w:rsidRPr="0089449E" w:rsidTr="001B2922">
        <w:tc>
          <w:tcPr>
            <w:tcW w:w="817" w:type="dxa"/>
          </w:tcPr>
          <w:p w:rsidR="00A53534" w:rsidRPr="0089449E" w:rsidRDefault="008B4D54" w:rsidP="00472040">
            <w:pPr>
              <w:jc w:val="both"/>
              <w:rPr>
                <w:rFonts w:ascii="Arial" w:hAnsi="Arial" w:cs="Arial"/>
                <w:b/>
                <w:szCs w:val="24"/>
              </w:rPr>
            </w:pPr>
            <w:r>
              <w:rPr>
                <w:rFonts w:ascii="Arial" w:hAnsi="Arial" w:cs="Arial"/>
                <w:b/>
                <w:szCs w:val="24"/>
              </w:rPr>
              <w:t>2.</w:t>
            </w:r>
          </w:p>
        </w:tc>
        <w:tc>
          <w:tcPr>
            <w:tcW w:w="8789" w:type="dxa"/>
          </w:tcPr>
          <w:p w:rsidR="008B4D54" w:rsidRPr="0097099E" w:rsidRDefault="008B4D54" w:rsidP="00472040">
            <w:pPr>
              <w:jc w:val="both"/>
              <w:rPr>
                <w:rFonts w:ascii="Arial" w:hAnsi="Arial" w:cs="Arial"/>
                <w:b/>
                <w:szCs w:val="24"/>
              </w:rPr>
            </w:pPr>
            <w:r w:rsidRPr="0097099E">
              <w:rPr>
                <w:rFonts w:ascii="Arial" w:hAnsi="Arial" w:cs="Arial"/>
                <w:b/>
                <w:szCs w:val="24"/>
              </w:rPr>
              <w:t>Background</w:t>
            </w:r>
          </w:p>
          <w:p w:rsidR="00A53534" w:rsidRPr="0089449E" w:rsidRDefault="00A53534" w:rsidP="00472040">
            <w:pPr>
              <w:jc w:val="both"/>
              <w:rPr>
                <w:rFonts w:ascii="Arial" w:hAnsi="Arial" w:cs="Arial"/>
                <w:szCs w:val="24"/>
              </w:rPr>
            </w:pPr>
          </w:p>
        </w:tc>
      </w:tr>
      <w:tr w:rsidR="004A13CB" w:rsidRPr="0089449E" w:rsidTr="001B2922">
        <w:tc>
          <w:tcPr>
            <w:tcW w:w="817" w:type="dxa"/>
          </w:tcPr>
          <w:p w:rsidR="004A13CB" w:rsidRDefault="004A13CB" w:rsidP="004A13CB">
            <w:pPr>
              <w:jc w:val="both"/>
              <w:rPr>
                <w:rFonts w:ascii="Arial" w:hAnsi="Arial" w:cs="Arial"/>
                <w:szCs w:val="24"/>
              </w:rPr>
            </w:pPr>
            <w:r w:rsidRPr="008B4D54">
              <w:rPr>
                <w:rFonts w:ascii="Arial" w:hAnsi="Arial" w:cs="Arial"/>
                <w:szCs w:val="24"/>
              </w:rPr>
              <w:t>2.1</w:t>
            </w:r>
          </w:p>
          <w:p w:rsidR="004A13CB" w:rsidRDefault="004A13CB" w:rsidP="00472040">
            <w:pPr>
              <w:jc w:val="both"/>
              <w:rPr>
                <w:rFonts w:ascii="Arial" w:hAnsi="Arial" w:cs="Arial"/>
                <w:b/>
                <w:szCs w:val="24"/>
              </w:rPr>
            </w:pPr>
          </w:p>
        </w:tc>
        <w:tc>
          <w:tcPr>
            <w:tcW w:w="8789" w:type="dxa"/>
          </w:tcPr>
          <w:p w:rsidR="008C5158" w:rsidRDefault="004A13CB" w:rsidP="00472040">
            <w:pPr>
              <w:jc w:val="both"/>
              <w:rPr>
                <w:rFonts w:ascii="Arial" w:hAnsi="Arial" w:cs="Arial"/>
                <w:szCs w:val="24"/>
              </w:rPr>
            </w:pPr>
            <w:r>
              <w:rPr>
                <w:rFonts w:ascii="Arial" w:hAnsi="Arial" w:cs="Arial"/>
                <w:szCs w:val="24"/>
              </w:rPr>
              <w:t xml:space="preserve">Directors of HLH receive a Finance Report on </w:t>
            </w:r>
            <w:r w:rsidR="001C4B5C">
              <w:rPr>
                <w:rFonts w:ascii="Arial" w:hAnsi="Arial" w:cs="Arial"/>
                <w:szCs w:val="24"/>
              </w:rPr>
              <w:t xml:space="preserve">a </w:t>
            </w:r>
            <w:r w:rsidR="00420554">
              <w:rPr>
                <w:rFonts w:ascii="Arial" w:hAnsi="Arial" w:cs="Arial"/>
                <w:szCs w:val="24"/>
              </w:rPr>
              <w:t xml:space="preserve">quarterly </w:t>
            </w:r>
            <w:r w:rsidR="009E3DB8">
              <w:rPr>
                <w:rFonts w:ascii="Arial" w:hAnsi="Arial" w:cs="Arial"/>
                <w:szCs w:val="24"/>
              </w:rPr>
              <w:t xml:space="preserve">basis. The primary purpose of the </w:t>
            </w:r>
            <w:r>
              <w:rPr>
                <w:rFonts w:ascii="Arial" w:hAnsi="Arial" w:cs="Arial"/>
                <w:szCs w:val="24"/>
              </w:rPr>
              <w:t>report is to summarise the financial performance of the organisation and its subsidiaries.</w:t>
            </w:r>
          </w:p>
          <w:p w:rsidR="008C5158" w:rsidRPr="006909C6" w:rsidRDefault="008C5158" w:rsidP="00472040">
            <w:pPr>
              <w:jc w:val="both"/>
              <w:rPr>
                <w:rFonts w:ascii="Arial" w:hAnsi="Arial" w:cs="Arial"/>
                <w:szCs w:val="24"/>
              </w:rPr>
            </w:pPr>
          </w:p>
        </w:tc>
      </w:tr>
      <w:tr w:rsidR="004A13CB" w:rsidRPr="0089449E" w:rsidTr="001B2922">
        <w:tc>
          <w:tcPr>
            <w:tcW w:w="817" w:type="dxa"/>
          </w:tcPr>
          <w:p w:rsidR="004A13CB" w:rsidRDefault="004A13CB" w:rsidP="004A13CB">
            <w:pPr>
              <w:jc w:val="both"/>
              <w:rPr>
                <w:rFonts w:ascii="Arial" w:hAnsi="Arial" w:cs="Arial"/>
                <w:b/>
                <w:szCs w:val="24"/>
              </w:rPr>
            </w:pPr>
            <w:r w:rsidRPr="00CD28C3">
              <w:rPr>
                <w:rFonts w:ascii="Arial" w:hAnsi="Arial" w:cs="Arial"/>
                <w:b/>
                <w:szCs w:val="24"/>
              </w:rPr>
              <w:t>3.</w:t>
            </w:r>
          </w:p>
          <w:p w:rsidR="004A13CB" w:rsidRPr="008B4D54" w:rsidRDefault="004A13CB" w:rsidP="004A13CB">
            <w:pPr>
              <w:jc w:val="both"/>
              <w:rPr>
                <w:rFonts w:ascii="Arial" w:hAnsi="Arial" w:cs="Arial"/>
                <w:szCs w:val="24"/>
              </w:rPr>
            </w:pPr>
          </w:p>
        </w:tc>
        <w:tc>
          <w:tcPr>
            <w:tcW w:w="8789" w:type="dxa"/>
          </w:tcPr>
          <w:p w:rsidR="004A13CB" w:rsidRDefault="004A13CB" w:rsidP="004A13CB">
            <w:pPr>
              <w:jc w:val="both"/>
              <w:rPr>
                <w:rFonts w:ascii="Arial" w:hAnsi="Arial" w:cs="Arial"/>
                <w:b/>
                <w:szCs w:val="24"/>
              </w:rPr>
            </w:pPr>
            <w:r w:rsidRPr="00CD28C3">
              <w:rPr>
                <w:rFonts w:ascii="Arial" w:hAnsi="Arial" w:cs="Arial"/>
                <w:b/>
                <w:szCs w:val="24"/>
              </w:rPr>
              <w:t xml:space="preserve">Financial Performance </w:t>
            </w:r>
            <w:r w:rsidR="000757C8">
              <w:rPr>
                <w:rFonts w:ascii="Arial" w:hAnsi="Arial" w:cs="Arial"/>
                <w:b/>
                <w:szCs w:val="24"/>
              </w:rPr>
              <w:t xml:space="preserve">for the year </w:t>
            </w:r>
            <w:r w:rsidR="0016608B">
              <w:rPr>
                <w:rFonts w:ascii="Arial" w:hAnsi="Arial" w:cs="Arial"/>
                <w:b/>
                <w:szCs w:val="24"/>
              </w:rPr>
              <w:t>2016/17</w:t>
            </w:r>
          </w:p>
          <w:p w:rsidR="004A13CB" w:rsidRDefault="004A13CB" w:rsidP="004A13CB">
            <w:pPr>
              <w:jc w:val="both"/>
              <w:rPr>
                <w:rFonts w:ascii="Arial" w:hAnsi="Arial" w:cs="Arial"/>
                <w:szCs w:val="24"/>
              </w:rPr>
            </w:pPr>
          </w:p>
        </w:tc>
      </w:tr>
      <w:tr w:rsidR="00A53534" w:rsidRPr="0089449E" w:rsidTr="001B2922">
        <w:tc>
          <w:tcPr>
            <w:tcW w:w="817" w:type="dxa"/>
          </w:tcPr>
          <w:p w:rsidR="00CD28C3" w:rsidRDefault="00CD28C3" w:rsidP="00472040">
            <w:pPr>
              <w:jc w:val="both"/>
              <w:rPr>
                <w:rFonts w:ascii="Arial" w:hAnsi="Arial" w:cs="Arial"/>
                <w:szCs w:val="24"/>
              </w:rPr>
            </w:pPr>
            <w:r w:rsidRPr="00CD28C3">
              <w:rPr>
                <w:rFonts w:ascii="Arial" w:hAnsi="Arial" w:cs="Arial"/>
                <w:szCs w:val="24"/>
              </w:rPr>
              <w:t>3.1</w:t>
            </w:r>
          </w:p>
          <w:p w:rsidR="00B9658E" w:rsidRDefault="00B9658E" w:rsidP="00472040">
            <w:pPr>
              <w:jc w:val="both"/>
              <w:rPr>
                <w:rFonts w:ascii="Arial" w:hAnsi="Arial" w:cs="Arial"/>
                <w:szCs w:val="24"/>
              </w:rPr>
            </w:pPr>
          </w:p>
          <w:p w:rsidR="00542E12" w:rsidRDefault="00542E12" w:rsidP="00472040">
            <w:pPr>
              <w:jc w:val="both"/>
              <w:rPr>
                <w:rFonts w:ascii="Arial" w:hAnsi="Arial" w:cs="Arial"/>
                <w:szCs w:val="24"/>
              </w:rPr>
            </w:pPr>
          </w:p>
          <w:p w:rsidR="00542E12" w:rsidRDefault="00542E12" w:rsidP="00472040">
            <w:pPr>
              <w:jc w:val="both"/>
              <w:rPr>
                <w:rFonts w:ascii="Arial" w:hAnsi="Arial" w:cs="Arial"/>
                <w:szCs w:val="24"/>
              </w:rPr>
            </w:pPr>
          </w:p>
          <w:p w:rsidR="00542E12" w:rsidRDefault="00542E12" w:rsidP="00472040">
            <w:pPr>
              <w:jc w:val="both"/>
              <w:rPr>
                <w:rFonts w:ascii="Arial" w:hAnsi="Arial" w:cs="Arial"/>
                <w:szCs w:val="24"/>
              </w:rPr>
            </w:pPr>
          </w:p>
          <w:p w:rsidR="000757C8" w:rsidRDefault="000757C8" w:rsidP="00472040">
            <w:pPr>
              <w:jc w:val="both"/>
              <w:rPr>
                <w:rFonts w:ascii="Arial" w:hAnsi="Arial" w:cs="Arial"/>
                <w:szCs w:val="24"/>
              </w:rPr>
            </w:pPr>
          </w:p>
          <w:p w:rsidR="00635750" w:rsidRDefault="00635750" w:rsidP="00472040">
            <w:pPr>
              <w:jc w:val="both"/>
              <w:rPr>
                <w:rFonts w:ascii="Arial" w:hAnsi="Arial" w:cs="Arial"/>
                <w:szCs w:val="24"/>
              </w:rPr>
            </w:pPr>
            <w:r>
              <w:rPr>
                <w:rFonts w:ascii="Arial" w:hAnsi="Arial" w:cs="Arial"/>
                <w:szCs w:val="24"/>
              </w:rPr>
              <w:t>3.2</w:t>
            </w:r>
          </w:p>
          <w:p w:rsidR="00B71E7C" w:rsidRDefault="00B71E7C" w:rsidP="00472040">
            <w:pPr>
              <w:jc w:val="both"/>
              <w:rPr>
                <w:rFonts w:ascii="Arial" w:hAnsi="Arial" w:cs="Arial"/>
                <w:szCs w:val="24"/>
              </w:rPr>
            </w:pPr>
          </w:p>
          <w:p w:rsidR="00EC352D" w:rsidRPr="00CD28C3" w:rsidRDefault="00EC352D" w:rsidP="000757C8">
            <w:pPr>
              <w:jc w:val="both"/>
              <w:rPr>
                <w:rFonts w:ascii="Arial" w:hAnsi="Arial" w:cs="Arial"/>
                <w:szCs w:val="24"/>
              </w:rPr>
            </w:pPr>
          </w:p>
        </w:tc>
        <w:tc>
          <w:tcPr>
            <w:tcW w:w="8789" w:type="dxa"/>
          </w:tcPr>
          <w:p w:rsidR="000757C8" w:rsidRPr="000757C8" w:rsidRDefault="00635750" w:rsidP="000757C8">
            <w:pPr>
              <w:contextualSpacing/>
              <w:jc w:val="both"/>
              <w:rPr>
                <w:rFonts w:ascii="Arial" w:eastAsia="Calibri" w:hAnsi="Arial" w:cs="Arial"/>
                <w:b/>
                <w:szCs w:val="24"/>
                <w:lang w:eastAsia="en-US"/>
              </w:rPr>
            </w:pPr>
            <w:r>
              <w:rPr>
                <w:rFonts w:ascii="Arial" w:hAnsi="Arial" w:cs="Arial"/>
                <w:szCs w:val="24"/>
              </w:rPr>
              <w:lastRenderedPageBreak/>
              <w:t xml:space="preserve">The </w:t>
            </w:r>
            <w:r w:rsidR="000757C8" w:rsidRPr="000757C8">
              <w:rPr>
                <w:rFonts w:ascii="Arial" w:eastAsia="Calibri" w:hAnsi="Arial" w:cs="Arial"/>
                <w:szCs w:val="24"/>
                <w:lang w:eastAsia="en-US"/>
              </w:rPr>
              <w:t xml:space="preserve">Management Accounts, subject to Audit, for the financial year </w:t>
            </w:r>
            <w:r w:rsidR="0016608B">
              <w:rPr>
                <w:rFonts w:ascii="Arial" w:eastAsia="Calibri" w:hAnsi="Arial" w:cs="Arial"/>
                <w:szCs w:val="24"/>
                <w:lang w:eastAsia="en-US"/>
              </w:rPr>
              <w:t>2016/17</w:t>
            </w:r>
            <w:r w:rsidR="000757C8" w:rsidRPr="000757C8">
              <w:rPr>
                <w:rFonts w:ascii="Arial" w:eastAsia="Calibri" w:hAnsi="Arial" w:cs="Arial"/>
                <w:szCs w:val="24"/>
                <w:lang w:eastAsia="en-US"/>
              </w:rPr>
              <w:t xml:space="preserve"> have been prepared. HLH’s consolidated financial performance for the year is summarised in </w:t>
            </w:r>
            <w:r w:rsidR="000757C8" w:rsidRPr="000757C8">
              <w:rPr>
                <w:rFonts w:ascii="Arial" w:eastAsia="Calibri" w:hAnsi="Arial" w:cs="Arial"/>
                <w:b/>
                <w:szCs w:val="24"/>
                <w:lang w:eastAsia="en-US"/>
              </w:rPr>
              <w:t xml:space="preserve">Appendix A. </w:t>
            </w:r>
            <w:r w:rsidR="000757C8" w:rsidRPr="000757C8">
              <w:rPr>
                <w:rFonts w:ascii="Arial" w:eastAsia="Calibri" w:hAnsi="Arial" w:cs="Arial"/>
                <w:szCs w:val="24"/>
                <w:lang w:eastAsia="en-US"/>
              </w:rPr>
              <w:t xml:space="preserve">The results for the year are further split by cost category (revenues, staff costs, </w:t>
            </w:r>
            <w:proofErr w:type="gramStart"/>
            <w:r w:rsidR="000757C8" w:rsidRPr="000757C8">
              <w:rPr>
                <w:rFonts w:ascii="Arial" w:eastAsia="Calibri" w:hAnsi="Arial" w:cs="Arial"/>
                <w:szCs w:val="24"/>
                <w:lang w:eastAsia="en-US"/>
              </w:rPr>
              <w:t>other</w:t>
            </w:r>
            <w:proofErr w:type="gramEnd"/>
            <w:r w:rsidR="000757C8" w:rsidRPr="000757C8">
              <w:rPr>
                <w:rFonts w:ascii="Arial" w:eastAsia="Calibri" w:hAnsi="Arial" w:cs="Arial"/>
                <w:szCs w:val="24"/>
                <w:lang w:eastAsia="en-US"/>
              </w:rPr>
              <w:t xml:space="preserve"> costs) and the 9 business areas in </w:t>
            </w:r>
            <w:r w:rsidR="000757C8" w:rsidRPr="000757C8">
              <w:rPr>
                <w:rFonts w:ascii="Arial" w:eastAsia="Calibri" w:hAnsi="Arial" w:cs="Arial"/>
                <w:b/>
                <w:szCs w:val="24"/>
                <w:lang w:eastAsia="en-US"/>
              </w:rPr>
              <w:t>Appendix B</w:t>
            </w:r>
            <w:r w:rsidR="00A57DCC">
              <w:rPr>
                <w:rFonts w:ascii="Arial" w:eastAsia="Calibri" w:hAnsi="Arial" w:cs="Arial"/>
                <w:szCs w:val="24"/>
                <w:lang w:eastAsia="en-US"/>
              </w:rPr>
              <w:t>.</w:t>
            </w:r>
          </w:p>
          <w:p w:rsidR="00B0145D" w:rsidRDefault="00635750" w:rsidP="00635750">
            <w:pPr>
              <w:jc w:val="both"/>
              <w:rPr>
                <w:rFonts w:ascii="Arial" w:hAnsi="Arial" w:cs="Arial"/>
                <w:szCs w:val="24"/>
              </w:rPr>
            </w:pPr>
            <w:r>
              <w:rPr>
                <w:rFonts w:ascii="Arial" w:hAnsi="Arial" w:cs="Arial"/>
                <w:szCs w:val="24"/>
              </w:rPr>
              <w:t xml:space="preserve">  </w:t>
            </w:r>
          </w:p>
          <w:p w:rsidR="000757C8" w:rsidRPr="000757C8" w:rsidRDefault="000757C8" w:rsidP="000757C8">
            <w:pPr>
              <w:contextualSpacing/>
              <w:jc w:val="both"/>
              <w:rPr>
                <w:rFonts w:ascii="Arial" w:eastAsia="Calibri" w:hAnsi="Arial" w:cs="Arial"/>
                <w:b/>
                <w:szCs w:val="24"/>
                <w:lang w:eastAsia="en-US"/>
              </w:rPr>
            </w:pPr>
            <w:r w:rsidRPr="000757C8">
              <w:rPr>
                <w:rFonts w:ascii="Arial" w:eastAsia="Calibri" w:hAnsi="Arial" w:cs="Arial"/>
                <w:szCs w:val="24"/>
                <w:lang w:eastAsia="en-US"/>
              </w:rPr>
              <w:t>The net position is £</w:t>
            </w:r>
            <w:r w:rsidR="0016608B">
              <w:rPr>
                <w:rFonts w:ascii="Arial" w:eastAsia="Calibri" w:hAnsi="Arial" w:cs="Arial"/>
                <w:szCs w:val="24"/>
                <w:lang w:eastAsia="en-US"/>
              </w:rPr>
              <w:t>234,907</w:t>
            </w:r>
            <w:r w:rsidRPr="000757C8">
              <w:rPr>
                <w:rFonts w:ascii="Arial" w:eastAsia="Calibri" w:hAnsi="Arial" w:cs="Arial"/>
                <w:szCs w:val="24"/>
                <w:lang w:eastAsia="en-US"/>
              </w:rPr>
              <w:t xml:space="preserve"> positive to budget with a commentary on the major variances (over £5K) provide</w:t>
            </w:r>
            <w:r w:rsidR="00A57DCC">
              <w:rPr>
                <w:rFonts w:ascii="Arial" w:eastAsia="Calibri" w:hAnsi="Arial" w:cs="Arial"/>
                <w:szCs w:val="24"/>
                <w:lang w:eastAsia="en-US"/>
              </w:rPr>
              <w:t>d</w:t>
            </w:r>
            <w:r w:rsidRPr="000757C8">
              <w:rPr>
                <w:rFonts w:ascii="Arial" w:eastAsia="Calibri" w:hAnsi="Arial" w:cs="Arial"/>
                <w:szCs w:val="24"/>
                <w:lang w:eastAsia="en-US"/>
              </w:rPr>
              <w:t xml:space="preserve"> in </w:t>
            </w:r>
            <w:r w:rsidRPr="000757C8">
              <w:rPr>
                <w:rFonts w:ascii="Arial" w:eastAsia="Calibri" w:hAnsi="Arial" w:cs="Arial"/>
                <w:b/>
                <w:szCs w:val="24"/>
                <w:lang w:eastAsia="en-US"/>
              </w:rPr>
              <w:t xml:space="preserve">Appendix C. </w:t>
            </w:r>
            <w:r w:rsidR="009C6BF1" w:rsidRPr="009C6BF1">
              <w:rPr>
                <w:rFonts w:ascii="Arial" w:eastAsia="Calibri" w:hAnsi="Arial" w:cs="Arial"/>
                <w:b/>
                <w:szCs w:val="24"/>
                <w:lang w:eastAsia="en-US"/>
              </w:rPr>
              <w:t xml:space="preserve"> </w:t>
            </w:r>
            <w:r w:rsidR="009C6BF1" w:rsidRPr="009C6BF1">
              <w:rPr>
                <w:rFonts w:ascii="Arial" w:eastAsia="Calibri" w:hAnsi="Arial" w:cs="Arial"/>
                <w:szCs w:val="24"/>
                <w:lang w:eastAsia="en-US"/>
              </w:rPr>
              <w:t xml:space="preserve">Included in the £234,907 is </w:t>
            </w:r>
            <w:r w:rsidR="009C6BF1" w:rsidRPr="009C6BF1">
              <w:rPr>
                <w:rFonts w:ascii="Arial" w:eastAsia="Calibri" w:hAnsi="Arial" w:cs="Arial"/>
                <w:szCs w:val="24"/>
                <w:lang w:eastAsia="en-US"/>
              </w:rPr>
              <w:lastRenderedPageBreak/>
              <w:t>£80,000 of Libraries savings realised in 2016/17 which is now taken as structural savings in 2017/18 and £87,000 of planned underspend in Adult Literacy fund which has been identified for Budget savings</w:t>
            </w:r>
          </w:p>
          <w:p w:rsidR="00E61075" w:rsidRPr="002D76CB" w:rsidRDefault="00E61075" w:rsidP="003D776A">
            <w:pPr>
              <w:jc w:val="both"/>
              <w:rPr>
                <w:rFonts w:ascii="Arial" w:hAnsi="Arial" w:cs="Arial"/>
                <w:szCs w:val="24"/>
              </w:rPr>
            </w:pPr>
          </w:p>
        </w:tc>
      </w:tr>
      <w:tr w:rsidR="006909C6" w:rsidRPr="0089449E" w:rsidTr="001B2922">
        <w:trPr>
          <w:trHeight w:val="429"/>
        </w:trPr>
        <w:tc>
          <w:tcPr>
            <w:tcW w:w="817" w:type="dxa"/>
          </w:tcPr>
          <w:p w:rsidR="00400D9D" w:rsidRDefault="00344232" w:rsidP="006909C6">
            <w:pPr>
              <w:jc w:val="both"/>
              <w:rPr>
                <w:rFonts w:ascii="Arial" w:hAnsi="Arial" w:cs="Arial"/>
                <w:b/>
                <w:szCs w:val="24"/>
              </w:rPr>
            </w:pPr>
            <w:r>
              <w:rPr>
                <w:rFonts w:ascii="Arial" w:hAnsi="Arial" w:cs="Arial"/>
                <w:b/>
                <w:szCs w:val="24"/>
              </w:rPr>
              <w:lastRenderedPageBreak/>
              <w:t>4.</w:t>
            </w:r>
          </w:p>
          <w:p w:rsidR="00400D9D" w:rsidRDefault="00400D9D" w:rsidP="006909C6">
            <w:pPr>
              <w:jc w:val="both"/>
              <w:rPr>
                <w:rFonts w:ascii="Arial" w:hAnsi="Arial" w:cs="Arial"/>
                <w:b/>
                <w:szCs w:val="24"/>
              </w:rPr>
            </w:pPr>
          </w:p>
          <w:p w:rsidR="00400D9D" w:rsidRPr="00400D9D" w:rsidRDefault="00400D9D" w:rsidP="006909C6">
            <w:pPr>
              <w:jc w:val="both"/>
              <w:rPr>
                <w:rFonts w:ascii="Arial" w:hAnsi="Arial" w:cs="Arial"/>
                <w:szCs w:val="24"/>
              </w:rPr>
            </w:pPr>
            <w:r w:rsidRPr="00400D9D">
              <w:rPr>
                <w:rFonts w:ascii="Arial" w:hAnsi="Arial" w:cs="Arial"/>
                <w:szCs w:val="24"/>
              </w:rPr>
              <w:t>4.1</w:t>
            </w:r>
          </w:p>
          <w:p w:rsidR="00400D9D" w:rsidRDefault="00400D9D" w:rsidP="006909C6">
            <w:pPr>
              <w:jc w:val="both"/>
              <w:rPr>
                <w:rFonts w:ascii="Arial" w:hAnsi="Arial" w:cs="Arial"/>
                <w:b/>
                <w:szCs w:val="24"/>
              </w:rPr>
            </w:pPr>
          </w:p>
          <w:p w:rsidR="00400D9D" w:rsidRDefault="00400D9D" w:rsidP="006909C6">
            <w:pPr>
              <w:jc w:val="both"/>
              <w:rPr>
                <w:rFonts w:ascii="Arial" w:hAnsi="Arial" w:cs="Arial"/>
                <w:b/>
                <w:szCs w:val="24"/>
              </w:rPr>
            </w:pPr>
          </w:p>
          <w:p w:rsidR="006909C6" w:rsidRDefault="00400D9D" w:rsidP="006909C6">
            <w:pPr>
              <w:jc w:val="both"/>
              <w:rPr>
                <w:rFonts w:ascii="Arial" w:hAnsi="Arial" w:cs="Arial"/>
                <w:b/>
                <w:szCs w:val="24"/>
              </w:rPr>
            </w:pPr>
            <w:r>
              <w:rPr>
                <w:rFonts w:ascii="Arial" w:hAnsi="Arial" w:cs="Arial"/>
                <w:b/>
                <w:szCs w:val="24"/>
              </w:rPr>
              <w:t>5.</w:t>
            </w:r>
          </w:p>
          <w:p w:rsidR="006909C6" w:rsidRDefault="006909C6" w:rsidP="007152A1">
            <w:pPr>
              <w:jc w:val="both"/>
              <w:rPr>
                <w:rFonts w:ascii="Arial" w:hAnsi="Arial" w:cs="Arial"/>
                <w:b/>
                <w:szCs w:val="24"/>
              </w:rPr>
            </w:pPr>
          </w:p>
        </w:tc>
        <w:tc>
          <w:tcPr>
            <w:tcW w:w="8789" w:type="dxa"/>
          </w:tcPr>
          <w:p w:rsidR="00400D9D" w:rsidRPr="00400D9D" w:rsidRDefault="00400D9D" w:rsidP="00400D9D">
            <w:pPr>
              <w:contextualSpacing/>
              <w:jc w:val="both"/>
              <w:rPr>
                <w:rFonts w:ascii="Arial" w:eastAsia="Calibri" w:hAnsi="Arial" w:cs="Arial"/>
                <w:b/>
                <w:szCs w:val="24"/>
                <w:lang w:eastAsia="en-US"/>
              </w:rPr>
            </w:pPr>
            <w:r w:rsidRPr="00400D9D">
              <w:rPr>
                <w:rFonts w:ascii="Arial" w:eastAsia="Calibri" w:hAnsi="Arial" w:cs="Arial"/>
                <w:b/>
                <w:szCs w:val="24"/>
                <w:lang w:eastAsia="en-US"/>
              </w:rPr>
              <w:t>Financial Performance YTD 2017/18</w:t>
            </w:r>
          </w:p>
          <w:p w:rsidR="00400D9D" w:rsidRPr="00400D9D" w:rsidRDefault="00400D9D" w:rsidP="00400D9D">
            <w:pPr>
              <w:contextualSpacing/>
              <w:jc w:val="both"/>
              <w:rPr>
                <w:rFonts w:ascii="Arial" w:eastAsia="Calibri" w:hAnsi="Arial" w:cs="Arial"/>
                <w:b/>
                <w:szCs w:val="24"/>
                <w:lang w:eastAsia="en-US"/>
              </w:rPr>
            </w:pPr>
          </w:p>
          <w:p w:rsidR="00400D9D" w:rsidRDefault="00400D9D" w:rsidP="00400D9D">
            <w:pPr>
              <w:contextualSpacing/>
              <w:jc w:val="both"/>
              <w:rPr>
                <w:rFonts w:ascii="Arial" w:eastAsia="Calibri" w:hAnsi="Arial" w:cs="Arial"/>
                <w:szCs w:val="24"/>
                <w:lang w:eastAsia="en-US"/>
              </w:rPr>
            </w:pPr>
            <w:r>
              <w:rPr>
                <w:rFonts w:ascii="Arial" w:eastAsia="Calibri" w:hAnsi="Arial" w:cs="Arial"/>
                <w:szCs w:val="24"/>
                <w:lang w:eastAsia="en-US"/>
              </w:rPr>
              <w:t>T</w:t>
            </w:r>
            <w:r w:rsidRPr="00400D9D">
              <w:rPr>
                <w:rFonts w:ascii="Arial" w:eastAsia="Calibri" w:hAnsi="Arial" w:cs="Arial"/>
                <w:szCs w:val="24"/>
                <w:lang w:eastAsia="en-US"/>
              </w:rPr>
              <w:t>aking account of year end reporting requirements the April results were not ready for inclusion in the report.</w:t>
            </w:r>
          </w:p>
          <w:p w:rsidR="00400D9D" w:rsidRDefault="00400D9D" w:rsidP="0016608B">
            <w:pPr>
              <w:contextualSpacing/>
              <w:rPr>
                <w:rFonts w:ascii="Arial" w:hAnsi="Arial" w:cs="Arial"/>
                <w:b/>
              </w:rPr>
            </w:pPr>
          </w:p>
          <w:p w:rsidR="006909C6" w:rsidRDefault="0074470A" w:rsidP="0016608B">
            <w:pPr>
              <w:contextualSpacing/>
              <w:rPr>
                <w:rFonts w:ascii="Arial" w:hAnsi="Arial" w:cs="Arial"/>
                <w:b/>
              </w:rPr>
            </w:pPr>
            <w:r>
              <w:rPr>
                <w:rFonts w:ascii="Arial" w:hAnsi="Arial" w:cs="Arial"/>
                <w:b/>
              </w:rPr>
              <w:t>Internal Controls – 3 Year Programme</w:t>
            </w:r>
          </w:p>
        </w:tc>
      </w:tr>
      <w:tr w:rsidR="006909C6" w:rsidRPr="0089449E" w:rsidTr="001B2922">
        <w:tc>
          <w:tcPr>
            <w:tcW w:w="817" w:type="dxa"/>
          </w:tcPr>
          <w:p w:rsidR="006909C6" w:rsidRDefault="00400D9D" w:rsidP="007152A1">
            <w:pPr>
              <w:jc w:val="both"/>
              <w:rPr>
                <w:rFonts w:ascii="Arial" w:hAnsi="Arial" w:cs="Arial"/>
                <w:szCs w:val="24"/>
              </w:rPr>
            </w:pPr>
            <w:r>
              <w:rPr>
                <w:rFonts w:ascii="Arial" w:hAnsi="Arial" w:cs="Arial"/>
                <w:szCs w:val="24"/>
              </w:rPr>
              <w:t>5</w:t>
            </w:r>
            <w:r w:rsidR="006909C6" w:rsidRPr="006909C6">
              <w:rPr>
                <w:rFonts w:ascii="Arial" w:hAnsi="Arial" w:cs="Arial"/>
                <w:szCs w:val="24"/>
              </w:rPr>
              <w:t>.1</w:t>
            </w:r>
          </w:p>
          <w:p w:rsidR="00EF19DA" w:rsidRDefault="00EF19DA" w:rsidP="007152A1">
            <w:pPr>
              <w:jc w:val="both"/>
              <w:rPr>
                <w:rFonts w:ascii="Arial" w:hAnsi="Arial" w:cs="Arial"/>
                <w:szCs w:val="24"/>
              </w:rPr>
            </w:pPr>
          </w:p>
          <w:p w:rsidR="00EF19DA" w:rsidRDefault="00EF19DA" w:rsidP="007152A1">
            <w:pPr>
              <w:jc w:val="both"/>
              <w:rPr>
                <w:rFonts w:ascii="Arial" w:hAnsi="Arial" w:cs="Arial"/>
                <w:szCs w:val="24"/>
              </w:rPr>
            </w:pPr>
          </w:p>
          <w:p w:rsidR="00EF19DA" w:rsidRPr="006909C6" w:rsidRDefault="00400D9D" w:rsidP="007152A1">
            <w:pPr>
              <w:jc w:val="both"/>
              <w:rPr>
                <w:rFonts w:ascii="Arial" w:hAnsi="Arial" w:cs="Arial"/>
                <w:szCs w:val="24"/>
              </w:rPr>
            </w:pPr>
            <w:r>
              <w:rPr>
                <w:rFonts w:ascii="Arial" w:hAnsi="Arial" w:cs="Arial"/>
                <w:szCs w:val="24"/>
              </w:rPr>
              <w:t>5</w:t>
            </w:r>
            <w:r w:rsidR="00EF19DA">
              <w:rPr>
                <w:rFonts w:ascii="Arial" w:hAnsi="Arial" w:cs="Arial"/>
                <w:szCs w:val="24"/>
              </w:rPr>
              <w:t>.2</w:t>
            </w:r>
          </w:p>
        </w:tc>
        <w:tc>
          <w:tcPr>
            <w:tcW w:w="8789" w:type="dxa"/>
          </w:tcPr>
          <w:p w:rsidR="0074470A" w:rsidRPr="0074470A" w:rsidRDefault="0074470A" w:rsidP="0074470A">
            <w:pPr>
              <w:jc w:val="both"/>
              <w:rPr>
                <w:rFonts w:ascii="Arial" w:hAnsi="Arial" w:cs="Arial"/>
                <w:szCs w:val="24"/>
              </w:rPr>
            </w:pPr>
            <w:r w:rsidRPr="0074470A">
              <w:rPr>
                <w:rFonts w:ascii="Arial" w:hAnsi="Arial" w:cs="Arial"/>
                <w:szCs w:val="24"/>
              </w:rPr>
              <w:t>The proposed three year Internal Audit plan for HLH</w:t>
            </w:r>
            <w:r>
              <w:rPr>
                <w:rFonts w:ascii="Arial" w:hAnsi="Arial" w:cs="Arial"/>
                <w:szCs w:val="24"/>
              </w:rPr>
              <w:t>,</w:t>
            </w:r>
            <w:r w:rsidRPr="0074470A">
              <w:rPr>
                <w:rFonts w:ascii="Arial" w:hAnsi="Arial" w:cs="Arial"/>
                <w:szCs w:val="24"/>
              </w:rPr>
              <w:t xml:space="preserve"> under the SLA with The Highland Council covers the following three topics as follows:</w:t>
            </w:r>
          </w:p>
          <w:p w:rsidR="0074470A" w:rsidRPr="0074470A" w:rsidRDefault="0074470A" w:rsidP="0074470A">
            <w:pPr>
              <w:jc w:val="both"/>
              <w:rPr>
                <w:rFonts w:ascii="Arial" w:hAnsi="Arial" w:cs="Arial"/>
                <w:szCs w:val="24"/>
              </w:rPr>
            </w:pPr>
          </w:p>
          <w:p w:rsidR="0074470A" w:rsidRPr="0074470A" w:rsidRDefault="0074470A" w:rsidP="0074470A">
            <w:pPr>
              <w:jc w:val="both"/>
              <w:rPr>
                <w:rFonts w:ascii="Arial" w:hAnsi="Arial" w:cs="Arial"/>
                <w:szCs w:val="24"/>
              </w:rPr>
            </w:pPr>
            <w:r w:rsidRPr="0074470A">
              <w:rPr>
                <w:rFonts w:ascii="Arial" w:hAnsi="Arial" w:cs="Arial"/>
                <w:b/>
                <w:szCs w:val="24"/>
              </w:rPr>
              <w:t>Year 1</w:t>
            </w:r>
            <w:r w:rsidRPr="0074470A">
              <w:rPr>
                <w:rFonts w:ascii="Arial" w:hAnsi="Arial" w:cs="Arial"/>
                <w:szCs w:val="24"/>
              </w:rPr>
              <w:t xml:space="preserve"> - HR : Recruitment and Disclosure Checking</w:t>
            </w:r>
          </w:p>
          <w:p w:rsidR="0074470A" w:rsidRPr="0074470A" w:rsidRDefault="0074470A" w:rsidP="0074470A">
            <w:pPr>
              <w:jc w:val="both"/>
              <w:rPr>
                <w:rFonts w:ascii="Arial" w:hAnsi="Arial" w:cs="Arial"/>
                <w:szCs w:val="24"/>
              </w:rPr>
            </w:pPr>
          </w:p>
          <w:p w:rsidR="0074470A" w:rsidRPr="0074470A" w:rsidRDefault="0074470A" w:rsidP="0074470A">
            <w:pPr>
              <w:rPr>
                <w:rFonts w:ascii="Arial" w:hAnsi="Arial" w:cs="Arial"/>
                <w:szCs w:val="24"/>
              </w:rPr>
            </w:pPr>
            <w:r w:rsidRPr="0074470A">
              <w:rPr>
                <w:rFonts w:ascii="Arial" w:hAnsi="Arial" w:cs="Arial"/>
                <w:b/>
                <w:szCs w:val="24"/>
              </w:rPr>
              <w:t>Year 2</w:t>
            </w:r>
            <w:r w:rsidRPr="0074470A">
              <w:rPr>
                <w:rFonts w:ascii="Arial" w:hAnsi="Arial" w:cs="Arial"/>
                <w:szCs w:val="24"/>
              </w:rPr>
              <w:t xml:space="preserve"> - Health &amp;Safety/Property</w:t>
            </w:r>
            <w:r>
              <w:rPr>
                <w:rFonts w:ascii="Arial" w:hAnsi="Arial" w:cs="Arial"/>
                <w:szCs w:val="24"/>
              </w:rPr>
              <w:t xml:space="preserve"> </w:t>
            </w:r>
            <w:r w:rsidRPr="0074470A">
              <w:rPr>
                <w:rFonts w:ascii="Arial" w:hAnsi="Arial" w:cs="Arial"/>
                <w:szCs w:val="24"/>
              </w:rPr>
              <w:t>(RPO and Database)/Facilities operational Procedures.</w:t>
            </w:r>
          </w:p>
          <w:p w:rsidR="0074470A" w:rsidRPr="0074470A" w:rsidRDefault="0074470A" w:rsidP="0074470A">
            <w:pPr>
              <w:jc w:val="both"/>
              <w:rPr>
                <w:rFonts w:ascii="Arial" w:hAnsi="Arial" w:cs="Arial"/>
                <w:szCs w:val="24"/>
              </w:rPr>
            </w:pPr>
          </w:p>
          <w:p w:rsidR="0074470A" w:rsidRPr="0074470A" w:rsidRDefault="0074470A" w:rsidP="0074470A">
            <w:pPr>
              <w:jc w:val="both"/>
              <w:rPr>
                <w:rFonts w:ascii="Arial" w:hAnsi="Arial" w:cs="Arial"/>
                <w:szCs w:val="24"/>
              </w:rPr>
            </w:pPr>
            <w:r w:rsidRPr="0074470A">
              <w:rPr>
                <w:rFonts w:ascii="Arial" w:hAnsi="Arial" w:cs="Arial"/>
                <w:b/>
                <w:szCs w:val="24"/>
              </w:rPr>
              <w:t>Year 3</w:t>
            </w:r>
            <w:r w:rsidRPr="0074470A">
              <w:rPr>
                <w:rFonts w:ascii="Arial" w:hAnsi="Arial" w:cs="Arial"/>
                <w:szCs w:val="24"/>
              </w:rPr>
              <w:t xml:space="preserve"> - Performance Statistics Centralised Administration and User Numbers.</w:t>
            </w:r>
          </w:p>
          <w:p w:rsidR="00EF19DA" w:rsidRDefault="00EF19DA" w:rsidP="00EF19DA">
            <w:pPr>
              <w:jc w:val="both"/>
              <w:rPr>
                <w:rFonts w:ascii="Arial" w:hAnsi="Arial" w:cs="Arial"/>
                <w:szCs w:val="24"/>
              </w:rPr>
            </w:pPr>
          </w:p>
          <w:p w:rsidR="00EF19DA" w:rsidRPr="00EF19DA" w:rsidRDefault="0074470A" w:rsidP="00EF19DA">
            <w:pPr>
              <w:jc w:val="both"/>
              <w:rPr>
                <w:rFonts w:ascii="Arial" w:hAnsi="Arial" w:cs="Arial"/>
                <w:szCs w:val="24"/>
              </w:rPr>
            </w:pPr>
            <w:r>
              <w:rPr>
                <w:rFonts w:ascii="Arial" w:hAnsi="Arial" w:cs="Arial"/>
                <w:szCs w:val="24"/>
              </w:rPr>
              <w:t>The Audit plan was discussed at the Finance and Audit Committee meeting on 22 May 2017.</w:t>
            </w:r>
          </w:p>
        </w:tc>
      </w:tr>
      <w:tr w:rsidR="006909C6" w:rsidRPr="0089449E" w:rsidTr="001B2922">
        <w:tc>
          <w:tcPr>
            <w:tcW w:w="817" w:type="dxa"/>
          </w:tcPr>
          <w:p w:rsidR="00952DDB" w:rsidRPr="00952DDB" w:rsidRDefault="00952DDB" w:rsidP="004749D1">
            <w:pPr>
              <w:jc w:val="both"/>
              <w:rPr>
                <w:rFonts w:ascii="Arial" w:hAnsi="Arial" w:cs="Arial"/>
                <w:szCs w:val="24"/>
              </w:rPr>
            </w:pPr>
          </w:p>
        </w:tc>
        <w:tc>
          <w:tcPr>
            <w:tcW w:w="8789" w:type="dxa"/>
          </w:tcPr>
          <w:p w:rsidR="00802484" w:rsidRPr="00BD0989" w:rsidRDefault="00802484" w:rsidP="0016608B">
            <w:pPr>
              <w:tabs>
                <w:tab w:val="left" w:pos="1260"/>
              </w:tabs>
              <w:jc w:val="both"/>
              <w:rPr>
                <w:rFonts w:ascii="Arial" w:hAnsi="Arial" w:cs="Arial"/>
                <w:b/>
              </w:rPr>
            </w:pPr>
          </w:p>
        </w:tc>
      </w:tr>
      <w:tr w:rsidR="00137D7A" w:rsidRPr="0089449E" w:rsidTr="001B2922">
        <w:tc>
          <w:tcPr>
            <w:tcW w:w="817" w:type="dxa"/>
          </w:tcPr>
          <w:p w:rsidR="00137D7A" w:rsidRDefault="00941634" w:rsidP="00472040">
            <w:pPr>
              <w:jc w:val="both"/>
              <w:rPr>
                <w:rFonts w:ascii="Arial" w:hAnsi="Arial" w:cs="Arial"/>
                <w:b/>
                <w:szCs w:val="24"/>
              </w:rPr>
            </w:pPr>
            <w:r>
              <w:rPr>
                <w:rFonts w:ascii="Arial" w:hAnsi="Arial" w:cs="Arial"/>
                <w:b/>
                <w:szCs w:val="24"/>
              </w:rPr>
              <w:t>6</w:t>
            </w:r>
            <w:r w:rsidR="00137D7A">
              <w:rPr>
                <w:rFonts w:ascii="Arial" w:hAnsi="Arial" w:cs="Arial"/>
                <w:b/>
                <w:szCs w:val="24"/>
              </w:rPr>
              <w:t>.</w:t>
            </w:r>
          </w:p>
          <w:p w:rsidR="003341BE" w:rsidRDefault="003341BE" w:rsidP="00472040">
            <w:pPr>
              <w:jc w:val="both"/>
              <w:rPr>
                <w:rFonts w:ascii="Arial" w:hAnsi="Arial" w:cs="Arial"/>
                <w:b/>
                <w:szCs w:val="24"/>
              </w:rPr>
            </w:pPr>
          </w:p>
        </w:tc>
        <w:tc>
          <w:tcPr>
            <w:tcW w:w="8789" w:type="dxa"/>
          </w:tcPr>
          <w:p w:rsidR="00137D7A" w:rsidRPr="00137D7A" w:rsidRDefault="000D70EE" w:rsidP="006909C6">
            <w:pPr>
              <w:rPr>
                <w:rFonts w:ascii="Arial" w:hAnsi="Arial" w:cs="Arial"/>
                <w:b/>
              </w:rPr>
            </w:pPr>
            <w:r>
              <w:rPr>
                <w:rFonts w:ascii="Arial" w:hAnsi="Arial" w:cs="Arial"/>
                <w:b/>
              </w:rPr>
              <w:t xml:space="preserve">Annual Review of Financial Regulations </w:t>
            </w:r>
          </w:p>
        </w:tc>
      </w:tr>
      <w:tr w:rsidR="00137D7A" w:rsidRPr="0089449E" w:rsidTr="001B2922">
        <w:tc>
          <w:tcPr>
            <w:tcW w:w="817" w:type="dxa"/>
          </w:tcPr>
          <w:p w:rsidR="00137D7A" w:rsidRDefault="00941634" w:rsidP="00472040">
            <w:pPr>
              <w:jc w:val="both"/>
              <w:rPr>
                <w:rFonts w:ascii="Arial" w:hAnsi="Arial" w:cs="Arial"/>
                <w:szCs w:val="24"/>
              </w:rPr>
            </w:pPr>
            <w:r>
              <w:rPr>
                <w:rFonts w:ascii="Arial" w:hAnsi="Arial" w:cs="Arial"/>
                <w:szCs w:val="24"/>
              </w:rPr>
              <w:t>6</w:t>
            </w:r>
            <w:r w:rsidR="00137D7A">
              <w:rPr>
                <w:rFonts w:ascii="Arial" w:hAnsi="Arial" w:cs="Arial"/>
                <w:szCs w:val="24"/>
              </w:rPr>
              <w:t>.1</w:t>
            </w:r>
          </w:p>
          <w:p w:rsidR="003341BE" w:rsidRPr="00137D7A" w:rsidRDefault="003341BE" w:rsidP="00472040">
            <w:pPr>
              <w:jc w:val="both"/>
              <w:rPr>
                <w:rFonts w:ascii="Arial" w:hAnsi="Arial" w:cs="Arial"/>
                <w:szCs w:val="24"/>
              </w:rPr>
            </w:pPr>
          </w:p>
        </w:tc>
        <w:tc>
          <w:tcPr>
            <w:tcW w:w="8789" w:type="dxa"/>
          </w:tcPr>
          <w:p w:rsidR="000D70EE" w:rsidRPr="000D70EE" w:rsidRDefault="000D70EE" w:rsidP="000D70EE">
            <w:pPr>
              <w:autoSpaceDE w:val="0"/>
              <w:autoSpaceDN w:val="0"/>
              <w:adjustRightInd w:val="0"/>
              <w:jc w:val="both"/>
              <w:rPr>
                <w:rFonts w:ascii="Arial" w:eastAsia="Calibri" w:hAnsi="Arial" w:cs="Arial"/>
                <w:b/>
                <w:szCs w:val="24"/>
                <w:lang w:eastAsia="en-US"/>
              </w:rPr>
            </w:pPr>
            <w:r w:rsidRPr="000D70EE">
              <w:rPr>
                <w:rFonts w:ascii="Arial" w:hAnsi="Arial" w:cs="Arial"/>
              </w:rPr>
              <w:t xml:space="preserve">A review of the Financial Regulations and Standing Orders remains on-going throughout the year and there are no issues to report. </w:t>
            </w:r>
          </w:p>
          <w:p w:rsidR="00137D7A" w:rsidRPr="00137D7A" w:rsidRDefault="00137D7A" w:rsidP="006909C6">
            <w:pPr>
              <w:rPr>
                <w:rFonts w:ascii="Arial" w:hAnsi="Arial" w:cs="Arial"/>
                <w:b/>
              </w:rPr>
            </w:pPr>
          </w:p>
        </w:tc>
      </w:tr>
      <w:tr w:rsidR="006909C6" w:rsidRPr="0089449E" w:rsidTr="001B2922">
        <w:tc>
          <w:tcPr>
            <w:tcW w:w="817" w:type="dxa"/>
          </w:tcPr>
          <w:p w:rsidR="006909C6" w:rsidRDefault="00941634" w:rsidP="00472040">
            <w:pPr>
              <w:jc w:val="both"/>
              <w:rPr>
                <w:rFonts w:ascii="Arial" w:hAnsi="Arial" w:cs="Arial"/>
                <w:b/>
                <w:szCs w:val="24"/>
              </w:rPr>
            </w:pPr>
            <w:r>
              <w:rPr>
                <w:rFonts w:ascii="Arial" w:hAnsi="Arial" w:cs="Arial"/>
                <w:b/>
                <w:szCs w:val="24"/>
              </w:rPr>
              <w:t>7</w:t>
            </w:r>
            <w:r w:rsidR="006909C6">
              <w:rPr>
                <w:rFonts w:ascii="Arial" w:hAnsi="Arial" w:cs="Arial"/>
                <w:b/>
                <w:szCs w:val="24"/>
              </w:rPr>
              <w:t>.</w:t>
            </w:r>
          </w:p>
          <w:p w:rsidR="003341BE" w:rsidRDefault="003341BE" w:rsidP="00472040">
            <w:pPr>
              <w:jc w:val="both"/>
              <w:rPr>
                <w:rFonts w:ascii="Arial" w:hAnsi="Arial" w:cs="Arial"/>
                <w:b/>
                <w:szCs w:val="24"/>
              </w:rPr>
            </w:pPr>
          </w:p>
        </w:tc>
        <w:tc>
          <w:tcPr>
            <w:tcW w:w="8789" w:type="dxa"/>
          </w:tcPr>
          <w:p w:rsidR="006909C6" w:rsidRDefault="000D70EE" w:rsidP="00B410B3">
            <w:pPr>
              <w:rPr>
                <w:rFonts w:ascii="Arial" w:hAnsi="Arial" w:cs="Arial"/>
                <w:b/>
              </w:rPr>
            </w:pPr>
            <w:r>
              <w:rPr>
                <w:rFonts w:ascii="Arial" w:hAnsi="Arial" w:cs="Arial"/>
                <w:b/>
              </w:rPr>
              <w:t>Annual Review of Insurance</w:t>
            </w:r>
          </w:p>
        </w:tc>
      </w:tr>
      <w:tr w:rsidR="007152A1" w:rsidRPr="0089449E" w:rsidTr="001B2922">
        <w:tc>
          <w:tcPr>
            <w:tcW w:w="817" w:type="dxa"/>
          </w:tcPr>
          <w:p w:rsidR="007152A1" w:rsidRDefault="00941634" w:rsidP="00472040">
            <w:pPr>
              <w:jc w:val="both"/>
              <w:rPr>
                <w:rFonts w:ascii="Arial" w:hAnsi="Arial" w:cs="Arial"/>
                <w:szCs w:val="24"/>
              </w:rPr>
            </w:pPr>
            <w:r>
              <w:rPr>
                <w:rFonts w:ascii="Arial" w:hAnsi="Arial" w:cs="Arial"/>
                <w:szCs w:val="24"/>
              </w:rPr>
              <w:t>7</w:t>
            </w:r>
            <w:r w:rsidR="006909C6" w:rsidRPr="006909C6">
              <w:rPr>
                <w:rFonts w:ascii="Arial" w:hAnsi="Arial" w:cs="Arial"/>
                <w:szCs w:val="24"/>
              </w:rPr>
              <w:t>.1</w:t>
            </w:r>
          </w:p>
          <w:p w:rsidR="00952DDB" w:rsidRDefault="00952DDB" w:rsidP="00472040">
            <w:pPr>
              <w:jc w:val="both"/>
              <w:rPr>
                <w:rFonts w:ascii="Arial" w:hAnsi="Arial" w:cs="Arial"/>
                <w:szCs w:val="24"/>
              </w:rPr>
            </w:pPr>
          </w:p>
          <w:p w:rsidR="00952DDB" w:rsidRDefault="00952DDB" w:rsidP="00472040">
            <w:pPr>
              <w:jc w:val="both"/>
              <w:rPr>
                <w:rFonts w:ascii="Arial" w:hAnsi="Arial" w:cs="Arial"/>
                <w:szCs w:val="24"/>
              </w:rPr>
            </w:pPr>
          </w:p>
          <w:p w:rsidR="00952DDB" w:rsidRDefault="00952DDB" w:rsidP="00472040">
            <w:pPr>
              <w:jc w:val="both"/>
              <w:rPr>
                <w:rFonts w:ascii="Arial" w:hAnsi="Arial" w:cs="Arial"/>
                <w:szCs w:val="24"/>
              </w:rPr>
            </w:pPr>
          </w:p>
          <w:p w:rsidR="00952DDB" w:rsidRPr="006909C6" w:rsidRDefault="00952DDB" w:rsidP="00472040">
            <w:pPr>
              <w:jc w:val="both"/>
              <w:rPr>
                <w:rFonts w:ascii="Arial" w:hAnsi="Arial" w:cs="Arial"/>
                <w:szCs w:val="24"/>
              </w:rPr>
            </w:pPr>
          </w:p>
        </w:tc>
        <w:tc>
          <w:tcPr>
            <w:tcW w:w="8789" w:type="dxa"/>
          </w:tcPr>
          <w:p w:rsidR="007152A1" w:rsidRPr="000D70EE" w:rsidRDefault="00344232" w:rsidP="00344232">
            <w:pPr>
              <w:jc w:val="both"/>
              <w:rPr>
                <w:rFonts w:ascii="Arial" w:hAnsi="Arial" w:cs="Arial"/>
              </w:rPr>
            </w:pPr>
            <w:r>
              <w:rPr>
                <w:rFonts w:ascii="Arial" w:hAnsi="Arial" w:cs="Arial"/>
              </w:rPr>
              <w:t>HLH i</w:t>
            </w:r>
            <w:r w:rsidR="000D70EE">
              <w:rPr>
                <w:rFonts w:ascii="Arial" w:hAnsi="Arial" w:cs="Arial"/>
              </w:rPr>
              <w:t>nsuranc</w:t>
            </w:r>
            <w:r>
              <w:rPr>
                <w:rFonts w:ascii="Arial" w:hAnsi="Arial" w:cs="Arial"/>
              </w:rPr>
              <w:t>e c</w:t>
            </w:r>
            <w:r w:rsidR="00FC5923">
              <w:rPr>
                <w:rFonts w:ascii="Arial" w:hAnsi="Arial" w:cs="Arial"/>
              </w:rPr>
              <w:t>over is included as part of T</w:t>
            </w:r>
            <w:r w:rsidR="000D70EE">
              <w:rPr>
                <w:rFonts w:ascii="Arial" w:hAnsi="Arial" w:cs="Arial"/>
              </w:rPr>
              <w:t xml:space="preserve">he Highland Council </w:t>
            </w:r>
            <w:r>
              <w:rPr>
                <w:rFonts w:ascii="Arial" w:hAnsi="Arial" w:cs="Arial"/>
              </w:rPr>
              <w:t>i</w:t>
            </w:r>
            <w:r w:rsidR="000D70EE">
              <w:rPr>
                <w:rFonts w:ascii="Arial" w:hAnsi="Arial" w:cs="Arial"/>
              </w:rPr>
              <w:t xml:space="preserve">nsurance </w:t>
            </w:r>
            <w:r>
              <w:rPr>
                <w:rFonts w:ascii="Arial" w:hAnsi="Arial" w:cs="Arial"/>
              </w:rPr>
              <w:t>c</w:t>
            </w:r>
            <w:r w:rsidR="000D70EE">
              <w:rPr>
                <w:rFonts w:ascii="Arial" w:hAnsi="Arial" w:cs="Arial"/>
              </w:rPr>
              <w:t xml:space="preserve">over. THC regularly reviews the </w:t>
            </w:r>
            <w:r>
              <w:rPr>
                <w:rFonts w:ascii="Arial" w:hAnsi="Arial" w:cs="Arial"/>
              </w:rPr>
              <w:t>i</w:t>
            </w:r>
            <w:r w:rsidR="000D70EE">
              <w:rPr>
                <w:rFonts w:ascii="Arial" w:hAnsi="Arial" w:cs="Arial"/>
              </w:rPr>
              <w:t>nsurance over and forwards a detail</w:t>
            </w:r>
            <w:r w:rsidR="00A57DCC">
              <w:rPr>
                <w:rFonts w:ascii="Arial" w:hAnsi="Arial" w:cs="Arial"/>
              </w:rPr>
              <w:t>ed schedule annually to HLH.  The</w:t>
            </w:r>
            <w:r w:rsidR="000D70EE">
              <w:rPr>
                <w:rFonts w:ascii="Arial" w:hAnsi="Arial" w:cs="Arial"/>
              </w:rPr>
              <w:t xml:space="preserve"> insurance renewed on 1 April 201</w:t>
            </w:r>
            <w:r w:rsidR="0016608B">
              <w:rPr>
                <w:rFonts w:ascii="Arial" w:hAnsi="Arial" w:cs="Arial"/>
              </w:rPr>
              <w:t>7</w:t>
            </w:r>
            <w:r w:rsidR="000D70EE">
              <w:rPr>
                <w:rFonts w:ascii="Arial" w:hAnsi="Arial" w:cs="Arial"/>
              </w:rPr>
              <w:t xml:space="preserve"> for 201</w:t>
            </w:r>
            <w:r w:rsidR="0016608B">
              <w:rPr>
                <w:rFonts w:ascii="Arial" w:hAnsi="Arial" w:cs="Arial"/>
              </w:rPr>
              <w:t xml:space="preserve">7/18 </w:t>
            </w:r>
            <w:r w:rsidR="000D70EE">
              <w:rPr>
                <w:rFonts w:ascii="Arial" w:hAnsi="Arial" w:cs="Arial"/>
              </w:rPr>
              <w:t>and new additions are advised throughout the year as and when required</w:t>
            </w:r>
            <w:r w:rsidR="00FC5923">
              <w:rPr>
                <w:rFonts w:ascii="Arial" w:hAnsi="Arial" w:cs="Arial"/>
              </w:rPr>
              <w:t>.</w:t>
            </w:r>
          </w:p>
        </w:tc>
      </w:tr>
      <w:tr w:rsidR="007152A1" w:rsidRPr="0089449E" w:rsidTr="001B2922">
        <w:tc>
          <w:tcPr>
            <w:tcW w:w="817" w:type="dxa"/>
          </w:tcPr>
          <w:p w:rsidR="007152A1" w:rsidRDefault="00941634" w:rsidP="00B410B3">
            <w:pPr>
              <w:autoSpaceDE w:val="0"/>
              <w:autoSpaceDN w:val="0"/>
              <w:adjustRightInd w:val="0"/>
              <w:rPr>
                <w:rFonts w:ascii="Arial" w:hAnsi="Arial" w:cs="Arial"/>
                <w:b/>
              </w:rPr>
            </w:pPr>
            <w:r>
              <w:rPr>
                <w:rFonts w:ascii="Arial" w:hAnsi="Arial" w:cs="Arial"/>
                <w:b/>
              </w:rPr>
              <w:t>8</w:t>
            </w:r>
            <w:r w:rsidR="007152A1" w:rsidRPr="008A3353">
              <w:rPr>
                <w:rFonts w:ascii="Arial" w:hAnsi="Arial" w:cs="Arial"/>
                <w:b/>
              </w:rPr>
              <w:t>.</w:t>
            </w:r>
          </w:p>
          <w:p w:rsidR="007152A1" w:rsidRDefault="007152A1" w:rsidP="00B410B3">
            <w:pPr>
              <w:autoSpaceDE w:val="0"/>
              <w:autoSpaceDN w:val="0"/>
              <w:adjustRightInd w:val="0"/>
              <w:rPr>
                <w:rFonts w:ascii="Arial" w:hAnsi="Arial" w:cs="Arial"/>
                <w:b/>
              </w:rPr>
            </w:pPr>
          </w:p>
          <w:p w:rsidR="007152A1" w:rsidRDefault="00941634" w:rsidP="00B410B3">
            <w:pPr>
              <w:autoSpaceDE w:val="0"/>
              <w:autoSpaceDN w:val="0"/>
              <w:adjustRightInd w:val="0"/>
              <w:rPr>
                <w:rFonts w:ascii="Arial" w:hAnsi="Arial" w:cs="Arial"/>
              </w:rPr>
            </w:pPr>
            <w:r>
              <w:rPr>
                <w:rFonts w:ascii="Arial" w:hAnsi="Arial" w:cs="Arial"/>
              </w:rPr>
              <w:t>8</w:t>
            </w:r>
            <w:r w:rsidR="007152A1">
              <w:rPr>
                <w:rFonts w:ascii="Arial" w:hAnsi="Arial" w:cs="Arial"/>
              </w:rPr>
              <w:t>.1</w:t>
            </w:r>
          </w:p>
          <w:p w:rsidR="007152A1" w:rsidRDefault="007152A1" w:rsidP="00B410B3">
            <w:pPr>
              <w:autoSpaceDE w:val="0"/>
              <w:autoSpaceDN w:val="0"/>
              <w:adjustRightInd w:val="0"/>
              <w:rPr>
                <w:rFonts w:ascii="Arial" w:hAnsi="Arial" w:cs="Arial"/>
              </w:rPr>
            </w:pPr>
          </w:p>
          <w:p w:rsidR="007152A1" w:rsidRDefault="007152A1" w:rsidP="00B410B3">
            <w:pPr>
              <w:autoSpaceDE w:val="0"/>
              <w:autoSpaceDN w:val="0"/>
              <w:adjustRightInd w:val="0"/>
              <w:rPr>
                <w:rFonts w:ascii="Arial" w:hAnsi="Arial" w:cs="Arial"/>
              </w:rPr>
            </w:pPr>
          </w:p>
          <w:p w:rsidR="007152A1" w:rsidRPr="00C23166" w:rsidRDefault="007152A1" w:rsidP="00B410B3">
            <w:pPr>
              <w:autoSpaceDE w:val="0"/>
              <w:autoSpaceDN w:val="0"/>
              <w:adjustRightInd w:val="0"/>
              <w:rPr>
                <w:rFonts w:ascii="Arial" w:hAnsi="Arial" w:cs="Arial"/>
              </w:rPr>
            </w:pPr>
          </w:p>
        </w:tc>
        <w:tc>
          <w:tcPr>
            <w:tcW w:w="8789" w:type="dxa"/>
          </w:tcPr>
          <w:p w:rsidR="007152A1" w:rsidRDefault="007152A1" w:rsidP="007152A1">
            <w:pPr>
              <w:autoSpaceDE w:val="0"/>
              <w:autoSpaceDN w:val="0"/>
              <w:adjustRightInd w:val="0"/>
              <w:jc w:val="both"/>
              <w:rPr>
                <w:rFonts w:ascii="Arial" w:hAnsi="Arial" w:cs="Arial"/>
                <w:b/>
                <w:szCs w:val="24"/>
              </w:rPr>
            </w:pPr>
            <w:r>
              <w:rPr>
                <w:rFonts w:ascii="Arial" w:hAnsi="Arial" w:cs="Arial"/>
                <w:b/>
                <w:szCs w:val="24"/>
              </w:rPr>
              <w:t xml:space="preserve">Procurement - </w:t>
            </w:r>
            <w:r w:rsidRPr="00554631">
              <w:rPr>
                <w:rFonts w:ascii="Arial" w:hAnsi="Arial" w:cs="Arial"/>
                <w:b/>
                <w:szCs w:val="24"/>
              </w:rPr>
              <w:t>Tenders Approved/Contracts Awarded</w:t>
            </w:r>
          </w:p>
          <w:p w:rsidR="00940C80" w:rsidRDefault="00940C80" w:rsidP="007152A1">
            <w:pPr>
              <w:autoSpaceDE w:val="0"/>
              <w:autoSpaceDN w:val="0"/>
              <w:adjustRightInd w:val="0"/>
              <w:jc w:val="both"/>
              <w:rPr>
                <w:rFonts w:ascii="Arial" w:hAnsi="Arial" w:cs="Arial"/>
                <w:b/>
                <w:szCs w:val="24"/>
              </w:rPr>
            </w:pPr>
          </w:p>
          <w:tbl>
            <w:tblPr>
              <w:tblW w:w="7792" w:type="dxa"/>
              <w:tblLayout w:type="fixed"/>
              <w:tblCellMar>
                <w:left w:w="0" w:type="dxa"/>
                <w:right w:w="0" w:type="dxa"/>
              </w:tblCellMar>
              <w:tblLook w:val="04A0" w:firstRow="1" w:lastRow="0" w:firstColumn="1" w:lastColumn="0" w:noHBand="0" w:noVBand="1"/>
            </w:tblPr>
            <w:tblGrid>
              <w:gridCol w:w="2248"/>
              <w:gridCol w:w="3446"/>
              <w:gridCol w:w="2098"/>
            </w:tblGrid>
            <w:tr w:rsidR="001B2922" w:rsidTr="00372B4C">
              <w:tc>
                <w:tcPr>
                  <w:tcW w:w="2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2922" w:rsidRDefault="001B2922" w:rsidP="00372B4C">
                  <w:pPr>
                    <w:rPr>
                      <w:rFonts w:ascii="Arial" w:eastAsiaTheme="minorHAnsi" w:hAnsi="Arial" w:cs="Arial"/>
                      <w:szCs w:val="24"/>
                      <w:lang w:eastAsia="en-US"/>
                    </w:rPr>
                  </w:pPr>
                  <w:proofErr w:type="spellStart"/>
                  <w:r>
                    <w:rPr>
                      <w:rFonts w:ascii="Arial" w:hAnsi="Arial" w:cs="Arial"/>
                      <w:szCs w:val="24"/>
                    </w:rPr>
                    <w:t>Caterpods</w:t>
                  </w:r>
                  <w:proofErr w:type="spellEnd"/>
                  <w:r>
                    <w:rPr>
                      <w:rFonts w:ascii="Arial" w:hAnsi="Arial" w:cs="Arial"/>
                      <w:szCs w:val="24"/>
                    </w:rPr>
                    <w:t xml:space="preserve"> Ltd</w:t>
                  </w:r>
                </w:p>
              </w:tc>
              <w:tc>
                <w:tcPr>
                  <w:tcW w:w="3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2922" w:rsidRDefault="001B2922" w:rsidP="006D2C4F">
                  <w:pPr>
                    <w:rPr>
                      <w:rFonts w:ascii="Arial" w:eastAsiaTheme="minorHAnsi" w:hAnsi="Arial" w:cs="Arial"/>
                      <w:szCs w:val="24"/>
                      <w:lang w:eastAsia="en-US"/>
                    </w:rPr>
                  </w:pPr>
                  <w:r>
                    <w:rPr>
                      <w:rFonts w:ascii="Arial" w:hAnsi="Arial" w:cs="Arial"/>
                      <w:szCs w:val="24"/>
                    </w:rPr>
                    <w:t xml:space="preserve">Ice Cream Trailer for </w:t>
                  </w:r>
                  <w:r w:rsidR="006D2C4F">
                    <w:rPr>
                      <w:rFonts w:ascii="Arial" w:hAnsi="Arial" w:cs="Arial"/>
                      <w:szCs w:val="24"/>
                    </w:rPr>
                    <w:t>Highland Folk Museum</w:t>
                  </w:r>
                  <w:bookmarkStart w:id="2" w:name="_GoBack"/>
                  <w:bookmarkEnd w:id="2"/>
                </w:p>
              </w:tc>
              <w:tc>
                <w:tcPr>
                  <w:tcW w:w="2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B2922" w:rsidRDefault="001B2922" w:rsidP="00372B4C">
                  <w:pPr>
                    <w:rPr>
                      <w:rFonts w:ascii="Arial" w:eastAsiaTheme="minorHAnsi" w:hAnsi="Arial" w:cs="Arial"/>
                      <w:szCs w:val="24"/>
                      <w:lang w:eastAsia="en-US"/>
                    </w:rPr>
                  </w:pPr>
                  <w:r>
                    <w:rPr>
                      <w:rFonts w:ascii="Arial" w:hAnsi="Arial" w:cs="Arial"/>
                      <w:szCs w:val="24"/>
                    </w:rPr>
                    <w:t>Mar-Jun 17</w:t>
                  </w:r>
                </w:p>
              </w:tc>
            </w:tr>
            <w:tr w:rsidR="001B2922" w:rsidTr="00372B4C">
              <w:tc>
                <w:tcPr>
                  <w:tcW w:w="2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B2922" w:rsidRDefault="001B2922" w:rsidP="00372B4C">
                  <w:pPr>
                    <w:rPr>
                      <w:rFonts w:ascii="Arial" w:eastAsiaTheme="minorHAnsi" w:hAnsi="Arial" w:cs="Arial"/>
                      <w:szCs w:val="24"/>
                      <w:lang w:eastAsia="en-US"/>
                    </w:rPr>
                  </w:pPr>
                  <w:r>
                    <w:rPr>
                      <w:rFonts w:ascii="Arial" w:hAnsi="Arial" w:cs="Arial"/>
                      <w:szCs w:val="24"/>
                    </w:rPr>
                    <w:t>Creative Services (Scotland) Ltd</w:t>
                  </w:r>
                </w:p>
              </w:tc>
              <w:tc>
                <w:tcPr>
                  <w:tcW w:w="3446" w:type="dxa"/>
                  <w:tcBorders>
                    <w:top w:val="nil"/>
                    <w:left w:val="nil"/>
                    <w:bottom w:val="single" w:sz="8" w:space="0" w:color="auto"/>
                    <w:right w:val="single" w:sz="8" w:space="0" w:color="auto"/>
                  </w:tcBorders>
                  <w:tcMar>
                    <w:top w:w="0" w:type="dxa"/>
                    <w:left w:w="108" w:type="dxa"/>
                    <w:bottom w:w="0" w:type="dxa"/>
                    <w:right w:w="108" w:type="dxa"/>
                  </w:tcMar>
                  <w:hideMark/>
                </w:tcPr>
                <w:p w:rsidR="001B2922" w:rsidRDefault="001B2922" w:rsidP="00372B4C">
                  <w:pPr>
                    <w:rPr>
                      <w:rFonts w:ascii="Arial" w:eastAsiaTheme="minorHAnsi" w:hAnsi="Arial" w:cs="Arial"/>
                      <w:szCs w:val="24"/>
                      <w:lang w:eastAsia="en-US"/>
                    </w:rPr>
                  </w:pPr>
                  <w:r>
                    <w:rPr>
                      <w:rFonts w:ascii="Arial" w:hAnsi="Arial" w:cs="Arial"/>
                      <w:szCs w:val="24"/>
                    </w:rPr>
                    <w:t>Facilitation of Cultural Sector Consultation</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rsidR="001B2922" w:rsidRDefault="001B2922" w:rsidP="00372B4C">
                  <w:pPr>
                    <w:rPr>
                      <w:rFonts w:ascii="Arial" w:eastAsiaTheme="minorHAnsi" w:hAnsi="Arial" w:cs="Arial"/>
                      <w:szCs w:val="24"/>
                      <w:lang w:eastAsia="en-US"/>
                    </w:rPr>
                  </w:pPr>
                  <w:r>
                    <w:rPr>
                      <w:rFonts w:ascii="Arial" w:hAnsi="Arial" w:cs="Arial"/>
                      <w:szCs w:val="24"/>
                    </w:rPr>
                    <w:t>Mar-Jun 17</w:t>
                  </w:r>
                </w:p>
              </w:tc>
            </w:tr>
          </w:tbl>
          <w:p w:rsidR="00DE661F" w:rsidRDefault="00DE661F" w:rsidP="007152A1">
            <w:pPr>
              <w:rPr>
                <w:rFonts w:ascii="Arial" w:hAnsi="Arial" w:cs="Arial"/>
                <w:b/>
              </w:rPr>
            </w:pPr>
          </w:p>
        </w:tc>
      </w:tr>
      <w:tr w:rsidR="00E5302E" w:rsidRPr="0089449E" w:rsidTr="001B2922">
        <w:tc>
          <w:tcPr>
            <w:tcW w:w="817" w:type="dxa"/>
          </w:tcPr>
          <w:p w:rsidR="009C6BF1" w:rsidRDefault="009C6BF1" w:rsidP="00846D14">
            <w:pPr>
              <w:jc w:val="both"/>
              <w:rPr>
                <w:rFonts w:ascii="Arial" w:hAnsi="Arial" w:cs="Arial"/>
                <w:b/>
                <w:szCs w:val="24"/>
              </w:rPr>
            </w:pPr>
          </w:p>
          <w:p w:rsidR="00E5302E" w:rsidRDefault="0055791C" w:rsidP="00846D14">
            <w:pPr>
              <w:jc w:val="both"/>
              <w:rPr>
                <w:rFonts w:ascii="Arial" w:hAnsi="Arial" w:cs="Arial"/>
                <w:b/>
                <w:szCs w:val="24"/>
              </w:rPr>
            </w:pPr>
            <w:r>
              <w:rPr>
                <w:rFonts w:ascii="Arial" w:hAnsi="Arial" w:cs="Arial"/>
                <w:b/>
                <w:szCs w:val="24"/>
              </w:rPr>
              <w:t>9</w:t>
            </w:r>
            <w:r w:rsidR="00E5302E">
              <w:rPr>
                <w:rFonts w:ascii="Arial" w:hAnsi="Arial" w:cs="Arial"/>
                <w:b/>
                <w:szCs w:val="24"/>
              </w:rPr>
              <w:t>.</w:t>
            </w:r>
          </w:p>
        </w:tc>
        <w:tc>
          <w:tcPr>
            <w:tcW w:w="8789" w:type="dxa"/>
          </w:tcPr>
          <w:p w:rsidR="009C6BF1" w:rsidRDefault="009C6BF1" w:rsidP="006909C6">
            <w:pPr>
              <w:autoSpaceDE w:val="0"/>
              <w:autoSpaceDN w:val="0"/>
              <w:adjustRightInd w:val="0"/>
              <w:jc w:val="both"/>
              <w:rPr>
                <w:rFonts w:ascii="Arial" w:hAnsi="Arial" w:cs="Arial"/>
                <w:b/>
              </w:rPr>
            </w:pPr>
          </w:p>
          <w:p w:rsidR="00E5302E" w:rsidRDefault="00E5302E" w:rsidP="006909C6">
            <w:pPr>
              <w:autoSpaceDE w:val="0"/>
              <w:autoSpaceDN w:val="0"/>
              <w:adjustRightInd w:val="0"/>
              <w:jc w:val="both"/>
              <w:rPr>
                <w:rFonts w:ascii="Arial" w:hAnsi="Arial" w:cs="Arial"/>
                <w:b/>
              </w:rPr>
            </w:pPr>
            <w:r w:rsidRPr="00E5302E">
              <w:rPr>
                <w:rFonts w:ascii="Arial" w:hAnsi="Arial" w:cs="Arial"/>
                <w:b/>
              </w:rPr>
              <w:t>Director attendance at Finance and Audit Committee</w:t>
            </w:r>
          </w:p>
          <w:p w:rsidR="0055791C" w:rsidRDefault="0055791C" w:rsidP="006909C6">
            <w:pPr>
              <w:autoSpaceDE w:val="0"/>
              <w:autoSpaceDN w:val="0"/>
              <w:adjustRightInd w:val="0"/>
              <w:jc w:val="both"/>
              <w:rPr>
                <w:rFonts w:ascii="Arial" w:hAnsi="Arial" w:cs="Arial"/>
                <w:b/>
              </w:rPr>
            </w:pPr>
          </w:p>
        </w:tc>
      </w:tr>
      <w:tr w:rsidR="00E5302E" w:rsidRPr="0089449E" w:rsidTr="001B2922">
        <w:tc>
          <w:tcPr>
            <w:tcW w:w="817" w:type="dxa"/>
          </w:tcPr>
          <w:p w:rsidR="009C6BF1" w:rsidRDefault="009C6BF1" w:rsidP="00846D14">
            <w:pPr>
              <w:jc w:val="both"/>
              <w:rPr>
                <w:rFonts w:ascii="Arial" w:hAnsi="Arial" w:cs="Arial"/>
                <w:szCs w:val="24"/>
              </w:rPr>
            </w:pPr>
          </w:p>
          <w:p w:rsidR="00E5302E" w:rsidRPr="0055791C" w:rsidRDefault="0055791C" w:rsidP="00846D14">
            <w:pPr>
              <w:jc w:val="both"/>
              <w:rPr>
                <w:rFonts w:ascii="Arial" w:hAnsi="Arial" w:cs="Arial"/>
                <w:szCs w:val="24"/>
              </w:rPr>
            </w:pPr>
            <w:r>
              <w:rPr>
                <w:rFonts w:ascii="Arial" w:hAnsi="Arial" w:cs="Arial"/>
                <w:szCs w:val="24"/>
              </w:rPr>
              <w:t>9</w:t>
            </w:r>
            <w:r w:rsidRPr="0055791C">
              <w:rPr>
                <w:rFonts w:ascii="Arial" w:hAnsi="Arial" w:cs="Arial"/>
                <w:szCs w:val="24"/>
              </w:rPr>
              <w:t>.1</w:t>
            </w:r>
          </w:p>
        </w:tc>
        <w:tc>
          <w:tcPr>
            <w:tcW w:w="8789" w:type="dxa"/>
          </w:tcPr>
          <w:p w:rsidR="009C6BF1" w:rsidRDefault="009C6BF1" w:rsidP="00E5302E">
            <w:pPr>
              <w:autoSpaceDE w:val="0"/>
              <w:autoSpaceDN w:val="0"/>
              <w:adjustRightInd w:val="0"/>
              <w:jc w:val="both"/>
              <w:rPr>
                <w:rFonts w:ascii="Arial" w:hAnsi="Arial" w:cs="Arial"/>
              </w:rPr>
            </w:pPr>
          </w:p>
          <w:p w:rsidR="00E5302E" w:rsidRPr="0055791C" w:rsidRDefault="00E5302E" w:rsidP="00E5302E">
            <w:pPr>
              <w:autoSpaceDE w:val="0"/>
              <w:autoSpaceDN w:val="0"/>
              <w:adjustRightInd w:val="0"/>
              <w:jc w:val="both"/>
              <w:rPr>
                <w:rFonts w:ascii="Arial" w:hAnsi="Arial" w:cs="Arial"/>
              </w:rPr>
            </w:pPr>
            <w:r w:rsidRPr="0055791C">
              <w:rPr>
                <w:rFonts w:ascii="Arial" w:hAnsi="Arial" w:cs="Arial"/>
              </w:rPr>
              <w:t xml:space="preserve">HLH Board Directors at the annual review and appraisal workshop in December 2015 agreed that all Directors should attend one meeting per annum of the Finance and Audit Committee to allow a fuller understanding of the detailed scrutiny undertaken of the work of HLH, this to be reported to the HLH Board at the first meeting of the financial year.  For 2016/17, all Directors have attended a minimum of one meeting, apart from Mark Tate </w:t>
            </w:r>
            <w:r w:rsidR="0055791C">
              <w:rPr>
                <w:rFonts w:ascii="Arial" w:hAnsi="Arial" w:cs="Arial"/>
              </w:rPr>
              <w:t>who is</w:t>
            </w:r>
            <w:r w:rsidRPr="0055791C">
              <w:rPr>
                <w:rFonts w:ascii="Arial" w:hAnsi="Arial" w:cs="Arial"/>
              </w:rPr>
              <w:t xml:space="preserve"> aware and will att</w:t>
            </w:r>
            <w:r w:rsidR="0055791C">
              <w:rPr>
                <w:rFonts w:ascii="Arial" w:hAnsi="Arial" w:cs="Arial"/>
              </w:rPr>
              <w:t>end a meeting as soon as diary</w:t>
            </w:r>
            <w:r w:rsidRPr="0055791C">
              <w:rPr>
                <w:rFonts w:ascii="Arial" w:hAnsi="Arial" w:cs="Arial"/>
              </w:rPr>
              <w:t xml:space="preserve"> allow</w:t>
            </w:r>
            <w:r w:rsidR="0055791C">
              <w:rPr>
                <w:rFonts w:ascii="Arial" w:hAnsi="Arial" w:cs="Arial"/>
              </w:rPr>
              <w:t>s</w:t>
            </w:r>
            <w:r w:rsidRPr="0055791C">
              <w:rPr>
                <w:rFonts w:ascii="Arial" w:hAnsi="Arial" w:cs="Arial"/>
              </w:rPr>
              <w:t>.</w:t>
            </w:r>
          </w:p>
          <w:p w:rsidR="00E5302E" w:rsidRPr="0055791C" w:rsidRDefault="00E5302E" w:rsidP="006909C6">
            <w:pPr>
              <w:autoSpaceDE w:val="0"/>
              <w:autoSpaceDN w:val="0"/>
              <w:adjustRightInd w:val="0"/>
              <w:jc w:val="both"/>
              <w:rPr>
                <w:rFonts w:ascii="Arial" w:hAnsi="Arial" w:cs="Arial"/>
              </w:rPr>
            </w:pPr>
          </w:p>
        </w:tc>
      </w:tr>
      <w:tr w:rsidR="006909C6" w:rsidRPr="0089449E" w:rsidTr="001B2922">
        <w:tc>
          <w:tcPr>
            <w:tcW w:w="817" w:type="dxa"/>
          </w:tcPr>
          <w:p w:rsidR="006909C6" w:rsidRDefault="0055791C" w:rsidP="00846D14">
            <w:pPr>
              <w:jc w:val="both"/>
              <w:rPr>
                <w:rFonts w:ascii="Arial" w:hAnsi="Arial" w:cs="Arial"/>
                <w:b/>
                <w:szCs w:val="24"/>
              </w:rPr>
            </w:pPr>
            <w:r>
              <w:rPr>
                <w:rFonts w:ascii="Arial" w:hAnsi="Arial" w:cs="Arial"/>
                <w:b/>
                <w:szCs w:val="24"/>
              </w:rPr>
              <w:lastRenderedPageBreak/>
              <w:t>10</w:t>
            </w:r>
            <w:r w:rsidR="006909C6">
              <w:rPr>
                <w:rFonts w:ascii="Arial" w:hAnsi="Arial" w:cs="Arial"/>
                <w:b/>
                <w:szCs w:val="24"/>
              </w:rPr>
              <w:t>.</w:t>
            </w:r>
          </w:p>
        </w:tc>
        <w:tc>
          <w:tcPr>
            <w:tcW w:w="8789" w:type="dxa"/>
          </w:tcPr>
          <w:p w:rsidR="006909C6" w:rsidRDefault="006909C6" w:rsidP="006909C6">
            <w:pPr>
              <w:autoSpaceDE w:val="0"/>
              <w:autoSpaceDN w:val="0"/>
              <w:adjustRightInd w:val="0"/>
              <w:jc w:val="both"/>
              <w:rPr>
                <w:rFonts w:ascii="Arial" w:hAnsi="Arial" w:cs="Arial"/>
                <w:b/>
              </w:rPr>
            </w:pPr>
            <w:r w:rsidRPr="008A3353">
              <w:rPr>
                <w:rFonts w:ascii="Arial" w:hAnsi="Arial" w:cs="Arial"/>
                <w:b/>
              </w:rPr>
              <w:t>Implications</w:t>
            </w:r>
          </w:p>
          <w:p w:rsidR="006909C6" w:rsidRPr="008A3353" w:rsidRDefault="006909C6" w:rsidP="00B410B3">
            <w:pPr>
              <w:autoSpaceDE w:val="0"/>
              <w:autoSpaceDN w:val="0"/>
              <w:adjustRightInd w:val="0"/>
              <w:jc w:val="both"/>
              <w:rPr>
                <w:rFonts w:ascii="Arial" w:hAnsi="Arial" w:cs="Arial"/>
                <w:b/>
              </w:rPr>
            </w:pPr>
          </w:p>
        </w:tc>
      </w:tr>
      <w:tr w:rsidR="006909C6" w:rsidRPr="006909C6" w:rsidTr="001B2922">
        <w:tc>
          <w:tcPr>
            <w:tcW w:w="817" w:type="dxa"/>
          </w:tcPr>
          <w:p w:rsidR="006909C6" w:rsidRPr="006909C6" w:rsidRDefault="0055791C" w:rsidP="00472040">
            <w:pPr>
              <w:jc w:val="both"/>
              <w:rPr>
                <w:rFonts w:ascii="Arial" w:hAnsi="Arial" w:cs="Arial"/>
                <w:szCs w:val="24"/>
              </w:rPr>
            </w:pPr>
            <w:r>
              <w:rPr>
                <w:rFonts w:ascii="Arial" w:hAnsi="Arial" w:cs="Arial"/>
                <w:szCs w:val="24"/>
              </w:rPr>
              <w:t>10</w:t>
            </w:r>
            <w:r w:rsidR="00941634">
              <w:rPr>
                <w:rFonts w:ascii="Arial" w:hAnsi="Arial" w:cs="Arial"/>
                <w:szCs w:val="24"/>
              </w:rPr>
              <w:t>.</w:t>
            </w:r>
            <w:r w:rsidR="006909C6" w:rsidRPr="006909C6">
              <w:rPr>
                <w:rFonts w:ascii="Arial" w:hAnsi="Arial" w:cs="Arial"/>
                <w:szCs w:val="24"/>
              </w:rPr>
              <w:t>1</w:t>
            </w:r>
          </w:p>
          <w:p w:rsidR="006909C6" w:rsidRPr="006909C6" w:rsidRDefault="006909C6" w:rsidP="00472040">
            <w:pPr>
              <w:jc w:val="both"/>
              <w:rPr>
                <w:rFonts w:ascii="Arial" w:hAnsi="Arial" w:cs="Arial"/>
                <w:szCs w:val="24"/>
              </w:rPr>
            </w:pPr>
          </w:p>
          <w:p w:rsidR="000C449D" w:rsidRDefault="000C449D" w:rsidP="00472040">
            <w:pPr>
              <w:jc w:val="both"/>
              <w:rPr>
                <w:rFonts w:ascii="Arial" w:hAnsi="Arial" w:cs="Arial"/>
                <w:szCs w:val="24"/>
              </w:rPr>
            </w:pPr>
          </w:p>
          <w:p w:rsidR="006909C6" w:rsidRPr="006909C6" w:rsidRDefault="0055791C" w:rsidP="00472040">
            <w:pPr>
              <w:jc w:val="both"/>
              <w:rPr>
                <w:rFonts w:ascii="Arial" w:hAnsi="Arial" w:cs="Arial"/>
                <w:szCs w:val="24"/>
              </w:rPr>
            </w:pPr>
            <w:r>
              <w:rPr>
                <w:rFonts w:ascii="Arial" w:hAnsi="Arial" w:cs="Arial"/>
                <w:szCs w:val="24"/>
              </w:rPr>
              <w:t>10.</w:t>
            </w:r>
            <w:r w:rsidR="006909C6" w:rsidRPr="006909C6">
              <w:rPr>
                <w:rFonts w:ascii="Arial" w:hAnsi="Arial" w:cs="Arial"/>
                <w:szCs w:val="24"/>
              </w:rPr>
              <w:t>2</w:t>
            </w:r>
          </w:p>
          <w:p w:rsidR="006909C6" w:rsidRPr="006909C6" w:rsidRDefault="006909C6" w:rsidP="00472040">
            <w:pPr>
              <w:jc w:val="both"/>
              <w:rPr>
                <w:rFonts w:ascii="Arial" w:hAnsi="Arial" w:cs="Arial"/>
                <w:szCs w:val="24"/>
              </w:rPr>
            </w:pPr>
          </w:p>
          <w:p w:rsidR="006909C6" w:rsidRPr="006909C6" w:rsidRDefault="006909C6" w:rsidP="00472040">
            <w:pPr>
              <w:jc w:val="both"/>
              <w:rPr>
                <w:rFonts w:ascii="Arial" w:hAnsi="Arial" w:cs="Arial"/>
                <w:szCs w:val="24"/>
              </w:rPr>
            </w:pPr>
          </w:p>
          <w:p w:rsidR="006909C6" w:rsidRPr="006909C6" w:rsidRDefault="0055791C" w:rsidP="00344232">
            <w:pPr>
              <w:jc w:val="both"/>
              <w:rPr>
                <w:rFonts w:ascii="Arial" w:hAnsi="Arial" w:cs="Arial"/>
                <w:szCs w:val="24"/>
              </w:rPr>
            </w:pPr>
            <w:r>
              <w:rPr>
                <w:rFonts w:ascii="Arial" w:hAnsi="Arial" w:cs="Arial"/>
                <w:szCs w:val="24"/>
              </w:rPr>
              <w:t>10</w:t>
            </w:r>
            <w:r w:rsidR="000D70EE">
              <w:rPr>
                <w:rFonts w:ascii="Arial" w:hAnsi="Arial" w:cs="Arial"/>
                <w:szCs w:val="24"/>
              </w:rPr>
              <w:t>.3</w:t>
            </w:r>
          </w:p>
        </w:tc>
        <w:tc>
          <w:tcPr>
            <w:tcW w:w="8789" w:type="dxa"/>
          </w:tcPr>
          <w:p w:rsidR="000C449D" w:rsidRPr="009B0904" w:rsidRDefault="000C449D" w:rsidP="000C449D">
            <w:pPr>
              <w:autoSpaceDE w:val="0"/>
              <w:autoSpaceDN w:val="0"/>
              <w:adjustRightInd w:val="0"/>
              <w:jc w:val="both"/>
              <w:rPr>
                <w:rFonts w:ascii="Arial" w:hAnsi="Arial" w:cs="Arial"/>
              </w:rPr>
            </w:pPr>
            <w:r>
              <w:rPr>
                <w:rFonts w:ascii="Arial" w:hAnsi="Arial" w:cs="Arial"/>
              </w:rPr>
              <w:t xml:space="preserve">Resource Implications – </w:t>
            </w:r>
            <w:r w:rsidRPr="009B0904">
              <w:rPr>
                <w:rFonts w:ascii="Arial" w:hAnsi="Arial" w:cs="Arial"/>
              </w:rPr>
              <w:t>there are no new resource implications arising from the content of this report</w:t>
            </w:r>
          </w:p>
          <w:p w:rsidR="005A3624" w:rsidRPr="006909C6" w:rsidRDefault="005A3624" w:rsidP="006909C6">
            <w:pPr>
              <w:autoSpaceDE w:val="0"/>
              <w:autoSpaceDN w:val="0"/>
              <w:adjustRightInd w:val="0"/>
              <w:jc w:val="both"/>
              <w:rPr>
                <w:rFonts w:ascii="Arial" w:hAnsi="Arial" w:cs="Arial"/>
              </w:rPr>
            </w:pPr>
          </w:p>
          <w:p w:rsidR="006909C6" w:rsidRPr="006909C6" w:rsidRDefault="006909C6" w:rsidP="006909C6">
            <w:pPr>
              <w:autoSpaceDE w:val="0"/>
              <w:autoSpaceDN w:val="0"/>
              <w:adjustRightInd w:val="0"/>
              <w:jc w:val="both"/>
              <w:rPr>
                <w:rFonts w:ascii="Arial" w:hAnsi="Arial" w:cs="Arial"/>
              </w:rPr>
            </w:pPr>
            <w:r w:rsidRPr="006909C6">
              <w:rPr>
                <w:rFonts w:ascii="Arial" w:hAnsi="Arial" w:cs="Arial"/>
              </w:rPr>
              <w:t>Legal Implications – there are no new legal implications arising from the content of this report.</w:t>
            </w:r>
          </w:p>
          <w:p w:rsidR="006909C6" w:rsidRPr="006909C6" w:rsidRDefault="006909C6" w:rsidP="006909C6">
            <w:pPr>
              <w:autoSpaceDE w:val="0"/>
              <w:autoSpaceDN w:val="0"/>
              <w:adjustRightInd w:val="0"/>
              <w:jc w:val="both"/>
              <w:rPr>
                <w:rFonts w:ascii="Arial" w:hAnsi="Arial" w:cs="Arial"/>
              </w:rPr>
            </w:pPr>
          </w:p>
          <w:p w:rsidR="006909C6" w:rsidRPr="006909C6" w:rsidRDefault="006909C6" w:rsidP="00B410B3">
            <w:pPr>
              <w:autoSpaceDE w:val="0"/>
              <w:autoSpaceDN w:val="0"/>
              <w:adjustRightInd w:val="0"/>
              <w:jc w:val="both"/>
              <w:rPr>
                <w:rFonts w:ascii="Arial" w:hAnsi="Arial" w:cs="Arial"/>
              </w:rPr>
            </w:pPr>
            <w:r w:rsidRPr="006909C6">
              <w:rPr>
                <w:rFonts w:ascii="Arial" w:hAnsi="Arial" w:cs="Arial"/>
              </w:rPr>
              <w:t xml:space="preserve">Risk Implications – </w:t>
            </w:r>
            <w:r w:rsidR="005A3624">
              <w:rPr>
                <w:rFonts w:ascii="Arial" w:hAnsi="Arial" w:cs="Arial"/>
              </w:rPr>
              <w:t>there is a risk that current tax and VAT arrangements are not fully up to date and that back payment may be required.</w:t>
            </w:r>
          </w:p>
        </w:tc>
      </w:tr>
    </w:tbl>
    <w:p w:rsidR="00E6170C" w:rsidRDefault="00E6170C" w:rsidP="00532972">
      <w:pPr>
        <w:tabs>
          <w:tab w:val="left" w:pos="1701"/>
        </w:tabs>
        <w:rPr>
          <w:rFonts w:ascii="Arial" w:hAnsi="Arial" w:cs="Arial"/>
          <w:szCs w:val="24"/>
        </w:rPr>
      </w:pPr>
    </w:p>
    <w:p w:rsidR="00E6170C" w:rsidRDefault="00E6170C" w:rsidP="00532972">
      <w:pPr>
        <w:tabs>
          <w:tab w:val="left" w:pos="1701"/>
        </w:tabs>
        <w:rPr>
          <w:rFonts w:ascii="Arial" w:hAnsi="Arial" w:cs="Arial"/>
          <w:szCs w:val="24"/>
        </w:rPr>
      </w:pPr>
    </w:p>
    <w:tbl>
      <w:tblPr>
        <w:tblStyle w:val="TableGrid"/>
        <w:tblW w:w="0" w:type="auto"/>
        <w:tblLook w:val="04A0" w:firstRow="1" w:lastRow="0" w:firstColumn="1" w:lastColumn="0" w:noHBand="0" w:noVBand="1"/>
      </w:tblPr>
      <w:tblGrid>
        <w:gridCol w:w="9242"/>
      </w:tblGrid>
      <w:tr w:rsidR="00E6170C" w:rsidTr="00542E12">
        <w:tc>
          <w:tcPr>
            <w:tcW w:w="9242" w:type="dxa"/>
          </w:tcPr>
          <w:p w:rsidR="00E6170C" w:rsidRPr="0089449E" w:rsidRDefault="00E6170C" w:rsidP="00542E12">
            <w:pPr>
              <w:pStyle w:val="Heading2"/>
              <w:jc w:val="both"/>
              <w:outlineLvl w:val="1"/>
              <w:rPr>
                <w:rFonts w:ascii="Arial" w:hAnsi="Arial" w:cs="Arial"/>
                <w:b/>
                <w:szCs w:val="24"/>
                <w:u w:val="none"/>
              </w:rPr>
            </w:pPr>
            <w:r>
              <w:rPr>
                <w:rFonts w:ascii="Arial" w:hAnsi="Arial" w:cs="Arial"/>
                <w:b/>
                <w:szCs w:val="24"/>
                <w:u w:val="none"/>
              </w:rPr>
              <w:t>Recommendations</w:t>
            </w:r>
          </w:p>
          <w:p w:rsidR="00E6170C" w:rsidRDefault="00E6170C" w:rsidP="00542E12">
            <w:pPr>
              <w:jc w:val="both"/>
              <w:rPr>
                <w:rFonts w:ascii="Arial" w:hAnsi="Arial" w:cs="Arial"/>
                <w:szCs w:val="24"/>
              </w:rPr>
            </w:pPr>
          </w:p>
          <w:p w:rsidR="00344232" w:rsidRPr="000F2276" w:rsidRDefault="00344232" w:rsidP="00344232">
            <w:pPr>
              <w:jc w:val="both"/>
              <w:rPr>
                <w:rFonts w:ascii="Arial" w:hAnsi="Arial" w:cs="Arial"/>
              </w:rPr>
            </w:pPr>
            <w:r w:rsidRPr="000F2276">
              <w:rPr>
                <w:rFonts w:ascii="Arial" w:hAnsi="Arial" w:cs="Arial"/>
              </w:rPr>
              <w:t>I</w:t>
            </w:r>
            <w:r>
              <w:rPr>
                <w:rFonts w:ascii="Arial" w:hAnsi="Arial" w:cs="Arial"/>
              </w:rPr>
              <w:t>t is recommended that Directors note</w:t>
            </w:r>
            <w:r w:rsidRPr="000F2276">
              <w:rPr>
                <w:rFonts w:ascii="Arial" w:hAnsi="Arial" w:cs="Arial"/>
              </w:rPr>
              <w:t>:</w:t>
            </w:r>
          </w:p>
          <w:p w:rsidR="00344232" w:rsidRPr="000F2276" w:rsidRDefault="00344232" w:rsidP="00344232">
            <w:pPr>
              <w:jc w:val="both"/>
              <w:rPr>
                <w:rFonts w:ascii="Arial" w:hAnsi="Arial" w:cs="Arial"/>
              </w:rPr>
            </w:pPr>
          </w:p>
          <w:p w:rsidR="00344232" w:rsidRPr="000757C8" w:rsidRDefault="00344232" w:rsidP="00344232">
            <w:pPr>
              <w:numPr>
                <w:ilvl w:val="0"/>
                <w:numId w:val="39"/>
              </w:numPr>
              <w:ind w:left="709" w:hanging="425"/>
              <w:contextualSpacing/>
              <w:jc w:val="both"/>
              <w:rPr>
                <w:rFonts w:ascii="Arial" w:eastAsia="Calibri" w:hAnsi="Arial" w:cs="Arial"/>
                <w:szCs w:val="24"/>
              </w:rPr>
            </w:pPr>
            <w:r w:rsidRPr="00CB55D1">
              <w:rPr>
                <w:rFonts w:ascii="Arial" w:hAnsi="Arial" w:cs="Arial"/>
                <w:szCs w:val="24"/>
              </w:rPr>
              <w:t>the</w:t>
            </w:r>
            <w:r>
              <w:rPr>
                <w:rFonts w:ascii="Arial" w:eastAsia="Calibri" w:hAnsi="Arial" w:cs="Arial"/>
                <w:szCs w:val="24"/>
              </w:rPr>
              <w:t xml:space="preserve"> draft year end out-</w:t>
            </w:r>
            <w:r w:rsidRPr="000757C8">
              <w:rPr>
                <w:rFonts w:ascii="Arial" w:eastAsia="Calibri" w:hAnsi="Arial" w:cs="Arial"/>
                <w:szCs w:val="24"/>
              </w:rPr>
              <w:t xml:space="preserve">turn, subject to Audit, for </w:t>
            </w:r>
            <w:r>
              <w:rPr>
                <w:rFonts w:ascii="Arial" w:eastAsia="Calibri" w:hAnsi="Arial" w:cs="Arial"/>
                <w:szCs w:val="24"/>
              </w:rPr>
              <w:t>2016/17</w:t>
            </w:r>
            <w:r w:rsidRPr="000757C8">
              <w:rPr>
                <w:rFonts w:ascii="Arial" w:eastAsia="Calibri" w:hAnsi="Arial" w:cs="Arial"/>
                <w:szCs w:val="24"/>
              </w:rPr>
              <w:t xml:space="preserve"> for High Life Highland as detailed in </w:t>
            </w:r>
            <w:r w:rsidRPr="000757C8">
              <w:rPr>
                <w:rFonts w:ascii="Arial" w:eastAsia="Calibri" w:hAnsi="Arial" w:cs="Arial"/>
                <w:b/>
                <w:szCs w:val="24"/>
              </w:rPr>
              <w:t>Appendix A</w:t>
            </w:r>
            <w:r w:rsidRPr="000757C8">
              <w:rPr>
                <w:rFonts w:ascii="Arial" w:eastAsia="Calibri" w:hAnsi="Arial" w:cs="Arial"/>
                <w:szCs w:val="24"/>
              </w:rPr>
              <w:t xml:space="preserve"> reports a surplus of £</w:t>
            </w:r>
            <w:r>
              <w:rPr>
                <w:rFonts w:ascii="Arial" w:eastAsia="Calibri" w:hAnsi="Arial" w:cs="Arial"/>
                <w:szCs w:val="24"/>
              </w:rPr>
              <w:t>119,232</w:t>
            </w:r>
            <w:r w:rsidRPr="000757C8">
              <w:rPr>
                <w:rFonts w:ascii="Arial" w:eastAsia="Calibri" w:hAnsi="Arial" w:cs="Arial"/>
                <w:color w:val="FF0000"/>
                <w:szCs w:val="24"/>
              </w:rPr>
              <w:t xml:space="preserve"> </w:t>
            </w:r>
            <w:r w:rsidRPr="000757C8">
              <w:rPr>
                <w:rFonts w:ascii="Arial" w:eastAsia="Calibri" w:hAnsi="Arial" w:cs="Arial"/>
                <w:szCs w:val="24"/>
              </w:rPr>
              <w:t>to Unrestricted Reserves</w:t>
            </w:r>
            <w:r>
              <w:rPr>
                <w:rFonts w:ascii="Arial" w:eastAsia="Calibri" w:hAnsi="Arial" w:cs="Arial"/>
                <w:szCs w:val="24"/>
              </w:rPr>
              <w:t xml:space="preserve"> for the year</w:t>
            </w:r>
            <w:r w:rsidRPr="000757C8">
              <w:rPr>
                <w:rFonts w:ascii="Arial" w:eastAsia="Calibri" w:hAnsi="Arial" w:cs="Arial"/>
                <w:szCs w:val="24"/>
              </w:rPr>
              <w:t xml:space="preserve"> and a transfer</w:t>
            </w:r>
            <w:r>
              <w:rPr>
                <w:rFonts w:ascii="Arial" w:eastAsia="Calibri" w:hAnsi="Arial" w:cs="Arial"/>
                <w:szCs w:val="24"/>
              </w:rPr>
              <w:t xml:space="preserve"> from </w:t>
            </w:r>
            <w:r w:rsidRPr="000757C8">
              <w:rPr>
                <w:rFonts w:ascii="Arial" w:eastAsia="Calibri" w:hAnsi="Arial" w:cs="Arial"/>
                <w:szCs w:val="24"/>
              </w:rPr>
              <w:t xml:space="preserve">Restricted Reserves </w:t>
            </w:r>
            <w:r>
              <w:rPr>
                <w:rFonts w:ascii="Arial" w:eastAsia="Calibri" w:hAnsi="Arial" w:cs="Arial"/>
                <w:szCs w:val="24"/>
              </w:rPr>
              <w:t xml:space="preserve">to Unrestricted Reserves (Grant income) of </w:t>
            </w:r>
            <w:r w:rsidRPr="000757C8">
              <w:rPr>
                <w:rFonts w:ascii="Arial" w:eastAsia="Calibri" w:hAnsi="Arial" w:cs="Arial"/>
                <w:szCs w:val="24"/>
              </w:rPr>
              <w:t>£</w:t>
            </w:r>
            <w:r>
              <w:rPr>
                <w:rFonts w:ascii="Arial" w:eastAsia="Calibri" w:hAnsi="Arial" w:cs="Arial"/>
                <w:szCs w:val="24"/>
              </w:rPr>
              <w:t>115,675 giving a total transfer to Unrestricted reserv</w:t>
            </w:r>
            <w:r w:rsidR="009C6BF1">
              <w:rPr>
                <w:rFonts w:ascii="Arial" w:eastAsia="Calibri" w:hAnsi="Arial" w:cs="Arial"/>
                <w:szCs w:val="24"/>
              </w:rPr>
              <w:t>es of £234,907</w:t>
            </w:r>
            <w:r>
              <w:rPr>
                <w:rFonts w:ascii="Arial" w:eastAsia="Calibri" w:hAnsi="Arial" w:cs="Arial"/>
                <w:szCs w:val="24"/>
              </w:rPr>
              <w:t>;</w:t>
            </w:r>
          </w:p>
          <w:p w:rsidR="00344232" w:rsidRDefault="00344232" w:rsidP="00344232">
            <w:pPr>
              <w:pStyle w:val="ListParagraph"/>
              <w:numPr>
                <w:ilvl w:val="0"/>
                <w:numId w:val="39"/>
              </w:numPr>
              <w:ind w:left="709" w:hanging="425"/>
              <w:jc w:val="both"/>
              <w:rPr>
                <w:rFonts w:ascii="Arial" w:hAnsi="Arial" w:cs="Arial"/>
                <w:sz w:val="24"/>
                <w:szCs w:val="24"/>
              </w:rPr>
            </w:pPr>
            <w:r w:rsidRPr="00137D7A">
              <w:rPr>
                <w:rFonts w:ascii="Arial" w:hAnsi="Arial" w:cs="Arial"/>
                <w:sz w:val="24"/>
                <w:szCs w:val="24"/>
              </w:rPr>
              <w:t xml:space="preserve">the award of contracts </w:t>
            </w:r>
            <w:r>
              <w:rPr>
                <w:rFonts w:ascii="Arial" w:hAnsi="Arial" w:cs="Arial"/>
                <w:sz w:val="24"/>
                <w:szCs w:val="24"/>
              </w:rPr>
              <w:t xml:space="preserve">to </w:t>
            </w:r>
            <w:proofErr w:type="spellStart"/>
            <w:r>
              <w:rPr>
                <w:rFonts w:ascii="Arial" w:hAnsi="Arial" w:cs="Arial"/>
                <w:sz w:val="24"/>
                <w:szCs w:val="24"/>
              </w:rPr>
              <w:t>Caterpods</w:t>
            </w:r>
            <w:proofErr w:type="spellEnd"/>
            <w:r>
              <w:rPr>
                <w:rFonts w:ascii="Arial" w:hAnsi="Arial" w:cs="Arial"/>
                <w:sz w:val="24"/>
                <w:szCs w:val="24"/>
              </w:rPr>
              <w:t xml:space="preserve"> and Creative Services (Scotland) Ltd. </w:t>
            </w:r>
            <w:r w:rsidRPr="00137D7A">
              <w:rPr>
                <w:rFonts w:ascii="Arial" w:hAnsi="Arial" w:cs="Arial"/>
                <w:sz w:val="24"/>
                <w:szCs w:val="24"/>
              </w:rPr>
              <w:t xml:space="preserve">as detailed in </w:t>
            </w:r>
            <w:r w:rsidRPr="00CB63C6">
              <w:rPr>
                <w:rFonts w:ascii="Arial" w:hAnsi="Arial" w:cs="Arial"/>
                <w:b/>
                <w:sz w:val="24"/>
                <w:szCs w:val="24"/>
              </w:rPr>
              <w:t>paragraph</w:t>
            </w:r>
            <w:r w:rsidRPr="00137D7A">
              <w:rPr>
                <w:rFonts w:ascii="Arial" w:hAnsi="Arial" w:cs="Arial"/>
                <w:b/>
                <w:sz w:val="24"/>
                <w:szCs w:val="24"/>
              </w:rPr>
              <w:t xml:space="preserve"> </w:t>
            </w:r>
            <w:r>
              <w:rPr>
                <w:rFonts w:ascii="Arial" w:hAnsi="Arial" w:cs="Arial"/>
                <w:b/>
                <w:sz w:val="24"/>
                <w:szCs w:val="24"/>
              </w:rPr>
              <w:t>9</w:t>
            </w:r>
            <w:r>
              <w:rPr>
                <w:rFonts w:ascii="Arial" w:hAnsi="Arial" w:cs="Arial"/>
                <w:sz w:val="24"/>
                <w:szCs w:val="24"/>
              </w:rPr>
              <w:t xml:space="preserve"> of this report; and</w:t>
            </w:r>
          </w:p>
          <w:p w:rsidR="00E6170C" w:rsidRPr="0055791C" w:rsidRDefault="00344232" w:rsidP="00344232">
            <w:pPr>
              <w:pStyle w:val="ListParagraph"/>
              <w:numPr>
                <w:ilvl w:val="0"/>
                <w:numId w:val="39"/>
              </w:numPr>
              <w:ind w:left="709" w:hanging="425"/>
              <w:jc w:val="both"/>
              <w:rPr>
                <w:rFonts w:ascii="Arial" w:hAnsi="Arial" w:cs="Arial"/>
                <w:sz w:val="24"/>
                <w:szCs w:val="24"/>
              </w:rPr>
            </w:pPr>
            <w:proofErr w:type="gramStart"/>
            <w:r w:rsidRPr="00344232">
              <w:rPr>
                <w:rFonts w:ascii="Arial" w:hAnsi="Arial" w:cs="Arial"/>
                <w:sz w:val="24"/>
                <w:szCs w:val="24"/>
              </w:rPr>
              <w:t>approve</w:t>
            </w:r>
            <w:proofErr w:type="gramEnd"/>
            <w:r w:rsidRPr="00344232">
              <w:rPr>
                <w:rFonts w:ascii="Arial" w:hAnsi="Arial" w:cs="Arial"/>
                <w:sz w:val="24"/>
                <w:szCs w:val="24"/>
              </w:rPr>
              <w:t xml:space="preserve"> the three year Audit plan proposal</w:t>
            </w:r>
            <w:r>
              <w:rPr>
                <w:rFonts w:ascii="Arial" w:hAnsi="Arial" w:cs="Arial"/>
                <w:sz w:val="24"/>
                <w:szCs w:val="24"/>
              </w:rPr>
              <w:t>.</w:t>
            </w:r>
          </w:p>
        </w:tc>
      </w:tr>
    </w:tbl>
    <w:p w:rsidR="00E6170C" w:rsidRDefault="00E6170C" w:rsidP="00532972">
      <w:pPr>
        <w:tabs>
          <w:tab w:val="left" w:pos="1701"/>
        </w:tabs>
        <w:rPr>
          <w:rFonts w:ascii="Arial" w:hAnsi="Arial" w:cs="Arial"/>
          <w:szCs w:val="24"/>
        </w:rPr>
      </w:pPr>
    </w:p>
    <w:p w:rsidR="0039450A" w:rsidRPr="009B0904" w:rsidRDefault="0039450A" w:rsidP="00532972">
      <w:pPr>
        <w:tabs>
          <w:tab w:val="left" w:pos="1701"/>
        </w:tabs>
        <w:rPr>
          <w:rFonts w:ascii="Arial" w:hAnsi="Arial" w:cs="Arial"/>
          <w:szCs w:val="24"/>
        </w:rPr>
      </w:pPr>
      <w:r w:rsidRPr="009B0904">
        <w:rPr>
          <w:rFonts w:ascii="Arial" w:hAnsi="Arial" w:cs="Arial"/>
          <w:szCs w:val="24"/>
        </w:rPr>
        <w:t>Designation:</w:t>
      </w:r>
      <w:r w:rsidR="0067538A" w:rsidRPr="009B0904">
        <w:rPr>
          <w:rFonts w:ascii="Arial" w:hAnsi="Arial" w:cs="Arial"/>
          <w:szCs w:val="24"/>
        </w:rPr>
        <w:tab/>
        <w:t>Chief Executive</w:t>
      </w:r>
    </w:p>
    <w:p w:rsidR="0039450A" w:rsidRPr="009B0904" w:rsidRDefault="0039450A" w:rsidP="00532972">
      <w:pPr>
        <w:tabs>
          <w:tab w:val="left" w:pos="1701"/>
        </w:tabs>
        <w:rPr>
          <w:rFonts w:ascii="Arial" w:hAnsi="Arial" w:cs="Arial"/>
          <w:szCs w:val="24"/>
        </w:rPr>
      </w:pPr>
    </w:p>
    <w:p w:rsidR="00532972" w:rsidRDefault="00532972" w:rsidP="006909C6">
      <w:pPr>
        <w:tabs>
          <w:tab w:val="left" w:pos="1701"/>
        </w:tabs>
        <w:rPr>
          <w:rFonts w:ascii="Arial" w:hAnsi="Arial" w:cs="Arial"/>
          <w:szCs w:val="24"/>
        </w:rPr>
      </w:pPr>
      <w:r>
        <w:rPr>
          <w:rFonts w:ascii="Arial" w:hAnsi="Arial" w:cs="Arial"/>
          <w:szCs w:val="24"/>
        </w:rPr>
        <w:t>Date:</w:t>
      </w:r>
      <w:r>
        <w:rPr>
          <w:rFonts w:ascii="Arial" w:hAnsi="Arial" w:cs="Arial"/>
          <w:szCs w:val="24"/>
        </w:rPr>
        <w:tab/>
      </w:r>
      <w:r w:rsidR="00344232">
        <w:rPr>
          <w:rFonts w:ascii="Arial" w:hAnsi="Arial" w:cs="Arial"/>
          <w:szCs w:val="24"/>
        </w:rPr>
        <w:t>1 June 2017</w:t>
      </w:r>
    </w:p>
    <w:p w:rsidR="00E6170C" w:rsidRDefault="00E6170C" w:rsidP="006909C6">
      <w:pPr>
        <w:tabs>
          <w:tab w:val="left" w:pos="1701"/>
        </w:tabs>
        <w:rPr>
          <w:rFonts w:ascii="Arial" w:hAnsi="Arial" w:cs="Arial"/>
          <w:szCs w:val="24"/>
        </w:rPr>
      </w:pPr>
    </w:p>
    <w:p w:rsidR="00E6170C" w:rsidRDefault="00E6170C" w:rsidP="006909C6">
      <w:pPr>
        <w:tabs>
          <w:tab w:val="left" w:pos="1701"/>
        </w:tabs>
        <w:rPr>
          <w:rFonts w:ascii="Arial" w:hAnsi="Arial" w:cs="Arial"/>
          <w:szCs w:val="24"/>
        </w:rPr>
      </w:pPr>
    </w:p>
    <w:p w:rsidR="00E6170C" w:rsidRDefault="00E6170C" w:rsidP="006909C6">
      <w:pPr>
        <w:tabs>
          <w:tab w:val="left" w:pos="1701"/>
        </w:tabs>
        <w:rPr>
          <w:rFonts w:ascii="Arial" w:hAnsi="Arial" w:cs="Arial"/>
          <w:szCs w:val="24"/>
        </w:rPr>
      </w:pPr>
    </w:p>
    <w:p w:rsidR="00E6170C" w:rsidRDefault="00E6170C" w:rsidP="006909C6">
      <w:pPr>
        <w:tabs>
          <w:tab w:val="left" w:pos="1701"/>
        </w:tabs>
        <w:rPr>
          <w:rFonts w:ascii="Arial" w:hAnsi="Arial" w:cs="Arial"/>
          <w:szCs w:val="24"/>
        </w:rPr>
        <w:sectPr w:rsidR="00E6170C" w:rsidSect="00344232">
          <w:pgSz w:w="11906" w:h="16838"/>
          <w:pgMar w:top="993" w:right="1440" w:bottom="1134" w:left="1440" w:header="720" w:footer="720" w:gutter="0"/>
          <w:cols w:space="720"/>
        </w:sectPr>
      </w:pPr>
    </w:p>
    <w:p w:rsidR="00290EB5" w:rsidRDefault="00290EB5" w:rsidP="00290EB5">
      <w:pPr>
        <w:rPr>
          <w:rFonts w:ascii="Arial" w:hAnsi="Arial" w:cs="Arial"/>
          <w:szCs w:val="24"/>
        </w:rPr>
      </w:pPr>
    </w:p>
    <w:p w:rsidR="00532972" w:rsidRDefault="00532972" w:rsidP="00290EB5">
      <w:pPr>
        <w:rPr>
          <w:rFonts w:ascii="Arial" w:hAnsi="Arial" w:cs="Arial"/>
          <w:b/>
          <w:szCs w:val="24"/>
        </w:rPr>
      </w:pPr>
    </w:p>
    <w:p w:rsidR="00290EB5" w:rsidRDefault="00290EB5" w:rsidP="0055791C">
      <w:pPr>
        <w:ind w:firstLine="426"/>
        <w:rPr>
          <w:rFonts w:ascii="Arial" w:hAnsi="Arial" w:cs="Arial"/>
          <w:b/>
          <w:szCs w:val="24"/>
        </w:rPr>
      </w:pPr>
      <w:r w:rsidRPr="00D943A1">
        <w:rPr>
          <w:rFonts w:ascii="Arial" w:hAnsi="Arial" w:cs="Arial"/>
          <w:b/>
          <w:szCs w:val="24"/>
        </w:rPr>
        <w:t>Summary Results - Consolidated</w:t>
      </w:r>
      <w:r w:rsidRPr="00D943A1">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686F9F">
        <w:rPr>
          <w:rFonts w:ascii="Arial" w:hAnsi="Arial" w:cs="Arial"/>
          <w:szCs w:val="24"/>
        </w:rPr>
        <w:t xml:space="preserve">            </w:t>
      </w:r>
      <w:r w:rsidRPr="00D943A1">
        <w:rPr>
          <w:rFonts w:ascii="Arial" w:hAnsi="Arial" w:cs="Arial"/>
          <w:b/>
          <w:szCs w:val="24"/>
        </w:rPr>
        <w:t xml:space="preserve">APPENDIX A </w:t>
      </w:r>
    </w:p>
    <w:p w:rsidR="00290EB5" w:rsidRDefault="00290EB5" w:rsidP="00290EB5">
      <w:pPr>
        <w:rPr>
          <w:rFonts w:ascii="Arial" w:hAnsi="Arial" w:cs="Arial"/>
          <w:b/>
          <w:szCs w:val="24"/>
        </w:rPr>
      </w:pPr>
    </w:p>
    <w:p w:rsidR="00290EB5" w:rsidRDefault="00290EB5" w:rsidP="00290EB5">
      <w:pPr>
        <w:rPr>
          <w:rFonts w:ascii="Arial" w:hAnsi="Arial" w:cs="Arial"/>
          <w:b/>
          <w:szCs w:val="24"/>
        </w:rPr>
      </w:pPr>
    </w:p>
    <w:p w:rsidR="00290EB5" w:rsidRPr="00D943A1" w:rsidRDefault="00290EB5" w:rsidP="00290EB5">
      <w:pPr>
        <w:rPr>
          <w:rFonts w:ascii="Arial" w:hAnsi="Arial" w:cs="Arial"/>
          <w:b/>
          <w:szCs w:val="24"/>
        </w:rPr>
      </w:pPr>
      <w:r>
        <w:rPr>
          <w:rFonts w:ascii="Arial" w:hAnsi="Arial" w:cs="Arial"/>
          <w:b/>
          <w:szCs w:val="24"/>
        </w:rPr>
        <w:tab/>
      </w:r>
    </w:p>
    <w:p w:rsidR="00290EB5" w:rsidRDefault="00290EB5" w:rsidP="00290EB5">
      <w:pPr>
        <w:rPr>
          <w:rFonts w:ascii="Arial" w:hAnsi="Arial" w:cs="Arial"/>
          <w:szCs w:val="24"/>
        </w:rPr>
      </w:pPr>
    </w:p>
    <w:tbl>
      <w:tblPr>
        <w:tblW w:w="14820" w:type="dxa"/>
        <w:tblInd w:w="93" w:type="dxa"/>
        <w:tblLook w:val="04A0" w:firstRow="1" w:lastRow="0" w:firstColumn="1" w:lastColumn="0" w:noHBand="0" w:noVBand="1"/>
      </w:tblPr>
      <w:tblGrid>
        <w:gridCol w:w="2080"/>
        <w:gridCol w:w="3340"/>
        <w:gridCol w:w="2060"/>
        <w:gridCol w:w="2260"/>
        <w:gridCol w:w="2680"/>
        <w:gridCol w:w="2400"/>
      </w:tblGrid>
      <w:tr w:rsidR="00F24875" w:rsidRPr="00F24875" w:rsidTr="00F24875">
        <w:trPr>
          <w:trHeight w:val="1048"/>
        </w:trPr>
        <w:tc>
          <w:tcPr>
            <w:tcW w:w="2080" w:type="dxa"/>
            <w:tcBorders>
              <w:top w:val="nil"/>
              <w:left w:val="nil"/>
              <w:bottom w:val="nil"/>
              <w:right w:val="nil"/>
            </w:tcBorders>
            <w:shd w:val="clear" w:color="000000" w:fill="DCE6F1"/>
            <w:noWrap/>
            <w:hideMark/>
          </w:tcPr>
          <w:p w:rsidR="00F24875" w:rsidRPr="00F24875" w:rsidRDefault="00F24875" w:rsidP="00F24875">
            <w:pPr>
              <w:rPr>
                <w:rFonts w:ascii="Arial" w:hAnsi="Arial" w:cs="Arial"/>
                <w:b/>
                <w:bCs/>
                <w:color w:val="000000"/>
                <w:szCs w:val="24"/>
              </w:rPr>
            </w:pPr>
            <w:r w:rsidRPr="00F24875">
              <w:rPr>
                <w:rFonts w:ascii="Arial" w:hAnsi="Arial" w:cs="Arial"/>
                <w:b/>
                <w:bCs/>
                <w:color w:val="000000"/>
                <w:szCs w:val="24"/>
              </w:rPr>
              <w:t>Sector</w:t>
            </w:r>
          </w:p>
        </w:tc>
        <w:tc>
          <w:tcPr>
            <w:tcW w:w="3340" w:type="dxa"/>
            <w:tcBorders>
              <w:top w:val="nil"/>
              <w:left w:val="nil"/>
              <w:bottom w:val="nil"/>
              <w:right w:val="nil"/>
            </w:tcBorders>
            <w:shd w:val="clear" w:color="000000" w:fill="DCE6F1"/>
            <w:noWrap/>
            <w:hideMark/>
          </w:tcPr>
          <w:p w:rsidR="00F24875" w:rsidRPr="00F24875" w:rsidRDefault="00F24875" w:rsidP="00F24875">
            <w:pPr>
              <w:jc w:val="center"/>
              <w:rPr>
                <w:rFonts w:ascii="Arial" w:hAnsi="Arial" w:cs="Arial"/>
                <w:b/>
                <w:bCs/>
                <w:color w:val="000000"/>
                <w:szCs w:val="24"/>
              </w:rPr>
            </w:pPr>
            <w:r w:rsidRPr="00F24875">
              <w:rPr>
                <w:rFonts w:ascii="Arial" w:hAnsi="Arial" w:cs="Arial"/>
                <w:b/>
                <w:bCs/>
                <w:color w:val="000000"/>
                <w:szCs w:val="24"/>
              </w:rPr>
              <w:t>Annual Budget</w:t>
            </w:r>
          </w:p>
        </w:tc>
        <w:tc>
          <w:tcPr>
            <w:tcW w:w="2060" w:type="dxa"/>
            <w:tcBorders>
              <w:top w:val="nil"/>
              <w:left w:val="nil"/>
              <w:bottom w:val="nil"/>
              <w:right w:val="nil"/>
            </w:tcBorders>
            <w:shd w:val="clear" w:color="000000" w:fill="DCE6F1"/>
            <w:noWrap/>
            <w:hideMark/>
          </w:tcPr>
          <w:p w:rsidR="00F24875" w:rsidRPr="00F24875" w:rsidRDefault="00F24875" w:rsidP="00F24875">
            <w:pPr>
              <w:jc w:val="center"/>
              <w:rPr>
                <w:rFonts w:ascii="Arial" w:hAnsi="Arial" w:cs="Arial"/>
                <w:b/>
                <w:bCs/>
                <w:color w:val="000000"/>
                <w:szCs w:val="24"/>
              </w:rPr>
            </w:pPr>
            <w:r w:rsidRPr="00F24875">
              <w:rPr>
                <w:rFonts w:ascii="Arial" w:hAnsi="Arial" w:cs="Arial"/>
                <w:b/>
                <w:bCs/>
                <w:color w:val="000000"/>
                <w:szCs w:val="24"/>
              </w:rPr>
              <w:t>Actual</w:t>
            </w:r>
          </w:p>
        </w:tc>
        <w:tc>
          <w:tcPr>
            <w:tcW w:w="2260" w:type="dxa"/>
            <w:tcBorders>
              <w:top w:val="nil"/>
              <w:left w:val="nil"/>
              <w:bottom w:val="nil"/>
              <w:right w:val="nil"/>
            </w:tcBorders>
            <w:shd w:val="clear" w:color="000000" w:fill="DCE6F1"/>
            <w:noWrap/>
            <w:hideMark/>
          </w:tcPr>
          <w:p w:rsidR="00F24875" w:rsidRPr="00F24875" w:rsidRDefault="00F24875" w:rsidP="00F24875">
            <w:pPr>
              <w:jc w:val="center"/>
              <w:rPr>
                <w:rFonts w:ascii="Arial" w:hAnsi="Arial" w:cs="Arial"/>
                <w:b/>
                <w:bCs/>
                <w:color w:val="000000"/>
                <w:szCs w:val="24"/>
              </w:rPr>
            </w:pPr>
            <w:r w:rsidRPr="00F24875">
              <w:rPr>
                <w:rFonts w:ascii="Arial" w:hAnsi="Arial" w:cs="Arial"/>
                <w:b/>
                <w:bCs/>
                <w:color w:val="000000"/>
                <w:szCs w:val="24"/>
              </w:rPr>
              <w:t>Variance</w:t>
            </w:r>
          </w:p>
        </w:tc>
        <w:tc>
          <w:tcPr>
            <w:tcW w:w="2680" w:type="dxa"/>
            <w:tcBorders>
              <w:top w:val="nil"/>
              <w:left w:val="nil"/>
              <w:bottom w:val="nil"/>
              <w:right w:val="nil"/>
            </w:tcBorders>
            <w:shd w:val="clear" w:color="000000" w:fill="DCE6F1"/>
            <w:hideMark/>
          </w:tcPr>
          <w:p w:rsidR="00F24875" w:rsidRPr="00F24875" w:rsidRDefault="00F24875" w:rsidP="00F24875">
            <w:pPr>
              <w:jc w:val="center"/>
              <w:rPr>
                <w:rFonts w:ascii="Arial" w:hAnsi="Arial" w:cs="Arial"/>
                <w:b/>
                <w:bCs/>
                <w:color w:val="000000"/>
                <w:szCs w:val="24"/>
              </w:rPr>
            </w:pPr>
            <w:r w:rsidRPr="00F24875">
              <w:rPr>
                <w:rFonts w:ascii="Arial" w:hAnsi="Arial" w:cs="Arial"/>
                <w:b/>
                <w:bCs/>
                <w:color w:val="000000"/>
                <w:szCs w:val="24"/>
              </w:rPr>
              <w:t>T</w:t>
            </w:r>
            <w:r>
              <w:rPr>
                <w:rFonts w:ascii="Arial" w:hAnsi="Arial" w:cs="Arial"/>
                <w:b/>
                <w:bCs/>
                <w:color w:val="000000"/>
                <w:szCs w:val="24"/>
              </w:rPr>
              <w:t>/</w:t>
            </w:r>
            <w:proofErr w:type="spellStart"/>
            <w:r w:rsidRPr="00F24875">
              <w:rPr>
                <w:rFonts w:ascii="Arial" w:hAnsi="Arial" w:cs="Arial"/>
                <w:b/>
                <w:bCs/>
                <w:color w:val="000000"/>
                <w:szCs w:val="24"/>
              </w:rPr>
              <w:t>fer</w:t>
            </w:r>
            <w:proofErr w:type="spellEnd"/>
            <w:r w:rsidRPr="00F24875">
              <w:rPr>
                <w:rFonts w:ascii="Arial" w:hAnsi="Arial" w:cs="Arial"/>
                <w:b/>
                <w:bCs/>
                <w:color w:val="000000"/>
                <w:szCs w:val="24"/>
              </w:rPr>
              <w:t xml:space="preserve"> from Restricted Reserves ( Income)</w:t>
            </w:r>
          </w:p>
        </w:tc>
        <w:tc>
          <w:tcPr>
            <w:tcW w:w="2400" w:type="dxa"/>
            <w:tcBorders>
              <w:top w:val="nil"/>
              <w:left w:val="nil"/>
              <w:bottom w:val="nil"/>
              <w:right w:val="nil"/>
            </w:tcBorders>
            <w:shd w:val="clear" w:color="000000" w:fill="DCE6F1"/>
            <w:hideMark/>
          </w:tcPr>
          <w:p w:rsidR="00F24875" w:rsidRPr="00F24875" w:rsidRDefault="00F24875" w:rsidP="00F24875">
            <w:pPr>
              <w:jc w:val="center"/>
              <w:rPr>
                <w:rFonts w:ascii="Arial" w:hAnsi="Arial" w:cs="Arial"/>
                <w:b/>
                <w:bCs/>
                <w:color w:val="000000"/>
                <w:szCs w:val="24"/>
              </w:rPr>
            </w:pPr>
            <w:r>
              <w:rPr>
                <w:rFonts w:ascii="Arial" w:hAnsi="Arial" w:cs="Arial"/>
                <w:b/>
                <w:bCs/>
                <w:color w:val="000000"/>
                <w:szCs w:val="24"/>
              </w:rPr>
              <w:t>Surplus T/</w:t>
            </w:r>
            <w:proofErr w:type="spellStart"/>
            <w:r>
              <w:rPr>
                <w:rFonts w:ascii="Arial" w:hAnsi="Arial" w:cs="Arial"/>
                <w:b/>
                <w:bCs/>
                <w:color w:val="000000"/>
                <w:szCs w:val="24"/>
              </w:rPr>
              <w:t>f</w:t>
            </w:r>
            <w:r w:rsidRPr="00F24875">
              <w:rPr>
                <w:rFonts w:ascii="Arial" w:hAnsi="Arial" w:cs="Arial"/>
                <w:b/>
                <w:bCs/>
                <w:color w:val="000000"/>
                <w:szCs w:val="24"/>
              </w:rPr>
              <w:t>er</w:t>
            </w:r>
            <w:proofErr w:type="spellEnd"/>
            <w:r w:rsidRPr="00F24875">
              <w:rPr>
                <w:rFonts w:ascii="Arial" w:hAnsi="Arial" w:cs="Arial"/>
                <w:b/>
                <w:bCs/>
                <w:color w:val="000000"/>
                <w:szCs w:val="24"/>
              </w:rPr>
              <w:t xml:space="preserve"> to "Unrestricted Reserves"</w:t>
            </w:r>
          </w:p>
        </w:tc>
      </w:tr>
      <w:tr w:rsidR="00F24875" w:rsidRPr="00F24875" w:rsidTr="00F24875">
        <w:trPr>
          <w:trHeight w:val="315"/>
        </w:trPr>
        <w:tc>
          <w:tcPr>
            <w:tcW w:w="2080" w:type="dxa"/>
            <w:tcBorders>
              <w:top w:val="nil"/>
              <w:left w:val="nil"/>
              <w:bottom w:val="nil"/>
              <w:right w:val="nil"/>
            </w:tcBorders>
            <w:shd w:val="clear" w:color="auto" w:fill="auto"/>
            <w:noWrap/>
            <w:hideMark/>
          </w:tcPr>
          <w:p w:rsidR="00F24875" w:rsidRPr="00F24875" w:rsidRDefault="00F24875" w:rsidP="00F24875">
            <w:pPr>
              <w:rPr>
                <w:rFonts w:ascii="Arial" w:hAnsi="Arial" w:cs="Arial"/>
                <w:color w:val="000000"/>
                <w:szCs w:val="24"/>
              </w:rPr>
            </w:pPr>
            <w:r w:rsidRPr="00F24875">
              <w:rPr>
                <w:rFonts w:ascii="Arial" w:hAnsi="Arial" w:cs="Arial"/>
                <w:color w:val="000000"/>
                <w:szCs w:val="24"/>
              </w:rPr>
              <w:t>Income</w:t>
            </w:r>
          </w:p>
        </w:tc>
        <w:tc>
          <w:tcPr>
            <w:tcW w:w="3340" w:type="dxa"/>
            <w:tcBorders>
              <w:top w:val="nil"/>
              <w:left w:val="nil"/>
              <w:bottom w:val="nil"/>
              <w:right w:val="nil"/>
            </w:tcBorders>
            <w:shd w:val="clear" w:color="auto" w:fill="auto"/>
            <w:noWrap/>
            <w:hideMark/>
          </w:tcPr>
          <w:p w:rsidR="00F24875" w:rsidRPr="00F24875" w:rsidRDefault="00F24875" w:rsidP="00F24875">
            <w:pPr>
              <w:jc w:val="center"/>
              <w:rPr>
                <w:rFonts w:ascii="Arial" w:hAnsi="Arial" w:cs="Arial"/>
                <w:color w:val="000000"/>
                <w:szCs w:val="24"/>
              </w:rPr>
            </w:pPr>
            <w:r w:rsidRPr="00F24875">
              <w:rPr>
                <w:rFonts w:ascii="Arial" w:hAnsi="Arial" w:cs="Arial"/>
                <w:color w:val="000000"/>
                <w:szCs w:val="24"/>
              </w:rPr>
              <w:t>£25,677,691</w:t>
            </w:r>
          </w:p>
        </w:tc>
        <w:tc>
          <w:tcPr>
            <w:tcW w:w="2060" w:type="dxa"/>
            <w:tcBorders>
              <w:top w:val="nil"/>
              <w:left w:val="nil"/>
              <w:bottom w:val="nil"/>
              <w:right w:val="nil"/>
            </w:tcBorders>
            <w:shd w:val="clear" w:color="auto" w:fill="auto"/>
            <w:noWrap/>
            <w:hideMark/>
          </w:tcPr>
          <w:p w:rsidR="00F24875" w:rsidRPr="00F24875" w:rsidRDefault="00F24875" w:rsidP="00F24875">
            <w:pPr>
              <w:jc w:val="center"/>
              <w:rPr>
                <w:rFonts w:ascii="Arial" w:hAnsi="Arial" w:cs="Arial"/>
                <w:color w:val="000000"/>
                <w:szCs w:val="24"/>
              </w:rPr>
            </w:pPr>
            <w:r w:rsidRPr="00F24875">
              <w:rPr>
                <w:rFonts w:ascii="Arial" w:hAnsi="Arial" w:cs="Arial"/>
                <w:color w:val="000000"/>
                <w:szCs w:val="24"/>
              </w:rPr>
              <w:t>£26,108,725</w:t>
            </w:r>
          </w:p>
        </w:tc>
        <w:tc>
          <w:tcPr>
            <w:tcW w:w="2260" w:type="dxa"/>
            <w:tcBorders>
              <w:top w:val="nil"/>
              <w:left w:val="nil"/>
              <w:bottom w:val="nil"/>
              <w:right w:val="nil"/>
            </w:tcBorders>
            <w:shd w:val="clear" w:color="auto" w:fill="auto"/>
            <w:noWrap/>
            <w:hideMark/>
          </w:tcPr>
          <w:p w:rsidR="00F24875" w:rsidRPr="00F24875" w:rsidRDefault="00F24875" w:rsidP="00F24875">
            <w:pPr>
              <w:jc w:val="center"/>
              <w:rPr>
                <w:rFonts w:ascii="Arial" w:hAnsi="Arial" w:cs="Arial"/>
                <w:color w:val="000000"/>
                <w:szCs w:val="24"/>
              </w:rPr>
            </w:pPr>
            <w:r w:rsidRPr="00F24875">
              <w:rPr>
                <w:rFonts w:ascii="Arial" w:hAnsi="Arial" w:cs="Arial"/>
                <w:color w:val="000000"/>
                <w:szCs w:val="24"/>
              </w:rPr>
              <w:t>£431,034</w:t>
            </w:r>
          </w:p>
        </w:tc>
        <w:tc>
          <w:tcPr>
            <w:tcW w:w="2680" w:type="dxa"/>
            <w:tcBorders>
              <w:top w:val="nil"/>
              <w:left w:val="nil"/>
              <w:bottom w:val="nil"/>
              <w:right w:val="nil"/>
            </w:tcBorders>
            <w:shd w:val="clear" w:color="auto" w:fill="auto"/>
            <w:noWrap/>
            <w:hideMark/>
          </w:tcPr>
          <w:p w:rsidR="00F24875" w:rsidRPr="00F24875" w:rsidRDefault="00F24875" w:rsidP="00F24875">
            <w:pPr>
              <w:jc w:val="center"/>
              <w:rPr>
                <w:rFonts w:ascii="Arial" w:hAnsi="Arial" w:cs="Arial"/>
                <w:color w:val="000000"/>
                <w:szCs w:val="24"/>
              </w:rPr>
            </w:pPr>
            <w:r w:rsidRPr="00F24875">
              <w:rPr>
                <w:rFonts w:ascii="Arial" w:hAnsi="Arial" w:cs="Arial"/>
                <w:color w:val="000000"/>
                <w:szCs w:val="24"/>
              </w:rPr>
              <w:t>£115,675</w:t>
            </w:r>
          </w:p>
        </w:tc>
        <w:tc>
          <w:tcPr>
            <w:tcW w:w="2400" w:type="dxa"/>
            <w:tcBorders>
              <w:top w:val="nil"/>
              <w:left w:val="nil"/>
              <w:bottom w:val="nil"/>
              <w:right w:val="nil"/>
            </w:tcBorders>
            <w:shd w:val="clear" w:color="auto" w:fill="auto"/>
            <w:noWrap/>
            <w:hideMark/>
          </w:tcPr>
          <w:p w:rsidR="00F24875" w:rsidRPr="00F24875" w:rsidRDefault="00F24875" w:rsidP="00F24875">
            <w:pPr>
              <w:jc w:val="center"/>
              <w:rPr>
                <w:rFonts w:ascii="Arial" w:hAnsi="Arial" w:cs="Arial"/>
                <w:color w:val="000000"/>
                <w:szCs w:val="24"/>
              </w:rPr>
            </w:pPr>
            <w:r w:rsidRPr="00F24875">
              <w:rPr>
                <w:rFonts w:ascii="Arial" w:hAnsi="Arial" w:cs="Arial"/>
                <w:color w:val="000000"/>
                <w:szCs w:val="24"/>
              </w:rPr>
              <w:t>£546,709</w:t>
            </w:r>
          </w:p>
        </w:tc>
      </w:tr>
      <w:tr w:rsidR="00F24875" w:rsidRPr="00F24875" w:rsidTr="00F24875">
        <w:trPr>
          <w:trHeight w:val="315"/>
        </w:trPr>
        <w:tc>
          <w:tcPr>
            <w:tcW w:w="2080" w:type="dxa"/>
            <w:tcBorders>
              <w:top w:val="nil"/>
              <w:left w:val="nil"/>
              <w:bottom w:val="nil"/>
              <w:right w:val="nil"/>
            </w:tcBorders>
            <w:shd w:val="clear" w:color="auto" w:fill="auto"/>
            <w:noWrap/>
            <w:hideMark/>
          </w:tcPr>
          <w:p w:rsidR="00F24875" w:rsidRPr="00F24875" w:rsidRDefault="00F24875" w:rsidP="00F24875">
            <w:pPr>
              <w:rPr>
                <w:rFonts w:ascii="Arial" w:hAnsi="Arial" w:cs="Arial"/>
                <w:color w:val="000000"/>
                <w:szCs w:val="24"/>
              </w:rPr>
            </w:pPr>
            <w:r w:rsidRPr="00F24875">
              <w:rPr>
                <w:rFonts w:ascii="Arial" w:hAnsi="Arial" w:cs="Arial"/>
                <w:color w:val="000000"/>
                <w:szCs w:val="24"/>
              </w:rPr>
              <w:t>Other Costs</w:t>
            </w:r>
          </w:p>
        </w:tc>
        <w:tc>
          <w:tcPr>
            <w:tcW w:w="3340" w:type="dxa"/>
            <w:tcBorders>
              <w:top w:val="nil"/>
              <w:left w:val="nil"/>
              <w:bottom w:val="nil"/>
              <w:right w:val="nil"/>
            </w:tcBorders>
            <w:shd w:val="clear" w:color="auto" w:fill="auto"/>
            <w:noWrap/>
            <w:hideMark/>
          </w:tcPr>
          <w:p w:rsidR="00F24875" w:rsidRPr="00F24875" w:rsidRDefault="00F24875" w:rsidP="00F24875">
            <w:pPr>
              <w:jc w:val="center"/>
              <w:rPr>
                <w:rFonts w:ascii="Arial" w:hAnsi="Arial" w:cs="Arial"/>
                <w:color w:val="000000"/>
                <w:szCs w:val="24"/>
              </w:rPr>
            </w:pPr>
            <w:r w:rsidRPr="00F24875">
              <w:rPr>
                <w:rFonts w:ascii="Arial" w:hAnsi="Arial" w:cs="Arial"/>
                <w:color w:val="FF0000"/>
                <w:szCs w:val="24"/>
              </w:rPr>
              <w:t>(£6,958,204)</w:t>
            </w:r>
          </w:p>
        </w:tc>
        <w:tc>
          <w:tcPr>
            <w:tcW w:w="2060" w:type="dxa"/>
            <w:tcBorders>
              <w:top w:val="nil"/>
              <w:left w:val="nil"/>
              <w:bottom w:val="nil"/>
              <w:right w:val="nil"/>
            </w:tcBorders>
            <w:shd w:val="clear" w:color="auto" w:fill="auto"/>
            <w:noWrap/>
            <w:hideMark/>
          </w:tcPr>
          <w:p w:rsidR="00F24875" w:rsidRPr="00F24875" w:rsidRDefault="00F24875" w:rsidP="00F24875">
            <w:pPr>
              <w:jc w:val="center"/>
              <w:rPr>
                <w:rFonts w:ascii="Arial" w:hAnsi="Arial" w:cs="Arial"/>
                <w:color w:val="000000"/>
                <w:szCs w:val="24"/>
              </w:rPr>
            </w:pPr>
            <w:r w:rsidRPr="00F24875">
              <w:rPr>
                <w:rFonts w:ascii="Arial" w:hAnsi="Arial" w:cs="Arial"/>
                <w:color w:val="FF0000"/>
                <w:szCs w:val="24"/>
              </w:rPr>
              <w:t>(£7,203,382)</w:t>
            </w:r>
          </w:p>
        </w:tc>
        <w:tc>
          <w:tcPr>
            <w:tcW w:w="2260" w:type="dxa"/>
            <w:tcBorders>
              <w:top w:val="nil"/>
              <w:left w:val="nil"/>
              <w:bottom w:val="nil"/>
              <w:right w:val="nil"/>
            </w:tcBorders>
            <w:shd w:val="clear" w:color="auto" w:fill="auto"/>
            <w:noWrap/>
            <w:hideMark/>
          </w:tcPr>
          <w:p w:rsidR="00F24875" w:rsidRPr="00F24875" w:rsidRDefault="00F24875" w:rsidP="00F24875">
            <w:pPr>
              <w:jc w:val="center"/>
              <w:rPr>
                <w:rFonts w:ascii="Arial" w:hAnsi="Arial" w:cs="Arial"/>
                <w:color w:val="000000"/>
                <w:szCs w:val="24"/>
              </w:rPr>
            </w:pPr>
            <w:r w:rsidRPr="00F24875">
              <w:rPr>
                <w:rFonts w:ascii="Arial" w:hAnsi="Arial" w:cs="Arial"/>
                <w:color w:val="FF0000"/>
                <w:szCs w:val="24"/>
              </w:rPr>
              <w:t>(£245,178)</w:t>
            </w:r>
          </w:p>
        </w:tc>
        <w:tc>
          <w:tcPr>
            <w:tcW w:w="2680" w:type="dxa"/>
            <w:tcBorders>
              <w:top w:val="nil"/>
              <w:left w:val="nil"/>
              <w:bottom w:val="nil"/>
              <w:right w:val="nil"/>
            </w:tcBorders>
            <w:shd w:val="clear" w:color="auto" w:fill="auto"/>
            <w:noWrap/>
            <w:hideMark/>
          </w:tcPr>
          <w:p w:rsidR="00F24875" w:rsidRPr="00F24875" w:rsidRDefault="00F24875" w:rsidP="00F24875">
            <w:pPr>
              <w:jc w:val="center"/>
              <w:rPr>
                <w:rFonts w:ascii="Arial" w:hAnsi="Arial" w:cs="Arial"/>
                <w:color w:val="000000"/>
                <w:szCs w:val="24"/>
              </w:rPr>
            </w:pPr>
            <w:r w:rsidRPr="00F24875">
              <w:rPr>
                <w:rFonts w:ascii="Arial" w:hAnsi="Arial" w:cs="Arial"/>
                <w:color w:val="000000"/>
                <w:szCs w:val="24"/>
              </w:rPr>
              <w:t>£0</w:t>
            </w:r>
          </w:p>
        </w:tc>
        <w:tc>
          <w:tcPr>
            <w:tcW w:w="2400" w:type="dxa"/>
            <w:tcBorders>
              <w:top w:val="nil"/>
              <w:left w:val="nil"/>
              <w:bottom w:val="nil"/>
              <w:right w:val="nil"/>
            </w:tcBorders>
            <w:shd w:val="clear" w:color="auto" w:fill="auto"/>
            <w:noWrap/>
            <w:hideMark/>
          </w:tcPr>
          <w:p w:rsidR="00F24875" w:rsidRPr="00F24875" w:rsidRDefault="00F24875" w:rsidP="00F24875">
            <w:pPr>
              <w:jc w:val="center"/>
              <w:rPr>
                <w:rFonts w:ascii="Arial" w:hAnsi="Arial" w:cs="Arial"/>
                <w:color w:val="000000"/>
                <w:szCs w:val="24"/>
              </w:rPr>
            </w:pPr>
            <w:r w:rsidRPr="00F24875">
              <w:rPr>
                <w:rFonts w:ascii="Arial" w:hAnsi="Arial" w:cs="Arial"/>
                <w:color w:val="FF0000"/>
                <w:szCs w:val="24"/>
              </w:rPr>
              <w:t>(£245,178)</w:t>
            </w:r>
          </w:p>
        </w:tc>
      </w:tr>
      <w:tr w:rsidR="00F24875" w:rsidRPr="00F24875" w:rsidTr="00F24875">
        <w:trPr>
          <w:trHeight w:val="315"/>
        </w:trPr>
        <w:tc>
          <w:tcPr>
            <w:tcW w:w="2080" w:type="dxa"/>
            <w:tcBorders>
              <w:top w:val="nil"/>
              <w:left w:val="nil"/>
              <w:bottom w:val="nil"/>
              <w:right w:val="nil"/>
            </w:tcBorders>
            <w:shd w:val="clear" w:color="auto" w:fill="auto"/>
            <w:noWrap/>
            <w:hideMark/>
          </w:tcPr>
          <w:p w:rsidR="00F24875" w:rsidRPr="00F24875" w:rsidRDefault="00F24875" w:rsidP="00F24875">
            <w:pPr>
              <w:rPr>
                <w:rFonts w:ascii="Arial" w:hAnsi="Arial" w:cs="Arial"/>
                <w:color w:val="000000"/>
                <w:szCs w:val="24"/>
              </w:rPr>
            </w:pPr>
            <w:r w:rsidRPr="00F24875">
              <w:rPr>
                <w:rFonts w:ascii="Arial" w:hAnsi="Arial" w:cs="Arial"/>
                <w:color w:val="000000"/>
                <w:szCs w:val="24"/>
              </w:rPr>
              <w:t>Staff Costs</w:t>
            </w:r>
          </w:p>
        </w:tc>
        <w:tc>
          <w:tcPr>
            <w:tcW w:w="3340" w:type="dxa"/>
            <w:tcBorders>
              <w:top w:val="nil"/>
              <w:left w:val="nil"/>
              <w:bottom w:val="nil"/>
              <w:right w:val="nil"/>
            </w:tcBorders>
            <w:shd w:val="clear" w:color="auto" w:fill="auto"/>
            <w:noWrap/>
            <w:hideMark/>
          </w:tcPr>
          <w:p w:rsidR="00F24875" w:rsidRPr="00F24875" w:rsidRDefault="00F24875" w:rsidP="00F24875">
            <w:pPr>
              <w:jc w:val="center"/>
              <w:rPr>
                <w:rFonts w:ascii="Arial" w:hAnsi="Arial" w:cs="Arial"/>
                <w:color w:val="000000"/>
                <w:szCs w:val="24"/>
              </w:rPr>
            </w:pPr>
            <w:r w:rsidRPr="00F24875">
              <w:rPr>
                <w:rFonts w:ascii="Arial" w:hAnsi="Arial" w:cs="Arial"/>
                <w:color w:val="FF0000"/>
                <w:szCs w:val="24"/>
              </w:rPr>
              <w:t>(£18,719,487)</w:t>
            </w:r>
          </w:p>
        </w:tc>
        <w:tc>
          <w:tcPr>
            <w:tcW w:w="2060" w:type="dxa"/>
            <w:tcBorders>
              <w:top w:val="nil"/>
              <w:left w:val="nil"/>
              <w:bottom w:val="nil"/>
              <w:right w:val="nil"/>
            </w:tcBorders>
            <w:shd w:val="clear" w:color="auto" w:fill="auto"/>
            <w:noWrap/>
            <w:hideMark/>
          </w:tcPr>
          <w:p w:rsidR="00F24875" w:rsidRPr="00F24875" w:rsidRDefault="00F24875" w:rsidP="00F24875">
            <w:pPr>
              <w:jc w:val="center"/>
              <w:rPr>
                <w:rFonts w:ascii="Arial" w:hAnsi="Arial" w:cs="Arial"/>
                <w:color w:val="000000"/>
                <w:szCs w:val="24"/>
              </w:rPr>
            </w:pPr>
            <w:r w:rsidRPr="00F24875">
              <w:rPr>
                <w:rFonts w:ascii="Arial" w:hAnsi="Arial" w:cs="Arial"/>
                <w:color w:val="FF0000"/>
                <w:szCs w:val="24"/>
              </w:rPr>
              <w:t>(£18,786,111)</w:t>
            </w:r>
          </w:p>
        </w:tc>
        <w:tc>
          <w:tcPr>
            <w:tcW w:w="2260" w:type="dxa"/>
            <w:tcBorders>
              <w:top w:val="nil"/>
              <w:left w:val="nil"/>
              <w:bottom w:val="nil"/>
              <w:right w:val="nil"/>
            </w:tcBorders>
            <w:shd w:val="clear" w:color="auto" w:fill="auto"/>
            <w:noWrap/>
            <w:hideMark/>
          </w:tcPr>
          <w:p w:rsidR="00F24875" w:rsidRPr="00F24875" w:rsidRDefault="00F24875" w:rsidP="00F24875">
            <w:pPr>
              <w:jc w:val="center"/>
              <w:rPr>
                <w:rFonts w:ascii="Arial" w:hAnsi="Arial" w:cs="Arial"/>
                <w:color w:val="000000"/>
                <w:szCs w:val="24"/>
              </w:rPr>
            </w:pPr>
            <w:r w:rsidRPr="00F24875">
              <w:rPr>
                <w:rFonts w:ascii="Arial" w:hAnsi="Arial" w:cs="Arial"/>
                <w:color w:val="FF0000"/>
                <w:szCs w:val="24"/>
              </w:rPr>
              <w:t>(£66,624)</w:t>
            </w:r>
          </w:p>
        </w:tc>
        <w:tc>
          <w:tcPr>
            <w:tcW w:w="2680" w:type="dxa"/>
            <w:tcBorders>
              <w:top w:val="nil"/>
              <w:left w:val="nil"/>
              <w:bottom w:val="nil"/>
              <w:right w:val="nil"/>
            </w:tcBorders>
            <w:shd w:val="clear" w:color="auto" w:fill="auto"/>
            <w:noWrap/>
            <w:hideMark/>
          </w:tcPr>
          <w:p w:rsidR="00F24875" w:rsidRPr="00F24875" w:rsidRDefault="00F24875" w:rsidP="00F24875">
            <w:pPr>
              <w:jc w:val="center"/>
              <w:rPr>
                <w:rFonts w:ascii="Arial" w:hAnsi="Arial" w:cs="Arial"/>
                <w:color w:val="000000"/>
                <w:szCs w:val="24"/>
              </w:rPr>
            </w:pPr>
            <w:r w:rsidRPr="00F24875">
              <w:rPr>
                <w:rFonts w:ascii="Arial" w:hAnsi="Arial" w:cs="Arial"/>
                <w:color w:val="000000"/>
                <w:szCs w:val="24"/>
              </w:rPr>
              <w:t>£0</w:t>
            </w:r>
          </w:p>
        </w:tc>
        <w:tc>
          <w:tcPr>
            <w:tcW w:w="2400" w:type="dxa"/>
            <w:tcBorders>
              <w:top w:val="nil"/>
              <w:left w:val="nil"/>
              <w:bottom w:val="nil"/>
              <w:right w:val="nil"/>
            </w:tcBorders>
            <w:shd w:val="clear" w:color="auto" w:fill="auto"/>
            <w:noWrap/>
            <w:hideMark/>
          </w:tcPr>
          <w:p w:rsidR="00F24875" w:rsidRPr="00F24875" w:rsidRDefault="00F24875" w:rsidP="00F24875">
            <w:pPr>
              <w:jc w:val="center"/>
              <w:rPr>
                <w:rFonts w:ascii="Arial" w:hAnsi="Arial" w:cs="Arial"/>
                <w:color w:val="000000"/>
                <w:szCs w:val="24"/>
              </w:rPr>
            </w:pPr>
            <w:r w:rsidRPr="00F24875">
              <w:rPr>
                <w:rFonts w:ascii="Arial" w:hAnsi="Arial" w:cs="Arial"/>
                <w:color w:val="FF0000"/>
                <w:szCs w:val="24"/>
              </w:rPr>
              <w:t>(£66,624)</w:t>
            </w:r>
          </w:p>
        </w:tc>
      </w:tr>
      <w:tr w:rsidR="00F24875" w:rsidRPr="00F24875" w:rsidTr="00F24875">
        <w:trPr>
          <w:trHeight w:val="330"/>
        </w:trPr>
        <w:tc>
          <w:tcPr>
            <w:tcW w:w="2080" w:type="dxa"/>
            <w:tcBorders>
              <w:top w:val="nil"/>
              <w:left w:val="nil"/>
              <w:bottom w:val="nil"/>
              <w:right w:val="nil"/>
            </w:tcBorders>
            <w:shd w:val="clear" w:color="auto" w:fill="auto"/>
            <w:noWrap/>
            <w:hideMark/>
          </w:tcPr>
          <w:p w:rsidR="00F24875" w:rsidRPr="00F24875" w:rsidRDefault="00F24875" w:rsidP="00F24875">
            <w:pPr>
              <w:rPr>
                <w:rFonts w:ascii="Arial" w:hAnsi="Arial" w:cs="Arial"/>
                <w:color w:val="000000"/>
                <w:szCs w:val="24"/>
              </w:rPr>
            </w:pPr>
            <w:r w:rsidRPr="00F24875">
              <w:rPr>
                <w:rFonts w:ascii="Arial" w:hAnsi="Arial" w:cs="Arial"/>
                <w:color w:val="000000"/>
                <w:szCs w:val="24"/>
              </w:rPr>
              <w:t>Surplus /(Deficit)</w:t>
            </w:r>
          </w:p>
        </w:tc>
        <w:tc>
          <w:tcPr>
            <w:tcW w:w="3340" w:type="dxa"/>
            <w:tcBorders>
              <w:top w:val="single" w:sz="4" w:space="0" w:color="auto"/>
              <w:left w:val="nil"/>
              <w:bottom w:val="double" w:sz="6" w:space="0" w:color="auto"/>
              <w:right w:val="nil"/>
            </w:tcBorders>
            <w:shd w:val="clear" w:color="auto" w:fill="auto"/>
            <w:noWrap/>
            <w:hideMark/>
          </w:tcPr>
          <w:p w:rsidR="00F24875" w:rsidRPr="00F24875" w:rsidRDefault="00F24875" w:rsidP="00F24875">
            <w:pPr>
              <w:jc w:val="center"/>
              <w:rPr>
                <w:rFonts w:ascii="Arial" w:hAnsi="Arial" w:cs="Arial"/>
                <w:color w:val="000000"/>
                <w:szCs w:val="24"/>
              </w:rPr>
            </w:pPr>
            <w:r w:rsidRPr="00F24875">
              <w:rPr>
                <w:rFonts w:ascii="Arial" w:hAnsi="Arial" w:cs="Arial"/>
                <w:color w:val="000000"/>
                <w:szCs w:val="24"/>
              </w:rPr>
              <w:t>£0</w:t>
            </w:r>
          </w:p>
        </w:tc>
        <w:tc>
          <w:tcPr>
            <w:tcW w:w="2060" w:type="dxa"/>
            <w:tcBorders>
              <w:top w:val="single" w:sz="4" w:space="0" w:color="auto"/>
              <w:left w:val="nil"/>
              <w:bottom w:val="double" w:sz="6" w:space="0" w:color="auto"/>
              <w:right w:val="nil"/>
            </w:tcBorders>
            <w:shd w:val="clear" w:color="auto" w:fill="auto"/>
            <w:noWrap/>
            <w:hideMark/>
          </w:tcPr>
          <w:p w:rsidR="00F24875" w:rsidRPr="00F24875" w:rsidRDefault="00F24875" w:rsidP="00F24875">
            <w:pPr>
              <w:jc w:val="center"/>
              <w:rPr>
                <w:rFonts w:ascii="Arial" w:hAnsi="Arial" w:cs="Arial"/>
                <w:color w:val="000000"/>
                <w:szCs w:val="24"/>
              </w:rPr>
            </w:pPr>
            <w:r w:rsidRPr="00F24875">
              <w:rPr>
                <w:rFonts w:ascii="Arial" w:hAnsi="Arial" w:cs="Arial"/>
                <w:color w:val="000000"/>
                <w:szCs w:val="24"/>
              </w:rPr>
              <w:t>£119,232</w:t>
            </w:r>
          </w:p>
        </w:tc>
        <w:tc>
          <w:tcPr>
            <w:tcW w:w="2260" w:type="dxa"/>
            <w:tcBorders>
              <w:top w:val="single" w:sz="4" w:space="0" w:color="auto"/>
              <w:left w:val="nil"/>
              <w:bottom w:val="double" w:sz="6" w:space="0" w:color="auto"/>
              <w:right w:val="nil"/>
            </w:tcBorders>
            <w:shd w:val="clear" w:color="auto" w:fill="auto"/>
            <w:noWrap/>
            <w:hideMark/>
          </w:tcPr>
          <w:p w:rsidR="00F24875" w:rsidRPr="00F24875" w:rsidRDefault="00F24875" w:rsidP="00F24875">
            <w:pPr>
              <w:jc w:val="center"/>
              <w:rPr>
                <w:rFonts w:ascii="Arial" w:hAnsi="Arial" w:cs="Arial"/>
                <w:color w:val="000000"/>
                <w:szCs w:val="24"/>
              </w:rPr>
            </w:pPr>
            <w:r w:rsidRPr="00F24875">
              <w:rPr>
                <w:rFonts w:ascii="Arial" w:hAnsi="Arial" w:cs="Arial"/>
                <w:color w:val="000000"/>
                <w:szCs w:val="24"/>
              </w:rPr>
              <w:t>£119,232</w:t>
            </w:r>
          </w:p>
        </w:tc>
        <w:tc>
          <w:tcPr>
            <w:tcW w:w="2680" w:type="dxa"/>
            <w:tcBorders>
              <w:top w:val="single" w:sz="4" w:space="0" w:color="auto"/>
              <w:left w:val="nil"/>
              <w:bottom w:val="double" w:sz="6" w:space="0" w:color="auto"/>
              <w:right w:val="nil"/>
            </w:tcBorders>
            <w:shd w:val="clear" w:color="auto" w:fill="auto"/>
            <w:noWrap/>
            <w:hideMark/>
          </w:tcPr>
          <w:p w:rsidR="00F24875" w:rsidRPr="00F24875" w:rsidRDefault="00F24875" w:rsidP="00F24875">
            <w:pPr>
              <w:jc w:val="center"/>
              <w:rPr>
                <w:rFonts w:ascii="Arial" w:hAnsi="Arial" w:cs="Arial"/>
                <w:color w:val="000000"/>
                <w:szCs w:val="24"/>
              </w:rPr>
            </w:pPr>
            <w:r w:rsidRPr="00F24875">
              <w:rPr>
                <w:rFonts w:ascii="Arial" w:hAnsi="Arial" w:cs="Arial"/>
                <w:color w:val="000000"/>
                <w:szCs w:val="24"/>
              </w:rPr>
              <w:t>£115,675</w:t>
            </w:r>
          </w:p>
        </w:tc>
        <w:tc>
          <w:tcPr>
            <w:tcW w:w="2400" w:type="dxa"/>
            <w:tcBorders>
              <w:top w:val="single" w:sz="4" w:space="0" w:color="auto"/>
              <w:left w:val="nil"/>
              <w:bottom w:val="double" w:sz="6" w:space="0" w:color="auto"/>
              <w:right w:val="nil"/>
            </w:tcBorders>
            <w:shd w:val="clear" w:color="auto" w:fill="auto"/>
            <w:noWrap/>
            <w:hideMark/>
          </w:tcPr>
          <w:p w:rsidR="00F24875" w:rsidRPr="00F24875" w:rsidRDefault="00F24875" w:rsidP="00F24875">
            <w:pPr>
              <w:jc w:val="center"/>
              <w:rPr>
                <w:rFonts w:ascii="Arial" w:hAnsi="Arial" w:cs="Arial"/>
                <w:color w:val="000000"/>
                <w:szCs w:val="24"/>
              </w:rPr>
            </w:pPr>
            <w:r w:rsidRPr="00F24875">
              <w:rPr>
                <w:rFonts w:ascii="Arial" w:hAnsi="Arial" w:cs="Arial"/>
                <w:color w:val="000000"/>
                <w:szCs w:val="24"/>
              </w:rPr>
              <w:t>£234,907</w:t>
            </w:r>
          </w:p>
        </w:tc>
      </w:tr>
    </w:tbl>
    <w:p w:rsidR="00BD357C" w:rsidRDefault="00BD357C">
      <w:pPr>
        <w:rPr>
          <w:rFonts w:ascii="Arial" w:hAnsi="Arial" w:cs="Arial"/>
          <w:b/>
          <w:szCs w:val="24"/>
        </w:rPr>
      </w:pPr>
      <w:r>
        <w:rPr>
          <w:rFonts w:ascii="Arial" w:hAnsi="Arial" w:cs="Arial"/>
          <w:b/>
          <w:szCs w:val="24"/>
        </w:rPr>
        <w:br w:type="page"/>
      </w:r>
    </w:p>
    <w:p w:rsidR="00686F9F" w:rsidRDefault="00686F9F">
      <w:pPr>
        <w:rPr>
          <w:rFonts w:ascii="Arial" w:hAnsi="Arial" w:cs="Arial"/>
          <w:b/>
          <w:szCs w:val="24"/>
        </w:rPr>
      </w:pPr>
    </w:p>
    <w:p w:rsidR="00290EB5" w:rsidRDefault="00B074BD" w:rsidP="0055791C">
      <w:pPr>
        <w:ind w:left="142"/>
        <w:rPr>
          <w:rFonts w:ascii="Arial" w:hAnsi="Arial" w:cs="Arial"/>
          <w:b/>
          <w:szCs w:val="24"/>
        </w:rPr>
      </w:pPr>
      <w:r>
        <w:rPr>
          <w:rFonts w:ascii="Arial" w:hAnsi="Arial" w:cs="Arial"/>
          <w:b/>
          <w:szCs w:val="24"/>
        </w:rPr>
        <w:t>B</w:t>
      </w:r>
      <w:r w:rsidR="00290EB5" w:rsidRPr="00D943A1">
        <w:rPr>
          <w:rFonts w:ascii="Arial" w:hAnsi="Arial" w:cs="Arial"/>
          <w:b/>
          <w:szCs w:val="24"/>
        </w:rPr>
        <w:t>reakdown of Results –</w:t>
      </w:r>
      <w:r w:rsidR="007273AE">
        <w:rPr>
          <w:rFonts w:ascii="Arial" w:hAnsi="Arial" w:cs="Arial"/>
          <w:b/>
          <w:szCs w:val="24"/>
        </w:rPr>
        <w:t xml:space="preserve"> </w:t>
      </w:r>
      <w:r w:rsidR="00290EB5" w:rsidRPr="00D943A1">
        <w:rPr>
          <w:rFonts w:ascii="Arial" w:hAnsi="Arial" w:cs="Arial"/>
          <w:b/>
          <w:szCs w:val="24"/>
        </w:rPr>
        <w:t>By Activity</w:t>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Pr>
          <w:rFonts w:ascii="Arial" w:hAnsi="Arial" w:cs="Arial"/>
          <w:b/>
          <w:szCs w:val="24"/>
        </w:rPr>
        <w:t xml:space="preserve">                                                     </w:t>
      </w:r>
      <w:r w:rsidR="00290EB5" w:rsidRPr="00D943A1">
        <w:rPr>
          <w:rFonts w:ascii="Arial" w:hAnsi="Arial" w:cs="Arial"/>
          <w:b/>
          <w:szCs w:val="24"/>
        </w:rPr>
        <w:t>APPENDIX B</w:t>
      </w:r>
    </w:p>
    <w:p w:rsidR="00290EB5" w:rsidRDefault="00290EB5" w:rsidP="0055791C">
      <w:pPr>
        <w:ind w:left="142"/>
        <w:rPr>
          <w:rFonts w:ascii="Arial" w:hAnsi="Arial" w:cs="Arial"/>
          <w:b/>
          <w:szCs w:val="24"/>
        </w:rPr>
      </w:pPr>
    </w:p>
    <w:p w:rsidR="00686F9F" w:rsidRDefault="00686F9F" w:rsidP="0055791C">
      <w:pPr>
        <w:ind w:left="142"/>
        <w:rPr>
          <w:rFonts w:ascii="Arial" w:hAnsi="Arial" w:cs="Arial"/>
          <w:b/>
          <w:szCs w:val="24"/>
        </w:rPr>
      </w:pPr>
    </w:p>
    <w:tbl>
      <w:tblPr>
        <w:tblW w:w="14992" w:type="dxa"/>
        <w:tblLook w:val="04A0" w:firstRow="1" w:lastRow="0" w:firstColumn="1" w:lastColumn="0" w:noHBand="0" w:noVBand="1"/>
      </w:tblPr>
      <w:tblGrid>
        <w:gridCol w:w="2555"/>
        <w:gridCol w:w="2519"/>
        <w:gridCol w:w="2520"/>
        <w:gridCol w:w="2416"/>
        <w:gridCol w:w="2435"/>
        <w:gridCol w:w="2547"/>
      </w:tblGrid>
      <w:tr w:rsidR="00F1595B" w:rsidRPr="00F1595B" w:rsidTr="00C86921">
        <w:trPr>
          <w:trHeight w:val="945"/>
        </w:trPr>
        <w:tc>
          <w:tcPr>
            <w:tcW w:w="2555" w:type="dxa"/>
            <w:tcBorders>
              <w:top w:val="nil"/>
              <w:left w:val="nil"/>
              <w:bottom w:val="nil"/>
              <w:right w:val="nil"/>
            </w:tcBorders>
            <w:shd w:val="clear" w:color="000000" w:fill="DCE6F1"/>
            <w:noWrap/>
            <w:hideMark/>
          </w:tcPr>
          <w:p w:rsidR="00F1595B" w:rsidRPr="00F1595B" w:rsidRDefault="00F1595B" w:rsidP="0055791C">
            <w:pPr>
              <w:ind w:left="142"/>
              <w:rPr>
                <w:rFonts w:ascii="Arial" w:hAnsi="Arial" w:cs="Arial"/>
                <w:b/>
                <w:bCs/>
                <w:color w:val="000000"/>
                <w:szCs w:val="24"/>
              </w:rPr>
            </w:pPr>
            <w:r w:rsidRPr="00F1595B">
              <w:rPr>
                <w:rFonts w:ascii="Arial" w:hAnsi="Arial" w:cs="Arial"/>
                <w:b/>
                <w:bCs/>
                <w:color w:val="000000"/>
                <w:szCs w:val="24"/>
              </w:rPr>
              <w:t>Sector</w:t>
            </w:r>
          </w:p>
        </w:tc>
        <w:tc>
          <w:tcPr>
            <w:tcW w:w="2519" w:type="dxa"/>
            <w:tcBorders>
              <w:top w:val="nil"/>
              <w:left w:val="nil"/>
              <w:bottom w:val="nil"/>
              <w:right w:val="nil"/>
            </w:tcBorders>
            <w:shd w:val="clear" w:color="000000" w:fill="DCE6F1"/>
            <w:noWrap/>
            <w:hideMark/>
          </w:tcPr>
          <w:p w:rsidR="00F1595B" w:rsidRPr="00F1595B" w:rsidRDefault="00F1595B" w:rsidP="0055791C">
            <w:pPr>
              <w:ind w:left="142"/>
              <w:rPr>
                <w:rFonts w:ascii="Arial" w:hAnsi="Arial" w:cs="Arial"/>
                <w:b/>
                <w:bCs/>
                <w:color w:val="000000"/>
                <w:szCs w:val="24"/>
              </w:rPr>
            </w:pPr>
            <w:r w:rsidRPr="00F1595B">
              <w:rPr>
                <w:rFonts w:ascii="Arial" w:hAnsi="Arial" w:cs="Arial"/>
                <w:b/>
                <w:bCs/>
                <w:color w:val="000000"/>
                <w:szCs w:val="24"/>
              </w:rPr>
              <w:t>Annual Budget</w:t>
            </w:r>
          </w:p>
        </w:tc>
        <w:tc>
          <w:tcPr>
            <w:tcW w:w="2520" w:type="dxa"/>
            <w:tcBorders>
              <w:top w:val="nil"/>
              <w:left w:val="nil"/>
              <w:bottom w:val="nil"/>
              <w:right w:val="nil"/>
            </w:tcBorders>
            <w:shd w:val="clear" w:color="000000" w:fill="DCE6F1"/>
            <w:noWrap/>
            <w:hideMark/>
          </w:tcPr>
          <w:p w:rsidR="00F1595B" w:rsidRPr="00F1595B" w:rsidRDefault="00F1595B" w:rsidP="0055791C">
            <w:pPr>
              <w:ind w:left="142"/>
              <w:rPr>
                <w:rFonts w:ascii="Arial" w:hAnsi="Arial" w:cs="Arial"/>
                <w:b/>
                <w:bCs/>
                <w:color w:val="000000"/>
                <w:szCs w:val="24"/>
              </w:rPr>
            </w:pPr>
            <w:r w:rsidRPr="00F1595B">
              <w:rPr>
                <w:rFonts w:ascii="Arial" w:hAnsi="Arial" w:cs="Arial"/>
                <w:b/>
                <w:bCs/>
                <w:color w:val="000000"/>
                <w:szCs w:val="24"/>
              </w:rPr>
              <w:t>Actual</w:t>
            </w:r>
          </w:p>
        </w:tc>
        <w:tc>
          <w:tcPr>
            <w:tcW w:w="2416" w:type="dxa"/>
            <w:tcBorders>
              <w:top w:val="nil"/>
              <w:left w:val="nil"/>
              <w:bottom w:val="nil"/>
              <w:right w:val="nil"/>
            </w:tcBorders>
            <w:shd w:val="clear" w:color="000000" w:fill="DCE6F1"/>
            <w:noWrap/>
            <w:hideMark/>
          </w:tcPr>
          <w:p w:rsidR="00F1595B" w:rsidRPr="00F1595B" w:rsidRDefault="00F1595B" w:rsidP="003C66EA">
            <w:pPr>
              <w:ind w:left="142"/>
              <w:rPr>
                <w:rFonts w:ascii="Arial" w:hAnsi="Arial" w:cs="Arial"/>
                <w:b/>
                <w:bCs/>
                <w:color w:val="000000"/>
                <w:szCs w:val="24"/>
              </w:rPr>
            </w:pPr>
            <w:r w:rsidRPr="00F1595B">
              <w:rPr>
                <w:rFonts w:ascii="Arial" w:hAnsi="Arial" w:cs="Arial"/>
                <w:b/>
                <w:bCs/>
                <w:color w:val="000000"/>
                <w:szCs w:val="24"/>
              </w:rPr>
              <w:t>Variance</w:t>
            </w:r>
          </w:p>
        </w:tc>
        <w:tc>
          <w:tcPr>
            <w:tcW w:w="2435" w:type="dxa"/>
            <w:tcBorders>
              <w:top w:val="nil"/>
              <w:left w:val="nil"/>
              <w:bottom w:val="nil"/>
              <w:right w:val="nil"/>
            </w:tcBorders>
            <w:shd w:val="clear" w:color="000000" w:fill="DCE6F1"/>
            <w:hideMark/>
          </w:tcPr>
          <w:p w:rsidR="00C86921" w:rsidRDefault="00F1595B" w:rsidP="0055791C">
            <w:pPr>
              <w:ind w:left="142"/>
              <w:rPr>
                <w:rFonts w:ascii="Arial" w:hAnsi="Arial" w:cs="Arial"/>
                <w:b/>
                <w:bCs/>
                <w:color w:val="000000"/>
                <w:szCs w:val="24"/>
              </w:rPr>
            </w:pPr>
            <w:r w:rsidRPr="00F1595B">
              <w:rPr>
                <w:rFonts w:ascii="Arial" w:hAnsi="Arial" w:cs="Arial"/>
                <w:b/>
                <w:bCs/>
                <w:color w:val="000000"/>
                <w:szCs w:val="24"/>
              </w:rPr>
              <w:t>T</w:t>
            </w:r>
            <w:r w:rsidR="00D932CA">
              <w:rPr>
                <w:rFonts w:ascii="Arial" w:hAnsi="Arial" w:cs="Arial"/>
                <w:b/>
                <w:bCs/>
                <w:color w:val="000000"/>
                <w:szCs w:val="24"/>
              </w:rPr>
              <w:t>/</w:t>
            </w:r>
            <w:proofErr w:type="spellStart"/>
            <w:r w:rsidRPr="00F1595B">
              <w:rPr>
                <w:rFonts w:ascii="Arial" w:hAnsi="Arial" w:cs="Arial"/>
                <w:b/>
                <w:bCs/>
                <w:color w:val="000000"/>
                <w:szCs w:val="24"/>
              </w:rPr>
              <w:t>fer</w:t>
            </w:r>
            <w:proofErr w:type="spellEnd"/>
            <w:r w:rsidRPr="00F1595B">
              <w:rPr>
                <w:rFonts w:ascii="Arial" w:hAnsi="Arial" w:cs="Arial"/>
                <w:b/>
                <w:bCs/>
                <w:color w:val="000000"/>
                <w:szCs w:val="24"/>
              </w:rPr>
              <w:t xml:space="preserve"> from Restricted Reserves </w:t>
            </w:r>
          </w:p>
          <w:p w:rsidR="00F1595B" w:rsidRPr="00F1595B" w:rsidRDefault="00F1595B" w:rsidP="00C86921">
            <w:pPr>
              <w:ind w:left="142"/>
              <w:rPr>
                <w:rFonts w:ascii="Arial" w:hAnsi="Arial" w:cs="Arial"/>
                <w:b/>
                <w:bCs/>
                <w:color w:val="000000"/>
                <w:szCs w:val="24"/>
              </w:rPr>
            </w:pPr>
            <w:r w:rsidRPr="00F1595B">
              <w:rPr>
                <w:rFonts w:ascii="Arial" w:hAnsi="Arial" w:cs="Arial"/>
                <w:b/>
                <w:bCs/>
                <w:color w:val="000000"/>
                <w:szCs w:val="24"/>
              </w:rPr>
              <w:t>(Income)</w:t>
            </w:r>
          </w:p>
        </w:tc>
        <w:tc>
          <w:tcPr>
            <w:tcW w:w="2547" w:type="dxa"/>
            <w:tcBorders>
              <w:top w:val="nil"/>
              <w:left w:val="nil"/>
              <w:bottom w:val="nil"/>
              <w:right w:val="nil"/>
            </w:tcBorders>
            <w:shd w:val="clear" w:color="000000" w:fill="DCE6F1"/>
            <w:hideMark/>
          </w:tcPr>
          <w:p w:rsidR="00F1595B" w:rsidRPr="00F1595B" w:rsidRDefault="00D932CA" w:rsidP="0055791C">
            <w:pPr>
              <w:ind w:left="142"/>
              <w:rPr>
                <w:rFonts w:ascii="Arial" w:hAnsi="Arial" w:cs="Arial"/>
                <w:b/>
                <w:bCs/>
                <w:color w:val="000000"/>
                <w:szCs w:val="24"/>
              </w:rPr>
            </w:pPr>
            <w:r>
              <w:rPr>
                <w:rFonts w:ascii="Arial" w:hAnsi="Arial" w:cs="Arial"/>
                <w:b/>
                <w:bCs/>
                <w:color w:val="000000"/>
                <w:szCs w:val="24"/>
              </w:rPr>
              <w:t>Surplus T/</w:t>
            </w:r>
            <w:proofErr w:type="spellStart"/>
            <w:r>
              <w:rPr>
                <w:rFonts w:ascii="Arial" w:hAnsi="Arial" w:cs="Arial"/>
                <w:b/>
                <w:bCs/>
                <w:color w:val="000000"/>
                <w:szCs w:val="24"/>
              </w:rPr>
              <w:t>f</w:t>
            </w:r>
            <w:r w:rsidR="00F1595B" w:rsidRPr="00F1595B">
              <w:rPr>
                <w:rFonts w:ascii="Arial" w:hAnsi="Arial" w:cs="Arial"/>
                <w:b/>
                <w:bCs/>
                <w:color w:val="000000"/>
                <w:szCs w:val="24"/>
              </w:rPr>
              <w:t>er</w:t>
            </w:r>
            <w:proofErr w:type="spellEnd"/>
            <w:r w:rsidR="00F1595B" w:rsidRPr="00F1595B">
              <w:rPr>
                <w:rFonts w:ascii="Arial" w:hAnsi="Arial" w:cs="Arial"/>
                <w:b/>
                <w:bCs/>
                <w:color w:val="000000"/>
                <w:szCs w:val="24"/>
              </w:rPr>
              <w:t xml:space="preserve"> to "Unrestricted Reserves"</w:t>
            </w:r>
          </w:p>
        </w:tc>
      </w:tr>
      <w:tr w:rsidR="00F1595B" w:rsidRPr="00F1595B" w:rsidTr="00C86921">
        <w:trPr>
          <w:trHeight w:val="315"/>
        </w:trPr>
        <w:tc>
          <w:tcPr>
            <w:tcW w:w="2555"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Adult</w:t>
            </w:r>
          </w:p>
        </w:tc>
        <w:tc>
          <w:tcPr>
            <w:tcW w:w="2519"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(£628,447)</w:t>
            </w:r>
          </w:p>
        </w:tc>
        <w:tc>
          <w:tcPr>
            <w:tcW w:w="2520"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(£525,797)</w:t>
            </w:r>
          </w:p>
        </w:tc>
        <w:tc>
          <w:tcPr>
            <w:tcW w:w="2416"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£102,650</w:t>
            </w:r>
          </w:p>
        </w:tc>
        <w:tc>
          <w:tcPr>
            <w:tcW w:w="2435"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£0</w:t>
            </w:r>
          </w:p>
        </w:tc>
        <w:tc>
          <w:tcPr>
            <w:tcW w:w="2547"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£102,650</w:t>
            </w:r>
          </w:p>
        </w:tc>
      </w:tr>
      <w:tr w:rsidR="00F1595B" w:rsidRPr="00F1595B" w:rsidTr="00C86921">
        <w:trPr>
          <w:trHeight w:val="315"/>
        </w:trPr>
        <w:tc>
          <w:tcPr>
            <w:tcW w:w="2555"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Archives</w:t>
            </w:r>
          </w:p>
        </w:tc>
        <w:tc>
          <w:tcPr>
            <w:tcW w:w="2519"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(£643,215)</w:t>
            </w:r>
          </w:p>
        </w:tc>
        <w:tc>
          <w:tcPr>
            <w:tcW w:w="2520"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(£581,329)</w:t>
            </w:r>
          </w:p>
        </w:tc>
        <w:tc>
          <w:tcPr>
            <w:tcW w:w="2416"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£61,886</w:t>
            </w:r>
          </w:p>
        </w:tc>
        <w:tc>
          <w:tcPr>
            <w:tcW w:w="2435"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£0</w:t>
            </w:r>
          </w:p>
        </w:tc>
        <w:tc>
          <w:tcPr>
            <w:tcW w:w="2547"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£61,886</w:t>
            </w:r>
          </w:p>
        </w:tc>
      </w:tr>
      <w:tr w:rsidR="00F1595B" w:rsidRPr="00F1595B" w:rsidTr="00C86921">
        <w:trPr>
          <w:trHeight w:val="315"/>
        </w:trPr>
        <w:tc>
          <w:tcPr>
            <w:tcW w:w="2555"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Arts</w:t>
            </w:r>
          </w:p>
        </w:tc>
        <w:tc>
          <w:tcPr>
            <w:tcW w:w="2519"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(£251,314)</w:t>
            </w:r>
          </w:p>
        </w:tc>
        <w:tc>
          <w:tcPr>
            <w:tcW w:w="2520"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(£270,556)</w:t>
            </w:r>
          </w:p>
        </w:tc>
        <w:tc>
          <w:tcPr>
            <w:tcW w:w="2416"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(£19,242)</w:t>
            </w:r>
          </w:p>
        </w:tc>
        <w:tc>
          <w:tcPr>
            <w:tcW w:w="2435"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£0</w:t>
            </w:r>
          </w:p>
        </w:tc>
        <w:tc>
          <w:tcPr>
            <w:tcW w:w="2547"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(£19,242)</w:t>
            </w:r>
          </w:p>
        </w:tc>
      </w:tr>
      <w:tr w:rsidR="00F1595B" w:rsidRPr="00F1595B" w:rsidTr="00C86921">
        <w:trPr>
          <w:trHeight w:val="330"/>
        </w:trPr>
        <w:tc>
          <w:tcPr>
            <w:tcW w:w="2555"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Facilities</w:t>
            </w:r>
          </w:p>
        </w:tc>
        <w:tc>
          <w:tcPr>
            <w:tcW w:w="2519"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(£2,170,036)</w:t>
            </w:r>
          </w:p>
        </w:tc>
        <w:tc>
          <w:tcPr>
            <w:tcW w:w="2520"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(£2,208,818)</w:t>
            </w:r>
          </w:p>
        </w:tc>
        <w:tc>
          <w:tcPr>
            <w:tcW w:w="2416"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(£38,782)</w:t>
            </w:r>
          </w:p>
        </w:tc>
        <w:tc>
          <w:tcPr>
            <w:tcW w:w="2435"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£21,717</w:t>
            </w:r>
          </w:p>
        </w:tc>
        <w:tc>
          <w:tcPr>
            <w:tcW w:w="2547"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(£17,065)</w:t>
            </w:r>
          </w:p>
        </w:tc>
      </w:tr>
      <w:tr w:rsidR="00F1595B" w:rsidRPr="00F1595B" w:rsidTr="00C86921">
        <w:trPr>
          <w:trHeight w:val="330"/>
        </w:trPr>
        <w:tc>
          <w:tcPr>
            <w:tcW w:w="2555"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Libraries</w:t>
            </w:r>
          </w:p>
        </w:tc>
        <w:tc>
          <w:tcPr>
            <w:tcW w:w="2519"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(£3,623,635)</w:t>
            </w:r>
          </w:p>
        </w:tc>
        <w:tc>
          <w:tcPr>
            <w:tcW w:w="2520"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(£3,564,012)</w:t>
            </w:r>
          </w:p>
        </w:tc>
        <w:tc>
          <w:tcPr>
            <w:tcW w:w="2416"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£59,623</w:t>
            </w:r>
          </w:p>
        </w:tc>
        <w:tc>
          <w:tcPr>
            <w:tcW w:w="2435"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£0</w:t>
            </w:r>
          </w:p>
        </w:tc>
        <w:tc>
          <w:tcPr>
            <w:tcW w:w="2547"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£59,623</w:t>
            </w:r>
          </w:p>
        </w:tc>
      </w:tr>
      <w:tr w:rsidR="00F1595B" w:rsidRPr="00F1595B" w:rsidTr="00C86921">
        <w:trPr>
          <w:trHeight w:val="315"/>
        </w:trPr>
        <w:tc>
          <w:tcPr>
            <w:tcW w:w="2555"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Management</w:t>
            </w:r>
          </w:p>
        </w:tc>
        <w:tc>
          <w:tcPr>
            <w:tcW w:w="2519"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(£2,540,272)</w:t>
            </w:r>
          </w:p>
        </w:tc>
        <w:tc>
          <w:tcPr>
            <w:tcW w:w="2520"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(£2,509,428)</w:t>
            </w:r>
          </w:p>
        </w:tc>
        <w:tc>
          <w:tcPr>
            <w:tcW w:w="2416"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£30,844</w:t>
            </w:r>
          </w:p>
        </w:tc>
        <w:tc>
          <w:tcPr>
            <w:tcW w:w="2435"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£0</w:t>
            </w:r>
          </w:p>
        </w:tc>
        <w:tc>
          <w:tcPr>
            <w:tcW w:w="2547"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£30,844</w:t>
            </w:r>
          </w:p>
        </w:tc>
      </w:tr>
      <w:tr w:rsidR="00F1595B" w:rsidRPr="00F1595B" w:rsidTr="00C86921">
        <w:trPr>
          <w:trHeight w:val="315"/>
        </w:trPr>
        <w:tc>
          <w:tcPr>
            <w:tcW w:w="2555"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Museums</w:t>
            </w:r>
          </w:p>
        </w:tc>
        <w:tc>
          <w:tcPr>
            <w:tcW w:w="2519"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(£763,683)</w:t>
            </w:r>
          </w:p>
        </w:tc>
        <w:tc>
          <w:tcPr>
            <w:tcW w:w="2520"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(£747,683)</w:t>
            </w:r>
          </w:p>
        </w:tc>
        <w:tc>
          <w:tcPr>
            <w:tcW w:w="2416"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£16,000</w:t>
            </w:r>
          </w:p>
        </w:tc>
        <w:tc>
          <w:tcPr>
            <w:tcW w:w="2435"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£6,944</w:t>
            </w:r>
          </w:p>
        </w:tc>
        <w:tc>
          <w:tcPr>
            <w:tcW w:w="2547"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£22,944</w:t>
            </w:r>
          </w:p>
        </w:tc>
      </w:tr>
      <w:tr w:rsidR="00F1595B" w:rsidRPr="00F1595B" w:rsidTr="00C86921">
        <w:trPr>
          <w:trHeight w:val="315"/>
        </w:trPr>
        <w:tc>
          <w:tcPr>
            <w:tcW w:w="2555"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Outdoor</w:t>
            </w:r>
          </w:p>
        </w:tc>
        <w:tc>
          <w:tcPr>
            <w:tcW w:w="2519"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(£116,028)</w:t>
            </w:r>
          </w:p>
        </w:tc>
        <w:tc>
          <w:tcPr>
            <w:tcW w:w="2520"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(£138,858)</w:t>
            </w:r>
          </w:p>
        </w:tc>
        <w:tc>
          <w:tcPr>
            <w:tcW w:w="2416"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(£22,830)</w:t>
            </w:r>
          </w:p>
        </w:tc>
        <w:tc>
          <w:tcPr>
            <w:tcW w:w="2435"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£0</w:t>
            </w:r>
          </w:p>
        </w:tc>
        <w:tc>
          <w:tcPr>
            <w:tcW w:w="2547"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(£22,830)</w:t>
            </w:r>
          </w:p>
        </w:tc>
      </w:tr>
      <w:tr w:rsidR="00F1595B" w:rsidRPr="00F1595B" w:rsidTr="00C86921">
        <w:trPr>
          <w:trHeight w:val="315"/>
        </w:trPr>
        <w:tc>
          <w:tcPr>
            <w:tcW w:w="2555"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SLA</w:t>
            </w:r>
          </w:p>
        </w:tc>
        <w:tc>
          <w:tcPr>
            <w:tcW w:w="2519"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£12,708,399</w:t>
            </w:r>
          </w:p>
        </w:tc>
        <w:tc>
          <w:tcPr>
            <w:tcW w:w="2520"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£12,708,399</w:t>
            </w:r>
          </w:p>
        </w:tc>
        <w:tc>
          <w:tcPr>
            <w:tcW w:w="2416"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£0</w:t>
            </w:r>
          </w:p>
        </w:tc>
        <w:tc>
          <w:tcPr>
            <w:tcW w:w="2435"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£0</w:t>
            </w:r>
          </w:p>
        </w:tc>
        <w:tc>
          <w:tcPr>
            <w:tcW w:w="2547"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£0</w:t>
            </w:r>
          </w:p>
        </w:tc>
      </w:tr>
      <w:tr w:rsidR="00F1595B" w:rsidRPr="00F1595B" w:rsidTr="00C86921">
        <w:trPr>
          <w:trHeight w:val="315"/>
        </w:trPr>
        <w:tc>
          <w:tcPr>
            <w:tcW w:w="2555"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Sports</w:t>
            </w:r>
          </w:p>
        </w:tc>
        <w:tc>
          <w:tcPr>
            <w:tcW w:w="2519"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(£547,587)</w:t>
            </w:r>
          </w:p>
        </w:tc>
        <w:tc>
          <w:tcPr>
            <w:tcW w:w="2520"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(£588,874)</w:t>
            </w:r>
          </w:p>
        </w:tc>
        <w:tc>
          <w:tcPr>
            <w:tcW w:w="2416"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(£41,287)</w:t>
            </w:r>
          </w:p>
        </w:tc>
        <w:tc>
          <w:tcPr>
            <w:tcW w:w="2435"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£59,729</w:t>
            </w:r>
          </w:p>
        </w:tc>
        <w:tc>
          <w:tcPr>
            <w:tcW w:w="2547"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£18,442</w:t>
            </w:r>
          </w:p>
        </w:tc>
      </w:tr>
      <w:tr w:rsidR="00F1595B" w:rsidRPr="00F1595B" w:rsidTr="00C86921">
        <w:trPr>
          <w:trHeight w:val="315"/>
        </w:trPr>
        <w:tc>
          <w:tcPr>
            <w:tcW w:w="2555"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Youth</w:t>
            </w:r>
            <w:r>
              <w:rPr>
                <w:rFonts w:ascii="Arial" w:hAnsi="Arial" w:cs="Arial"/>
                <w:color w:val="000000"/>
                <w:szCs w:val="24"/>
              </w:rPr>
              <w:t xml:space="preserve"> </w:t>
            </w:r>
            <w:r w:rsidRPr="00F1595B">
              <w:rPr>
                <w:rFonts w:ascii="Arial" w:hAnsi="Arial" w:cs="Arial"/>
                <w:color w:val="000000"/>
                <w:szCs w:val="24"/>
              </w:rPr>
              <w:t>work</w:t>
            </w:r>
          </w:p>
        </w:tc>
        <w:tc>
          <w:tcPr>
            <w:tcW w:w="2519"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(£1,424,182)</w:t>
            </w:r>
          </w:p>
        </w:tc>
        <w:tc>
          <w:tcPr>
            <w:tcW w:w="2520"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(£1,453,812)</w:t>
            </w:r>
          </w:p>
        </w:tc>
        <w:tc>
          <w:tcPr>
            <w:tcW w:w="2416"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(£29,630)</w:t>
            </w:r>
          </w:p>
        </w:tc>
        <w:tc>
          <w:tcPr>
            <w:tcW w:w="2435"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£27,285</w:t>
            </w:r>
          </w:p>
        </w:tc>
        <w:tc>
          <w:tcPr>
            <w:tcW w:w="2547"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FF0000"/>
                <w:szCs w:val="24"/>
              </w:rPr>
              <w:t>(£2,345)</w:t>
            </w:r>
          </w:p>
        </w:tc>
      </w:tr>
      <w:tr w:rsidR="00F1595B" w:rsidRPr="00F1595B" w:rsidTr="00C86921">
        <w:trPr>
          <w:trHeight w:val="330"/>
        </w:trPr>
        <w:tc>
          <w:tcPr>
            <w:tcW w:w="2555" w:type="dxa"/>
            <w:tcBorders>
              <w:top w:val="nil"/>
              <w:left w:val="nil"/>
              <w:bottom w:val="nil"/>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Surplus /(Deficit)</w:t>
            </w:r>
          </w:p>
        </w:tc>
        <w:tc>
          <w:tcPr>
            <w:tcW w:w="2519" w:type="dxa"/>
            <w:tcBorders>
              <w:top w:val="single" w:sz="4" w:space="0" w:color="auto"/>
              <w:left w:val="nil"/>
              <w:bottom w:val="double" w:sz="6" w:space="0" w:color="auto"/>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£0</w:t>
            </w:r>
          </w:p>
        </w:tc>
        <w:tc>
          <w:tcPr>
            <w:tcW w:w="2520" w:type="dxa"/>
            <w:tcBorders>
              <w:top w:val="single" w:sz="4" w:space="0" w:color="auto"/>
              <w:left w:val="nil"/>
              <w:bottom w:val="double" w:sz="6" w:space="0" w:color="auto"/>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£119,232</w:t>
            </w:r>
          </w:p>
        </w:tc>
        <w:tc>
          <w:tcPr>
            <w:tcW w:w="2416" w:type="dxa"/>
            <w:tcBorders>
              <w:top w:val="single" w:sz="4" w:space="0" w:color="auto"/>
              <w:left w:val="nil"/>
              <w:bottom w:val="double" w:sz="6" w:space="0" w:color="auto"/>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£119,232</w:t>
            </w:r>
          </w:p>
        </w:tc>
        <w:tc>
          <w:tcPr>
            <w:tcW w:w="2435" w:type="dxa"/>
            <w:tcBorders>
              <w:top w:val="single" w:sz="4" w:space="0" w:color="auto"/>
              <w:left w:val="nil"/>
              <w:bottom w:val="double" w:sz="6" w:space="0" w:color="auto"/>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£115,675</w:t>
            </w:r>
          </w:p>
        </w:tc>
        <w:tc>
          <w:tcPr>
            <w:tcW w:w="2547" w:type="dxa"/>
            <w:tcBorders>
              <w:top w:val="single" w:sz="4" w:space="0" w:color="auto"/>
              <w:left w:val="nil"/>
              <w:bottom w:val="double" w:sz="6" w:space="0" w:color="auto"/>
              <w:right w:val="nil"/>
            </w:tcBorders>
            <w:shd w:val="clear" w:color="auto" w:fill="auto"/>
            <w:noWrap/>
            <w:hideMark/>
          </w:tcPr>
          <w:p w:rsidR="00F1595B" w:rsidRPr="00F1595B" w:rsidRDefault="00F1595B" w:rsidP="0055791C">
            <w:pPr>
              <w:ind w:left="142"/>
              <w:rPr>
                <w:rFonts w:ascii="Arial" w:hAnsi="Arial" w:cs="Arial"/>
                <w:color w:val="000000"/>
                <w:szCs w:val="24"/>
              </w:rPr>
            </w:pPr>
            <w:r w:rsidRPr="00F1595B">
              <w:rPr>
                <w:rFonts w:ascii="Arial" w:hAnsi="Arial" w:cs="Arial"/>
                <w:color w:val="000000"/>
                <w:szCs w:val="24"/>
              </w:rPr>
              <w:t>£234,907</w:t>
            </w:r>
          </w:p>
        </w:tc>
      </w:tr>
    </w:tbl>
    <w:p w:rsidR="00686F9F" w:rsidRDefault="00686F9F" w:rsidP="00344232">
      <w:pPr>
        <w:ind w:left="1134"/>
        <w:rPr>
          <w:rFonts w:ascii="Arial" w:hAnsi="Arial" w:cs="Arial"/>
          <w:b/>
          <w:szCs w:val="24"/>
        </w:rPr>
      </w:pPr>
      <w:r>
        <w:rPr>
          <w:rFonts w:ascii="Arial" w:hAnsi="Arial" w:cs="Arial"/>
          <w:b/>
          <w:szCs w:val="24"/>
        </w:rPr>
        <w:br w:type="page"/>
      </w:r>
    </w:p>
    <w:p w:rsidR="00290EB5" w:rsidRDefault="00290EB5" w:rsidP="00344232">
      <w:pPr>
        <w:ind w:firstLine="1276"/>
        <w:rPr>
          <w:rFonts w:ascii="Arial" w:hAnsi="Arial" w:cs="Arial"/>
          <w:b/>
          <w:szCs w:val="24"/>
        </w:rPr>
      </w:pPr>
      <w:r>
        <w:rPr>
          <w:rFonts w:ascii="Arial" w:hAnsi="Arial" w:cs="Arial"/>
          <w:b/>
          <w:szCs w:val="24"/>
        </w:rPr>
        <w:lastRenderedPageBreak/>
        <w:t xml:space="preserve">Breakdown of Variance - By </w:t>
      </w:r>
      <w:r w:rsidR="00F12AD6">
        <w:rPr>
          <w:rFonts w:ascii="Arial" w:hAnsi="Arial" w:cs="Arial"/>
          <w:b/>
          <w:szCs w:val="24"/>
        </w:rPr>
        <w:t>Activity</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Appendix B </w:t>
      </w:r>
      <w:r w:rsidR="00344232">
        <w:rPr>
          <w:rFonts w:ascii="Arial" w:hAnsi="Arial" w:cs="Arial"/>
          <w:b/>
          <w:szCs w:val="24"/>
        </w:rPr>
        <w:t>(</w:t>
      </w:r>
      <w:proofErr w:type="spellStart"/>
      <w:r w:rsidR="00532972">
        <w:rPr>
          <w:rFonts w:ascii="Arial" w:hAnsi="Arial" w:cs="Arial"/>
          <w:b/>
          <w:szCs w:val="24"/>
        </w:rPr>
        <w:t>Contd</w:t>
      </w:r>
      <w:proofErr w:type="spellEnd"/>
      <w:r w:rsidR="00532972">
        <w:rPr>
          <w:rFonts w:ascii="Arial" w:hAnsi="Arial" w:cs="Arial"/>
          <w:b/>
          <w:szCs w:val="24"/>
        </w:rPr>
        <w:t>)</w:t>
      </w:r>
    </w:p>
    <w:p w:rsidR="00290EB5" w:rsidRDefault="00290EB5" w:rsidP="00290EB5">
      <w:pPr>
        <w:rPr>
          <w:rFonts w:ascii="Arial" w:hAnsi="Arial" w:cs="Arial"/>
          <w:b/>
          <w:szCs w:val="24"/>
        </w:rPr>
      </w:pPr>
    </w:p>
    <w:p w:rsidR="00290EB5" w:rsidRDefault="00290EB5" w:rsidP="00290EB5">
      <w:pPr>
        <w:rPr>
          <w:rFonts w:ascii="Arial" w:hAnsi="Arial" w:cs="Arial"/>
          <w:b/>
          <w:szCs w:val="24"/>
        </w:rPr>
      </w:pPr>
    </w:p>
    <w:p w:rsidR="00290EB5" w:rsidRDefault="00290EB5" w:rsidP="00290EB5">
      <w:pPr>
        <w:rPr>
          <w:rFonts w:ascii="Arial" w:hAnsi="Arial" w:cs="Arial"/>
          <w:b/>
          <w:szCs w:val="24"/>
        </w:rPr>
      </w:pPr>
    </w:p>
    <w:tbl>
      <w:tblPr>
        <w:tblW w:w="15840" w:type="dxa"/>
        <w:tblInd w:w="93" w:type="dxa"/>
        <w:tblLook w:val="04A0" w:firstRow="1" w:lastRow="0" w:firstColumn="1" w:lastColumn="0" w:noHBand="0" w:noVBand="1"/>
      </w:tblPr>
      <w:tblGrid>
        <w:gridCol w:w="2560"/>
        <w:gridCol w:w="1660"/>
        <w:gridCol w:w="1660"/>
        <w:gridCol w:w="1660"/>
        <w:gridCol w:w="1660"/>
        <w:gridCol w:w="1660"/>
        <w:gridCol w:w="1660"/>
        <w:gridCol w:w="1660"/>
        <w:gridCol w:w="1660"/>
      </w:tblGrid>
      <w:tr w:rsidR="00FA6E90" w:rsidRPr="00FA6E90" w:rsidTr="00FA6E90">
        <w:trPr>
          <w:trHeight w:val="900"/>
        </w:trPr>
        <w:tc>
          <w:tcPr>
            <w:tcW w:w="2560" w:type="dxa"/>
            <w:tcBorders>
              <w:top w:val="nil"/>
              <w:left w:val="nil"/>
              <w:bottom w:val="nil"/>
              <w:right w:val="nil"/>
            </w:tcBorders>
            <w:shd w:val="clear" w:color="000000" w:fill="DCE6F1"/>
            <w:noWrap/>
            <w:hideMark/>
          </w:tcPr>
          <w:p w:rsidR="00FA6E90" w:rsidRPr="00FA6E90" w:rsidRDefault="00FA6E90" w:rsidP="00FA6E90">
            <w:pPr>
              <w:rPr>
                <w:rFonts w:ascii="Arial" w:hAnsi="Arial" w:cs="Arial"/>
                <w:b/>
                <w:bCs/>
                <w:color w:val="000000"/>
                <w:sz w:val="22"/>
                <w:szCs w:val="22"/>
              </w:rPr>
            </w:pPr>
            <w:r w:rsidRPr="00FA6E90">
              <w:rPr>
                <w:rFonts w:ascii="Arial" w:hAnsi="Arial" w:cs="Arial"/>
                <w:b/>
                <w:bCs/>
                <w:color w:val="000000"/>
                <w:sz w:val="22"/>
                <w:szCs w:val="22"/>
              </w:rPr>
              <w:t>Sector</w:t>
            </w:r>
          </w:p>
        </w:tc>
        <w:tc>
          <w:tcPr>
            <w:tcW w:w="1660" w:type="dxa"/>
            <w:tcBorders>
              <w:top w:val="nil"/>
              <w:left w:val="nil"/>
              <w:bottom w:val="nil"/>
              <w:right w:val="nil"/>
            </w:tcBorders>
            <w:shd w:val="clear" w:color="000000" w:fill="DCE6F1"/>
            <w:noWrap/>
            <w:hideMark/>
          </w:tcPr>
          <w:p w:rsidR="00FA6E90" w:rsidRPr="00FA6E90" w:rsidRDefault="00FA6E90" w:rsidP="00FA6E90">
            <w:pPr>
              <w:jc w:val="center"/>
              <w:rPr>
                <w:rFonts w:ascii="Arial" w:hAnsi="Arial" w:cs="Arial"/>
                <w:b/>
                <w:bCs/>
                <w:color w:val="000000"/>
                <w:sz w:val="22"/>
                <w:szCs w:val="22"/>
              </w:rPr>
            </w:pPr>
            <w:r w:rsidRPr="00FA6E90">
              <w:rPr>
                <w:rFonts w:ascii="Arial" w:hAnsi="Arial" w:cs="Arial"/>
                <w:b/>
                <w:bCs/>
                <w:color w:val="000000"/>
                <w:sz w:val="22"/>
                <w:szCs w:val="22"/>
              </w:rPr>
              <w:t>Income</w:t>
            </w:r>
          </w:p>
        </w:tc>
        <w:tc>
          <w:tcPr>
            <w:tcW w:w="1660" w:type="dxa"/>
            <w:tcBorders>
              <w:top w:val="nil"/>
              <w:left w:val="nil"/>
              <w:bottom w:val="nil"/>
              <w:right w:val="nil"/>
            </w:tcBorders>
            <w:shd w:val="clear" w:color="000000" w:fill="DCE6F1"/>
            <w:hideMark/>
          </w:tcPr>
          <w:p w:rsidR="00FA6E90" w:rsidRPr="00FA6E90" w:rsidRDefault="00FA6E90" w:rsidP="00FA6E90">
            <w:pPr>
              <w:jc w:val="center"/>
              <w:rPr>
                <w:rFonts w:ascii="Arial" w:hAnsi="Arial" w:cs="Arial"/>
                <w:b/>
                <w:bCs/>
                <w:color w:val="000000"/>
                <w:sz w:val="22"/>
                <w:szCs w:val="22"/>
              </w:rPr>
            </w:pPr>
            <w:r w:rsidRPr="00FA6E90">
              <w:rPr>
                <w:rFonts w:ascii="Arial" w:hAnsi="Arial" w:cs="Arial"/>
                <w:b/>
                <w:bCs/>
                <w:color w:val="000000"/>
                <w:sz w:val="22"/>
                <w:szCs w:val="22"/>
              </w:rPr>
              <w:t>% Variance on YTD Budget Income</w:t>
            </w:r>
          </w:p>
        </w:tc>
        <w:tc>
          <w:tcPr>
            <w:tcW w:w="1660" w:type="dxa"/>
            <w:tcBorders>
              <w:top w:val="nil"/>
              <w:left w:val="nil"/>
              <w:bottom w:val="nil"/>
              <w:right w:val="nil"/>
            </w:tcBorders>
            <w:shd w:val="clear" w:color="000000" w:fill="DCE6F1"/>
            <w:noWrap/>
            <w:hideMark/>
          </w:tcPr>
          <w:p w:rsidR="00FA6E90" w:rsidRPr="00FA6E90" w:rsidRDefault="00FA6E90" w:rsidP="00FA6E90">
            <w:pPr>
              <w:jc w:val="center"/>
              <w:rPr>
                <w:rFonts w:ascii="Arial" w:hAnsi="Arial" w:cs="Arial"/>
                <w:b/>
                <w:bCs/>
                <w:color w:val="000000"/>
                <w:sz w:val="22"/>
                <w:szCs w:val="22"/>
              </w:rPr>
            </w:pPr>
            <w:r w:rsidRPr="00FA6E90">
              <w:rPr>
                <w:rFonts w:ascii="Arial" w:hAnsi="Arial" w:cs="Arial"/>
                <w:b/>
                <w:bCs/>
                <w:color w:val="000000"/>
                <w:sz w:val="22"/>
                <w:szCs w:val="22"/>
              </w:rPr>
              <w:t>Other Costs</w:t>
            </w:r>
          </w:p>
        </w:tc>
        <w:tc>
          <w:tcPr>
            <w:tcW w:w="1660" w:type="dxa"/>
            <w:tcBorders>
              <w:top w:val="nil"/>
              <w:left w:val="nil"/>
              <w:bottom w:val="nil"/>
              <w:right w:val="nil"/>
            </w:tcBorders>
            <w:shd w:val="clear" w:color="000000" w:fill="DCE6F1"/>
            <w:hideMark/>
          </w:tcPr>
          <w:p w:rsidR="00FA6E90" w:rsidRPr="00FA6E90" w:rsidRDefault="00FA6E90" w:rsidP="00FA6E90">
            <w:pPr>
              <w:jc w:val="center"/>
              <w:rPr>
                <w:rFonts w:ascii="Arial" w:hAnsi="Arial" w:cs="Arial"/>
                <w:b/>
                <w:bCs/>
                <w:color w:val="000000"/>
                <w:sz w:val="22"/>
                <w:szCs w:val="22"/>
              </w:rPr>
            </w:pPr>
            <w:r w:rsidRPr="00FA6E90">
              <w:rPr>
                <w:rFonts w:ascii="Arial" w:hAnsi="Arial" w:cs="Arial"/>
                <w:b/>
                <w:bCs/>
                <w:color w:val="000000"/>
                <w:sz w:val="22"/>
                <w:szCs w:val="22"/>
              </w:rPr>
              <w:t>% Variance on YTD Budget Other Costs</w:t>
            </w:r>
          </w:p>
        </w:tc>
        <w:tc>
          <w:tcPr>
            <w:tcW w:w="1660" w:type="dxa"/>
            <w:tcBorders>
              <w:top w:val="nil"/>
              <w:left w:val="nil"/>
              <w:bottom w:val="nil"/>
              <w:right w:val="nil"/>
            </w:tcBorders>
            <w:shd w:val="clear" w:color="000000" w:fill="DCE6F1"/>
            <w:noWrap/>
            <w:hideMark/>
          </w:tcPr>
          <w:p w:rsidR="00FA6E90" w:rsidRPr="00FA6E90" w:rsidRDefault="00FA6E90" w:rsidP="00FA6E90">
            <w:pPr>
              <w:jc w:val="center"/>
              <w:rPr>
                <w:rFonts w:ascii="Arial" w:hAnsi="Arial" w:cs="Arial"/>
                <w:b/>
                <w:bCs/>
                <w:color w:val="000000"/>
                <w:sz w:val="22"/>
                <w:szCs w:val="22"/>
              </w:rPr>
            </w:pPr>
            <w:r w:rsidRPr="00FA6E90">
              <w:rPr>
                <w:rFonts w:ascii="Arial" w:hAnsi="Arial" w:cs="Arial"/>
                <w:b/>
                <w:bCs/>
                <w:color w:val="000000"/>
                <w:sz w:val="22"/>
                <w:szCs w:val="22"/>
              </w:rPr>
              <w:t>Staff Costs</w:t>
            </w:r>
          </w:p>
        </w:tc>
        <w:tc>
          <w:tcPr>
            <w:tcW w:w="1660" w:type="dxa"/>
            <w:tcBorders>
              <w:top w:val="nil"/>
              <w:left w:val="nil"/>
              <w:bottom w:val="nil"/>
              <w:right w:val="nil"/>
            </w:tcBorders>
            <w:shd w:val="clear" w:color="000000" w:fill="DCE6F1"/>
            <w:hideMark/>
          </w:tcPr>
          <w:p w:rsidR="00FA6E90" w:rsidRPr="00FA6E90" w:rsidRDefault="00FA6E90" w:rsidP="00FA6E90">
            <w:pPr>
              <w:jc w:val="center"/>
              <w:rPr>
                <w:rFonts w:ascii="Arial" w:hAnsi="Arial" w:cs="Arial"/>
                <w:b/>
                <w:bCs/>
                <w:color w:val="000000"/>
                <w:sz w:val="22"/>
                <w:szCs w:val="22"/>
              </w:rPr>
            </w:pPr>
            <w:r w:rsidRPr="00FA6E90">
              <w:rPr>
                <w:rFonts w:ascii="Arial" w:hAnsi="Arial" w:cs="Arial"/>
                <w:b/>
                <w:bCs/>
                <w:color w:val="000000"/>
                <w:sz w:val="22"/>
                <w:szCs w:val="22"/>
              </w:rPr>
              <w:t>% Variance on YTD Budget Staff Costs</w:t>
            </w:r>
          </w:p>
        </w:tc>
        <w:tc>
          <w:tcPr>
            <w:tcW w:w="1660" w:type="dxa"/>
            <w:tcBorders>
              <w:top w:val="nil"/>
              <w:left w:val="nil"/>
              <w:bottom w:val="nil"/>
              <w:right w:val="nil"/>
            </w:tcBorders>
            <w:shd w:val="clear" w:color="000000" w:fill="DCE6F1"/>
            <w:hideMark/>
          </w:tcPr>
          <w:p w:rsidR="00FA6E90" w:rsidRPr="00FA6E90" w:rsidRDefault="00FA6E90" w:rsidP="00FA6E90">
            <w:pPr>
              <w:jc w:val="center"/>
              <w:rPr>
                <w:rFonts w:ascii="Arial" w:hAnsi="Arial" w:cs="Arial"/>
                <w:b/>
                <w:bCs/>
                <w:color w:val="000000"/>
                <w:sz w:val="22"/>
                <w:szCs w:val="22"/>
              </w:rPr>
            </w:pPr>
            <w:r w:rsidRPr="00FA6E90">
              <w:rPr>
                <w:rFonts w:ascii="Arial" w:hAnsi="Arial" w:cs="Arial"/>
                <w:b/>
                <w:bCs/>
                <w:color w:val="000000"/>
                <w:sz w:val="22"/>
                <w:szCs w:val="22"/>
              </w:rPr>
              <w:t>Restricted Reserves (Income)</w:t>
            </w:r>
          </w:p>
        </w:tc>
        <w:tc>
          <w:tcPr>
            <w:tcW w:w="1660" w:type="dxa"/>
            <w:tcBorders>
              <w:top w:val="nil"/>
              <w:left w:val="nil"/>
              <w:bottom w:val="nil"/>
              <w:right w:val="nil"/>
            </w:tcBorders>
            <w:shd w:val="clear" w:color="000000" w:fill="DCE6F1"/>
            <w:noWrap/>
            <w:hideMark/>
          </w:tcPr>
          <w:p w:rsidR="00FA6E90" w:rsidRPr="00FA6E90" w:rsidRDefault="00FA6E90" w:rsidP="00FA6E90">
            <w:pPr>
              <w:jc w:val="center"/>
              <w:rPr>
                <w:rFonts w:ascii="Arial" w:hAnsi="Arial" w:cs="Arial"/>
                <w:b/>
                <w:bCs/>
                <w:color w:val="000000"/>
                <w:sz w:val="22"/>
                <w:szCs w:val="22"/>
              </w:rPr>
            </w:pPr>
            <w:r w:rsidRPr="00FA6E90">
              <w:rPr>
                <w:rFonts w:ascii="Arial" w:hAnsi="Arial" w:cs="Arial"/>
                <w:b/>
                <w:bCs/>
                <w:color w:val="000000"/>
                <w:sz w:val="22"/>
                <w:szCs w:val="22"/>
              </w:rPr>
              <w:t>Grand Total</w:t>
            </w:r>
          </w:p>
        </w:tc>
      </w:tr>
      <w:tr w:rsidR="00FA6E90" w:rsidRPr="00FA6E90" w:rsidTr="00FA6E90">
        <w:trPr>
          <w:trHeight w:val="315"/>
        </w:trPr>
        <w:tc>
          <w:tcPr>
            <w:tcW w:w="2560" w:type="dxa"/>
            <w:tcBorders>
              <w:top w:val="nil"/>
              <w:left w:val="nil"/>
              <w:bottom w:val="nil"/>
              <w:right w:val="nil"/>
            </w:tcBorders>
            <w:shd w:val="clear" w:color="auto" w:fill="auto"/>
            <w:noWrap/>
            <w:hideMark/>
          </w:tcPr>
          <w:p w:rsidR="00FA6E90" w:rsidRPr="00FA6E90" w:rsidRDefault="00FA6E90" w:rsidP="00FA6E90">
            <w:pPr>
              <w:rPr>
                <w:rFonts w:ascii="Arial" w:hAnsi="Arial" w:cs="Arial"/>
                <w:color w:val="000000"/>
                <w:sz w:val="22"/>
                <w:szCs w:val="22"/>
              </w:rPr>
            </w:pPr>
            <w:r w:rsidRPr="00FA6E90">
              <w:rPr>
                <w:rFonts w:ascii="Arial" w:hAnsi="Arial" w:cs="Arial"/>
                <w:color w:val="000000"/>
                <w:sz w:val="22"/>
                <w:szCs w:val="22"/>
              </w:rPr>
              <w:t>Adult</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FF0000"/>
                <w:sz w:val="22"/>
                <w:szCs w:val="22"/>
              </w:rPr>
              <w:t>(£4,447)</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-7.11%</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£89,281</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59.92%</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£17,816</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3.29%</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£0</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£102,650</w:t>
            </w:r>
          </w:p>
        </w:tc>
      </w:tr>
      <w:tr w:rsidR="00FA6E90" w:rsidRPr="00FA6E90" w:rsidTr="00FA6E90">
        <w:trPr>
          <w:trHeight w:val="315"/>
        </w:trPr>
        <w:tc>
          <w:tcPr>
            <w:tcW w:w="2560" w:type="dxa"/>
            <w:tcBorders>
              <w:top w:val="nil"/>
              <w:left w:val="nil"/>
              <w:bottom w:val="nil"/>
              <w:right w:val="nil"/>
            </w:tcBorders>
            <w:shd w:val="clear" w:color="auto" w:fill="auto"/>
            <w:noWrap/>
            <w:hideMark/>
          </w:tcPr>
          <w:p w:rsidR="00FA6E90" w:rsidRPr="00FA6E90" w:rsidRDefault="00FA6E90" w:rsidP="00FA6E90">
            <w:pPr>
              <w:rPr>
                <w:rFonts w:ascii="Arial" w:hAnsi="Arial" w:cs="Arial"/>
                <w:color w:val="000000"/>
                <w:sz w:val="22"/>
                <w:szCs w:val="22"/>
              </w:rPr>
            </w:pPr>
            <w:r w:rsidRPr="00FA6E90">
              <w:rPr>
                <w:rFonts w:ascii="Arial" w:hAnsi="Arial" w:cs="Arial"/>
                <w:color w:val="000000"/>
                <w:sz w:val="22"/>
                <w:szCs w:val="22"/>
              </w:rPr>
              <w:t>Archives</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£88,856</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73.42%</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FF0000"/>
                <w:sz w:val="22"/>
                <w:szCs w:val="22"/>
              </w:rPr>
              <w:t>(£25,250)</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-54.13%</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FF0000"/>
                <w:sz w:val="22"/>
                <w:szCs w:val="22"/>
              </w:rPr>
              <w:t>(£1,720)</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-0.24%</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£0</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£61,886</w:t>
            </w:r>
          </w:p>
        </w:tc>
      </w:tr>
      <w:tr w:rsidR="00FA6E90" w:rsidRPr="00FA6E90" w:rsidTr="00FA6E90">
        <w:trPr>
          <w:trHeight w:val="315"/>
        </w:trPr>
        <w:tc>
          <w:tcPr>
            <w:tcW w:w="2560" w:type="dxa"/>
            <w:tcBorders>
              <w:top w:val="nil"/>
              <w:left w:val="nil"/>
              <w:bottom w:val="nil"/>
              <w:right w:val="nil"/>
            </w:tcBorders>
            <w:shd w:val="clear" w:color="auto" w:fill="auto"/>
            <w:noWrap/>
            <w:hideMark/>
          </w:tcPr>
          <w:p w:rsidR="00FA6E90" w:rsidRPr="00FA6E90" w:rsidRDefault="00FA6E90" w:rsidP="00FA6E90">
            <w:pPr>
              <w:rPr>
                <w:rFonts w:ascii="Arial" w:hAnsi="Arial" w:cs="Arial"/>
                <w:color w:val="000000"/>
                <w:sz w:val="22"/>
                <w:szCs w:val="22"/>
              </w:rPr>
            </w:pPr>
            <w:r w:rsidRPr="00FA6E90">
              <w:rPr>
                <w:rFonts w:ascii="Arial" w:hAnsi="Arial" w:cs="Arial"/>
                <w:color w:val="000000"/>
                <w:sz w:val="22"/>
                <w:szCs w:val="22"/>
              </w:rPr>
              <w:t>Arts</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£4,195</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8.59%</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FF0000"/>
                <w:sz w:val="22"/>
                <w:szCs w:val="22"/>
              </w:rPr>
              <w:t>(£2,170)</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-2.82%</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FF0000"/>
                <w:sz w:val="22"/>
                <w:szCs w:val="22"/>
              </w:rPr>
              <w:t>(£21,267)</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-9.53%</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£0</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FF0000"/>
                <w:sz w:val="22"/>
                <w:szCs w:val="22"/>
              </w:rPr>
              <w:t>(£19,242)</w:t>
            </w:r>
          </w:p>
        </w:tc>
      </w:tr>
      <w:tr w:rsidR="00FA6E90" w:rsidRPr="00FA6E90" w:rsidTr="00FA6E90">
        <w:trPr>
          <w:trHeight w:val="315"/>
        </w:trPr>
        <w:tc>
          <w:tcPr>
            <w:tcW w:w="2560" w:type="dxa"/>
            <w:tcBorders>
              <w:top w:val="nil"/>
              <w:left w:val="nil"/>
              <w:bottom w:val="nil"/>
              <w:right w:val="nil"/>
            </w:tcBorders>
            <w:shd w:val="clear" w:color="auto" w:fill="auto"/>
            <w:noWrap/>
            <w:hideMark/>
          </w:tcPr>
          <w:p w:rsidR="00FA6E90" w:rsidRPr="00FA6E90" w:rsidRDefault="00FA6E90" w:rsidP="00FA6E90">
            <w:pPr>
              <w:rPr>
                <w:rFonts w:ascii="Arial" w:hAnsi="Arial" w:cs="Arial"/>
                <w:color w:val="000000"/>
                <w:sz w:val="22"/>
                <w:szCs w:val="22"/>
              </w:rPr>
            </w:pPr>
            <w:r w:rsidRPr="00FA6E90">
              <w:rPr>
                <w:rFonts w:ascii="Arial" w:hAnsi="Arial" w:cs="Arial"/>
                <w:color w:val="000000"/>
                <w:sz w:val="22"/>
                <w:szCs w:val="22"/>
              </w:rPr>
              <w:t>Facilities</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FF0000"/>
                <w:sz w:val="22"/>
                <w:szCs w:val="22"/>
              </w:rPr>
              <w:t>(£49,548)</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-0.54%</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£60,813</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2.64%</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FF0000"/>
                <w:sz w:val="22"/>
                <w:szCs w:val="22"/>
              </w:rPr>
              <w:t>(£50,047)</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-0.55%</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£21,717</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FF0000"/>
                <w:sz w:val="22"/>
                <w:szCs w:val="22"/>
              </w:rPr>
              <w:t>(£17,065)</w:t>
            </w:r>
          </w:p>
        </w:tc>
      </w:tr>
      <w:tr w:rsidR="00FA6E90" w:rsidRPr="00FA6E90" w:rsidTr="00FA6E90">
        <w:trPr>
          <w:trHeight w:val="315"/>
        </w:trPr>
        <w:tc>
          <w:tcPr>
            <w:tcW w:w="2560" w:type="dxa"/>
            <w:tcBorders>
              <w:top w:val="nil"/>
              <w:left w:val="nil"/>
              <w:bottom w:val="nil"/>
              <w:right w:val="nil"/>
            </w:tcBorders>
            <w:shd w:val="clear" w:color="auto" w:fill="auto"/>
            <w:noWrap/>
            <w:hideMark/>
          </w:tcPr>
          <w:p w:rsidR="00FA6E90" w:rsidRPr="00FA6E90" w:rsidRDefault="00FA6E90" w:rsidP="00FA6E90">
            <w:pPr>
              <w:rPr>
                <w:rFonts w:ascii="Arial" w:hAnsi="Arial" w:cs="Arial"/>
                <w:color w:val="000000"/>
                <w:sz w:val="22"/>
                <w:szCs w:val="22"/>
              </w:rPr>
            </w:pPr>
            <w:r w:rsidRPr="00FA6E90">
              <w:rPr>
                <w:rFonts w:ascii="Arial" w:hAnsi="Arial" w:cs="Arial"/>
                <w:color w:val="000000"/>
                <w:sz w:val="22"/>
                <w:szCs w:val="22"/>
              </w:rPr>
              <w:t>Libraries</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FF0000"/>
                <w:sz w:val="22"/>
                <w:szCs w:val="22"/>
              </w:rPr>
              <w:t>(£18,768)</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-14.18%</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FF0000"/>
                <w:sz w:val="22"/>
                <w:szCs w:val="22"/>
              </w:rPr>
              <w:t>(£1,624)</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-0.20%</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£80,015</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2.72%</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£0</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£59,623</w:t>
            </w:r>
          </w:p>
        </w:tc>
      </w:tr>
      <w:tr w:rsidR="00FA6E90" w:rsidRPr="00FA6E90" w:rsidTr="00FA6E90">
        <w:trPr>
          <w:trHeight w:val="315"/>
        </w:trPr>
        <w:tc>
          <w:tcPr>
            <w:tcW w:w="2560" w:type="dxa"/>
            <w:tcBorders>
              <w:top w:val="nil"/>
              <w:left w:val="nil"/>
              <w:bottom w:val="nil"/>
              <w:right w:val="nil"/>
            </w:tcBorders>
            <w:shd w:val="clear" w:color="auto" w:fill="auto"/>
            <w:noWrap/>
            <w:hideMark/>
          </w:tcPr>
          <w:p w:rsidR="00FA6E90" w:rsidRPr="00FA6E90" w:rsidRDefault="00FA6E90" w:rsidP="00FA6E90">
            <w:pPr>
              <w:rPr>
                <w:rFonts w:ascii="Arial" w:hAnsi="Arial" w:cs="Arial"/>
                <w:color w:val="000000"/>
                <w:sz w:val="22"/>
                <w:szCs w:val="22"/>
              </w:rPr>
            </w:pPr>
            <w:r w:rsidRPr="00FA6E90">
              <w:rPr>
                <w:rFonts w:ascii="Arial" w:hAnsi="Arial" w:cs="Arial"/>
                <w:color w:val="000000"/>
                <w:sz w:val="22"/>
                <w:szCs w:val="22"/>
              </w:rPr>
              <w:t>Management</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£24,113</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92.74%</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FF0000"/>
                <w:sz w:val="22"/>
                <w:szCs w:val="22"/>
              </w:rPr>
              <w:t>(£18,754)</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-1.61%</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£25,485</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1.82%</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£0</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£30,844</w:t>
            </w:r>
          </w:p>
        </w:tc>
      </w:tr>
      <w:tr w:rsidR="00FA6E90" w:rsidRPr="00FA6E90" w:rsidTr="00FA6E90">
        <w:trPr>
          <w:trHeight w:val="315"/>
        </w:trPr>
        <w:tc>
          <w:tcPr>
            <w:tcW w:w="2560" w:type="dxa"/>
            <w:tcBorders>
              <w:top w:val="nil"/>
              <w:left w:val="nil"/>
              <w:bottom w:val="nil"/>
              <w:right w:val="nil"/>
            </w:tcBorders>
            <w:shd w:val="clear" w:color="auto" w:fill="auto"/>
            <w:noWrap/>
            <w:hideMark/>
          </w:tcPr>
          <w:p w:rsidR="00FA6E90" w:rsidRPr="00FA6E90" w:rsidRDefault="00FA6E90" w:rsidP="00FA6E90">
            <w:pPr>
              <w:rPr>
                <w:rFonts w:ascii="Arial" w:hAnsi="Arial" w:cs="Arial"/>
                <w:color w:val="000000"/>
                <w:sz w:val="22"/>
                <w:szCs w:val="22"/>
              </w:rPr>
            </w:pPr>
            <w:r w:rsidRPr="00FA6E90">
              <w:rPr>
                <w:rFonts w:ascii="Arial" w:hAnsi="Arial" w:cs="Arial"/>
                <w:color w:val="000000"/>
                <w:sz w:val="22"/>
                <w:szCs w:val="22"/>
              </w:rPr>
              <w:t>Museums</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£34,412</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8.94%</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FF0000"/>
                <w:sz w:val="22"/>
                <w:szCs w:val="22"/>
              </w:rPr>
              <w:t>(£40,274)</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-9.82%</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£21,862</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2.96%</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£6,944</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£22,944</w:t>
            </w:r>
          </w:p>
        </w:tc>
      </w:tr>
      <w:tr w:rsidR="00FA6E90" w:rsidRPr="00FA6E90" w:rsidTr="00FA6E90">
        <w:trPr>
          <w:trHeight w:val="315"/>
        </w:trPr>
        <w:tc>
          <w:tcPr>
            <w:tcW w:w="2560" w:type="dxa"/>
            <w:tcBorders>
              <w:top w:val="nil"/>
              <w:left w:val="nil"/>
              <w:bottom w:val="nil"/>
              <w:right w:val="nil"/>
            </w:tcBorders>
            <w:shd w:val="clear" w:color="auto" w:fill="auto"/>
            <w:noWrap/>
            <w:hideMark/>
          </w:tcPr>
          <w:p w:rsidR="00FA6E90" w:rsidRPr="00FA6E90" w:rsidRDefault="00FA6E90" w:rsidP="00FA6E90">
            <w:pPr>
              <w:rPr>
                <w:rFonts w:ascii="Arial" w:hAnsi="Arial" w:cs="Arial"/>
                <w:color w:val="000000"/>
                <w:sz w:val="22"/>
                <w:szCs w:val="22"/>
              </w:rPr>
            </w:pPr>
            <w:r w:rsidRPr="00FA6E90">
              <w:rPr>
                <w:rFonts w:ascii="Arial" w:hAnsi="Arial" w:cs="Arial"/>
                <w:color w:val="000000"/>
                <w:sz w:val="22"/>
                <w:szCs w:val="22"/>
              </w:rPr>
              <w:t>Outdoor</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FF0000"/>
                <w:sz w:val="22"/>
                <w:szCs w:val="22"/>
              </w:rPr>
              <w:t>(£35,475)</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-42.75%</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£10,003</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16.81%</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£2,642</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1.89%</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£0</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FF0000"/>
                <w:sz w:val="22"/>
                <w:szCs w:val="22"/>
              </w:rPr>
              <w:t>(£22,830)</w:t>
            </w:r>
          </w:p>
        </w:tc>
      </w:tr>
      <w:tr w:rsidR="00FA6E90" w:rsidRPr="00FA6E90" w:rsidTr="00FA6E90">
        <w:trPr>
          <w:trHeight w:val="315"/>
        </w:trPr>
        <w:tc>
          <w:tcPr>
            <w:tcW w:w="2560" w:type="dxa"/>
            <w:tcBorders>
              <w:top w:val="nil"/>
              <w:left w:val="nil"/>
              <w:bottom w:val="nil"/>
              <w:right w:val="nil"/>
            </w:tcBorders>
            <w:shd w:val="clear" w:color="auto" w:fill="auto"/>
            <w:noWrap/>
            <w:hideMark/>
          </w:tcPr>
          <w:p w:rsidR="00FA6E90" w:rsidRPr="00FA6E90" w:rsidRDefault="00FA6E90" w:rsidP="00FA6E90">
            <w:pPr>
              <w:rPr>
                <w:rFonts w:ascii="Arial" w:hAnsi="Arial" w:cs="Arial"/>
                <w:color w:val="000000"/>
                <w:sz w:val="22"/>
                <w:szCs w:val="22"/>
              </w:rPr>
            </w:pPr>
            <w:r w:rsidRPr="00FA6E90">
              <w:rPr>
                <w:rFonts w:ascii="Arial" w:hAnsi="Arial" w:cs="Arial"/>
                <w:color w:val="000000"/>
                <w:sz w:val="22"/>
                <w:szCs w:val="22"/>
              </w:rPr>
              <w:t>Sports</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£141,306</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13.24%</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FF0000"/>
                <w:sz w:val="22"/>
                <w:szCs w:val="22"/>
              </w:rPr>
              <w:t>(£119,896)</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-92.76%</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FF0000"/>
                <w:sz w:val="22"/>
                <w:szCs w:val="22"/>
              </w:rPr>
              <w:t>(£62,697)</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-4.22%</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£59,729</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£18,44</w:t>
            </w:r>
            <w:r>
              <w:rPr>
                <w:rFonts w:ascii="Arial" w:hAnsi="Arial" w:cs="Arial"/>
                <w:color w:val="000000"/>
                <w:sz w:val="22"/>
                <w:szCs w:val="22"/>
              </w:rPr>
              <w:t>2</w:t>
            </w:r>
          </w:p>
        </w:tc>
      </w:tr>
      <w:tr w:rsidR="00FA6E90" w:rsidRPr="00FA6E90" w:rsidTr="00FA6E90">
        <w:trPr>
          <w:trHeight w:val="315"/>
        </w:trPr>
        <w:tc>
          <w:tcPr>
            <w:tcW w:w="2560" w:type="dxa"/>
            <w:tcBorders>
              <w:top w:val="nil"/>
              <w:left w:val="nil"/>
              <w:bottom w:val="nil"/>
              <w:right w:val="nil"/>
            </w:tcBorders>
            <w:shd w:val="clear" w:color="auto" w:fill="auto"/>
            <w:noWrap/>
            <w:hideMark/>
          </w:tcPr>
          <w:p w:rsidR="00FA6E90" w:rsidRPr="00FA6E90" w:rsidRDefault="00FA6E90" w:rsidP="00FA6E90">
            <w:pPr>
              <w:rPr>
                <w:rFonts w:ascii="Arial" w:hAnsi="Arial" w:cs="Arial"/>
                <w:color w:val="000000"/>
                <w:sz w:val="22"/>
                <w:szCs w:val="22"/>
              </w:rPr>
            </w:pPr>
            <w:r w:rsidRPr="00FA6E90">
              <w:rPr>
                <w:rFonts w:ascii="Arial" w:hAnsi="Arial" w:cs="Arial"/>
                <w:color w:val="000000"/>
                <w:sz w:val="22"/>
                <w:szCs w:val="22"/>
              </w:rPr>
              <w:t>Youth</w:t>
            </w:r>
            <w:r>
              <w:rPr>
                <w:rFonts w:ascii="Arial" w:hAnsi="Arial" w:cs="Arial"/>
                <w:color w:val="000000"/>
                <w:sz w:val="22"/>
                <w:szCs w:val="22"/>
              </w:rPr>
              <w:t xml:space="preserve"> </w:t>
            </w:r>
            <w:r w:rsidRPr="00FA6E90">
              <w:rPr>
                <w:rFonts w:ascii="Arial" w:hAnsi="Arial" w:cs="Arial"/>
                <w:color w:val="000000"/>
                <w:sz w:val="22"/>
                <w:szCs w:val="22"/>
              </w:rPr>
              <w:t>work</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£164,391</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265.18%</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FF0000"/>
                <w:sz w:val="22"/>
                <w:szCs w:val="22"/>
              </w:rPr>
              <w:t>(£115,308)</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-135.35%</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FF0000"/>
                <w:sz w:val="22"/>
                <w:szCs w:val="22"/>
              </w:rPr>
              <w:t>(£78,713)</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-5.62%</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£27,285</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FF0000"/>
                <w:sz w:val="22"/>
                <w:szCs w:val="22"/>
              </w:rPr>
              <w:t>(£2,34</w:t>
            </w:r>
            <w:r>
              <w:rPr>
                <w:rFonts w:ascii="Arial" w:hAnsi="Arial" w:cs="Arial"/>
                <w:color w:val="FF0000"/>
                <w:sz w:val="22"/>
                <w:szCs w:val="22"/>
              </w:rPr>
              <w:t>5</w:t>
            </w:r>
            <w:r w:rsidRPr="00FA6E90">
              <w:rPr>
                <w:rFonts w:ascii="Arial" w:hAnsi="Arial" w:cs="Arial"/>
                <w:color w:val="FF0000"/>
                <w:sz w:val="22"/>
                <w:szCs w:val="22"/>
              </w:rPr>
              <w:t>)</w:t>
            </w:r>
          </w:p>
        </w:tc>
      </w:tr>
      <w:tr w:rsidR="00FA6E90" w:rsidRPr="00FA6E90" w:rsidTr="00FA6E90">
        <w:trPr>
          <w:trHeight w:val="315"/>
        </w:trPr>
        <w:tc>
          <w:tcPr>
            <w:tcW w:w="2560" w:type="dxa"/>
            <w:tcBorders>
              <w:top w:val="nil"/>
              <w:left w:val="nil"/>
              <w:bottom w:val="nil"/>
              <w:right w:val="nil"/>
            </w:tcBorders>
            <w:shd w:val="clear" w:color="auto" w:fill="auto"/>
            <w:noWrap/>
            <w:hideMark/>
          </w:tcPr>
          <w:p w:rsidR="00FA6E90" w:rsidRPr="00FA6E90" w:rsidRDefault="00FA6E90" w:rsidP="00FA6E90">
            <w:pPr>
              <w:rPr>
                <w:rFonts w:ascii="Arial" w:hAnsi="Arial" w:cs="Arial"/>
                <w:color w:val="000000"/>
                <w:sz w:val="22"/>
                <w:szCs w:val="22"/>
              </w:rPr>
            </w:pPr>
            <w:proofErr w:type="spellStart"/>
            <w:r w:rsidRPr="00FA6E90">
              <w:rPr>
                <w:rFonts w:ascii="Arial" w:hAnsi="Arial" w:cs="Arial"/>
                <w:color w:val="000000"/>
                <w:sz w:val="22"/>
                <w:szCs w:val="22"/>
              </w:rPr>
              <w:t>Mgnt</w:t>
            </w:r>
            <w:proofErr w:type="spellEnd"/>
            <w:r w:rsidRPr="00FA6E90">
              <w:rPr>
                <w:rFonts w:ascii="Arial" w:hAnsi="Arial" w:cs="Arial"/>
                <w:color w:val="000000"/>
                <w:sz w:val="22"/>
                <w:szCs w:val="22"/>
              </w:rPr>
              <w:t xml:space="preserve"> H&amp;W Projects</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£81,999</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100.00%</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FF0000"/>
                <w:sz w:val="22"/>
                <w:szCs w:val="22"/>
              </w:rPr>
              <w:t>(£81,999)</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100.00%</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£0</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0.00%</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0</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£0</w:t>
            </w:r>
          </w:p>
        </w:tc>
      </w:tr>
      <w:tr w:rsidR="00FA6E90" w:rsidRPr="00FA6E90" w:rsidTr="00FA6E90">
        <w:trPr>
          <w:trHeight w:val="330"/>
        </w:trPr>
        <w:tc>
          <w:tcPr>
            <w:tcW w:w="2560" w:type="dxa"/>
            <w:tcBorders>
              <w:top w:val="nil"/>
              <w:left w:val="nil"/>
              <w:bottom w:val="nil"/>
              <w:right w:val="nil"/>
            </w:tcBorders>
            <w:shd w:val="clear" w:color="auto" w:fill="auto"/>
            <w:noWrap/>
            <w:hideMark/>
          </w:tcPr>
          <w:p w:rsidR="00FA6E90" w:rsidRPr="00FA6E90" w:rsidRDefault="00FA6E90" w:rsidP="00FA6E90">
            <w:pPr>
              <w:rPr>
                <w:rFonts w:ascii="Arial" w:hAnsi="Arial" w:cs="Arial"/>
                <w:color w:val="000000"/>
                <w:sz w:val="22"/>
                <w:szCs w:val="22"/>
              </w:rPr>
            </w:pPr>
            <w:r w:rsidRPr="00FA6E90">
              <w:rPr>
                <w:rFonts w:ascii="Arial" w:hAnsi="Arial" w:cs="Arial"/>
                <w:color w:val="000000"/>
                <w:sz w:val="22"/>
                <w:szCs w:val="22"/>
              </w:rPr>
              <w:t>Surplus /(Deficit)</w:t>
            </w:r>
          </w:p>
        </w:tc>
        <w:tc>
          <w:tcPr>
            <w:tcW w:w="1660" w:type="dxa"/>
            <w:tcBorders>
              <w:top w:val="single" w:sz="4" w:space="0" w:color="auto"/>
              <w:left w:val="nil"/>
              <w:bottom w:val="double" w:sz="6" w:space="0" w:color="auto"/>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£431,034</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1.68%</w:t>
            </w:r>
          </w:p>
        </w:tc>
        <w:tc>
          <w:tcPr>
            <w:tcW w:w="1660" w:type="dxa"/>
            <w:tcBorders>
              <w:top w:val="single" w:sz="4" w:space="0" w:color="auto"/>
              <w:left w:val="nil"/>
              <w:bottom w:val="double" w:sz="6" w:space="0" w:color="auto"/>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FF0000"/>
                <w:sz w:val="22"/>
                <w:szCs w:val="22"/>
              </w:rPr>
              <w:t>(£245,178)</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3.52%</w:t>
            </w:r>
          </w:p>
        </w:tc>
        <w:tc>
          <w:tcPr>
            <w:tcW w:w="1660" w:type="dxa"/>
            <w:tcBorders>
              <w:top w:val="single" w:sz="4" w:space="0" w:color="auto"/>
              <w:left w:val="nil"/>
              <w:bottom w:val="double" w:sz="6" w:space="0" w:color="auto"/>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FF0000"/>
                <w:sz w:val="22"/>
                <w:szCs w:val="22"/>
              </w:rPr>
              <w:t>(£66,624)</w:t>
            </w:r>
          </w:p>
        </w:tc>
        <w:tc>
          <w:tcPr>
            <w:tcW w:w="1660" w:type="dxa"/>
            <w:tcBorders>
              <w:top w:val="nil"/>
              <w:left w:val="nil"/>
              <w:bottom w:val="nil"/>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0.36%</w:t>
            </w:r>
          </w:p>
        </w:tc>
        <w:tc>
          <w:tcPr>
            <w:tcW w:w="1660" w:type="dxa"/>
            <w:tcBorders>
              <w:top w:val="single" w:sz="4" w:space="0" w:color="auto"/>
              <w:left w:val="nil"/>
              <w:bottom w:val="double" w:sz="6" w:space="0" w:color="auto"/>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£115,675</w:t>
            </w:r>
          </w:p>
        </w:tc>
        <w:tc>
          <w:tcPr>
            <w:tcW w:w="1660" w:type="dxa"/>
            <w:tcBorders>
              <w:top w:val="single" w:sz="4" w:space="0" w:color="auto"/>
              <w:left w:val="nil"/>
              <w:bottom w:val="double" w:sz="6" w:space="0" w:color="auto"/>
              <w:right w:val="nil"/>
            </w:tcBorders>
            <w:shd w:val="clear" w:color="auto" w:fill="auto"/>
            <w:noWrap/>
            <w:hideMark/>
          </w:tcPr>
          <w:p w:rsidR="00FA6E90" w:rsidRPr="00FA6E90" w:rsidRDefault="00FA6E90" w:rsidP="00FA6E90">
            <w:pPr>
              <w:jc w:val="center"/>
              <w:rPr>
                <w:rFonts w:ascii="Arial" w:hAnsi="Arial" w:cs="Arial"/>
                <w:color w:val="000000"/>
                <w:sz w:val="22"/>
                <w:szCs w:val="22"/>
              </w:rPr>
            </w:pPr>
            <w:r w:rsidRPr="00FA6E90">
              <w:rPr>
                <w:rFonts w:ascii="Arial" w:hAnsi="Arial" w:cs="Arial"/>
                <w:color w:val="000000"/>
                <w:sz w:val="22"/>
                <w:szCs w:val="22"/>
              </w:rPr>
              <w:t>£234,907</w:t>
            </w:r>
          </w:p>
        </w:tc>
      </w:tr>
    </w:tbl>
    <w:p w:rsidR="0087113C" w:rsidRPr="00C86921" w:rsidRDefault="0087113C" w:rsidP="00290EB5">
      <w:pPr>
        <w:rPr>
          <w:rFonts w:ascii="Arial" w:hAnsi="Arial" w:cs="Arial"/>
          <w:b/>
          <w:sz w:val="22"/>
          <w:szCs w:val="22"/>
        </w:rPr>
      </w:pPr>
    </w:p>
    <w:p w:rsidR="0087113C" w:rsidRPr="00C86921" w:rsidRDefault="0087113C" w:rsidP="00290EB5">
      <w:pPr>
        <w:rPr>
          <w:rFonts w:ascii="Arial" w:hAnsi="Arial" w:cs="Arial"/>
          <w:b/>
          <w:sz w:val="22"/>
          <w:szCs w:val="22"/>
        </w:rPr>
      </w:pPr>
    </w:p>
    <w:p w:rsidR="0087113C" w:rsidRPr="00C86921" w:rsidRDefault="0087113C" w:rsidP="00290EB5">
      <w:pPr>
        <w:rPr>
          <w:rFonts w:ascii="Arial" w:hAnsi="Arial" w:cs="Arial"/>
          <w:b/>
          <w:sz w:val="22"/>
          <w:szCs w:val="22"/>
        </w:rPr>
      </w:pPr>
    </w:p>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C86921" w:rsidRDefault="00C86921" w:rsidP="00290EB5">
      <w:pPr>
        <w:rPr>
          <w:rFonts w:ascii="Arial" w:hAnsi="Arial" w:cs="Arial"/>
          <w:b/>
          <w:szCs w:val="24"/>
        </w:rPr>
      </w:pPr>
    </w:p>
    <w:p w:rsidR="00C86921" w:rsidRDefault="00C86921" w:rsidP="00290EB5">
      <w:pPr>
        <w:rPr>
          <w:rFonts w:ascii="Arial" w:hAnsi="Arial" w:cs="Arial"/>
          <w:b/>
          <w:szCs w:val="24"/>
        </w:rPr>
      </w:pPr>
    </w:p>
    <w:p w:rsidR="00C86921" w:rsidRDefault="00C86921" w:rsidP="00290EB5">
      <w:pPr>
        <w:rPr>
          <w:rFonts w:ascii="Arial" w:hAnsi="Arial" w:cs="Arial"/>
          <w:b/>
          <w:szCs w:val="24"/>
        </w:rPr>
      </w:pPr>
    </w:p>
    <w:p w:rsidR="00C86921" w:rsidRDefault="00C86921" w:rsidP="00290EB5">
      <w:pPr>
        <w:rPr>
          <w:rFonts w:ascii="Arial" w:hAnsi="Arial" w:cs="Arial"/>
          <w:b/>
          <w:szCs w:val="24"/>
        </w:rPr>
      </w:pPr>
    </w:p>
    <w:p w:rsidR="00C86921" w:rsidRDefault="00C86921" w:rsidP="00290EB5">
      <w:pPr>
        <w:rPr>
          <w:rFonts w:ascii="Arial" w:hAnsi="Arial" w:cs="Arial"/>
          <w:b/>
          <w:szCs w:val="24"/>
        </w:rPr>
      </w:pPr>
    </w:p>
    <w:p w:rsidR="0087113C" w:rsidRDefault="0087113C" w:rsidP="00290EB5">
      <w:pPr>
        <w:rPr>
          <w:rFonts w:ascii="Arial" w:hAnsi="Arial" w:cs="Arial"/>
          <w:b/>
          <w:szCs w:val="24"/>
        </w:rPr>
      </w:pPr>
    </w:p>
    <w:p w:rsidR="00D932CA" w:rsidRDefault="00D932CA" w:rsidP="00290EB5">
      <w:pPr>
        <w:rPr>
          <w:rFonts w:ascii="Arial" w:hAnsi="Arial" w:cs="Arial"/>
          <w:b/>
          <w:szCs w:val="24"/>
        </w:rPr>
      </w:pPr>
    </w:p>
    <w:p w:rsidR="00D932CA" w:rsidRDefault="00D932CA" w:rsidP="00290EB5">
      <w:pPr>
        <w:rPr>
          <w:rFonts w:ascii="Arial" w:hAnsi="Arial" w:cs="Arial"/>
          <w:b/>
          <w:szCs w:val="24"/>
        </w:rPr>
      </w:pPr>
    </w:p>
    <w:p w:rsidR="00BC1EA8" w:rsidRPr="00BC1EA8" w:rsidRDefault="00BC1EA8" w:rsidP="00344232">
      <w:pPr>
        <w:spacing w:after="200" w:line="276" w:lineRule="auto"/>
        <w:ind w:firstLine="993"/>
        <w:rPr>
          <w:rFonts w:ascii="Arial" w:eastAsia="Calibri" w:hAnsi="Arial" w:cs="Arial"/>
          <w:b/>
          <w:sz w:val="22"/>
          <w:szCs w:val="22"/>
          <w:lang w:eastAsia="en-US"/>
        </w:rPr>
      </w:pPr>
      <w:r w:rsidRPr="00BC1EA8">
        <w:rPr>
          <w:rFonts w:ascii="Arial" w:eastAsia="Calibri" w:hAnsi="Arial" w:cs="Arial"/>
          <w:b/>
          <w:sz w:val="22"/>
          <w:szCs w:val="22"/>
          <w:lang w:eastAsia="en-US"/>
        </w:rPr>
        <w:lastRenderedPageBreak/>
        <w:t xml:space="preserve">Explanation of Variance (Over £5K) </w:t>
      </w:r>
      <w:r w:rsidR="000757C8">
        <w:rPr>
          <w:rFonts w:ascii="Arial" w:eastAsia="Calibri" w:hAnsi="Arial" w:cs="Arial"/>
          <w:b/>
          <w:sz w:val="22"/>
          <w:szCs w:val="22"/>
          <w:lang w:eastAsia="en-US"/>
        </w:rPr>
        <w:t xml:space="preserve">for </w:t>
      </w:r>
      <w:r w:rsidR="00D932CA">
        <w:rPr>
          <w:rFonts w:ascii="Arial" w:eastAsia="Calibri" w:hAnsi="Arial" w:cs="Arial"/>
          <w:b/>
          <w:sz w:val="22"/>
          <w:szCs w:val="22"/>
          <w:lang w:eastAsia="en-US"/>
        </w:rPr>
        <w:t>2016/17</w:t>
      </w:r>
      <w:r w:rsidR="00F04708">
        <w:rPr>
          <w:rFonts w:ascii="Arial" w:eastAsia="Calibri" w:hAnsi="Arial" w:cs="Arial"/>
          <w:b/>
          <w:sz w:val="22"/>
          <w:szCs w:val="22"/>
          <w:lang w:eastAsia="en-US"/>
        </w:rPr>
        <w:tab/>
      </w:r>
      <w:r w:rsidR="00F04708">
        <w:rPr>
          <w:rFonts w:ascii="Arial" w:eastAsia="Calibri" w:hAnsi="Arial" w:cs="Arial"/>
          <w:b/>
          <w:sz w:val="22"/>
          <w:szCs w:val="22"/>
          <w:lang w:eastAsia="en-US"/>
        </w:rPr>
        <w:tab/>
      </w:r>
      <w:r w:rsidR="00F04708">
        <w:rPr>
          <w:rFonts w:ascii="Arial" w:eastAsia="Calibri" w:hAnsi="Arial" w:cs="Arial"/>
          <w:b/>
          <w:sz w:val="22"/>
          <w:szCs w:val="22"/>
          <w:lang w:eastAsia="en-US"/>
        </w:rPr>
        <w:tab/>
      </w:r>
      <w:r w:rsidR="00F04708">
        <w:rPr>
          <w:rFonts w:ascii="Arial" w:eastAsia="Calibri" w:hAnsi="Arial" w:cs="Arial"/>
          <w:b/>
          <w:sz w:val="22"/>
          <w:szCs w:val="22"/>
          <w:lang w:eastAsia="en-US"/>
        </w:rPr>
        <w:tab/>
      </w:r>
      <w:r w:rsidR="00A26CE5">
        <w:rPr>
          <w:rFonts w:ascii="Arial" w:eastAsia="Calibri" w:hAnsi="Arial" w:cs="Arial"/>
          <w:b/>
          <w:sz w:val="22"/>
          <w:szCs w:val="22"/>
          <w:lang w:eastAsia="en-US"/>
        </w:rPr>
        <w:tab/>
      </w:r>
      <w:r w:rsidR="00A26CE5">
        <w:rPr>
          <w:rFonts w:ascii="Arial" w:eastAsia="Calibri" w:hAnsi="Arial" w:cs="Arial"/>
          <w:b/>
          <w:sz w:val="22"/>
          <w:szCs w:val="22"/>
          <w:lang w:eastAsia="en-US"/>
        </w:rPr>
        <w:tab/>
      </w:r>
      <w:r w:rsidR="00A26CE5">
        <w:rPr>
          <w:rFonts w:ascii="Arial" w:eastAsia="Calibri" w:hAnsi="Arial" w:cs="Arial"/>
          <w:b/>
          <w:sz w:val="22"/>
          <w:szCs w:val="22"/>
          <w:lang w:eastAsia="en-US"/>
        </w:rPr>
        <w:tab/>
      </w:r>
      <w:r w:rsidR="00A26CE5">
        <w:rPr>
          <w:rFonts w:ascii="Arial" w:eastAsia="Calibri" w:hAnsi="Arial" w:cs="Arial"/>
          <w:b/>
          <w:sz w:val="22"/>
          <w:szCs w:val="22"/>
          <w:lang w:eastAsia="en-US"/>
        </w:rPr>
        <w:tab/>
      </w:r>
      <w:r w:rsidR="00A26CE5">
        <w:rPr>
          <w:rFonts w:ascii="Arial" w:eastAsia="Calibri" w:hAnsi="Arial" w:cs="Arial"/>
          <w:b/>
          <w:sz w:val="22"/>
          <w:szCs w:val="22"/>
          <w:lang w:eastAsia="en-US"/>
        </w:rPr>
        <w:tab/>
      </w:r>
      <w:r w:rsidR="00A26CE5">
        <w:rPr>
          <w:rFonts w:ascii="Arial" w:eastAsia="Calibri" w:hAnsi="Arial" w:cs="Arial"/>
          <w:b/>
          <w:sz w:val="22"/>
          <w:szCs w:val="22"/>
          <w:lang w:eastAsia="en-US"/>
        </w:rPr>
        <w:tab/>
      </w:r>
      <w:r w:rsidR="00F04708" w:rsidRPr="00F04708">
        <w:rPr>
          <w:rFonts w:ascii="Arial" w:eastAsia="Calibri" w:hAnsi="Arial" w:cs="Arial"/>
          <w:b/>
          <w:szCs w:val="24"/>
          <w:lang w:eastAsia="en-US"/>
        </w:rPr>
        <w:t>APPENDIX C</w:t>
      </w:r>
      <w:r w:rsidRPr="00BC1EA8">
        <w:rPr>
          <w:rFonts w:ascii="Arial" w:eastAsia="Calibri" w:hAnsi="Arial" w:cs="Arial"/>
          <w:b/>
          <w:szCs w:val="24"/>
          <w:lang w:eastAsia="en-US"/>
        </w:rPr>
        <w:tab/>
      </w:r>
      <w:r w:rsidRPr="00BC1EA8">
        <w:rPr>
          <w:rFonts w:ascii="Arial" w:eastAsia="Calibri" w:hAnsi="Arial" w:cs="Arial"/>
          <w:b/>
          <w:sz w:val="22"/>
          <w:szCs w:val="22"/>
          <w:lang w:eastAsia="en-US"/>
        </w:rPr>
        <w:tab/>
      </w:r>
      <w:r w:rsidRPr="00BC1EA8">
        <w:rPr>
          <w:rFonts w:ascii="Arial" w:eastAsia="Calibri" w:hAnsi="Arial" w:cs="Arial"/>
          <w:b/>
          <w:sz w:val="22"/>
          <w:szCs w:val="22"/>
          <w:lang w:eastAsia="en-US"/>
        </w:rPr>
        <w:tab/>
        <w:t xml:space="preserve">       </w:t>
      </w:r>
    </w:p>
    <w:tbl>
      <w:tblPr>
        <w:tblW w:w="14033" w:type="dxa"/>
        <w:tblInd w:w="1101" w:type="dxa"/>
        <w:tblLook w:val="04A0" w:firstRow="1" w:lastRow="0" w:firstColumn="1" w:lastColumn="0" w:noHBand="0" w:noVBand="1"/>
      </w:tblPr>
      <w:tblGrid>
        <w:gridCol w:w="1701"/>
        <w:gridCol w:w="1701"/>
        <w:gridCol w:w="10631"/>
      </w:tblGrid>
      <w:tr w:rsidR="00E85F0B" w:rsidRPr="00E85F0B" w:rsidTr="0055791C">
        <w:trPr>
          <w:trHeight w:val="422"/>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F0B" w:rsidRPr="00E85F0B" w:rsidRDefault="00E85F0B" w:rsidP="00E85F0B">
            <w:pPr>
              <w:spacing w:after="200" w:line="276" w:lineRule="auto"/>
              <w:jc w:val="center"/>
              <w:rPr>
                <w:rFonts w:ascii="Arial" w:eastAsia="Calibri" w:hAnsi="Arial" w:cs="Arial"/>
                <w:b/>
                <w:bCs/>
                <w:sz w:val="22"/>
                <w:szCs w:val="22"/>
                <w:lang w:eastAsia="en-US"/>
              </w:rPr>
            </w:pPr>
            <w:r w:rsidRPr="00E85F0B">
              <w:rPr>
                <w:rFonts w:ascii="Arial" w:eastAsia="Calibri" w:hAnsi="Arial" w:cs="Arial"/>
                <w:b/>
                <w:bCs/>
                <w:sz w:val="22"/>
                <w:szCs w:val="22"/>
                <w:lang w:eastAsia="en-US"/>
              </w:rPr>
              <w:t>Sector</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85F0B" w:rsidRPr="00E85F0B" w:rsidRDefault="00E85F0B" w:rsidP="00E85F0B">
            <w:pPr>
              <w:spacing w:after="200" w:line="276" w:lineRule="auto"/>
              <w:jc w:val="center"/>
              <w:rPr>
                <w:rFonts w:ascii="Arial" w:eastAsia="Calibri" w:hAnsi="Arial" w:cs="Arial"/>
                <w:b/>
                <w:bCs/>
                <w:sz w:val="22"/>
                <w:szCs w:val="22"/>
                <w:lang w:eastAsia="en-US"/>
              </w:rPr>
            </w:pPr>
            <w:r w:rsidRPr="00E85F0B">
              <w:rPr>
                <w:rFonts w:ascii="Arial" w:eastAsia="Calibri" w:hAnsi="Arial" w:cs="Arial"/>
                <w:b/>
                <w:bCs/>
                <w:sz w:val="22"/>
                <w:szCs w:val="22"/>
                <w:lang w:eastAsia="en-US"/>
              </w:rPr>
              <w:t>Variance</w:t>
            </w:r>
          </w:p>
        </w:tc>
        <w:tc>
          <w:tcPr>
            <w:tcW w:w="10631" w:type="dxa"/>
            <w:tcBorders>
              <w:top w:val="single" w:sz="4" w:space="0" w:color="auto"/>
              <w:left w:val="nil"/>
              <w:bottom w:val="single" w:sz="4" w:space="0" w:color="auto"/>
              <w:right w:val="single" w:sz="4" w:space="0" w:color="auto"/>
            </w:tcBorders>
            <w:shd w:val="clear" w:color="auto" w:fill="auto"/>
            <w:noWrap/>
            <w:vAlign w:val="bottom"/>
            <w:hideMark/>
          </w:tcPr>
          <w:p w:rsidR="00E85F0B" w:rsidRPr="00E85F0B" w:rsidRDefault="00E85F0B" w:rsidP="00E85F0B">
            <w:pPr>
              <w:spacing w:after="200" w:line="276" w:lineRule="auto"/>
              <w:jc w:val="center"/>
              <w:rPr>
                <w:rFonts w:ascii="Arial" w:eastAsia="Calibri" w:hAnsi="Arial" w:cs="Arial"/>
                <w:b/>
                <w:bCs/>
                <w:sz w:val="22"/>
                <w:szCs w:val="22"/>
                <w:lang w:eastAsia="en-US"/>
              </w:rPr>
            </w:pPr>
            <w:r w:rsidRPr="00E85F0B">
              <w:rPr>
                <w:rFonts w:ascii="Arial" w:eastAsia="Calibri" w:hAnsi="Arial" w:cs="Arial"/>
                <w:b/>
                <w:bCs/>
                <w:sz w:val="22"/>
                <w:szCs w:val="22"/>
                <w:lang w:eastAsia="en-US"/>
              </w:rPr>
              <w:t>Note</w:t>
            </w:r>
          </w:p>
        </w:tc>
      </w:tr>
      <w:tr w:rsidR="00E85F0B" w:rsidRPr="00E85F0B" w:rsidTr="0055791C">
        <w:trPr>
          <w:trHeight w:val="558"/>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F0B" w:rsidRPr="00E85F0B" w:rsidRDefault="00E85F0B" w:rsidP="00E85F0B">
            <w:pPr>
              <w:spacing w:after="200" w:line="276" w:lineRule="auto"/>
              <w:jc w:val="center"/>
              <w:rPr>
                <w:rFonts w:ascii="Arial" w:eastAsia="Calibri" w:hAnsi="Arial" w:cs="Arial"/>
                <w:sz w:val="20"/>
                <w:lang w:eastAsia="en-US"/>
              </w:rPr>
            </w:pPr>
            <w:r w:rsidRPr="00E85F0B">
              <w:rPr>
                <w:rFonts w:ascii="Arial" w:eastAsia="Calibri" w:hAnsi="Arial" w:cs="Arial"/>
                <w:sz w:val="20"/>
                <w:lang w:eastAsia="en-US"/>
              </w:rPr>
              <w:t>Adult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85F0B" w:rsidRPr="00E85F0B" w:rsidRDefault="00E85F0B" w:rsidP="00E85F0B">
            <w:pPr>
              <w:spacing w:after="200" w:line="276" w:lineRule="auto"/>
              <w:jc w:val="center"/>
              <w:rPr>
                <w:rFonts w:ascii="Arial" w:hAnsi="Arial" w:cs="Arial"/>
                <w:color w:val="000000"/>
                <w:sz w:val="20"/>
              </w:rPr>
            </w:pPr>
            <w:r w:rsidRPr="00E85F0B">
              <w:rPr>
                <w:rFonts w:ascii="Arial" w:hAnsi="Arial" w:cs="Arial"/>
                <w:color w:val="000000"/>
                <w:sz w:val="20"/>
              </w:rPr>
              <w:t>102,786</w:t>
            </w:r>
          </w:p>
        </w:tc>
        <w:tc>
          <w:tcPr>
            <w:tcW w:w="10631" w:type="dxa"/>
            <w:tcBorders>
              <w:top w:val="single" w:sz="4" w:space="0" w:color="auto"/>
              <w:left w:val="nil"/>
              <w:bottom w:val="single" w:sz="4" w:space="0" w:color="auto"/>
              <w:right w:val="single" w:sz="4" w:space="0" w:color="auto"/>
            </w:tcBorders>
            <w:shd w:val="clear" w:color="auto" w:fill="auto"/>
            <w:noWrap/>
          </w:tcPr>
          <w:p w:rsidR="00E85F0B" w:rsidRPr="00E85F0B" w:rsidRDefault="00E85F0B" w:rsidP="00E85F0B">
            <w:pPr>
              <w:spacing w:after="200" w:line="276" w:lineRule="auto"/>
              <w:jc w:val="both"/>
              <w:rPr>
                <w:rFonts w:ascii="Arial" w:eastAsia="Calibri" w:hAnsi="Arial" w:cs="Arial"/>
                <w:sz w:val="20"/>
                <w:lang w:eastAsia="en-US"/>
              </w:rPr>
            </w:pPr>
            <w:r w:rsidRPr="00E85F0B">
              <w:rPr>
                <w:rFonts w:ascii="Arial" w:eastAsia="Calibri" w:hAnsi="Arial" w:cs="Arial"/>
                <w:sz w:val="20"/>
                <w:lang w:eastAsia="en-US"/>
              </w:rPr>
              <w:t>Planned underspend on Adult Literacy Fund £86K – marked as budget savings.  Staff vacancy for part of the year £17K.</w:t>
            </w:r>
          </w:p>
        </w:tc>
      </w:tr>
      <w:tr w:rsidR="00E85F0B" w:rsidRPr="00E85F0B" w:rsidTr="0055791C">
        <w:trPr>
          <w:trHeight w:val="558"/>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F0B" w:rsidRPr="00E85F0B" w:rsidRDefault="00E85F0B" w:rsidP="00E85F0B">
            <w:pPr>
              <w:spacing w:after="200" w:line="276" w:lineRule="auto"/>
              <w:jc w:val="center"/>
              <w:rPr>
                <w:rFonts w:ascii="Arial" w:eastAsia="Calibri" w:hAnsi="Arial" w:cs="Arial"/>
                <w:sz w:val="20"/>
                <w:lang w:eastAsia="en-US"/>
              </w:rPr>
            </w:pPr>
            <w:r w:rsidRPr="00E85F0B">
              <w:rPr>
                <w:rFonts w:ascii="Arial" w:eastAsia="Calibri" w:hAnsi="Arial" w:cs="Arial"/>
                <w:sz w:val="20"/>
                <w:lang w:eastAsia="en-US"/>
              </w:rPr>
              <w:t>Archives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85F0B" w:rsidRPr="00E85F0B" w:rsidRDefault="00E85F0B" w:rsidP="00E85F0B">
            <w:pPr>
              <w:spacing w:after="200" w:line="276" w:lineRule="auto"/>
              <w:jc w:val="center"/>
              <w:rPr>
                <w:rFonts w:ascii="Arial" w:eastAsia="Calibri" w:hAnsi="Arial" w:cs="Arial"/>
                <w:b/>
                <w:color w:val="FF0000"/>
                <w:sz w:val="20"/>
                <w:lang w:eastAsia="en-US"/>
              </w:rPr>
            </w:pPr>
            <w:r w:rsidRPr="00E85F0B">
              <w:rPr>
                <w:rFonts w:ascii="Arial" w:hAnsi="Arial" w:cs="Arial"/>
                <w:color w:val="000000"/>
                <w:sz w:val="20"/>
              </w:rPr>
              <w:t>61,886</w:t>
            </w:r>
          </w:p>
        </w:tc>
        <w:tc>
          <w:tcPr>
            <w:tcW w:w="10631" w:type="dxa"/>
            <w:tcBorders>
              <w:top w:val="single" w:sz="4" w:space="0" w:color="auto"/>
              <w:left w:val="nil"/>
              <w:bottom w:val="single" w:sz="4" w:space="0" w:color="auto"/>
              <w:right w:val="single" w:sz="4" w:space="0" w:color="auto"/>
            </w:tcBorders>
            <w:shd w:val="clear" w:color="auto" w:fill="auto"/>
            <w:noWrap/>
          </w:tcPr>
          <w:p w:rsidR="00E85F0B" w:rsidRPr="00E85F0B" w:rsidRDefault="00E85F0B" w:rsidP="00E85F0B">
            <w:pPr>
              <w:spacing w:after="200" w:line="276" w:lineRule="auto"/>
              <w:jc w:val="both"/>
              <w:rPr>
                <w:rFonts w:ascii="Arial" w:eastAsia="Calibri" w:hAnsi="Arial" w:cs="Arial"/>
                <w:sz w:val="20"/>
                <w:lang w:eastAsia="en-US"/>
              </w:rPr>
            </w:pPr>
            <w:r w:rsidRPr="00E85F0B">
              <w:rPr>
                <w:rFonts w:ascii="Arial" w:eastAsia="Calibri" w:hAnsi="Arial" w:cs="Arial"/>
                <w:sz w:val="20"/>
                <w:lang w:eastAsia="en-US"/>
              </w:rPr>
              <w:t>Staff Vacancies £45K, Net return (after offsetting income and other costs) from Conservation Project £22K.</w:t>
            </w:r>
          </w:p>
        </w:tc>
      </w:tr>
      <w:tr w:rsidR="00E85F0B" w:rsidRPr="00E85F0B" w:rsidTr="0055791C">
        <w:trPr>
          <w:trHeight w:val="58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F0B" w:rsidRPr="00E85F0B" w:rsidRDefault="00E85F0B" w:rsidP="00E85F0B">
            <w:pPr>
              <w:spacing w:after="200" w:line="276" w:lineRule="auto"/>
              <w:jc w:val="center"/>
              <w:rPr>
                <w:rFonts w:ascii="Arial" w:eastAsia="Calibri" w:hAnsi="Arial" w:cs="Arial"/>
                <w:sz w:val="20"/>
                <w:lang w:eastAsia="en-US"/>
              </w:rPr>
            </w:pPr>
            <w:r w:rsidRPr="00E85F0B">
              <w:rPr>
                <w:rFonts w:ascii="Arial" w:eastAsia="Calibri" w:hAnsi="Arial" w:cs="Arial"/>
                <w:sz w:val="20"/>
                <w:lang w:eastAsia="en-US"/>
              </w:rPr>
              <w:t>Arts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85F0B" w:rsidRPr="00E85F0B" w:rsidRDefault="00E85F0B" w:rsidP="00E85F0B">
            <w:pPr>
              <w:spacing w:after="200" w:line="276" w:lineRule="auto"/>
              <w:jc w:val="center"/>
              <w:rPr>
                <w:rFonts w:ascii="Arial" w:eastAsia="Calibri" w:hAnsi="Arial" w:cs="Arial"/>
                <w:b/>
                <w:color w:val="FF0000"/>
                <w:sz w:val="20"/>
                <w:lang w:eastAsia="en-US"/>
              </w:rPr>
            </w:pPr>
            <w:r w:rsidRPr="00E85F0B">
              <w:rPr>
                <w:rFonts w:ascii="Arial" w:hAnsi="Arial" w:cs="Arial"/>
                <w:color w:val="FF0000"/>
                <w:sz w:val="20"/>
              </w:rPr>
              <w:t>(18,103)</w:t>
            </w:r>
          </w:p>
        </w:tc>
        <w:tc>
          <w:tcPr>
            <w:tcW w:w="10631" w:type="dxa"/>
            <w:tcBorders>
              <w:top w:val="single" w:sz="4" w:space="0" w:color="auto"/>
              <w:left w:val="nil"/>
              <w:bottom w:val="single" w:sz="4" w:space="0" w:color="auto"/>
              <w:right w:val="single" w:sz="4" w:space="0" w:color="auto"/>
            </w:tcBorders>
            <w:shd w:val="clear" w:color="auto" w:fill="auto"/>
          </w:tcPr>
          <w:p w:rsidR="00E85F0B" w:rsidRPr="00E85F0B" w:rsidRDefault="00E85F0B" w:rsidP="00E85F0B">
            <w:pPr>
              <w:spacing w:after="200" w:line="276" w:lineRule="auto"/>
              <w:jc w:val="both"/>
              <w:rPr>
                <w:rFonts w:ascii="Arial" w:eastAsia="Calibri" w:hAnsi="Arial" w:cs="Arial"/>
                <w:sz w:val="20"/>
                <w:lang w:eastAsia="en-US"/>
              </w:rPr>
            </w:pPr>
            <w:r w:rsidRPr="00E85F0B">
              <w:rPr>
                <w:rFonts w:ascii="Arial" w:eastAsia="Calibri" w:hAnsi="Arial" w:cs="Arial"/>
                <w:sz w:val="20"/>
                <w:lang w:eastAsia="en-US"/>
              </w:rPr>
              <w:t>Staff Costs over budget – Back fill for staff sickness cover and additional costs unplanned for exhibition unit.</w:t>
            </w:r>
          </w:p>
        </w:tc>
      </w:tr>
      <w:tr w:rsidR="00E85F0B" w:rsidRPr="00E85F0B" w:rsidTr="0055791C">
        <w:trPr>
          <w:trHeight w:val="58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F0B" w:rsidRPr="00E85F0B" w:rsidRDefault="00E85F0B" w:rsidP="00E85F0B">
            <w:pPr>
              <w:spacing w:after="200" w:line="276" w:lineRule="auto"/>
              <w:jc w:val="center"/>
              <w:rPr>
                <w:rFonts w:ascii="Arial" w:eastAsia="Calibri" w:hAnsi="Arial" w:cs="Arial"/>
                <w:sz w:val="20"/>
                <w:lang w:eastAsia="en-US"/>
              </w:rPr>
            </w:pPr>
            <w:r w:rsidRPr="00E85F0B">
              <w:rPr>
                <w:rFonts w:ascii="Arial" w:eastAsia="Calibri" w:hAnsi="Arial" w:cs="Arial"/>
                <w:sz w:val="20"/>
                <w:lang w:eastAsia="en-US"/>
              </w:rPr>
              <w:t>Facilities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85F0B" w:rsidRPr="00E85F0B" w:rsidRDefault="00E85F0B" w:rsidP="00E85F0B">
            <w:pPr>
              <w:spacing w:after="200" w:line="276" w:lineRule="auto"/>
              <w:jc w:val="center"/>
              <w:rPr>
                <w:rFonts w:ascii="Arial" w:eastAsia="Calibri" w:hAnsi="Arial" w:cs="Arial"/>
                <w:b/>
                <w:color w:val="FF0000"/>
                <w:sz w:val="20"/>
                <w:lang w:eastAsia="en-US"/>
              </w:rPr>
            </w:pPr>
            <w:r w:rsidRPr="00E85F0B">
              <w:rPr>
                <w:rFonts w:ascii="Arial" w:hAnsi="Arial" w:cs="Arial"/>
                <w:color w:val="FF0000"/>
                <w:sz w:val="20"/>
              </w:rPr>
              <w:t>(46,892)</w:t>
            </w:r>
          </w:p>
        </w:tc>
        <w:tc>
          <w:tcPr>
            <w:tcW w:w="10631" w:type="dxa"/>
            <w:tcBorders>
              <w:top w:val="single" w:sz="4" w:space="0" w:color="auto"/>
              <w:left w:val="nil"/>
              <w:bottom w:val="single" w:sz="4" w:space="0" w:color="auto"/>
              <w:right w:val="single" w:sz="4" w:space="0" w:color="auto"/>
            </w:tcBorders>
            <w:shd w:val="clear" w:color="auto" w:fill="auto"/>
          </w:tcPr>
          <w:p w:rsidR="00E85F0B" w:rsidRPr="00E85F0B" w:rsidRDefault="005F513E" w:rsidP="00E85F0B">
            <w:pPr>
              <w:spacing w:after="200" w:line="276" w:lineRule="auto"/>
              <w:jc w:val="both"/>
              <w:rPr>
                <w:rFonts w:ascii="Arial" w:eastAsia="Calibri" w:hAnsi="Arial" w:cs="Arial"/>
                <w:sz w:val="20"/>
                <w:lang w:eastAsia="en-US"/>
              </w:rPr>
            </w:pPr>
            <w:r w:rsidRPr="00980B32">
              <w:rPr>
                <w:rFonts w:ascii="Arial" w:hAnsi="Arial" w:cs="Arial"/>
                <w:sz w:val="20"/>
              </w:rPr>
              <w:t>Overall Income targets were achieved with the exception of a budgeted events income target of £50K. Other costs came in under budget</w:t>
            </w:r>
            <w:r w:rsidR="0074470A">
              <w:rPr>
                <w:rFonts w:ascii="Arial" w:hAnsi="Arial" w:cs="Arial"/>
                <w:sz w:val="20"/>
              </w:rPr>
              <w:t>. Staff Variance of £50K is covered in Designated Reserves IL (See note1)</w:t>
            </w:r>
          </w:p>
        </w:tc>
      </w:tr>
      <w:tr w:rsidR="00E85F0B" w:rsidRPr="00E85F0B" w:rsidTr="0055791C">
        <w:trPr>
          <w:trHeight w:val="58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F0B" w:rsidRPr="00E85F0B" w:rsidRDefault="00E85F0B" w:rsidP="00E85F0B">
            <w:pPr>
              <w:spacing w:after="200" w:line="276" w:lineRule="auto"/>
              <w:jc w:val="center"/>
              <w:rPr>
                <w:rFonts w:ascii="Arial" w:eastAsia="Calibri" w:hAnsi="Arial" w:cs="Arial"/>
                <w:sz w:val="20"/>
                <w:lang w:eastAsia="en-US"/>
              </w:rPr>
            </w:pPr>
            <w:r w:rsidRPr="00E85F0B">
              <w:rPr>
                <w:rFonts w:ascii="Arial" w:eastAsia="Calibri" w:hAnsi="Arial" w:cs="Arial"/>
                <w:sz w:val="20"/>
                <w:lang w:eastAsia="en-US"/>
              </w:rPr>
              <w:t>Libraries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85F0B" w:rsidRPr="00E85F0B" w:rsidRDefault="009E3437" w:rsidP="00E85F0B">
            <w:pPr>
              <w:spacing w:after="200" w:line="276" w:lineRule="auto"/>
              <w:jc w:val="center"/>
              <w:rPr>
                <w:rFonts w:ascii="Arial" w:eastAsia="Calibri" w:hAnsi="Arial" w:cs="Arial"/>
                <w:b/>
                <w:color w:val="FF0000"/>
                <w:sz w:val="20"/>
                <w:lang w:eastAsia="en-US"/>
              </w:rPr>
            </w:pPr>
            <w:r>
              <w:rPr>
                <w:rFonts w:ascii="Arial" w:hAnsi="Arial" w:cs="Arial"/>
                <w:color w:val="000000"/>
                <w:sz w:val="20"/>
              </w:rPr>
              <w:t>59,623</w:t>
            </w:r>
          </w:p>
        </w:tc>
        <w:tc>
          <w:tcPr>
            <w:tcW w:w="10631" w:type="dxa"/>
            <w:tcBorders>
              <w:top w:val="single" w:sz="4" w:space="0" w:color="auto"/>
              <w:left w:val="nil"/>
              <w:bottom w:val="single" w:sz="4" w:space="0" w:color="auto"/>
              <w:right w:val="single" w:sz="4" w:space="0" w:color="auto"/>
            </w:tcBorders>
            <w:shd w:val="clear" w:color="auto" w:fill="auto"/>
          </w:tcPr>
          <w:p w:rsidR="00E85F0B" w:rsidRPr="00E85F0B" w:rsidRDefault="00E85F0B" w:rsidP="005F513E">
            <w:pPr>
              <w:spacing w:after="200" w:line="276" w:lineRule="auto"/>
              <w:jc w:val="both"/>
              <w:rPr>
                <w:rFonts w:ascii="Arial" w:eastAsia="Calibri" w:hAnsi="Arial" w:cs="Arial"/>
                <w:sz w:val="20"/>
                <w:lang w:eastAsia="en-US"/>
              </w:rPr>
            </w:pPr>
            <w:r w:rsidRPr="00E85F0B">
              <w:rPr>
                <w:rFonts w:ascii="Arial" w:eastAsia="Calibri" w:hAnsi="Arial" w:cs="Arial"/>
                <w:sz w:val="20"/>
                <w:lang w:eastAsia="en-US"/>
              </w:rPr>
              <w:t>Staff Vacancies £</w:t>
            </w:r>
            <w:r w:rsidR="005F513E">
              <w:rPr>
                <w:rFonts w:ascii="Arial" w:eastAsia="Calibri" w:hAnsi="Arial" w:cs="Arial"/>
                <w:sz w:val="20"/>
                <w:lang w:eastAsia="en-US"/>
              </w:rPr>
              <w:t>80</w:t>
            </w:r>
            <w:r w:rsidRPr="00E85F0B">
              <w:rPr>
                <w:rFonts w:ascii="Arial" w:eastAsia="Calibri" w:hAnsi="Arial" w:cs="Arial"/>
                <w:sz w:val="20"/>
                <w:lang w:eastAsia="en-US"/>
              </w:rPr>
              <w:t>K – taken as structural savings. Negative variance on income of £18K, donations and lending Charge</w:t>
            </w:r>
            <w:r w:rsidR="009E3437">
              <w:rPr>
                <w:rFonts w:ascii="Arial" w:eastAsia="Calibri" w:hAnsi="Arial" w:cs="Arial"/>
                <w:sz w:val="20"/>
                <w:lang w:eastAsia="en-US"/>
              </w:rPr>
              <w:t>s.</w:t>
            </w:r>
          </w:p>
        </w:tc>
      </w:tr>
      <w:tr w:rsidR="00E85F0B" w:rsidRPr="00E85F0B" w:rsidTr="0055791C">
        <w:trPr>
          <w:trHeight w:val="58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F0B" w:rsidRPr="00E85F0B" w:rsidRDefault="00E85F0B" w:rsidP="00E85F0B">
            <w:pPr>
              <w:spacing w:after="200" w:line="276" w:lineRule="auto"/>
              <w:jc w:val="center"/>
              <w:rPr>
                <w:rFonts w:ascii="Arial" w:eastAsia="Calibri" w:hAnsi="Arial" w:cs="Arial"/>
                <w:sz w:val="20"/>
                <w:lang w:eastAsia="en-US"/>
              </w:rPr>
            </w:pPr>
            <w:r w:rsidRPr="00E85F0B">
              <w:rPr>
                <w:rFonts w:ascii="Arial" w:eastAsia="Calibri" w:hAnsi="Arial" w:cs="Arial"/>
                <w:sz w:val="20"/>
                <w:lang w:eastAsia="en-US"/>
              </w:rPr>
              <w:t>Management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85F0B" w:rsidRPr="00E85F0B" w:rsidRDefault="009E3437" w:rsidP="00E85F0B">
            <w:pPr>
              <w:spacing w:after="200" w:line="276" w:lineRule="auto"/>
              <w:jc w:val="center"/>
              <w:rPr>
                <w:rFonts w:ascii="Arial" w:eastAsia="Calibri" w:hAnsi="Arial" w:cs="Arial"/>
                <w:b/>
                <w:color w:val="FF0000"/>
                <w:sz w:val="20"/>
                <w:lang w:eastAsia="en-US"/>
              </w:rPr>
            </w:pPr>
            <w:r>
              <w:rPr>
                <w:rFonts w:ascii="Arial" w:hAnsi="Arial" w:cs="Arial"/>
                <w:color w:val="000000"/>
                <w:sz w:val="20"/>
              </w:rPr>
              <w:t>23,044</w:t>
            </w:r>
            <w:r w:rsidR="00E85F0B" w:rsidRPr="00E85F0B">
              <w:rPr>
                <w:rFonts w:ascii="Arial" w:hAnsi="Arial" w:cs="Arial"/>
                <w:color w:val="000000"/>
                <w:sz w:val="20"/>
              </w:rPr>
              <w:t xml:space="preserve"> </w:t>
            </w:r>
          </w:p>
        </w:tc>
        <w:tc>
          <w:tcPr>
            <w:tcW w:w="10631" w:type="dxa"/>
            <w:tcBorders>
              <w:top w:val="single" w:sz="4" w:space="0" w:color="auto"/>
              <w:left w:val="nil"/>
              <w:bottom w:val="single" w:sz="4" w:space="0" w:color="auto"/>
              <w:right w:val="single" w:sz="4" w:space="0" w:color="auto"/>
            </w:tcBorders>
            <w:shd w:val="clear" w:color="auto" w:fill="auto"/>
          </w:tcPr>
          <w:p w:rsidR="00E85F0B" w:rsidRPr="00E85F0B" w:rsidRDefault="00E85F0B" w:rsidP="00E85F0B">
            <w:pPr>
              <w:spacing w:after="200" w:line="276" w:lineRule="auto"/>
              <w:jc w:val="both"/>
              <w:rPr>
                <w:rFonts w:ascii="Arial" w:eastAsia="Calibri" w:hAnsi="Arial" w:cs="Arial"/>
                <w:sz w:val="20"/>
                <w:lang w:eastAsia="en-US"/>
              </w:rPr>
            </w:pPr>
            <w:r w:rsidRPr="00E85F0B">
              <w:rPr>
                <w:rFonts w:ascii="Arial" w:eastAsia="Calibri" w:hAnsi="Arial" w:cs="Arial"/>
                <w:sz w:val="20"/>
                <w:lang w:eastAsia="en-US"/>
              </w:rPr>
              <w:t xml:space="preserve">Staff Vacancies in ICT/ Business Support and HR £25K after allowing for costs on pension strain for early release, Over spend on consultants fees, CCFM and VAT £19K, </w:t>
            </w:r>
            <w:r w:rsidR="005F513E">
              <w:rPr>
                <w:rFonts w:ascii="Arial" w:eastAsia="Calibri" w:hAnsi="Arial" w:cs="Arial"/>
                <w:sz w:val="20"/>
                <w:lang w:eastAsia="en-US"/>
              </w:rPr>
              <w:t>Income includes Interest on Revenue balance £9K</w:t>
            </w:r>
            <w:r w:rsidRPr="00E85F0B">
              <w:rPr>
                <w:rFonts w:ascii="Arial" w:eastAsia="Calibri" w:hAnsi="Arial" w:cs="Arial"/>
                <w:sz w:val="20"/>
                <w:lang w:eastAsia="en-US"/>
              </w:rPr>
              <w:t xml:space="preserve">. </w:t>
            </w:r>
          </w:p>
          <w:p w:rsidR="00E85F0B" w:rsidRPr="00E85F0B" w:rsidRDefault="00E85F0B" w:rsidP="00E85F0B">
            <w:pPr>
              <w:spacing w:after="200" w:line="276" w:lineRule="auto"/>
              <w:jc w:val="both"/>
              <w:rPr>
                <w:rFonts w:ascii="Arial" w:eastAsia="Calibri" w:hAnsi="Arial" w:cs="Arial"/>
                <w:sz w:val="20"/>
                <w:lang w:eastAsia="en-US"/>
              </w:rPr>
            </w:pPr>
            <w:r w:rsidRPr="00E85F0B">
              <w:rPr>
                <w:rFonts w:ascii="Arial" w:eastAsia="Calibri" w:hAnsi="Arial" w:cs="Arial"/>
                <w:sz w:val="20"/>
                <w:lang w:eastAsia="en-US"/>
              </w:rPr>
              <w:t>Note: all Pension Strain costs have been provided for</w:t>
            </w:r>
            <w:r w:rsidR="005F513E">
              <w:rPr>
                <w:rFonts w:ascii="Arial" w:eastAsia="Calibri" w:hAnsi="Arial" w:cs="Arial"/>
                <w:sz w:val="20"/>
                <w:lang w:eastAsia="en-US"/>
              </w:rPr>
              <w:t xml:space="preserve"> </w:t>
            </w:r>
            <w:r w:rsidRPr="00E85F0B">
              <w:rPr>
                <w:rFonts w:ascii="Arial" w:eastAsia="Calibri" w:hAnsi="Arial" w:cs="Arial"/>
                <w:sz w:val="20"/>
                <w:lang w:eastAsia="en-US"/>
              </w:rPr>
              <w:t>– no outstanding charges for future years.</w:t>
            </w:r>
          </w:p>
        </w:tc>
      </w:tr>
      <w:tr w:rsidR="00E85F0B" w:rsidRPr="00E85F0B" w:rsidTr="0055791C">
        <w:trPr>
          <w:trHeight w:val="58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F0B" w:rsidRPr="00E85F0B" w:rsidRDefault="00E85F0B" w:rsidP="00E85F0B">
            <w:pPr>
              <w:spacing w:after="200" w:line="276" w:lineRule="auto"/>
              <w:jc w:val="center"/>
              <w:rPr>
                <w:rFonts w:ascii="Arial" w:eastAsia="Calibri" w:hAnsi="Arial" w:cs="Arial"/>
                <w:sz w:val="20"/>
                <w:lang w:eastAsia="en-US"/>
              </w:rPr>
            </w:pPr>
            <w:r w:rsidRPr="00E85F0B">
              <w:rPr>
                <w:rFonts w:ascii="Arial" w:eastAsia="Calibri" w:hAnsi="Arial" w:cs="Arial"/>
                <w:sz w:val="20"/>
                <w:lang w:eastAsia="en-US"/>
              </w:rPr>
              <w:t>Museums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85F0B" w:rsidRPr="00E85F0B" w:rsidRDefault="00E85F0B" w:rsidP="00E85F0B">
            <w:pPr>
              <w:spacing w:after="200" w:line="276" w:lineRule="auto"/>
              <w:jc w:val="center"/>
              <w:rPr>
                <w:rFonts w:ascii="Arial" w:eastAsia="Calibri" w:hAnsi="Arial" w:cs="Arial"/>
                <w:b/>
                <w:color w:val="FF0000"/>
                <w:sz w:val="20"/>
                <w:lang w:eastAsia="en-US"/>
              </w:rPr>
            </w:pPr>
            <w:r w:rsidRPr="00E85F0B">
              <w:rPr>
                <w:rFonts w:ascii="Arial" w:hAnsi="Arial" w:cs="Arial"/>
                <w:color w:val="000000"/>
                <w:sz w:val="20"/>
              </w:rPr>
              <w:t>18,444</w:t>
            </w:r>
          </w:p>
        </w:tc>
        <w:tc>
          <w:tcPr>
            <w:tcW w:w="10631" w:type="dxa"/>
            <w:tcBorders>
              <w:top w:val="single" w:sz="4" w:space="0" w:color="auto"/>
              <w:left w:val="nil"/>
              <w:bottom w:val="single" w:sz="4" w:space="0" w:color="auto"/>
              <w:right w:val="single" w:sz="4" w:space="0" w:color="auto"/>
            </w:tcBorders>
            <w:shd w:val="clear" w:color="auto" w:fill="auto"/>
          </w:tcPr>
          <w:p w:rsidR="00E85F0B" w:rsidRPr="00E85F0B" w:rsidRDefault="00E85F0B" w:rsidP="00E85F0B">
            <w:pPr>
              <w:spacing w:after="200" w:line="276" w:lineRule="auto"/>
              <w:jc w:val="both"/>
              <w:rPr>
                <w:rFonts w:ascii="Arial" w:eastAsia="Calibri" w:hAnsi="Arial" w:cs="Arial"/>
                <w:sz w:val="20"/>
                <w:lang w:eastAsia="en-US"/>
              </w:rPr>
            </w:pPr>
            <w:r w:rsidRPr="00E85F0B">
              <w:rPr>
                <w:rFonts w:ascii="Arial" w:eastAsia="Calibri" w:hAnsi="Arial" w:cs="Arial"/>
                <w:sz w:val="20"/>
                <w:lang w:eastAsia="en-US"/>
              </w:rPr>
              <w:t xml:space="preserve">Net positive variance HFM £3.8K and IMAG £5.5K </w:t>
            </w:r>
          </w:p>
        </w:tc>
      </w:tr>
      <w:tr w:rsidR="00E85F0B" w:rsidRPr="00E85F0B" w:rsidTr="0055791C">
        <w:trPr>
          <w:trHeight w:val="58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F0B" w:rsidRPr="00E85F0B" w:rsidRDefault="00E85F0B" w:rsidP="00E85F0B">
            <w:pPr>
              <w:spacing w:after="200" w:line="276" w:lineRule="auto"/>
              <w:jc w:val="center"/>
              <w:rPr>
                <w:rFonts w:ascii="Arial" w:eastAsia="Calibri" w:hAnsi="Arial" w:cs="Arial"/>
                <w:sz w:val="20"/>
                <w:lang w:eastAsia="en-US"/>
              </w:rPr>
            </w:pPr>
            <w:r w:rsidRPr="00E85F0B">
              <w:rPr>
                <w:rFonts w:ascii="Arial" w:eastAsia="Calibri" w:hAnsi="Arial" w:cs="Arial"/>
                <w:sz w:val="20"/>
                <w:lang w:eastAsia="en-US"/>
              </w:rPr>
              <w:t>Outdoor</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85F0B" w:rsidRPr="00E85F0B" w:rsidRDefault="00E85F0B" w:rsidP="00E85F0B">
            <w:pPr>
              <w:spacing w:after="200" w:line="276" w:lineRule="auto"/>
              <w:jc w:val="center"/>
              <w:rPr>
                <w:rFonts w:ascii="Arial" w:eastAsia="Calibri" w:hAnsi="Arial" w:cs="Arial"/>
                <w:b/>
                <w:color w:val="FF0000"/>
                <w:sz w:val="20"/>
                <w:lang w:eastAsia="en-US"/>
              </w:rPr>
            </w:pPr>
            <w:r w:rsidRPr="00E85F0B">
              <w:rPr>
                <w:rFonts w:ascii="Arial" w:hAnsi="Arial" w:cs="Arial"/>
                <w:color w:val="FF0000"/>
                <w:sz w:val="20"/>
              </w:rPr>
              <w:t>(23,038)</w:t>
            </w:r>
          </w:p>
        </w:tc>
        <w:tc>
          <w:tcPr>
            <w:tcW w:w="10631" w:type="dxa"/>
            <w:tcBorders>
              <w:top w:val="single" w:sz="4" w:space="0" w:color="auto"/>
              <w:left w:val="nil"/>
              <w:bottom w:val="single" w:sz="4" w:space="0" w:color="auto"/>
              <w:right w:val="single" w:sz="4" w:space="0" w:color="auto"/>
            </w:tcBorders>
            <w:shd w:val="clear" w:color="auto" w:fill="auto"/>
          </w:tcPr>
          <w:p w:rsidR="00E85F0B" w:rsidRPr="00E85F0B" w:rsidRDefault="00E85F0B" w:rsidP="00E85F0B">
            <w:pPr>
              <w:spacing w:after="200" w:line="276" w:lineRule="auto"/>
              <w:jc w:val="both"/>
              <w:rPr>
                <w:rFonts w:ascii="Arial" w:eastAsia="Calibri" w:hAnsi="Arial" w:cs="Arial"/>
                <w:sz w:val="20"/>
                <w:lang w:eastAsia="en-US"/>
              </w:rPr>
            </w:pPr>
            <w:r w:rsidRPr="00E85F0B">
              <w:rPr>
                <w:rFonts w:ascii="Arial" w:eastAsia="Calibri" w:hAnsi="Arial" w:cs="Arial"/>
                <w:sz w:val="20"/>
                <w:lang w:eastAsia="en-US"/>
              </w:rPr>
              <w:t xml:space="preserve">The income targets for Outdoor Activities were recognised as being aggressive resulting in a shortfall of £23K for the year-end.  This was a structural budget issue and has been dealt with in 2017/18 budgets.           </w:t>
            </w:r>
          </w:p>
        </w:tc>
      </w:tr>
      <w:tr w:rsidR="00E85F0B" w:rsidRPr="00E85F0B" w:rsidTr="0055791C">
        <w:trPr>
          <w:trHeight w:val="58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F0B" w:rsidRPr="00E85F0B" w:rsidRDefault="00E85F0B" w:rsidP="00E85F0B">
            <w:pPr>
              <w:spacing w:after="200" w:line="276" w:lineRule="auto"/>
              <w:jc w:val="center"/>
              <w:rPr>
                <w:rFonts w:ascii="Arial" w:eastAsia="Calibri" w:hAnsi="Arial" w:cs="Arial"/>
                <w:sz w:val="20"/>
                <w:lang w:eastAsia="en-US"/>
              </w:rPr>
            </w:pPr>
            <w:r w:rsidRPr="00E85F0B">
              <w:rPr>
                <w:rFonts w:ascii="Arial" w:eastAsia="Calibri" w:hAnsi="Arial" w:cs="Arial"/>
                <w:sz w:val="20"/>
                <w:lang w:eastAsia="en-US"/>
              </w:rPr>
              <w:t>Sports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85F0B" w:rsidRPr="00E85F0B" w:rsidRDefault="009E3437" w:rsidP="00E85F0B">
            <w:pPr>
              <w:spacing w:after="200" w:line="276" w:lineRule="auto"/>
              <w:jc w:val="center"/>
              <w:rPr>
                <w:rFonts w:ascii="Arial" w:eastAsia="Calibri" w:hAnsi="Arial" w:cs="Arial"/>
                <w:b/>
                <w:color w:val="FF0000"/>
                <w:sz w:val="20"/>
                <w:lang w:eastAsia="en-US"/>
              </w:rPr>
            </w:pPr>
            <w:r>
              <w:rPr>
                <w:rFonts w:ascii="Arial" w:hAnsi="Arial" w:cs="Arial"/>
                <w:color w:val="000000"/>
                <w:sz w:val="20"/>
              </w:rPr>
              <w:t>18,442</w:t>
            </w:r>
          </w:p>
        </w:tc>
        <w:tc>
          <w:tcPr>
            <w:tcW w:w="10631" w:type="dxa"/>
            <w:tcBorders>
              <w:top w:val="single" w:sz="4" w:space="0" w:color="auto"/>
              <w:left w:val="nil"/>
              <w:bottom w:val="single" w:sz="4" w:space="0" w:color="auto"/>
              <w:right w:val="single" w:sz="4" w:space="0" w:color="auto"/>
            </w:tcBorders>
            <w:shd w:val="clear" w:color="auto" w:fill="auto"/>
          </w:tcPr>
          <w:p w:rsidR="00E85F0B" w:rsidRPr="00E85F0B" w:rsidRDefault="00E85F0B" w:rsidP="00E85F0B">
            <w:pPr>
              <w:spacing w:after="200" w:line="276" w:lineRule="auto"/>
              <w:jc w:val="both"/>
              <w:rPr>
                <w:rFonts w:ascii="Arial" w:eastAsia="Calibri" w:hAnsi="Arial" w:cs="Arial"/>
                <w:sz w:val="20"/>
                <w:lang w:eastAsia="en-US"/>
              </w:rPr>
            </w:pPr>
            <w:r w:rsidRPr="00E85F0B">
              <w:rPr>
                <w:rFonts w:ascii="Arial" w:eastAsia="Calibri" w:hAnsi="Arial" w:cs="Arial"/>
                <w:sz w:val="20"/>
                <w:lang w:eastAsia="en-US"/>
              </w:rPr>
              <w:t>The planned transfer from Restricted Reserves is the Active Schools sports budget which was budgeted as Income during the year.</w:t>
            </w:r>
          </w:p>
        </w:tc>
      </w:tr>
    </w:tbl>
    <w:p w:rsidR="00412E79" w:rsidRDefault="0074470A">
      <w:pPr>
        <w:rPr>
          <w:rFonts w:ascii="Arial" w:eastAsia="Calibri" w:hAnsi="Arial" w:cs="Arial"/>
          <w:b/>
          <w:color w:val="1F497D"/>
          <w:sz w:val="22"/>
          <w:szCs w:val="22"/>
          <w:lang w:eastAsia="en-US"/>
        </w:rPr>
      </w:pPr>
      <w:r>
        <w:rPr>
          <w:rFonts w:ascii="Arial" w:eastAsia="Calibri" w:hAnsi="Arial" w:cs="Arial"/>
          <w:b/>
          <w:color w:val="1F497D"/>
          <w:sz w:val="22"/>
          <w:szCs w:val="22"/>
          <w:lang w:eastAsia="en-US"/>
        </w:rPr>
        <w:t>NOTE:</w:t>
      </w:r>
      <w:r w:rsidR="00412E79">
        <w:rPr>
          <w:rFonts w:ascii="Arial" w:eastAsia="Calibri" w:hAnsi="Arial" w:cs="Arial"/>
          <w:b/>
          <w:color w:val="1F497D"/>
          <w:sz w:val="22"/>
          <w:szCs w:val="22"/>
          <w:lang w:eastAsia="en-US"/>
        </w:rPr>
        <w:t xml:space="preserve">  Inverness Leisure Merger</w:t>
      </w:r>
    </w:p>
    <w:p w:rsidR="00412E79" w:rsidRDefault="00412E79">
      <w:pPr>
        <w:rPr>
          <w:rFonts w:ascii="Arial" w:eastAsia="Calibri" w:hAnsi="Arial" w:cs="Arial"/>
          <w:b/>
          <w:color w:val="1F497D"/>
          <w:sz w:val="22"/>
          <w:szCs w:val="22"/>
          <w:lang w:eastAsia="en-US"/>
        </w:rPr>
      </w:pPr>
    </w:p>
    <w:p w:rsidR="00412E79" w:rsidRDefault="00412E79">
      <w:pPr>
        <w:rPr>
          <w:rFonts w:ascii="Arial" w:eastAsia="Calibri" w:hAnsi="Arial" w:cs="Arial"/>
          <w:b/>
          <w:color w:val="1F497D"/>
          <w:sz w:val="22"/>
          <w:szCs w:val="22"/>
          <w:lang w:eastAsia="en-US"/>
        </w:rPr>
      </w:pPr>
      <w:r>
        <w:rPr>
          <w:rFonts w:ascii="Arial" w:eastAsia="Calibri" w:hAnsi="Arial" w:cs="Arial"/>
          <w:b/>
          <w:color w:val="1F497D"/>
          <w:sz w:val="22"/>
          <w:szCs w:val="22"/>
          <w:lang w:eastAsia="en-US"/>
        </w:rPr>
        <w:t>At the point of transfer, IL reserves were £734,293 of which £521,793 was designated to cover the TUPE costs for Staff T&amp;C’s to cover the first two years following the merger.</w:t>
      </w:r>
    </w:p>
    <w:p w:rsidR="000E4637" w:rsidRDefault="00412E79">
      <w:pPr>
        <w:rPr>
          <w:rFonts w:ascii="Arial" w:eastAsia="Calibri" w:hAnsi="Arial" w:cs="Arial"/>
          <w:b/>
          <w:color w:val="1F497D"/>
          <w:sz w:val="22"/>
          <w:szCs w:val="22"/>
          <w:lang w:eastAsia="en-US"/>
        </w:rPr>
      </w:pPr>
      <w:r>
        <w:rPr>
          <w:rFonts w:ascii="Arial" w:eastAsia="Calibri" w:hAnsi="Arial" w:cs="Arial"/>
          <w:b/>
          <w:color w:val="1F497D"/>
          <w:sz w:val="22"/>
          <w:szCs w:val="22"/>
          <w:lang w:eastAsia="en-US"/>
        </w:rPr>
        <w:t xml:space="preserve">In line with this agreement and amount of £202,362 will be transferred from </w:t>
      </w:r>
      <w:proofErr w:type="gramStart"/>
      <w:r>
        <w:rPr>
          <w:rFonts w:ascii="Arial" w:eastAsia="Calibri" w:hAnsi="Arial" w:cs="Arial"/>
          <w:b/>
          <w:color w:val="1F497D"/>
          <w:sz w:val="22"/>
          <w:szCs w:val="22"/>
          <w:lang w:eastAsia="en-US"/>
        </w:rPr>
        <w:t>Designated</w:t>
      </w:r>
      <w:proofErr w:type="gramEnd"/>
      <w:r>
        <w:rPr>
          <w:rFonts w:ascii="Arial" w:eastAsia="Calibri" w:hAnsi="Arial" w:cs="Arial"/>
          <w:b/>
          <w:color w:val="1F497D"/>
          <w:sz w:val="22"/>
          <w:szCs w:val="22"/>
          <w:lang w:eastAsia="en-US"/>
        </w:rPr>
        <w:t xml:space="preserve"> funds to Unrestricted Reserves for 2016/17.</w:t>
      </w:r>
    </w:p>
    <w:sectPr w:rsidR="000E4637" w:rsidSect="00EF19DA">
      <w:pgSz w:w="16838" w:h="11906" w:orient="landscape" w:code="9"/>
      <w:pgMar w:top="992" w:right="992" w:bottom="992"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08B" w:rsidRDefault="0016608B">
      <w:r>
        <w:separator/>
      </w:r>
    </w:p>
  </w:endnote>
  <w:endnote w:type="continuationSeparator" w:id="0">
    <w:p w:rsidR="0016608B" w:rsidRDefault="0016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08B" w:rsidRDefault="0016608B">
      <w:r>
        <w:separator/>
      </w:r>
    </w:p>
  </w:footnote>
  <w:footnote w:type="continuationSeparator" w:id="0">
    <w:p w:rsidR="0016608B" w:rsidRDefault="00166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3431"/>
    <w:multiLevelType w:val="hybridMultilevel"/>
    <w:tmpl w:val="1DE8B96E"/>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E395F57"/>
    <w:multiLevelType w:val="hybridMultilevel"/>
    <w:tmpl w:val="A802FFE8"/>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293429C"/>
    <w:multiLevelType w:val="hybridMultilevel"/>
    <w:tmpl w:val="4216D7A2"/>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nsid w:val="1A752B5A"/>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ACF3B47"/>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B9670BC"/>
    <w:multiLevelType w:val="hybridMultilevel"/>
    <w:tmpl w:val="50505CE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C715A80"/>
    <w:multiLevelType w:val="hybridMultilevel"/>
    <w:tmpl w:val="43601BE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CD3580"/>
    <w:multiLevelType w:val="hybridMultilevel"/>
    <w:tmpl w:val="1DE8B96E"/>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3AA56ED"/>
    <w:multiLevelType w:val="hybridMultilevel"/>
    <w:tmpl w:val="3830E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737993"/>
    <w:multiLevelType w:val="hybridMultilevel"/>
    <w:tmpl w:val="87DC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AB5F6B"/>
    <w:multiLevelType w:val="hybridMultilevel"/>
    <w:tmpl w:val="B27CBCD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CD027F"/>
    <w:multiLevelType w:val="hybridMultilevel"/>
    <w:tmpl w:val="1DE8B96E"/>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CE21FEF"/>
    <w:multiLevelType w:val="hybridMultilevel"/>
    <w:tmpl w:val="1DE8B96E"/>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0821E21"/>
    <w:multiLevelType w:val="hybridMultilevel"/>
    <w:tmpl w:val="B27CBCD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3D2F1A"/>
    <w:multiLevelType w:val="hybridMultilevel"/>
    <w:tmpl w:val="B27CBCD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8A0CD2"/>
    <w:multiLevelType w:val="hybridMultilevel"/>
    <w:tmpl w:val="BA4C8956"/>
    <w:lvl w:ilvl="0" w:tplc="F538168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C294455"/>
    <w:multiLevelType w:val="hybridMultilevel"/>
    <w:tmpl w:val="B2D89C82"/>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8D355E"/>
    <w:multiLevelType w:val="hybridMultilevel"/>
    <w:tmpl w:val="B27CBCD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C44059"/>
    <w:multiLevelType w:val="hybridMultilevel"/>
    <w:tmpl w:val="C39C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1F0635"/>
    <w:multiLevelType w:val="hybridMultilevel"/>
    <w:tmpl w:val="897E41CA"/>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nsid w:val="461F5040"/>
    <w:multiLevelType w:val="hybridMultilevel"/>
    <w:tmpl w:val="B27CBCD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1C0C95"/>
    <w:multiLevelType w:val="hybridMultilevel"/>
    <w:tmpl w:val="CB3C34B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4D155A2B"/>
    <w:multiLevelType w:val="hybridMultilevel"/>
    <w:tmpl w:val="C04A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221874"/>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56251B61"/>
    <w:multiLevelType w:val="hybridMultilevel"/>
    <w:tmpl w:val="3A9E3DD0"/>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465B73"/>
    <w:multiLevelType w:val="hybridMultilevel"/>
    <w:tmpl w:val="DFC082A4"/>
    <w:lvl w:ilvl="0" w:tplc="BF92CEE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F4201D"/>
    <w:multiLevelType w:val="hybridMultilevel"/>
    <w:tmpl w:val="87A4388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6E0E6E"/>
    <w:multiLevelType w:val="hybridMultilevel"/>
    <w:tmpl w:val="A3FA3590"/>
    <w:lvl w:ilvl="0" w:tplc="587CDE3A">
      <w:start w:val="1"/>
      <w:numFmt w:val="bullet"/>
      <w:lvlText w:val="•"/>
      <w:lvlJc w:val="left"/>
      <w:pPr>
        <w:tabs>
          <w:tab w:val="num" w:pos="720"/>
        </w:tabs>
        <w:ind w:left="720" w:hanging="360"/>
      </w:pPr>
      <w:rPr>
        <w:rFonts w:ascii="Arial" w:hAnsi="Arial" w:hint="default"/>
      </w:rPr>
    </w:lvl>
    <w:lvl w:ilvl="1" w:tplc="F1A6374C" w:tentative="1">
      <w:start w:val="1"/>
      <w:numFmt w:val="bullet"/>
      <w:lvlText w:val="•"/>
      <w:lvlJc w:val="left"/>
      <w:pPr>
        <w:tabs>
          <w:tab w:val="num" w:pos="1440"/>
        </w:tabs>
        <w:ind w:left="1440" w:hanging="360"/>
      </w:pPr>
      <w:rPr>
        <w:rFonts w:ascii="Arial" w:hAnsi="Arial" w:hint="default"/>
      </w:rPr>
    </w:lvl>
    <w:lvl w:ilvl="2" w:tplc="A8B016AA" w:tentative="1">
      <w:start w:val="1"/>
      <w:numFmt w:val="bullet"/>
      <w:lvlText w:val="•"/>
      <w:lvlJc w:val="left"/>
      <w:pPr>
        <w:tabs>
          <w:tab w:val="num" w:pos="2160"/>
        </w:tabs>
        <w:ind w:left="2160" w:hanging="360"/>
      </w:pPr>
      <w:rPr>
        <w:rFonts w:ascii="Arial" w:hAnsi="Arial" w:hint="default"/>
      </w:rPr>
    </w:lvl>
    <w:lvl w:ilvl="3" w:tplc="D676EC5C" w:tentative="1">
      <w:start w:val="1"/>
      <w:numFmt w:val="bullet"/>
      <w:lvlText w:val="•"/>
      <w:lvlJc w:val="left"/>
      <w:pPr>
        <w:tabs>
          <w:tab w:val="num" w:pos="2880"/>
        </w:tabs>
        <w:ind w:left="2880" w:hanging="360"/>
      </w:pPr>
      <w:rPr>
        <w:rFonts w:ascii="Arial" w:hAnsi="Arial" w:hint="default"/>
      </w:rPr>
    </w:lvl>
    <w:lvl w:ilvl="4" w:tplc="3F064E46" w:tentative="1">
      <w:start w:val="1"/>
      <w:numFmt w:val="bullet"/>
      <w:lvlText w:val="•"/>
      <w:lvlJc w:val="left"/>
      <w:pPr>
        <w:tabs>
          <w:tab w:val="num" w:pos="3600"/>
        </w:tabs>
        <w:ind w:left="3600" w:hanging="360"/>
      </w:pPr>
      <w:rPr>
        <w:rFonts w:ascii="Arial" w:hAnsi="Arial" w:hint="default"/>
      </w:rPr>
    </w:lvl>
    <w:lvl w:ilvl="5" w:tplc="26EA34CE" w:tentative="1">
      <w:start w:val="1"/>
      <w:numFmt w:val="bullet"/>
      <w:lvlText w:val="•"/>
      <w:lvlJc w:val="left"/>
      <w:pPr>
        <w:tabs>
          <w:tab w:val="num" w:pos="4320"/>
        </w:tabs>
        <w:ind w:left="4320" w:hanging="360"/>
      </w:pPr>
      <w:rPr>
        <w:rFonts w:ascii="Arial" w:hAnsi="Arial" w:hint="default"/>
      </w:rPr>
    </w:lvl>
    <w:lvl w:ilvl="6" w:tplc="49FA8C32" w:tentative="1">
      <w:start w:val="1"/>
      <w:numFmt w:val="bullet"/>
      <w:lvlText w:val="•"/>
      <w:lvlJc w:val="left"/>
      <w:pPr>
        <w:tabs>
          <w:tab w:val="num" w:pos="5040"/>
        </w:tabs>
        <w:ind w:left="5040" w:hanging="360"/>
      </w:pPr>
      <w:rPr>
        <w:rFonts w:ascii="Arial" w:hAnsi="Arial" w:hint="default"/>
      </w:rPr>
    </w:lvl>
    <w:lvl w:ilvl="7" w:tplc="ECE80ED4" w:tentative="1">
      <w:start w:val="1"/>
      <w:numFmt w:val="bullet"/>
      <w:lvlText w:val="•"/>
      <w:lvlJc w:val="left"/>
      <w:pPr>
        <w:tabs>
          <w:tab w:val="num" w:pos="5760"/>
        </w:tabs>
        <w:ind w:left="5760" w:hanging="360"/>
      </w:pPr>
      <w:rPr>
        <w:rFonts w:ascii="Arial" w:hAnsi="Arial" w:hint="default"/>
      </w:rPr>
    </w:lvl>
    <w:lvl w:ilvl="8" w:tplc="55D441B8" w:tentative="1">
      <w:start w:val="1"/>
      <w:numFmt w:val="bullet"/>
      <w:lvlText w:val="•"/>
      <w:lvlJc w:val="left"/>
      <w:pPr>
        <w:tabs>
          <w:tab w:val="num" w:pos="6480"/>
        </w:tabs>
        <w:ind w:left="6480" w:hanging="360"/>
      </w:pPr>
      <w:rPr>
        <w:rFonts w:ascii="Arial" w:hAnsi="Arial" w:hint="default"/>
      </w:rPr>
    </w:lvl>
  </w:abstractNum>
  <w:abstractNum w:abstractNumId="28">
    <w:nsid w:val="64084F00"/>
    <w:multiLevelType w:val="hybridMultilevel"/>
    <w:tmpl w:val="B27CBCD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4973F7"/>
    <w:multiLevelType w:val="hybridMultilevel"/>
    <w:tmpl w:val="87A4388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3B5B72"/>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6978711F"/>
    <w:multiLevelType w:val="hybridMultilevel"/>
    <w:tmpl w:val="EFCAD098"/>
    <w:lvl w:ilvl="0" w:tplc="08EEF714">
      <w:start w:val="1"/>
      <w:numFmt w:val="bullet"/>
      <w:lvlText w:val="•"/>
      <w:lvlJc w:val="left"/>
      <w:pPr>
        <w:tabs>
          <w:tab w:val="num" w:pos="720"/>
        </w:tabs>
        <w:ind w:left="720" w:hanging="360"/>
      </w:pPr>
      <w:rPr>
        <w:rFonts w:ascii="Arial" w:hAnsi="Arial" w:hint="default"/>
      </w:rPr>
    </w:lvl>
    <w:lvl w:ilvl="1" w:tplc="7FB4C0C0" w:tentative="1">
      <w:start w:val="1"/>
      <w:numFmt w:val="bullet"/>
      <w:lvlText w:val="•"/>
      <w:lvlJc w:val="left"/>
      <w:pPr>
        <w:tabs>
          <w:tab w:val="num" w:pos="1440"/>
        </w:tabs>
        <w:ind w:left="1440" w:hanging="360"/>
      </w:pPr>
      <w:rPr>
        <w:rFonts w:ascii="Arial" w:hAnsi="Arial" w:hint="default"/>
      </w:rPr>
    </w:lvl>
    <w:lvl w:ilvl="2" w:tplc="0C28971C" w:tentative="1">
      <w:start w:val="1"/>
      <w:numFmt w:val="bullet"/>
      <w:lvlText w:val="•"/>
      <w:lvlJc w:val="left"/>
      <w:pPr>
        <w:tabs>
          <w:tab w:val="num" w:pos="2160"/>
        </w:tabs>
        <w:ind w:left="2160" w:hanging="360"/>
      </w:pPr>
      <w:rPr>
        <w:rFonts w:ascii="Arial" w:hAnsi="Arial" w:hint="default"/>
      </w:rPr>
    </w:lvl>
    <w:lvl w:ilvl="3" w:tplc="836C6192" w:tentative="1">
      <w:start w:val="1"/>
      <w:numFmt w:val="bullet"/>
      <w:lvlText w:val="•"/>
      <w:lvlJc w:val="left"/>
      <w:pPr>
        <w:tabs>
          <w:tab w:val="num" w:pos="2880"/>
        </w:tabs>
        <w:ind w:left="2880" w:hanging="360"/>
      </w:pPr>
      <w:rPr>
        <w:rFonts w:ascii="Arial" w:hAnsi="Arial" w:hint="default"/>
      </w:rPr>
    </w:lvl>
    <w:lvl w:ilvl="4" w:tplc="9280E2A4" w:tentative="1">
      <w:start w:val="1"/>
      <w:numFmt w:val="bullet"/>
      <w:lvlText w:val="•"/>
      <w:lvlJc w:val="left"/>
      <w:pPr>
        <w:tabs>
          <w:tab w:val="num" w:pos="3600"/>
        </w:tabs>
        <w:ind w:left="3600" w:hanging="360"/>
      </w:pPr>
      <w:rPr>
        <w:rFonts w:ascii="Arial" w:hAnsi="Arial" w:hint="default"/>
      </w:rPr>
    </w:lvl>
    <w:lvl w:ilvl="5" w:tplc="5570FA46" w:tentative="1">
      <w:start w:val="1"/>
      <w:numFmt w:val="bullet"/>
      <w:lvlText w:val="•"/>
      <w:lvlJc w:val="left"/>
      <w:pPr>
        <w:tabs>
          <w:tab w:val="num" w:pos="4320"/>
        </w:tabs>
        <w:ind w:left="4320" w:hanging="360"/>
      </w:pPr>
      <w:rPr>
        <w:rFonts w:ascii="Arial" w:hAnsi="Arial" w:hint="default"/>
      </w:rPr>
    </w:lvl>
    <w:lvl w:ilvl="6" w:tplc="19261CF8" w:tentative="1">
      <w:start w:val="1"/>
      <w:numFmt w:val="bullet"/>
      <w:lvlText w:val="•"/>
      <w:lvlJc w:val="left"/>
      <w:pPr>
        <w:tabs>
          <w:tab w:val="num" w:pos="5040"/>
        </w:tabs>
        <w:ind w:left="5040" w:hanging="360"/>
      </w:pPr>
      <w:rPr>
        <w:rFonts w:ascii="Arial" w:hAnsi="Arial" w:hint="default"/>
      </w:rPr>
    </w:lvl>
    <w:lvl w:ilvl="7" w:tplc="DF6E1564" w:tentative="1">
      <w:start w:val="1"/>
      <w:numFmt w:val="bullet"/>
      <w:lvlText w:val="•"/>
      <w:lvlJc w:val="left"/>
      <w:pPr>
        <w:tabs>
          <w:tab w:val="num" w:pos="5760"/>
        </w:tabs>
        <w:ind w:left="5760" w:hanging="360"/>
      </w:pPr>
      <w:rPr>
        <w:rFonts w:ascii="Arial" w:hAnsi="Arial" w:hint="default"/>
      </w:rPr>
    </w:lvl>
    <w:lvl w:ilvl="8" w:tplc="EBBAD7F4" w:tentative="1">
      <w:start w:val="1"/>
      <w:numFmt w:val="bullet"/>
      <w:lvlText w:val="•"/>
      <w:lvlJc w:val="left"/>
      <w:pPr>
        <w:tabs>
          <w:tab w:val="num" w:pos="6480"/>
        </w:tabs>
        <w:ind w:left="6480" w:hanging="360"/>
      </w:pPr>
      <w:rPr>
        <w:rFonts w:ascii="Arial" w:hAnsi="Arial" w:hint="default"/>
      </w:rPr>
    </w:lvl>
  </w:abstractNum>
  <w:abstractNum w:abstractNumId="32">
    <w:nsid w:val="6B781BD7"/>
    <w:multiLevelType w:val="hybridMultilevel"/>
    <w:tmpl w:val="B2D89C82"/>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96539C"/>
    <w:multiLevelType w:val="hybridMultilevel"/>
    <w:tmpl w:val="AE9A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6100637"/>
    <w:multiLevelType w:val="hybridMultilevel"/>
    <w:tmpl w:val="1DE8B96E"/>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6974C84"/>
    <w:multiLevelType w:val="hybridMultilevel"/>
    <w:tmpl w:val="B27CBCD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8">
    <w:nsid w:val="7DCC5699"/>
    <w:multiLevelType w:val="hybridMultilevel"/>
    <w:tmpl w:val="1DE8B96E"/>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5"/>
  </w:num>
  <w:num w:numId="2">
    <w:abstractNumId w:val="30"/>
  </w:num>
  <w:num w:numId="3">
    <w:abstractNumId w:val="21"/>
  </w:num>
  <w:num w:numId="4">
    <w:abstractNumId w:val="23"/>
  </w:num>
  <w:num w:numId="5">
    <w:abstractNumId w:val="3"/>
  </w:num>
  <w:num w:numId="6">
    <w:abstractNumId w:val="37"/>
  </w:num>
  <w:num w:numId="7">
    <w:abstractNumId w:val="22"/>
  </w:num>
  <w:num w:numId="8">
    <w:abstractNumId w:val="25"/>
  </w:num>
  <w:num w:numId="9">
    <w:abstractNumId w:val="4"/>
  </w:num>
  <w:num w:numId="10">
    <w:abstractNumId w:val="5"/>
  </w:num>
  <w:num w:numId="11">
    <w:abstractNumId w:val="2"/>
  </w:num>
  <w:num w:numId="12">
    <w:abstractNumId w:val="8"/>
  </w:num>
  <w:num w:numId="13">
    <w:abstractNumId w:val="33"/>
  </w:num>
  <w:num w:numId="14">
    <w:abstractNumId w:val="9"/>
  </w:num>
  <w:num w:numId="15">
    <w:abstractNumId w:val="27"/>
  </w:num>
  <w:num w:numId="16">
    <w:abstractNumId w:val="31"/>
  </w:num>
  <w:num w:numId="17">
    <w:abstractNumId w:val="15"/>
  </w:num>
  <w:num w:numId="18">
    <w:abstractNumId w:val="18"/>
  </w:num>
  <w:num w:numId="19">
    <w:abstractNumId w:val="26"/>
  </w:num>
  <w:num w:numId="20">
    <w:abstractNumId w:val="24"/>
  </w:num>
  <w:num w:numId="21">
    <w:abstractNumId w:val="16"/>
  </w:num>
  <w:num w:numId="22">
    <w:abstractNumId w:val="29"/>
  </w:num>
  <w:num w:numId="23">
    <w:abstractNumId w:val="32"/>
  </w:num>
  <w:num w:numId="24">
    <w:abstractNumId w:val="10"/>
  </w:num>
  <w:num w:numId="25">
    <w:abstractNumId w:val="36"/>
  </w:num>
  <w:num w:numId="26">
    <w:abstractNumId w:val="20"/>
  </w:num>
  <w:num w:numId="27">
    <w:abstractNumId w:val="19"/>
  </w:num>
  <w:num w:numId="28">
    <w:abstractNumId w:val="13"/>
  </w:num>
  <w:num w:numId="29">
    <w:abstractNumId w:val="17"/>
  </w:num>
  <w:num w:numId="30">
    <w:abstractNumId w:val="14"/>
  </w:num>
  <w:num w:numId="31">
    <w:abstractNumId w:val="28"/>
  </w:num>
  <w:num w:numId="32">
    <w:abstractNumId w:val="6"/>
  </w:num>
  <w:num w:numId="33">
    <w:abstractNumId w:val="34"/>
  </w:num>
  <w:num w:numId="34">
    <w:abstractNumId w:val="1"/>
  </w:num>
  <w:num w:numId="35">
    <w:abstractNumId w:val="7"/>
  </w:num>
  <w:num w:numId="36">
    <w:abstractNumId w:val="12"/>
  </w:num>
  <w:num w:numId="37">
    <w:abstractNumId w:val="38"/>
  </w:num>
  <w:num w:numId="38">
    <w:abstractNumId w:val="0"/>
  </w:num>
  <w:num w:numId="3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23E37"/>
    <w:rsid w:val="0002445B"/>
    <w:rsid w:val="000261C0"/>
    <w:rsid w:val="00031D1E"/>
    <w:rsid w:val="0005207E"/>
    <w:rsid w:val="00054DE1"/>
    <w:rsid w:val="000551EE"/>
    <w:rsid w:val="000757C8"/>
    <w:rsid w:val="00096240"/>
    <w:rsid w:val="000B0A7F"/>
    <w:rsid w:val="000C449D"/>
    <w:rsid w:val="000D0078"/>
    <w:rsid w:val="000D0878"/>
    <w:rsid w:val="000D70EE"/>
    <w:rsid w:val="000E4637"/>
    <w:rsid w:val="000F2276"/>
    <w:rsid w:val="000F274B"/>
    <w:rsid w:val="000F29AC"/>
    <w:rsid w:val="000F6071"/>
    <w:rsid w:val="00102BA1"/>
    <w:rsid w:val="00104179"/>
    <w:rsid w:val="0010458D"/>
    <w:rsid w:val="001072B4"/>
    <w:rsid w:val="00116476"/>
    <w:rsid w:val="00125239"/>
    <w:rsid w:val="00131281"/>
    <w:rsid w:val="00135749"/>
    <w:rsid w:val="00137D7A"/>
    <w:rsid w:val="00143618"/>
    <w:rsid w:val="00144B3B"/>
    <w:rsid w:val="001575A7"/>
    <w:rsid w:val="001641A6"/>
    <w:rsid w:val="0016608B"/>
    <w:rsid w:val="00167E3E"/>
    <w:rsid w:val="001766FB"/>
    <w:rsid w:val="00186D8B"/>
    <w:rsid w:val="001A356D"/>
    <w:rsid w:val="001B2922"/>
    <w:rsid w:val="001B4B03"/>
    <w:rsid w:val="001B7F3F"/>
    <w:rsid w:val="001C4993"/>
    <w:rsid w:val="001C4B5C"/>
    <w:rsid w:val="001D1D38"/>
    <w:rsid w:val="001D3067"/>
    <w:rsid w:val="001D5EE7"/>
    <w:rsid w:val="001E4086"/>
    <w:rsid w:val="001E6629"/>
    <w:rsid w:val="001F1ECE"/>
    <w:rsid w:val="001F5FF5"/>
    <w:rsid w:val="00201710"/>
    <w:rsid w:val="00216B0B"/>
    <w:rsid w:val="00226235"/>
    <w:rsid w:val="00226B15"/>
    <w:rsid w:val="00227B07"/>
    <w:rsid w:val="0023686E"/>
    <w:rsid w:val="0024004B"/>
    <w:rsid w:val="0024242C"/>
    <w:rsid w:val="00255FAF"/>
    <w:rsid w:val="00274BCC"/>
    <w:rsid w:val="00280068"/>
    <w:rsid w:val="00281BD6"/>
    <w:rsid w:val="00283C8A"/>
    <w:rsid w:val="00290EB5"/>
    <w:rsid w:val="00291E51"/>
    <w:rsid w:val="0029314E"/>
    <w:rsid w:val="002A050E"/>
    <w:rsid w:val="002A21D3"/>
    <w:rsid w:val="002A660A"/>
    <w:rsid w:val="002B078E"/>
    <w:rsid w:val="002B567A"/>
    <w:rsid w:val="002B7DC4"/>
    <w:rsid w:val="002C5CF0"/>
    <w:rsid w:val="002D16F2"/>
    <w:rsid w:val="002D76CB"/>
    <w:rsid w:val="002D7E65"/>
    <w:rsid w:val="003105C9"/>
    <w:rsid w:val="00311342"/>
    <w:rsid w:val="00312F45"/>
    <w:rsid w:val="00315D04"/>
    <w:rsid w:val="0031751B"/>
    <w:rsid w:val="0032499A"/>
    <w:rsid w:val="00326648"/>
    <w:rsid w:val="003341BE"/>
    <w:rsid w:val="0033499A"/>
    <w:rsid w:val="0034407D"/>
    <w:rsid w:val="00344232"/>
    <w:rsid w:val="00345B42"/>
    <w:rsid w:val="00346D32"/>
    <w:rsid w:val="00350BC6"/>
    <w:rsid w:val="00351BDC"/>
    <w:rsid w:val="00356332"/>
    <w:rsid w:val="00356B53"/>
    <w:rsid w:val="00373946"/>
    <w:rsid w:val="00380CBD"/>
    <w:rsid w:val="00383762"/>
    <w:rsid w:val="003924C9"/>
    <w:rsid w:val="0039450A"/>
    <w:rsid w:val="003A269D"/>
    <w:rsid w:val="003A6965"/>
    <w:rsid w:val="003B0964"/>
    <w:rsid w:val="003B450B"/>
    <w:rsid w:val="003C66EA"/>
    <w:rsid w:val="003D2A83"/>
    <w:rsid w:val="003D4E84"/>
    <w:rsid w:val="003D57C3"/>
    <w:rsid w:val="003D776A"/>
    <w:rsid w:val="003E6B08"/>
    <w:rsid w:val="00400D9D"/>
    <w:rsid w:val="0040230A"/>
    <w:rsid w:val="00402985"/>
    <w:rsid w:val="00411F29"/>
    <w:rsid w:val="00412E79"/>
    <w:rsid w:val="00413592"/>
    <w:rsid w:val="00414B67"/>
    <w:rsid w:val="00416BFF"/>
    <w:rsid w:val="00420554"/>
    <w:rsid w:val="004264D6"/>
    <w:rsid w:val="004353F3"/>
    <w:rsid w:val="0043645F"/>
    <w:rsid w:val="00437756"/>
    <w:rsid w:val="004402AB"/>
    <w:rsid w:val="00445D1F"/>
    <w:rsid w:val="00451724"/>
    <w:rsid w:val="0046574A"/>
    <w:rsid w:val="00472040"/>
    <w:rsid w:val="004749D1"/>
    <w:rsid w:val="004829CD"/>
    <w:rsid w:val="00485C73"/>
    <w:rsid w:val="004925E7"/>
    <w:rsid w:val="004A13CB"/>
    <w:rsid w:val="004B3658"/>
    <w:rsid w:val="004C0A19"/>
    <w:rsid w:val="004D3C32"/>
    <w:rsid w:val="004E2042"/>
    <w:rsid w:val="004F0001"/>
    <w:rsid w:val="004F0983"/>
    <w:rsid w:val="004F4D60"/>
    <w:rsid w:val="004F6740"/>
    <w:rsid w:val="00504936"/>
    <w:rsid w:val="00532972"/>
    <w:rsid w:val="00540480"/>
    <w:rsid w:val="00541767"/>
    <w:rsid w:val="00542E12"/>
    <w:rsid w:val="005458DE"/>
    <w:rsid w:val="00554631"/>
    <w:rsid w:val="0055791C"/>
    <w:rsid w:val="00561999"/>
    <w:rsid w:val="00562183"/>
    <w:rsid w:val="00562EB1"/>
    <w:rsid w:val="00570528"/>
    <w:rsid w:val="00576020"/>
    <w:rsid w:val="00581415"/>
    <w:rsid w:val="00590256"/>
    <w:rsid w:val="00590C36"/>
    <w:rsid w:val="0059426B"/>
    <w:rsid w:val="00597AF6"/>
    <w:rsid w:val="005A19A5"/>
    <w:rsid w:val="005A3624"/>
    <w:rsid w:val="005A64AF"/>
    <w:rsid w:val="005B050B"/>
    <w:rsid w:val="005C11FC"/>
    <w:rsid w:val="005D09D1"/>
    <w:rsid w:val="005E23D5"/>
    <w:rsid w:val="005E693A"/>
    <w:rsid w:val="005F513E"/>
    <w:rsid w:val="005F73D9"/>
    <w:rsid w:val="0061518E"/>
    <w:rsid w:val="006306AD"/>
    <w:rsid w:val="006342FC"/>
    <w:rsid w:val="0063477B"/>
    <w:rsid w:val="00635750"/>
    <w:rsid w:val="00642DF4"/>
    <w:rsid w:val="00646283"/>
    <w:rsid w:val="00646F67"/>
    <w:rsid w:val="00655F80"/>
    <w:rsid w:val="00663093"/>
    <w:rsid w:val="00664A83"/>
    <w:rsid w:val="0067538A"/>
    <w:rsid w:val="006753D0"/>
    <w:rsid w:val="0067745D"/>
    <w:rsid w:val="00686F9F"/>
    <w:rsid w:val="0069001D"/>
    <w:rsid w:val="006909C6"/>
    <w:rsid w:val="0069681F"/>
    <w:rsid w:val="006A137F"/>
    <w:rsid w:val="006B6192"/>
    <w:rsid w:val="006C287F"/>
    <w:rsid w:val="006D0028"/>
    <w:rsid w:val="006D29ED"/>
    <w:rsid w:val="006D2C4F"/>
    <w:rsid w:val="006D4204"/>
    <w:rsid w:val="006E348F"/>
    <w:rsid w:val="006F7CC2"/>
    <w:rsid w:val="0070225D"/>
    <w:rsid w:val="00707C87"/>
    <w:rsid w:val="007118F2"/>
    <w:rsid w:val="007152A1"/>
    <w:rsid w:val="007161EF"/>
    <w:rsid w:val="00716DD2"/>
    <w:rsid w:val="007214D1"/>
    <w:rsid w:val="007273AE"/>
    <w:rsid w:val="0074360E"/>
    <w:rsid w:val="0074470A"/>
    <w:rsid w:val="00755B8E"/>
    <w:rsid w:val="007566B0"/>
    <w:rsid w:val="00757433"/>
    <w:rsid w:val="00764050"/>
    <w:rsid w:val="007723DB"/>
    <w:rsid w:val="00773952"/>
    <w:rsid w:val="00774ABC"/>
    <w:rsid w:val="00776884"/>
    <w:rsid w:val="00777921"/>
    <w:rsid w:val="007A2BD4"/>
    <w:rsid w:val="007A353F"/>
    <w:rsid w:val="007D3CAA"/>
    <w:rsid w:val="007D52F9"/>
    <w:rsid w:val="007E2203"/>
    <w:rsid w:val="007E4E27"/>
    <w:rsid w:val="007F31EC"/>
    <w:rsid w:val="00800D2C"/>
    <w:rsid w:val="00802484"/>
    <w:rsid w:val="008035C2"/>
    <w:rsid w:val="0081070E"/>
    <w:rsid w:val="00811A6F"/>
    <w:rsid w:val="008173B1"/>
    <w:rsid w:val="00817421"/>
    <w:rsid w:val="00824F07"/>
    <w:rsid w:val="008257AD"/>
    <w:rsid w:val="00825FD9"/>
    <w:rsid w:val="0083012E"/>
    <w:rsid w:val="008301D0"/>
    <w:rsid w:val="00831A88"/>
    <w:rsid w:val="0083625F"/>
    <w:rsid w:val="0084154D"/>
    <w:rsid w:val="00846D14"/>
    <w:rsid w:val="00861ABD"/>
    <w:rsid w:val="0087113C"/>
    <w:rsid w:val="0089449E"/>
    <w:rsid w:val="008A058F"/>
    <w:rsid w:val="008A1F14"/>
    <w:rsid w:val="008A3353"/>
    <w:rsid w:val="008A5A80"/>
    <w:rsid w:val="008A685F"/>
    <w:rsid w:val="008B4D54"/>
    <w:rsid w:val="008B7A0C"/>
    <w:rsid w:val="008C5158"/>
    <w:rsid w:val="008D53BA"/>
    <w:rsid w:val="008E6DEF"/>
    <w:rsid w:val="008F5A22"/>
    <w:rsid w:val="00905B0C"/>
    <w:rsid w:val="009060C3"/>
    <w:rsid w:val="00915A05"/>
    <w:rsid w:val="009246B4"/>
    <w:rsid w:val="009361C3"/>
    <w:rsid w:val="00937BFB"/>
    <w:rsid w:val="0094048F"/>
    <w:rsid w:val="00940C80"/>
    <w:rsid w:val="00941634"/>
    <w:rsid w:val="00952DDB"/>
    <w:rsid w:val="009663B6"/>
    <w:rsid w:val="0097099E"/>
    <w:rsid w:val="00981955"/>
    <w:rsid w:val="00982461"/>
    <w:rsid w:val="009875B5"/>
    <w:rsid w:val="00997DBB"/>
    <w:rsid w:val="009A5D16"/>
    <w:rsid w:val="009B0904"/>
    <w:rsid w:val="009B223B"/>
    <w:rsid w:val="009C61CE"/>
    <w:rsid w:val="009C6BF1"/>
    <w:rsid w:val="009D1CEF"/>
    <w:rsid w:val="009D3BFC"/>
    <w:rsid w:val="009E3437"/>
    <w:rsid w:val="009E3DB8"/>
    <w:rsid w:val="009E6856"/>
    <w:rsid w:val="009F701B"/>
    <w:rsid w:val="00A04E17"/>
    <w:rsid w:val="00A122DA"/>
    <w:rsid w:val="00A26CE5"/>
    <w:rsid w:val="00A332F9"/>
    <w:rsid w:val="00A3726F"/>
    <w:rsid w:val="00A37942"/>
    <w:rsid w:val="00A40F8E"/>
    <w:rsid w:val="00A43167"/>
    <w:rsid w:val="00A47A09"/>
    <w:rsid w:val="00A53534"/>
    <w:rsid w:val="00A57DCC"/>
    <w:rsid w:val="00A57EC6"/>
    <w:rsid w:val="00A6213E"/>
    <w:rsid w:val="00A8159A"/>
    <w:rsid w:val="00A90002"/>
    <w:rsid w:val="00A95BB7"/>
    <w:rsid w:val="00AA1CCB"/>
    <w:rsid w:val="00AA2492"/>
    <w:rsid w:val="00AA54D9"/>
    <w:rsid w:val="00AC146F"/>
    <w:rsid w:val="00AD0502"/>
    <w:rsid w:val="00AD0CDF"/>
    <w:rsid w:val="00AD0D67"/>
    <w:rsid w:val="00AD129D"/>
    <w:rsid w:val="00AE62F7"/>
    <w:rsid w:val="00AF02B6"/>
    <w:rsid w:val="00AF7FD6"/>
    <w:rsid w:val="00B0145D"/>
    <w:rsid w:val="00B06EDD"/>
    <w:rsid w:val="00B074BD"/>
    <w:rsid w:val="00B12596"/>
    <w:rsid w:val="00B40A81"/>
    <w:rsid w:val="00B410B3"/>
    <w:rsid w:val="00B437C8"/>
    <w:rsid w:val="00B43C0F"/>
    <w:rsid w:val="00B4511E"/>
    <w:rsid w:val="00B45842"/>
    <w:rsid w:val="00B4768B"/>
    <w:rsid w:val="00B50A8C"/>
    <w:rsid w:val="00B52BA6"/>
    <w:rsid w:val="00B56CDC"/>
    <w:rsid w:val="00B65EFA"/>
    <w:rsid w:val="00B65F30"/>
    <w:rsid w:val="00B705B3"/>
    <w:rsid w:val="00B71D3A"/>
    <w:rsid w:val="00B71E7C"/>
    <w:rsid w:val="00B76551"/>
    <w:rsid w:val="00B84929"/>
    <w:rsid w:val="00B9658E"/>
    <w:rsid w:val="00BB1FEA"/>
    <w:rsid w:val="00BB271A"/>
    <w:rsid w:val="00BB4A08"/>
    <w:rsid w:val="00BC1EA8"/>
    <w:rsid w:val="00BD07BA"/>
    <w:rsid w:val="00BD357C"/>
    <w:rsid w:val="00BD6973"/>
    <w:rsid w:val="00BF6128"/>
    <w:rsid w:val="00C029AC"/>
    <w:rsid w:val="00C17981"/>
    <w:rsid w:val="00C22F15"/>
    <w:rsid w:val="00C23166"/>
    <w:rsid w:val="00C234B4"/>
    <w:rsid w:val="00C343AE"/>
    <w:rsid w:val="00C43EA6"/>
    <w:rsid w:val="00C443BA"/>
    <w:rsid w:val="00C51396"/>
    <w:rsid w:val="00C51930"/>
    <w:rsid w:val="00C533AA"/>
    <w:rsid w:val="00C65D64"/>
    <w:rsid w:val="00C73DE0"/>
    <w:rsid w:val="00C75BFB"/>
    <w:rsid w:val="00C8005D"/>
    <w:rsid w:val="00C832DB"/>
    <w:rsid w:val="00C86921"/>
    <w:rsid w:val="00C92F7F"/>
    <w:rsid w:val="00C965A1"/>
    <w:rsid w:val="00C97A35"/>
    <w:rsid w:val="00CA48CC"/>
    <w:rsid w:val="00CA7682"/>
    <w:rsid w:val="00CB21D1"/>
    <w:rsid w:val="00CB55D1"/>
    <w:rsid w:val="00CB63C6"/>
    <w:rsid w:val="00CD28C3"/>
    <w:rsid w:val="00CD4E51"/>
    <w:rsid w:val="00CE1288"/>
    <w:rsid w:val="00CE3569"/>
    <w:rsid w:val="00CE375E"/>
    <w:rsid w:val="00CE4D7F"/>
    <w:rsid w:val="00CF10FD"/>
    <w:rsid w:val="00CF250B"/>
    <w:rsid w:val="00D15130"/>
    <w:rsid w:val="00D35C5C"/>
    <w:rsid w:val="00D54220"/>
    <w:rsid w:val="00D57CDF"/>
    <w:rsid w:val="00D658D1"/>
    <w:rsid w:val="00D72885"/>
    <w:rsid w:val="00D72D2F"/>
    <w:rsid w:val="00D76EA7"/>
    <w:rsid w:val="00D842DB"/>
    <w:rsid w:val="00D91DC8"/>
    <w:rsid w:val="00D92939"/>
    <w:rsid w:val="00D932CA"/>
    <w:rsid w:val="00DA76B5"/>
    <w:rsid w:val="00DB3601"/>
    <w:rsid w:val="00DC4F28"/>
    <w:rsid w:val="00DD10C8"/>
    <w:rsid w:val="00DD646D"/>
    <w:rsid w:val="00DD6E3A"/>
    <w:rsid w:val="00DE1E6C"/>
    <w:rsid w:val="00DE3803"/>
    <w:rsid w:val="00DE5F32"/>
    <w:rsid w:val="00DE661F"/>
    <w:rsid w:val="00DE7361"/>
    <w:rsid w:val="00DE7C73"/>
    <w:rsid w:val="00E2541B"/>
    <w:rsid w:val="00E25D85"/>
    <w:rsid w:val="00E345B1"/>
    <w:rsid w:val="00E36F6C"/>
    <w:rsid w:val="00E41E4E"/>
    <w:rsid w:val="00E52429"/>
    <w:rsid w:val="00E5302E"/>
    <w:rsid w:val="00E61075"/>
    <w:rsid w:val="00E61416"/>
    <w:rsid w:val="00E6170C"/>
    <w:rsid w:val="00E7529E"/>
    <w:rsid w:val="00E76D4F"/>
    <w:rsid w:val="00E812AE"/>
    <w:rsid w:val="00E82BE9"/>
    <w:rsid w:val="00E841CF"/>
    <w:rsid w:val="00E85F0B"/>
    <w:rsid w:val="00EA48CA"/>
    <w:rsid w:val="00EA70C6"/>
    <w:rsid w:val="00EB47AD"/>
    <w:rsid w:val="00EC352D"/>
    <w:rsid w:val="00EC455A"/>
    <w:rsid w:val="00EE431A"/>
    <w:rsid w:val="00EE4D04"/>
    <w:rsid w:val="00EE6C0C"/>
    <w:rsid w:val="00EF19DA"/>
    <w:rsid w:val="00EF519D"/>
    <w:rsid w:val="00F02B5D"/>
    <w:rsid w:val="00F04708"/>
    <w:rsid w:val="00F067E4"/>
    <w:rsid w:val="00F070CF"/>
    <w:rsid w:val="00F12AD6"/>
    <w:rsid w:val="00F13F0F"/>
    <w:rsid w:val="00F1595B"/>
    <w:rsid w:val="00F2002B"/>
    <w:rsid w:val="00F222EC"/>
    <w:rsid w:val="00F22C6B"/>
    <w:rsid w:val="00F24875"/>
    <w:rsid w:val="00F316BC"/>
    <w:rsid w:val="00F32670"/>
    <w:rsid w:val="00F41E17"/>
    <w:rsid w:val="00F555A2"/>
    <w:rsid w:val="00F66E63"/>
    <w:rsid w:val="00F778E4"/>
    <w:rsid w:val="00F77C28"/>
    <w:rsid w:val="00FA053D"/>
    <w:rsid w:val="00FA5BC7"/>
    <w:rsid w:val="00FA6E90"/>
    <w:rsid w:val="00FA7E93"/>
    <w:rsid w:val="00FB11B3"/>
    <w:rsid w:val="00FB408D"/>
    <w:rsid w:val="00FB7E98"/>
    <w:rsid w:val="00FC5923"/>
    <w:rsid w:val="00FD3F7E"/>
    <w:rsid w:val="00FE4736"/>
    <w:rsid w:val="00FE4D79"/>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9D1"/>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paragraph" w:styleId="BalloonText">
    <w:name w:val="Balloon Text"/>
    <w:basedOn w:val="Normal"/>
    <w:link w:val="BalloonTextChar"/>
    <w:uiPriority w:val="99"/>
    <w:semiHidden/>
    <w:unhideWhenUsed/>
    <w:rsid w:val="00472040"/>
    <w:rPr>
      <w:rFonts w:ascii="Tahoma" w:hAnsi="Tahoma" w:cs="Tahoma"/>
      <w:sz w:val="16"/>
      <w:szCs w:val="16"/>
    </w:rPr>
  </w:style>
  <w:style w:type="character" w:customStyle="1" w:styleId="BalloonTextChar">
    <w:name w:val="Balloon Text Char"/>
    <w:link w:val="BalloonText"/>
    <w:uiPriority w:val="99"/>
    <w:semiHidden/>
    <w:rsid w:val="00472040"/>
    <w:rPr>
      <w:rFonts w:ascii="Tahoma" w:hAnsi="Tahoma" w:cs="Tahoma"/>
      <w:sz w:val="16"/>
      <w:szCs w:val="16"/>
    </w:rPr>
  </w:style>
  <w:style w:type="paragraph" w:styleId="ListParagraph">
    <w:name w:val="List Paragraph"/>
    <w:basedOn w:val="Normal"/>
    <w:uiPriority w:val="34"/>
    <w:qFormat/>
    <w:rsid w:val="00C5193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66E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0878"/>
    <w:rPr>
      <w:sz w:val="16"/>
      <w:szCs w:val="16"/>
    </w:rPr>
  </w:style>
  <w:style w:type="paragraph" w:styleId="CommentText">
    <w:name w:val="annotation text"/>
    <w:basedOn w:val="Normal"/>
    <w:link w:val="CommentTextChar"/>
    <w:uiPriority w:val="99"/>
    <w:semiHidden/>
    <w:unhideWhenUsed/>
    <w:rsid w:val="000D0878"/>
    <w:rPr>
      <w:sz w:val="20"/>
    </w:rPr>
  </w:style>
  <w:style w:type="character" w:customStyle="1" w:styleId="CommentTextChar">
    <w:name w:val="Comment Text Char"/>
    <w:basedOn w:val="DefaultParagraphFont"/>
    <w:link w:val="CommentText"/>
    <w:uiPriority w:val="99"/>
    <w:semiHidden/>
    <w:rsid w:val="000D0878"/>
  </w:style>
  <w:style w:type="paragraph" w:styleId="CommentSubject">
    <w:name w:val="annotation subject"/>
    <w:basedOn w:val="CommentText"/>
    <w:next w:val="CommentText"/>
    <w:link w:val="CommentSubjectChar"/>
    <w:uiPriority w:val="99"/>
    <w:semiHidden/>
    <w:unhideWhenUsed/>
    <w:rsid w:val="000D0878"/>
    <w:rPr>
      <w:b/>
      <w:bCs/>
    </w:rPr>
  </w:style>
  <w:style w:type="character" w:customStyle="1" w:styleId="CommentSubjectChar">
    <w:name w:val="Comment Subject Char"/>
    <w:basedOn w:val="CommentTextChar"/>
    <w:link w:val="CommentSubject"/>
    <w:uiPriority w:val="99"/>
    <w:semiHidden/>
    <w:rsid w:val="000D0878"/>
    <w:rPr>
      <w:b/>
      <w:bCs/>
    </w:rPr>
  </w:style>
  <w:style w:type="table" w:customStyle="1" w:styleId="TableGrid1">
    <w:name w:val="Table Grid1"/>
    <w:basedOn w:val="TableNormal"/>
    <w:next w:val="TableGrid"/>
    <w:uiPriority w:val="59"/>
    <w:rsid w:val="004364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9D1"/>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paragraph" w:styleId="BalloonText">
    <w:name w:val="Balloon Text"/>
    <w:basedOn w:val="Normal"/>
    <w:link w:val="BalloonTextChar"/>
    <w:uiPriority w:val="99"/>
    <w:semiHidden/>
    <w:unhideWhenUsed/>
    <w:rsid w:val="00472040"/>
    <w:rPr>
      <w:rFonts w:ascii="Tahoma" w:hAnsi="Tahoma" w:cs="Tahoma"/>
      <w:sz w:val="16"/>
      <w:szCs w:val="16"/>
    </w:rPr>
  </w:style>
  <w:style w:type="character" w:customStyle="1" w:styleId="BalloonTextChar">
    <w:name w:val="Balloon Text Char"/>
    <w:link w:val="BalloonText"/>
    <w:uiPriority w:val="99"/>
    <w:semiHidden/>
    <w:rsid w:val="00472040"/>
    <w:rPr>
      <w:rFonts w:ascii="Tahoma" w:hAnsi="Tahoma" w:cs="Tahoma"/>
      <w:sz w:val="16"/>
      <w:szCs w:val="16"/>
    </w:rPr>
  </w:style>
  <w:style w:type="paragraph" w:styleId="ListParagraph">
    <w:name w:val="List Paragraph"/>
    <w:basedOn w:val="Normal"/>
    <w:uiPriority w:val="34"/>
    <w:qFormat/>
    <w:rsid w:val="00C5193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66E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0878"/>
    <w:rPr>
      <w:sz w:val="16"/>
      <w:szCs w:val="16"/>
    </w:rPr>
  </w:style>
  <w:style w:type="paragraph" w:styleId="CommentText">
    <w:name w:val="annotation text"/>
    <w:basedOn w:val="Normal"/>
    <w:link w:val="CommentTextChar"/>
    <w:uiPriority w:val="99"/>
    <w:semiHidden/>
    <w:unhideWhenUsed/>
    <w:rsid w:val="000D0878"/>
    <w:rPr>
      <w:sz w:val="20"/>
    </w:rPr>
  </w:style>
  <w:style w:type="character" w:customStyle="1" w:styleId="CommentTextChar">
    <w:name w:val="Comment Text Char"/>
    <w:basedOn w:val="DefaultParagraphFont"/>
    <w:link w:val="CommentText"/>
    <w:uiPriority w:val="99"/>
    <w:semiHidden/>
    <w:rsid w:val="000D0878"/>
  </w:style>
  <w:style w:type="paragraph" w:styleId="CommentSubject">
    <w:name w:val="annotation subject"/>
    <w:basedOn w:val="CommentText"/>
    <w:next w:val="CommentText"/>
    <w:link w:val="CommentSubjectChar"/>
    <w:uiPriority w:val="99"/>
    <w:semiHidden/>
    <w:unhideWhenUsed/>
    <w:rsid w:val="000D0878"/>
    <w:rPr>
      <w:b/>
      <w:bCs/>
    </w:rPr>
  </w:style>
  <w:style w:type="character" w:customStyle="1" w:styleId="CommentSubjectChar">
    <w:name w:val="Comment Subject Char"/>
    <w:basedOn w:val="CommentTextChar"/>
    <w:link w:val="CommentSubject"/>
    <w:uiPriority w:val="99"/>
    <w:semiHidden/>
    <w:rsid w:val="000D0878"/>
    <w:rPr>
      <w:b/>
      <w:bCs/>
    </w:rPr>
  </w:style>
  <w:style w:type="table" w:customStyle="1" w:styleId="TableGrid1">
    <w:name w:val="Table Grid1"/>
    <w:basedOn w:val="TableNormal"/>
    <w:next w:val="TableGrid"/>
    <w:uiPriority w:val="59"/>
    <w:rsid w:val="004364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2195">
      <w:bodyDiv w:val="1"/>
      <w:marLeft w:val="0"/>
      <w:marRight w:val="0"/>
      <w:marTop w:val="0"/>
      <w:marBottom w:val="0"/>
      <w:divBdr>
        <w:top w:val="none" w:sz="0" w:space="0" w:color="auto"/>
        <w:left w:val="none" w:sz="0" w:space="0" w:color="auto"/>
        <w:bottom w:val="none" w:sz="0" w:space="0" w:color="auto"/>
        <w:right w:val="none" w:sz="0" w:space="0" w:color="auto"/>
      </w:divBdr>
    </w:div>
    <w:div w:id="138888276">
      <w:bodyDiv w:val="1"/>
      <w:marLeft w:val="0"/>
      <w:marRight w:val="0"/>
      <w:marTop w:val="0"/>
      <w:marBottom w:val="0"/>
      <w:divBdr>
        <w:top w:val="none" w:sz="0" w:space="0" w:color="auto"/>
        <w:left w:val="none" w:sz="0" w:space="0" w:color="auto"/>
        <w:bottom w:val="none" w:sz="0" w:space="0" w:color="auto"/>
        <w:right w:val="none" w:sz="0" w:space="0" w:color="auto"/>
      </w:divBdr>
    </w:div>
    <w:div w:id="145245038">
      <w:bodyDiv w:val="1"/>
      <w:marLeft w:val="0"/>
      <w:marRight w:val="0"/>
      <w:marTop w:val="0"/>
      <w:marBottom w:val="0"/>
      <w:divBdr>
        <w:top w:val="none" w:sz="0" w:space="0" w:color="auto"/>
        <w:left w:val="none" w:sz="0" w:space="0" w:color="auto"/>
        <w:bottom w:val="none" w:sz="0" w:space="0" w:color="auto"/>
        <w:right w:val="none" w:sz="0" w:space="0" w:color="auto"/>
      </w:divBdr>
    </w:div>
    <w:div w:id="159203626">
      <w:bodyDiv w:val="1"/>
      <w:marLeft w:val="0"/>
      <w:marRight w:val="0"/>
      <w:marTop w:val="0"/>
      <w:marBottom w:val="0"/>
      <w:divBdr>
        <w:top w:val="none" w:sz="0" w:space="0" w:color="auto"/>
        <w:left w:val="none" w:sz="0" w:space="0" w:color="auto"/>
        <w:bottom w:val="none" w:sz="0" w:space="0" w:color="auto"/>
        <w:right w:val="none" w:sz="0" w:space="0" w:color="auto"/>
      </w:divBdr>
    </w:div>
    <w:div w:id="167986271">
      <w:bodyDiv w:val="1"/>
      <w:marLeft w:val="0"/>
      <w:marRight w:val="0"/>
      <w:marTop w:val="0"/>
      <w:marBottom w:val="0"/>
      <w:divBdr>
        <w:top w:val="none" w:sz="0" w:space="0" w:color="auto"/>
        <w:left w:val="none" w:sz="0" w:space="0" w:color="auto"/>
        <w:bottom w:val="none" w:sz="0" w:space="0" w:color="auto"/>
        <w:right w:val="none" w:sz="0" w:space="0" w:color="auto"/>
      </w:divBdr>
    </w:div>
    <w:div w:id="201943978">
      <w:bodyDiv w:val="1"/>
      <w:marLeft w:val="0"/>
      <w:marRight w:val="0"/>
      <w:marTop w:val="0"/>
      <w:marBottom w:val="0"/>
      <w:divBdr>
        <w:top w:val="none" w:sz="0" w:space="0" w:color="auto"/>
        <w:left w:val="none" w:sz="0" w:space="0" w:color="auto"/>
        <w:bottom w:val="none" w:sz="0" w:space="0" w:color="auto"/>
        <w:right w:val="none" w:sz="0" w:space="0" w:color="auto"/>
      </w:divBdr>
    </w:div>
    <w:div w:id="202905148">
      <w:bodyDiv w:val="1"/>
      <w:marLeft w:val="0"/>
      <w:marRight w:val="0"/>
      <w:marTop w:val="0"/>
      <w:marBottom w:val="0"/>
      <w:divBdr>
        <w:top w:val="none" w:sz="0" w:space="0" w:color="auto"/>
        <w:left w:val="none" w:sz="0" w:space="0" w:color="auto"/>
        <w:bottom w:val="none" w:sz="0" w:space="0" w:color="auto"/>
        <w:right w:val="none" w:sz="0" w:space="0" w:color="auto"/>
      </w:divBdr>
    </w:div>
    <w:div w:id="226190575">
      <w:bodyDiv w:val="1"/>
      <w:marLeft w:val="0"/>
      <w:marRight w:val="0"/>
      <w:marTop w:val="0"/>
      <w:marBottom w:val="0"/>
      <w:divBdr>
        <w:top w:val="none" w:sz="0" w:space="0" w:color="auto"/>
        <w:left w:val="none" w:sz="0" w:space="0" w:color="auto"/>
        <w:bottom w:val="none" w:sz="0" w:space="0" w:color="auto"/>
        <w:right w:val="none" w:sz="0" w:space="0" w:color="auto"/>
      </w:divBdr>
    </w:div>
    <w:div w:id="231086354">
      <w:bodyDiv w:val="1"/>
      <w:marLeft w:val="0"/>
      <w:marRight w:val="0"/>
      <w:marTop w:val="0"/>
      <w:marBottom w:val="0"/>
      <w:divBdr>
        <w:top w:val="none" w:sz="0" w:space="0" w:color="auto"/>
        <w:left w:val="none" w:sz="0" w:space="0" w:color="auto"/>
        <w:bottom w:val="none" w:sz="0" w:space="0" w:color="auto"/>
        <w:right w:val="none" w:sz="0" w:space="0" w:color="auto"/>
      </w:divBdr>
    </w:div>
    <w:div w:id="282925118">
      <w:bodyDiv w:val="1"/>
      <w:marLeft w:val="0"/>
      <w:marRight w:val="0"/>
      <w:marTop w:val="0"/>
      <w:marBottom w:val="0"/>
      <w:divBdr>
        <w:top w:val="none" w:sz="0" w:space="0" w:color="auto"/>
        <w:left w:val="none" w:sz="0" w:space="0" w:color="auto"/>
        <w:bottom w:val="none" w:sz="0" w:space="0" w:color="auto"/>
        <w:right w:val="none" w:sz="0" w:space="0" w:color="auto"/>
      </w:divBdr>
    </w:div>
    <w:div w:id="298073383">
      <w:bodyDiv w:val="1"/>
      <w:marLeft w:val="0"/>
      <w:marRight w:val="0"/>
      <w:marTop w:val="0"/>
      <w:marBottom w:val="0"/>
      <w:divBdr>
        <w:top w:val="none" w:sz="0" w:space="0" w:color="auto"/>
        <w:left w:val="none" w:sz="0" w:space="0" w:color="auto"/>
        <w:bottom w:val="none" w:sz="0" w:space="0" w:color="auto"/>
        <w:right w:val="none" w:sz="0" w:space="0" w:color="auto"/>
      </w:divBdr>
    </w:div>
    <w:div w:id="300499965">
      <w:bodyDiv w:val="1"/>
      <w:marLeft w:val="0"/>
      <w:marRight w:val="0"/>
      <w:marTop w:val="0"/>
      <w:marBottom w:val="0"/>
      <w:divBdr>
        <w:top w:val="none" w:sz="0" w:space="0" w:color="auto"/>
        <w:left w:val="none" w:sz="0" w:space="0" w:color="auto"/>
        <w:bottom w:val="none" w:sz="0" w:space="0" w:color="auto"/>
        <w:right w:val="none" w:sz="0" w:space="0" w:color="auto"/>
      </w:divBdr>
    </w:div>
    <w:div w:id="301468466">
      <w:bodyDiv w:val="1"/>
      <w:marLeft w:val="0"/>
      <w:marRight w:val="0"/>
      <w:marTop w:val="0"/>
      <w:marBottom w:val="0"/>
      <w:divBdr>
        <w:top w:val="none" w:sz="0" w:space="0" w:color="auto"/>
        <w:left w:val="none" w:sz="0" w:space="0" w:color="auto"/>
        <w:bottom w:val="none" w:sz="0" w:space="0" w:color="auto"/>
        <w:right w:val="none" w:sz="0" w:space="0" w:color="auto"/>
      </w:divBdr>
    </w:div>
    <w:div w:id="309017030">
      <w:bodyDiv w:val="1"/>
      <w:marLeft w:val="0"/>
      <w:marRight w:val="0"/>
      <w:marTop w:val="0"/>
      <w:marBottom w:val="0"/>
      <w:divBdr>
        <w:top w:val="none" w:sz="0" w:space="0" w:color="auto"/>
        <w:left w:val="none" w:sz="0" w:space="0" w:color="auto"/>
        <w:bottom w:val="none" w:sz="0" w:space="0" w:color="auto"/>
        <w:right w:val="none" w:sz="0" w:space="0" w:color="auto"/>
      </w:divBdr>
    </w:div>
    <w:div w:id="320012386">
      <w:bodyDiv w:val="1"/>
      <w:marLeft w:val="0"/>
      <w:marRight w:val="0"/>
      <w:marTop w:val="0"/>
      <w:marBottom w:val="0"/>
      <w:divBdr>
        <w:top w:val="none" w:sz="0" w:space="0" w:color="auto"/>
        <w:left w:val="none" w:sz="0" w:space="0" w:color="auto"/>
        <w:bottom w:val="none" w:sz="0" w:space="0" w:color="auto"/>
        <w:right w:val="none" w:sz="0" w:space="0" w:color="auto"/>
      </w:divBdr>
    </w:div>
    <w:div w:id="332605641">
      <w:bodyDiv w:val="1"/>
      <w:marLeft w:val="0"/>
      <w:marRight w:val="0"/>
      <w:marTop w:val="0"/>
      <w:marBottom w:val="0"/>
      <w:divBdr>
        <w:top w:val="none" w:sz="0" w:space="0" w:color="auto"/>
        <w:left w:val="none" w:sz="0" w:space="0" w:color="auto"/>
        <w:bottom w:val="none" w:sz="0" w:space="0" w:color="auto"/>
        <w:right w:val="none" w:sz="0" w:space="0" w:color="auto"/>
      </w:divBdr>
    </w:div>
    <w:div w:id="341778871">
      <w:bodyDiv w:val="1"/>
      <w:marLeft w:val="0"/>
      <w:marRight w:val="0"/>
      <w:marTop w:val="0"/>
      <w:marBottom w:val="0"/>
      <w:divBdr>
        <w:top w:val="none" w:sz="0" w:space="0" w:color="auto"/>
        <w:left w:val="none" w:sz="0" w:space="0" w:color="auto"/>
        <w:bottom w:val="none" w:sz="0" w:space="0" w:color="auto"/>
        <w:right w:val="none" w:sz="0" w:space="0" w:color="auto"/>
      </w:divBdr>
    </w:div>
    <w:div w:id="400713386">
      <w:bodyDiv w:val="1"/>
      <w:marLeft w:val="0"/>
      <w:marRight w:val="0"/>
      <w:marTop w:val="0"/>
      <w:marBottom w:val="0"/>
      <w:divBdr>
        <w:top w:val="none" w:sz="0" w:space="0" w:color="auto"/>
        <w:left w:val="none" w:sz="0" w:space="0" w:color="auto"/>
        <w:bottom w:val="none" w:sz="0" w:space="0" w:color="auto"/>
        <w:right w:val="none" w:sz="0" w:space="0" w:color="auto"/>
      </w:divBdr>
    </w:div>
    <w:div w:id="427430718">
      <w:bodyDiv w:val="1"/>
      <w:marLeft w:val="0"/>
      <w:marRight w:val="0"/>
      <w:marTop w:val="0"/>
      <w:marBottom w:val="0"/>
      <w:divBdr>
        <w:top w:val="none" w:sz="0" w:space="0" w:color="auto"/>
        <w:left w:val="none" w:sz="0" w:space="0" w:color="auto"/>
        <w:bottom w:val="none" w:sz="0" w:space="0" w:color="auto"/>
        <w:right w:val="none" w:sz="0" w:space="0" w:color="auto"/>
      </w:divBdr>
    </w:div>
    <w:div w:id="428551397">
      <w:bodyDiv w:val="1"/>
      <w:marLeft w:val="0"/>
      <w:marRight w:val="0"/>
      <w:marTop w:val="0"/>
      <w:marBottom w:val="0"/>
      <w:divBdr>
        <w:top w:val="none" w:sz="0" w:space="0" w:color="auto"/>
        <w:left w:val="none" w:sz="0" w:space="0" w:color="auto"/>
        <w:bottom w:val="none" w:sz="0" w:space="0" w:color="auto"/>
        <w:right w:val="none" w:sz="0" w:space="0" w:color="auto"/>
      </w:divBdr>
    </w:div>
    <w:div w:id="442581055">
      <w:bodyDiv w:val="1"/>
      <w:marLeft w:val="0"/>
      <w:marRight w:val="0"/>
      <w:marTop w:val="0"/>
      <w:marBottom w:val="0"/>
      <w:divBdr>
        <w:top w:val="none" w:sz="0" w:space="0" w:color="auto"/>
        <w:left w:val="none" w:sz="0" w:space="0" w:color="auto"/>
        <w:bottom w:val="none" w:sz="0" w:space="0" w:color="auto"/>
        <w:right w:val="none" w:sz="0" w:space="0" w:color="auto"/>
      </w:divBdr>
    </w:div>
    <w:div w:id="487212207">
      <w:bodyDiv w:val="1"/>
      <w:marLeft w:val="0"/>
      <w:marRight w:val="0"/>
      <w:marTop w:val="0"/>
      <w:marBottom w:val="0"/>
      <w:divBdr>
        <w:top w:val="none" w:sz="0" w:space="0" w:color="auto"/>
        <w:left w:val="none" w:sz="0" w:space="0" w:color="auto"/>
        <w:bottom w:val="none" w:sz="0" w:space="0" w:color="auto"/>
        <w:right w:val="none" w:sz="0" w:space="0" w:color="auto"/>
      </w:divBdr>
    </w:div>
    <w:div w:id="500051774">
      <w:bodyDiv w:val="1"/>
      <w:marLeft w:val="0"/>
      <w:marRight w:val="0"/>
      <w:marTop w:val="0"/>
      <w:marBottom w:val="0"/>
      <w:divBdr>
        <w:top w:val="none" w:sz="0" w:space="0" w:color="auto"/>
        <w:left w:val="none" w:sz="0" w:space="0" w:color="auto"/>
        <w:bottom w:val="none" w:sz="0" w:space="0" w:color="auto"/>
        <w:right w:val="none" w:sz="0" w:space="0" w:color="auto"/>
      </w:divBdr>
    </w:div>
    <w:div w:id="509024157">
      <w:bodyDiv w:val="1"/>
      <w:marLeft w:val="0"/>
      <w:marRight w:val="0"/>
      <w:marTop w:val="0"/>
      <w:marBottom w:val="0"/>
      <w:divBdr>
        <w:top w:val="none" w:sz="0" w:space="0" w:color="auto"/>
        <w:left w:val="none" w:sz="0" w:space="0" w:color="auto"/>
        <w:bottom w:val="none" w:sz="0" w:space="0" w:color="auto"/>
        <w:right w:val="none" w:sz="0" w:space="0" w:color="auto"/>
      </w:divBdr>
    </w:div>
    <w:div w:id="543106814">
      <w:bodyDiv w:val="1"/>
      <w:marLeft w:val="0"/>
      <w:marRight w:val="0"/>
      <w:marTop w:val="0"/>
      <w:marBottom w:val="0"/>
      <w:divBdr>
        <w:top w:val="none" w:sz="0" w:space="0" w:color="auto"/>
        <w:left w:val="none" w:sz="0" w:space="0" w:color="auto"/>
        <w:bottom w:val="none" w:sz="0" w:space="0" w:color="auto"/>
        <w:right w:val="none" w:sz="0" w:space="0" w:color="auto"/>
      </w:divBdr>
    </w:div>
    <w:div w:id="552429831">
      <w:bodyDiv w:val="1"/>
      <w:marLeft w:val="0"/>
      <w:marRight w:val="0"/>
      <w:marTop w:val="0"/>
      <w:marBottom w:val="0"/>
      <w:divBdr>
        <w:top w:val="none" w:sz="0" w:space="0" w:color="auto"/>
        <w:left w:val="none" w:sz="0" w:space="0" w:color="auto"/>
        <w:bottom w:val="none" w:sz="0" w:space="0" w:color="auto"/>
        <w:right w:val="none" w:sz="0" w:space="0" w:color="auto"/>
      </w:divBdr>
    </w:div>
    <w:div w:id="578565495">
      <w:bodyDiv w:val="1"/>
      <w:marLeft w:val="0"/>
      <w:marRight w:val="0"/>
      <w:marTop w:val="0"/>
      <w:marBottom w:val="0"/>
      <w:divBdr>
        <w:top w:val="none" w:sz="0" w:space="0" w:color="auto"/>
        <w:left w:val="none" w:sz="0" w:space="0" w:color="auto"/>
        <w:bottom w:val="none" w:sz="0" w:space="0" w:color="auto"/>
        <w:right w:val="none" w:sz="0" w:space="0" w:color="auto"/>
      </w:divBdr>
    </w:div>
    <w:div w:id="586352200">
      <w:bodyDiv w:val="1"/>
      <w:marLeft w:val="0"/>
      <w:marRight w:val="0"/>
      <w:marTop w:val="0"/>
      <w:marBottom w:val="0"/>
      <w:divBdr>
        <w:top w:val="none" w:sz="0" w:space="0" w:color="auto"/>
        <w:left w:val="none" w:sz="0" w:space="0" w:color="auto"/>
        <w:bottom w:val="none" w:sz="0" w:space="0" w:color="auto"/>
        <w:right w:val="none" w:sz="0" w:space="0" w:color="auto"/>
      </w:divBdr>
    </w:div>
    <w:div w:id="641891343">
      <w:bodyDiv w:val="1"/>
      <w:marLeft w:val="0"/>
      <w:marRight w:val="0"/>
      <w:marTop w:val="0"/>
      <w:marBottom w:val="0"/>
      <w:divBdr>
        <w:top w:val="none" w:sz="0" w:space="0" w:color="auto"/>
        <w:left w:val="none" w:sz="0" w:space="0" w:color="auto"/>
        <w:bottom w:val="none" w:sz="0" w:space="0" w:color="auto"/>
        <w:right w:val="none" w:sz="0" w:space="0" w:color="auto"/>
      </w:divBdr>
    </w:div>
    <w:div w:id="658656845">
      <w:bodyDiv w:val="1"/>
      <w:marLeft w:val="0"/>
      <w:marRight w:val="0"/>
      <w:marTop w:val="0"/>
      <w:marBottom w:val="0"/>
      <w:divBdr>
        <w:top w:val="none" w:sz="0" w:space="0" w:color="auto"/>
        <w:left w:val="none" w:sz="0" w:space="0" w:color="auto"/>
        <w:bottom w:val="none" w:sz="0" w:space="0" w:color="auto"/>
        <w:right w:val="none" w:sz="0" w:space="0" w:color="auto"/>
      </w:divBdr>
    </w:div>
    <w:div w:id="675034500">
      <w:bodyDiv w:val="1"/>
      <w:marLeft w:val="0"/>
      <w:marRight w:val="0"/>
      <w:marTop w:val="0"/>
      <w:marBottom w:val="0"/>
      <w:divBdr>
        <w:top w:val="none" w:sz="0" w:space="0" w:color="auto"/>
        <w:left w:val="none" w:sz="0" w:space="0" w:color="auto"/>
        <w:bottom w:val="none" w:sz="0" w:space="0" w:color="auto"/>
        <w:right w:val="none" w:sz="0" w:space="0" w:color="auto"/>
      </w:divBdr>
    </w:div>
    <w:div w:id="707023867">
      <w:bodyDiv w:val="1"/>
      <w:marLeft w:val="0"/>
      <w:marRight w:val="0"/>
      <w:marTop w:val="0"/>
      <w:marBottom w:val="0"/>
      <w:divBdr>
        <w:top w:val="none" w:sz="0" w:space="0" w:color="auto"/>
        <w:left w:val="none" w:sz="0" w:space="0" w:color="auto"/>
        <w:bottom w:val="none" w:sz="0" w:space="0" w:color="auto"/>
        <w:right w:val="none" w:sz="0" w:space="0" w:color="auto"/>
      </w:divBdr>
    </w:div>
    <w:div w:id="736629043">
      <w:bodyDiv w:val="1"/>
      <w:marLeft w:val="0"/>
      <w:marRight w:val="0"/>
      <w:marTop w:val="0"/>
      <w:marBottom w:val="0"/>
      <w:divBdr>
        <w:top w:val="none" w:sz="0" w:space="0" w:color="auto"/>
        <w:left w:val="none" w:sz="0" w:space="0" w:color="auto"/>
        <w:bottom w:val="none" w:sz="0" w:space="0" w:color="auto"/>
        <w:right w:val="none" w:sz="0" w:space="0" w:color="auto"/>
      </w:divBdr>
    </w:div>
    <w:div w:id="761296691">
      <w:bodyDiv w:val="1"/>
      <w:marLeft w:val="0"/>
      <w:marRight w:val="0"/>
      <w:marTop w:val="0"/>
      <w:marBottom w:val="0"/>
      <w:divBdr>
        <w:top w:val="none" w:sz="0" w:space="0" w:color="auto"/>
        <w:left w:val="none" w:sz="0" w:space="0" w:color="auto"/>
        <w:bottom w:val="none" w:sz="0" w:space="0" w:color="auto"/>
        <w:right w:val="none" w:sz="0" w:space="0" w:color="auto"/>
      </w:divBdr>
    </w:div>
    <w:div w:id="764113712">
      <w:bodyDiv w:val="1"/>
      <w:marLeft w:val="0"/>
      <w:marRight w:val="0"/>
      <w:marTop w:val="0"/>
      <w:marBottom w:val="0"/>
      <w:divBdr>
        <w:top w:val="none" w:sz="0" w:space="0" w:color="auto"/>
        <w:left w:val="none" w:sz="0" w:space="0" w:color="auto"/>
        <w:bottom w:val="none" w:sz="0" w:space="0" w:color="auto"/>
        <w:right w:val="none" w:sz="0" w:space="0" w:color="auto"/>
      </w:divBdr>
    </w:div>
    <w:div w:id="771167131">
      <w:bodyDiv w:val="1"/>
      <w:marLeft w:val="0"/>
      <w:marRight w:val="0"/>
      <w:marTop w:val="0"/>
      <w:marBottom w:val="0"/>
      <w:divBdr>
        <w:top w:val="none" w:sz="0" w:space="0" w:color="auto"/>
        <w:left w:val="none" w:sz="0" w:space="0" w:color="auto"/>
        <w:bottom w:val="none" w:sz="0" w:space="0" w:color="auto"/>
        <w:right w:val="none" w:sz="0" w:space="0" w:color="auto"/>
      </w:divBdr>
    </w:div>
    <w:div w:id="782461193">
      <w:bodyDiv w:val="1"/>
      <w:marLeft w:val="0"/>
      <w:marRight w:val="0"/>
      <w:marTop w:val="0"/>
      <w:marBottom w:val="0"/>
      <w:divBdr>
        <w:top w:val="none" w:sz="0" w:space="0" w:color="auto"/>
        <w:left w:val="none" w:sz="0" w:space="0" w:color="auto"/>
        <w:bottom w:val="none" w:sz="0" w:space="0" w:color="auto"/>
        <w:right w:val="none" w:sz="0" w:space="0" w:color="auto"/>
      </w:divBdr>
    </w:div>
    <w:div w:id="788546677">
      <w:bodyDiv w:val="1"/>
      <w:marLeft w:val="0"/>
      <w:marRight w:val="0"/>
      <w:marTop w:val="0"/>
      <w:marBottom w:val="0"/>
      <w:divBdr>
        <w:top w:val="none" w:sz="0" w:space="0" w:color="auto"/>
        <w:left w:val="none" w:sz="0" w:space="0" w:color="auto"/>
        <w:bottom w:val="none" w:sz="0" w:space="0" w:color="auto"/>
        <w:right w:val="none" w:sz="0" w:space="0" w:color="auto"/>
      </w:divBdr>
    </w:div>
    <w:div w:id="800146640">
      <w:bodyDiv w:val="1"/>
      <w:marLeft w:val="0"/>
      <w:marRight w:val="0"/>
      <w:marTop w:val="0"/>
      <w:marBottom w:val="0"/>
      <w:divBdr>
        <w:top w:val="none" w:sz="0" w:space="0" w:color="auto"/>
        <w:left w:val="none" w:sz="0" w:space="0" w:color="auto"/>
        <w:bottom w:val="none" w:sz="0" w:space="0" w:color="auto"/>
        <w:right w:val="none" w:sz="0" w:space="0" w:color="auto"/>
      </w:divBdr>
    </w:div>
    <w:div w:id="807094713">
      <w:bodyDiv w:val="1"/>
      <w:marLeft w:val="0"/>
      <w:marRight w:val="0"/>
      <w:marTop w:val="0"/>
      <w:marBottom w:val="0"/>
      <w:divBdr>
        <w:top w:val="none" w:sz="0" w:space="0" w:color="auto"/>
        <w:left w:val="none" w:sz="0" w:space="0" w:color="auto"/>
        <w:bottom w:val="none" w:sz="0" w:space="0" w:color="auto"/>
        <w:right w:val="none" w:sz="0" w:space="0" w:color="auto"/>
      </w:divBdr>
    </w:div>
    <w:div w:id="864095465">
      <w:bodyDiv w:val="1"/>
      <w:marLeft w:val="0"/>
      <w:marRight w:val="0"/>
      <w:marTop w:val="0"/>
      <w:marBottom w:val="0"/>
      <w:divBdr>
        <w:top w:val="none" w:sz="0" w:space="0" w:color="auto"/>
        <w:left w:val="none" w:sz="0" w:space="0" w:color="auto"/>
        <w:bottom w:val="none" w:sz="0" w:space="0" w:color="auto"/>
        <w:right w:val="none" w:sz="0" w:space="0" w:color="auto"/>
      </w:divBdr>
    </w:div>
    <w:div w:id="883712576">
      <w:bodyDiv w:val="1"/>
      <w:marLeft w:val="0"/>
      <w:marRight w:val="0"/>
      <w:marTop w:val="0"/>
      <w:marBottom w:val="0"/>
      <w:divBdr>
        <w:top w:val="none" w:sz="0" w:space="0" w:color="auto"/>
        <w:left w:val="none" w:sz="0" w:space="0" w:color="auto"/>
        <w:bottom w:val="none" w:sz="0" w:space="0" w:color="auto"/>
        <w:right w:val="none" w:sz="0" w:space="0" w:color="auto"/>
      </w:divBdr>
    </w:div>
    <w:div w:id="918978295">
      <w:bodyDiv w:val="1"/>
      <w:marLeft w:val="0"/>
      <w:marRight w:val="0"/>
      <w:marTop w:val="0"/>
      <w:marBottom w:val="0"/>
      <w:divBdr>
        <w:top w:val="none" w:sz="0" w:space="0" w:color="auto"/>
        <w:left w:val="none" w:sz="0" w:space="0" w:color="auto"/>
        <w:bottom w:val="none" w:sz="0" w:space="0" w:color="auto"/>
        <w:right w:val="none" w:sz="0" w:space="0" w:color="auto"/>
      </w:divBdr>
    </w:div>
    <w:div w:id="923345867">
      <w:bodyDiv w:val="1"/>
      <w:marLeft w:val="0"/>
      <w:marRight w:val="0"/>
      <w:marTop w:val="0"/>
      <w:marBottom w:val="0"/>
      <w:divBdr>
        <w:top w:val="none" w:sz="0" w:space="0" w:color="auto"/>
        <w:left w:val="none" w:sz="0" w:space="0" w:color="auto"/>
        <w:bottom w:val="none" w:sz="0" w:space="0" w:color="auto"/>
        <w:right w:val="none" w:sz="0" w:space="0" w:color="auto"/>
      </w:divBdr>
    </w:div>
    <w:div w:id="938759144">
      <w:bodyDiv w:val="1"/>
      <w:marLeft w:val="0"/>
      <w:marRight w:val="0"/>
      <w:marTop w:val="0"/>
      <w:marBottom w:val="0"/>
      <w:divBdr>
        <w:top w:val="none" w:sz="0" w:space="0" w:color="auto"/>
        <w:left w:val="none" w:sz="0" w:space="0" w:color="auto"/>
        <w:bottom w:val="none" w:sz="0" w:space="0" w:color="auto"/>
        <w:right w:val="none" w:sz="0" w:space="0" w:color="auto"/>
      </w:divBdr>
    </w:div>
    <w:div w:id="943076195">
      <w:bodyDiv w:val="1"/>
      <w:marLeft w:val="0"/>
      <w:marRight w:val="0"/>
      <w:marTop w:val="0"/>
      <w:marBottom w:val="0"/>
      <w:divBdr>
        <w:top w:val="none" w:sz="0" w:space="0" w:color="auto"/>
        <w:left w:val="none" w:sz="0" w:space="0" w:color="auto"/>
        <w:bottom w:val="none" w:sz="0" w:space="0" w:color="auto"/>
        <w:right w:val="none" w:sz="0" w:space="0" w:color="auto"/>
      </w:divBdr>
    </w:div>
    <w:div w:id="967510151">
      <w:bodyDiv w:val="1"/>
      <w:marLeft w:val="0"/>
      <w:marRight w:val="0"/>
      <w:marTop w:val="0"/>
      <w:marBottom w:val="0"/>
      <w:divBdr>
        <w:top w:val="none" w:sz="0" w:space="0" w:color="auto"/>
        <w:left w:val="none" w:sz="0" w:space="0" w:color="auto"/>
        <w:bottom w:val="none" w:sz="0" w:space="0" w:color="auto"/>
        <w:right w:val="none" w:sz="0" w:space="0" w:color="auto"/>
      </w:divBdr>
    </w:div>
    <w:div w:id="979647480">
      <w:bodyDiv w:val="1"/>
      <w:marLeft w:val="0"/>
      <w:marRight w:val="0"/>
      <w:marTop w:val="0"/>
      <w:marBottom w:val="0"/>
      <w:divBdr>
        <w:top w:val="none" w:sz="0" w:space="0" w:color="auto"/>
        <w:left w:val="none" w:sz="0" w:space="0" w:color="auto"/>
        <w:bottom w:val="none" w:sz="0" w:space="0" w:color="auto"/>
        <w:right w:val="none" w:sz="0" w:space="0" w:color="auto"/>
      </w:divBdr>
    </w:div>
    <w:div w:id="1003705210">
      <w:bodyDiv w:val="1"/>
      <w:marLeft w:val="0"/>
      <w:marRight w:val="0"/>
      <w:marTop w:val="0"/>
      <w:marBottom w:val="0"/>
      <w:divBdr>
        <w:top w:val="none" w:sz="0" w:space="0" w:color="auto"/>
        <w:left w:val="none" w:sz="0" w:space="0" w:color="auto"/>
        <w:bottom w:val="none" w:sz="0" w:space="0" w:color="auto"/>
        <w:right w:val="none" w:sz="0" w:space="0" w:color="auto"/>
      </w:divBdr>
    </w:div>
    <w:div w:id="1005786341">
      <w:bodyDiv w:val="1"/>
      <w:marLeft w:val="0"/>
      <w:marRight w:val="0"/>
      <w:marTop w:val="0"/>
      <w:marBottom w:val="0"/>
      <w:divBdr>
        <w:top w:val="none" w:sz="0" w:space="0" w:color="auto"/>
        <w:left w:val="none" w:sz="0" w:space="0" w:color="auto"/>
        <w:bottom w:val="none" w:sz="0" w:space="0" w:color="auto"/>
        <w:right w:val="none" w:sz="0" w:space="0" w:color="auto"/>
      </w:divBdr>
    </w:div>
    <w:div w:id="1030493468">
      <w:bodyDiv w:val="1"/>
      <w:marLeft w:val="0"/>
      <w:marRight w:val="0"/>
      <w:marTop w:val="0"/>
      <w:marBottom w:val="0"/>
      <w:divBdr>
        <w:top w:val="none" w:sz="0" w:space="0" w:color="auto"/>
        <w:left w:val="none" w:sz="0" w:space="0" w:color="auto"/>
        <w:bottom w:val="none" w:sz="0" w:space="0" w:color="auto"/>
        <w:right w:val="none" w:sz="0" w:space="0" w:color="auto"/>
      </w:divBdr>
    </w:div>
    <w:div w:id="1046221852">
      <w:bodyDiv w:val="1"/>
      <w:marLeft w:val="0"/>
      <w:marRight w:val="0"/>
      <w:marTop w:val="0"/>
      <w:marBottom w:val="0"/>
      <w:divBdr>
        <w:top w:val="none" w:sz="0" w:space="0" w:color="auto"/>
        <w:left w:val="none" w:sz="0" w:space="0" w:color="auto"/>
        <w:bottom w:val="none" w:sz="0" w:space="0" w:color="auto"/>
        <w:right w:val="none" w:sz="0" w:space="0" w:color="auto"/>
      </w:divBdr>
    </w:div>
    <w:div w:id="1070229875">
      <w:bodyDiv w:val="1"/>
      <w:marLeft w:val="0"/>
      <w:marRight w:val="0"/>
      <w:marTop w:val="0"/>
      <w:marBottom w:val="0"/>
      <w:divBdr>
        <w:top w:val="none" w:sz="0" w:space="0" w:color="auto"/>
        <w:left w:val="none" w:sz="0" w:space="0" w:color="auto"/>
        <w:bottom w:val="none" w:sz="0" w:space="0" w:color="auto"/>
        <w:right w:val="none" w:sz="0" w:space="0" w:color="auto"/>
      </w:divBdr>
    </w:div>
    <w:div w:id="1091269548">
      <w:bodyDiv w:val="1"/>
      <w:marLeft w:val="0"/>
      <w:marRight w:val="0"/>
      <w:marTop w:val="0"/>
      <w:marBottom w:val="0"/>
      <w:divBdr>
        <w:top w:val="none" w:sz="0" w:space="0" w:color="auto"/>
        <w:left w:val="none" w:sz="0" w:space="0" w:color="auto"/>
        <w:bottom w:val="none" w:sz="0" w:space="0" w:color="auto"/>
        <w:right w:val="none" w:sz="0" w:space="0" w:color="auto"/>
      </w:divBdr>
    </w:div>
    <w:div w:id="1101218852">
      <w:bodyDiv w:val="1"/>
      <w:marLeft w:val="0"/>
      <w:marRight w:val="0"/>
      <w:marTop w:val="0"/>
      <w:marBottom w:val="0"/>
      <w:divBdr>
        <w:top w:val="none" w:sz="0" w:space="0" w:color="auto"/>
        <w:left w:val="none" w:sz="0" w:space="0" w:color="auto"/>
        <w:bottom w:val="none" w:sz="0" w:space="0" w:color="auto"/>
        <w:right w:val="none" w:sz="0" w:space="0" w:color="auto"/>
      </w:divBdr>
    </w:div>
    <w:div w:id="1154642365">
      <w:bodyDiv w:val="1"/>
      <w:marLeft w:val="0"/>
      <w:marRight w:val="0"/>
      <w:marTop w:val="0"/>
      <w:marBottom w:val="0"/>
      <w:divBdr>
        <w:top w:val="none" w:sz="0" w:space="0" w:color="auto"/>
        <w:left w:val="none" w:sz="0" w:space="0" w:color="auto"/>
        <w:bottom w:val="none" w:sz="0" w:space="0" w:color="auto"/>
        <w:right w:val="none" w:sz="0" w:space="0" w:color="auto"/>
      </w:divBdr>
    </w:div>
    <w:div w:id="1162501373">
      <w:bodyDiv w:val="1"/>
      <w:marLeft w:val="0"/>
      <w:marRight w:val="0"/>
      <w:marTop w:val="0"/>
      <w:marBottom w:val="0"/>
      <w:divBdr>
        <w:top w:val="none" w:sz="0" w:space="0" w:color="auto"/>
        <w:left w:val="none" w:sz="0" w:space="0" w:color="auto"/>
        <w:bottom w:val="none" w:sz="0" w:space="0" w:color="auto"/>
        <w:right w:val="none" w:sz="0" w:space="0" w:color="auto"/>
      </w:divBdr>
    </w:div>
    <w:div w:id="1164903397">
      <w:bodyDiv w:val="1"/>
      <w:marLeft w:val="0"/>
      <w:marRight w:val="0"/>
      <w:marTop w:val="0"/>
      <w:marBottom w:val="0"/>
      <w:divBdr>
        <w:top w:val="none" w:sz="0" w:space="0" w:color="auto"/>
        <w:left w:val="none" w:sz="0" w:space="0" w:color="auto"/>
        <w:bottom w:val="none" w:sz="0" w:space="0" w:color="auto"/>
        <w:right w:val="none" w:sz="0" w:space="0" w:color="auto"/>
      </w:divBdr>
    </w:div>
    <w:div w:id="1187672761">
      <w:bodyDiv w:val="1"/>
      <w:marLeft w:val="0"/>
      <w:marRight w:val="0"/>
      <w:marTop w:val="0"/>
      <w:marBottom w:val="0"/>
      <w:divBdr>
        <w:top w:val="none" w:sz="0" w:space="0" w:color="auto"/>
        <w:left w:val="none" w:sz="0" w:space="0" w:color="auto"/>
        <w:bottom w:val="none" w:sz="0" w:space="0" w:color="auto"/>
        <w:right w:val="none" w:sz="0" w:space="0" w:color="auto"/>
      </w:divBdr>
    </w:div>
    <w:div w:id="1190609557">
      <w:bodyDiv w:val="1"/>
      <w:marLeft w:val="0"/>
      <w:marRight w:val="0"/>
      <w:marTop w:val="0"/>
      <w:marBottom w:val="0"/>
      <w:divBdr>
        <w:top w:val="none" w:sz="0" w:space="0" w:color="auto"/>
        <w:left w:val="none" w:sz="0" w:space="0" w:color="auto"/>
        <w:bottom w:val="none" w:sz="0" w:space="0" w:color="auto"/>
        <w:right w:val="none" w:sz="0" w:space="0" w:color="auto"/>
      </w:divBdr>
    </w:div>
    <w:div w:id="1205293394">
      <w:bodyDiv w:val="1"/>
      <w:marLeft w:val="0"/>
      <w:marRight w:val="0"/>
      <w:marTop w:val="0"/>
      <w:marBottom w:val="0"/>
      <w:divBdr>
        <w:top w:val="none" w:sz="0" w:space="0" w:color="auto"/>
        <w:left w:val="none" w:sz="0" w:space="0" w:color="auto"/>
        <w:bottom w:val="none" w:sz="0" w:space="0" w:color="auto"/>
        <w:right w:val="none" w:sz="0" w:space="0" w:color="auto"/>
      </w:divBdr>
    </w:div>
    <w:div w:id="1206941258">
      <w:bodyDiv w:val="1"/>
      <w:marLeft w:val="0"/>
      <w:marRight w:val="0"/>
      <w:marTop w:val="0"/>
      <w:marBottom w:val="0"/>
      <w:divBdr>
        <w:top w:val="none" w:sz="0" w:space="0" w:color="auto"/>
        <w:left w:val="none" w:sz="0" w:space="0" w:color="auto"/>
        <w:bottom w:val="none" w:sz="0" w:space="0" w:color="auto"/>
        <w:right w:val="none" w:sz="0" w:space="0" w:color="auto"/>
      </w:divBdr>
    </w:div>
    <w:div w:id="1251349403">
      <w:bodyDiv w:val="1"/>
      <w:marLeft w:val="0"/>
      <w:marRight w:val="0"/>
      <w:marTop w:val="0"/>
      <w:marBottom w:val="0"/>
      <w:divBdr>
        <w:top w:val="none" w:sz="0" w:space="0" w:color="auto"/>
        <w:left w:val="none" w:sz="0" w:space="0" w:color="auto"/>
        <w:bottom w:val="none" w:sz="0" w:space="0" w:color="auto"/>
        <w:right w:val="none" w:sz="0" w:space="0" w:color="auto"/>
      </w:divBdr>
    </w:div>
    <w:div w:id="1254974342">
      <w:bodyDiv w:val="1"/>
      <w:marLeft w:val="0"/>
      <w:marRight w:val="0"/>
      <w:marTop w:val="0"/>
      <w:marBottom w:val="0"/>
      <w:divBdr>
        <w:top w:val="none" w:sz="0" w:space="0" w:color="auto"/>
        <w:left w:val="none" w:sz="0" w:space="0" w:color="auto"/>
        <w:bottom w:val="none" w:sz="0" w:space="0" w:color="auto"/>
        <w:right w:val="none" w:sz="0" w:space="0" w:color="auto"/>
      </w:divBdr>
    </w:div>
    <w:div w:id="1275282819">
      <w:bodyDiv w:val="1"/>
      <w:marLeft w:val="0"/>
      <w:marRight w:val="0"/>
      <w:marTop w:val="0"/>
      <w:marBottom w:val="0"/>
      <w:divBdr>
        <w:top w:val="none" w:sz="0" w:space="0" w:color="auto"/>
        <w:left w:val="none" w:sz="0" w:space="0" w:color="auto"/>
        <w:bottom w:val="none" w:sz="0" w:space="0" w:color="auto"/>
        <w:right w:val="none" w:sz="0" w:space="0" w:color="auto"/>
      </w:divBdr>
    </w:div>
    <w:div w:id="1290428521">
      <w:bodyDiv w:val="1"/>
      <w:marLeft w:val="0"/>
      <w:marRight w:val="0"/>
      <w:marTop w:val="0"/>
      <w:marBottom w:val="0"/>
      <w:divBdr>
        <w:top w:val="none" w:sz="0" w:space="0" w:color="auto"/>
        <w:left w:val="none" w:sz="0" w:space="0" w:color="auto"/>
        <w:bottom w:val="none" w:sz="0" w:space="0" w:color="auto"/>
        <w:right w:val="none" w:sz="0" w:space="0" w:color="auto"/>
      </w:divBdr>
    </w:div>
    <w:div w:id="1298027070">
      <w:bodyDiv w:val="1"/>
      <w:marLeft w:val="0"/>
      <w:marRight w:val="0"/>
      <w:marTop w:val="0"/>
      <w:marBottom w:val="0"/>
      <w:divBdr>
        <w:top w:val="none" w:sz="0" w:space="0" w:color="auto"/>
        <w:left w:val="none" w:sz="0" w:space="0" w:color="auto"/>
        <w:bottom w:val="none" w:sz="0" w:space="0" w:color="auto"/>
        <w:right w:val="none" w:sz="0" w:space="0" w:color="auto"/>
      </w:divBdr>
    </w:div>
    <w:div w:id="1304964254">
      <w:bodyDiv w:val="1"/>
      <w:marLeft w:val="0"/>
      <w:marRight w:val="0"/>
      <w:marTop w:val="0"/>
      <w:marBottom w:val="0"/>
      <w:divBdr>
        <w:top w:val="none" w:sz="0" w:space="0" w:color="auto"/>
        <w:left w:val="none" w:sz="0" w:space="0" w:color="auto"/>
        <w:bottom w:val="none" w:sz="0" w:space="0" w:color="auto"/>
        <w:right w:val="none" w:sz="0" w:space="0" w:color="auto"/>
      </w:divBdr>
    </w:div>
    <w:div w:id="1306423505">
      <w:bodyDiv w:val="1"/>
      <w:marLeft w:val="0"/>
      <w:marRight w:val="0"/>
      <w:marTop w:val="0"/>
      <w:marBottom w:val="0"/>
      <w:divBdr>
        <w:top w:val="none" w:sz="0" w:space="0" w:color="auto"/>
        <w:left w:val="none" w:sz="0" w:space="0" w:color="auto"/>
        <w:bottom w:val="none" w:sz="0" w:space="0" w:color="auto"/>
        <w:right w:val="none" w:sz="0" w:space="0" w:color="auto"/>
      </w:divBdr>
    </w:div>
    <w:div w:id="1324701138">
      <w:bodyDiv w:val="1"/>
      <w:marLeft w:val="0"/>
      <w:marRight w:val="0"/>
      <w:marTop w:val="0"/>
      <w:marBottom w:val="0"/>
      <w:divBdr>
        <w:top w:val="none" w:sz="0" w:space="0" w:color="auto"/>
        <w:left w:val="none" w:sz="0" w:space="0" w:color="auto"/>
        <w:bottom w:val="none" w:sz="0" w:space="0" w:color="auto"/>
        <w:right w:val="none" w:sz="0" w:space="0" w:color="auto"/>
      </w:divBdr>
    </w:div>
    <w:div w:id="1341195795">
      <w:bodyDiv w:val="1"/>
      <w:marLeft w:val="0"/>
      <w:marRight w:val="0"/>
      <w:marTop w:val="0"/>
      <w:marBottom w:val="0"/>
      <w:divBdr>
        <w:top w:val="none" w:sz="0" w:space="0" w:color="auto"/>
        <w:left w:val="none" w:sz="0" w:space="0" w:color="auto"/>
        <w:bottom w:val="none" w:sz="0" w:space="0" w:color="auto"/>
        <w:right w:val="none" w:sz="0" w:space="0" w:color="auto"/>
      </w:divBdr>
    </w:div>
    <w:div w:id="1364596383">
      <w:bodyDiv w:val="1"/>
      <w:marLeft w:val="0"/>
      <w:marRight w:val="0"/>
      <w:marTop w:val="0"/>
      <w:marBottom w:val="0"/>
      <w:divBdr>
        <w:top w:val="none" w:sz="0" w:space="0" w:color="auto"/>
        <w:left w:val="none" w:sz="0" w:space="0" w:color="auto"/>
        <w:bottom w:val="none" w:sz="0" w:space="0" w:color="auto"/>
        <w:right w:val="none" w:sz="0" w:space="0" w:color="auto"/>
      </w:divBdr>
    </w:div>
    <w:div w:id="1366366267">
      <w:bodyDiv w:val="1"/>
      <w:marLeft w:val="0"/>
      <w:marRight w:val="0"/>
      <w:marTop w:val="0"/>
      <w:marBottom w:val="0"/>
      <w:divBdr>
        <w:top w:val="none" w:sz="0" w:space="0" w:color="auto"/>
        <w:left w:val="none" w:sz="0" w:space="0" w:color="auto"/>
        <w:bottom w:val="none" w:sz="0" w:space="0" w:color="auto"/>
        <w:right w:val="none" w:sz="0" w:space="0" w:color="auto"/>
      </w:divBdr>
    </w:div>
    <w:div w:id="1370372115">
      <w:bodyDiv w:val="1"/>
      <w:marLeft w:val="0"/>
      <w:marRight w:val="0"/>
      <w:marTop w:val="0"/>
      <w:marBottom w:val="0"/>
      <w:divBdr>
        <w:top w:val="none" w:sz="0" w:space="0" w:color="auto"/>
        <w:left w:val="none" w:sz="0" w:space="0" w:color="auto"/>
        <w:bottom w:val="none" w:sz="0" w:space="0" w:color="auto"/>
        <w:right w:val="none" w:sz="0" w:space="0" w:color="auto"/>
      </w:divBdr>
    </w:div>
    <w:div w:id="1418408110">
      <w:bodyDiv w:val="1"/>
      <w:marLeft w:val="0"/>
      <w:marRight w:val="0"/>
      <w:marTop w:val="0"/>
      <w:marBottom w:val="0"/>
      <w:divBdr>
        <w:top w:val="none" w:sz="0" w:space="0" w:color="auto"/>
        <w:left w:val="none" w:sz="0" w:space="0" w:color="auto"/>
        <w:bottom w:val="none" w:sz="0" w:space="0" w:color="auto"/>
        <w:right w:val="none" w:sz="0" w:space="0" w:color="auto"/>
      </w:divBdr>
    </w:div>
    <w:div w:id="1428424124">
      <w:bodyDiv w:val="1"/>
      <w:marLeft w:val="0"/>
      <w:marRight w:val="0"/>
      <w:marTop w:val="0"/>
      <w:marBottom w:val="0"/>
      <w:divBdr>
        <w:top w:val="none" w:sz="0" w:space="0" w:color="auto"/>
        <w:left w:val="none" w:sz="0" w:space="0" w:color="auto"/>
        <w:bottom w:val="none" w:sz="0" w:space="0" w:color="auto"/>
        <w:right w:val="none" w:sz="0" w:space="0" w:color="auto"/>
      </w:divBdr>
    </w:div>
    <w:div w:id="1443301173">
      <w:bodyDiv w:val="1"/>
      <w:marLeft w:val="0"/>
      <w:marRight w:val="0"/>
      <w:marTop w:val="0"/>
      <w:marBottom w:val="0"/>
      <w:divBdr>
        <w:top w:val="none" w:sz="0" w:space="0" w:color="auto"/>
        <w:left w:val="none" w:sz="0" w:space="0" w:color="auto"/>
        <w:bottom w:val="none" w:sz="0" w:space="0" w:color="auto"/>
        <w:right w:val="none" w:sz="0" w:space="0" w:color="auto"/>
      </w:divBdr>
    </w:div>
    <w:div w:id="1444112972">
      <w:bodyDiv w:val="1"/>
      <w:marLeft w:val="0"/>
      <w:marRight w:val="0"/>
      <w:marTop w:val="0"/>
      <w:marBottom w:val="0"/>
      <w:divBdr>
        <w:top w:val="none" w:sz="0" w:space="0" w:color="auto"/>
        <w:left w:val="none" w:sz="0" w:space="0" w:color="auto"/>
        <w:bottom w:val="none" w:sz="0" w:space="0" w:color="auto"/>
        <w:right w:val="none" w:sz="0" w:space="0" w:color="auto"/>
      </w:divBdr>
    </w:div>
    <w:div w:id="1452088702">
      <w:bodyDiv w:val="1"/>
      <w:marLeft w:val="0"/>
      <w:marRight w:val="0"/>
      <w:marTop w:val="0"/>
      <w:marBottom w:val="0"/>
      <w:divBdr>
        <w:top w:val="none" w:sz="0" w:space="0" w:color="auto"/>
        <w:left w:val="none" w:sz="0" w:space="0" w:color="auto"/>
        <w:bottom w:val="none" w:sz="0" w:space="0" w:color="auto"/>
        <w:right w:val="none" w:sz="0" w:space="0" w:color="auto"/>
      </w:divBdr>
    </w:div>
    <w:div w:id="1470827875">
      <w:bodyDiv w:val="1"/>
      <w:marLeft w:val="0"/>
      <w:marRight w:val="0"/>
      <w:marTop w:val="0"/>
      <w:marBottom w:val="0"/>
      <w:divBdr>
        <w:top w:val="none" w:sz="0" w:space="0" w:color="auto"/>
        <w:left w:val="none" w:sz="0" w:space="0" w:color="auto"/>
        <w:bottom w:val="none" w:sz="0" w:space="0" w:color="auto"/>
        <w:right w:val="none" w:sz="0" w:space="0" w:color="auto"/>
      </w:divBdr>
    </w:div>
    <w:div w:id="1472135189">
      <w:bodyDiv w:val="1"/>
      <w:marLeft w:val="0"/>
      <w:marRight w:val="0"/>
      <w:marTop w:val="0"/>
      <w:marBottom w:val="0"/>
      <w:divBdr>
        <w:top w:val="none" w:sz="0" w:space="0" w:color="auto"/>
        <w:left w:val="none" w:sz="0" w:space="0" w:color="auto"/>
        <w:bottom w:val="none" w:sz="0" w:space="0" w:color="auto"/>
        <w:right w:val="none" w:sz="0" w:space="0" w:color="auto"/>
      </w:divBdr>
    </w:div>
    <w:div w:id="1473404444">
      <w:bodyDiv w:val="1"/>
      <w:marLeft w:val="0"/>
      <w:marRight w:val="0"/>
      <w:marTop w:val="0"/>
      <w:marBottom w:val="0"/>
      <w:divBdr>
        <w:top w:val="none" w:sz="0" w:space="0" w:color="auto"/>
        <w:left w:val="none" w:sz="0" w:space="0" w:color="auto"/>
        <w:bottom w:val="none" w:sz="0" w:space="0" w:color="auto"/>
        <w:right w:val="none" w:sz="0" w:space="0" w:color="auto"/>
      </w:divBdr>
    </w:div>
    <w:div w:id="1473450702">
      <w:bodyDiv w:val="1"/>
      <w:marLeft w:val="0"/>
      <w:marRight w:val="0"/>
      <w:marTop w:val="0"/>
      <w:marBottom w:val="0"/>
      <w:divBdr>
        <w:top w:val="none" w:sz="0" w:space="0" w:color="auto"/>
        <w:left w:val="none" w:sz="0" w:space="0" w:color="auto"/>
        <w:bottom w:val="none" w:sz="0" w:space="0" w:color="auto"/>
        <w:right w:val="none" w:sz="0" w:space="0" w:color="auto"/>
      </w:divBdr>
    </w:div>
    <w:div w:id="1495339360">
      <w:bodyDiv w:val="1"/>
      <w:marLeft w:val="0"/>
      <w:marRight w:val="0"/>
      <w:marTop w:val="0"/>
      <w:marBottom w:val="0"/>
      <w:divBdr>
        <w:top w:val="none" w:sz="0" w:space="0" w:color="auto"/>
        <w:left w:val="none" w:sz="0" w:space="0" w:color="auto"/>
        <w:bottom w:val="none" w:sz="0" w:space="0" w:color="auto"/>
        <w:right w:val="none" w:sz="0" w:space="0" w:color="auto"/>
      </w:divBdr>
    </w:div>
    <w:div w:id="1505508745">
      <w:bodyDiv w:val="1"/>
      <w:marLeft w:val="0"/>
      <w:marRight w:val="0"/>
      <w:marTop w:val="0"/>
      <w:marBottom w:val="0"/>
      <w:divBdr>
        <w:top w:val="none" w:sz="0" w:space="0" w:color="auto"/>
        <w:left w:val="none" w:sz="0" w:space="0" w:color="auto"/>
        <w:bottom w:val="none" w:sz="0" w:space="0" w:color="auto"/>
        <w:right w:val="none" w:sz="0" w:space="0" w:color="auto"/>
      </w:divBdr>
    </w:div>
    <w:div w:id="1515221703">
      <w:bodyDiv w:val="1"/>
      <w:marLeft w:val="0"/>
      <w:marRight w:val="0"/>
      <w:marTop w:val="0"/>
      <w:marBottom w:val="0"/>
      <w:divBdr>
        <w:top w:val="none" w:sz="0" w:space="0" w:color="auto"/>
        <w:left w:val="none" w:sz="0" w:space="0" w:color="auto"/>
        <w:bottom w:val="none" w:sz="0" w:space="0" w:color="auto"/>
        <w:right w:val="none" w:sz="0" w:space="0" w:color="auto"/>
      </w:divBdr>
    </w:div>
    <w:div w:id="1519931014">
      <w:bodyDiv w:val="1"/>
      <w:marLeft w:val="0"/>
      <w:marRight w:val="0"/>
      <w:marTop w:val="0"/>
      <w:marBottom w:val="0"/>
      <w:divBdr>
        <w:top w:val="none" w:sz="0" w:space="0" w:color="auto"/>
        <w:left w:val="none" w:sz="0" w:space="0" w:color="auto"/>
        <w:bottom w:val="none" w:sz="0" w:space="0" w:color="auto"/>
        <w:right w:val="none" w:sz="0" w:space="0" w:color="auto"/>
      </w:divBdr>
    </w:div>
    <w:div w:id="1568567730">
      <w:bodyDiv w:val="1"/>
      <w:marLeft w:val="0"/>
      <w:marRight w:val="0"/>
      <w:marTop w:val="0"/>
      <w:marBottom w:val="0"/>
      <w:divBdr>
        <w:top w:val="none" w:sz="0" w:space="0" w:color="auto"/>
        <w:left w:val="none" w:sz="0" w:space="0" w:color="auto"/>
        <w:bottom w:val="none" w:sz="0" w:space="0" w:color="auto"/>
        <w:right w:val="none" w:sz="0" w:space="0" w:color="auto"/>
      </w:divBdr>
    </w:div>
    <w:div w:id="1578903649">
      <w:bodyDiv w:val="1"/>
      <w:marLeft w:val="0"/>
      <w:marRight w:val="0"/>
      <w:marTop w:val="0"/>
      <w:marBottom w:val="0"/>
      <w:divBdr>
        <w:top w:val="none" w:sz="0" w:space="0" w:color="auto"/>
        <w:left w:val="none" w:sz="0" w:space="0" w:color="auto"/>
        <w:bottom w:val="none" w:sz="0" w:space="0" w:color="auto"/>
        <w:right w:val="none" w:sz="0" w:space="0" w:color="auto"/>
      </w:divBdr>
    </w:div>
    <w:div w:id="1579749295">
      <w:bodyDiv w:val="1"/>
      <w:marLeft w:val="0"/>
      <w:marRight w:val="0"/>
      <w:marTop w:val="0"/>
      <w:marBottom w:val="0"/>
      <w:divBdr>
        <w:top w:val="none" w:sz="0" w:space="0" w:color="auto"/>
        <w:left w:val="none" w:sz="0" w:space="0" w:color="auto"/>
        <w:bottom w:val="none" w:sz="0" w:space="0" w:color="auto"/>
        <w:right w:val="none" w:sz="0" w:space="0" w:color="auto"/>
      </w:divBdr>
    </w:div>
    <w:div w:id="1587762108">
      <w:bodyDiv w:val="1"/>
      <w:marLeft w:val="0"/>
      <w:marRight w:val="0"/>
      <w:marTop w:val="0"/>
      <w:marBottom w:val="0"/>
      <w:divBdr>
        <w:top w:val="none" w:sz="0" w:space="0" w:color="auto"/>
        <w:left w:val="none" w:sz="0" w:space="0" w:color="auto"/>
        <w:bottom w:val="none" w:sz="0" w:space="0" w:color="auto"/>
        <w:right w:val="none" w:sz="0" w:space="0" w:color="auto"/>
      </w:divBdr>
    </w:div>
    <w:div w:id="1598442845">
      <w:bodyDiv w:val="1"/>
      <w:marLeft w:val="0"/>
      <w:marRight w:val="0"/>
      <w:marTop w:val="0"/>
      <w:marBottom w:val="0"/>
      <w:divBdr>
        <w:top w:val="none" w:sz="0" w:space="0" w:color="auto"/>
        <w:left w:val="none" w:sz="0" w:space="0" w:color="auto"/>
        <w:bottom w:val="none" w:sz="0" w:space="0" w:color="auto"/>
        <w:right w:val="none" w:sz="0" w:space="0" w:color="auto"/>
      </w:divBdr>
    </w:div>
    <w:div w:id="1609117166">
      <w:bodyDiv w:val="1"/>
      <w:marLeft w:val="0"/>
      <w:marRight w:val="0"/>
      <w:marTop w:val="0"/>
      <w:marBottom w:val="0"/>
      <w:divBdr>
        <w:top w:val="none" w:sz="0" w:space="0" w:color="auto"/>
        <w:left w:val="none" w:sz="0" w:space="0" w:color="auto"/>
        <w:bottom w:val="none" w:sz="0" w:space="0" w:color="auto"/>
        <w:right w:val="none" w:sz="0" w:space="0" w:color="auto"/>
      </w:divBdr>
    </w:div>
    <w:div w:id="1610820606">
      <w:bodyDiv w:val="1"/>
      <w:marLeft w:val="0"/>
      <w:marRight w:val="0"/>
      <w:marTop w:val="0"/>
      <w:marBottom w:val="0"/>
      <w:divBdr>
        <w:top w:val="none" w:sz="0" w:space="0" w:color="auto"/>
        <w:left w:val="none" w:sz="0" w:space="0" w:color="auto"/>
        <w:bottom w:val="none" w:sz="0" w:space="0" w:color="auto"/>
        <w:right w:val="none" w:sz="0" w:space="0" w:color="auto"/>
      </w:divBdr>
    </w:div>
    <w:div w:id="1630818448">
      <w:bodyDiv w:val="1"/>
      <w:marLeft w:val="0"/>
      <w:marRight w:val="0"/>
      <w:marTop w:val="0"/>
      <w:marBottom w:val="0"/>
      <w:divBdr>
        <w:top w:val="none" w:sz="0" w:space="0" w:color="auto"/>
        <w:left w:val="none" w:sz="0" w:space="0" w:color="auto"/>
        <w:bottom w:val="none" w:sz="0" w:space="0" w:color="auto"/>
        <w:right w:val="none" w:sz="0" w:space="0" w:color="auto"/>
      </w:divBdr>
    </w:div>
    <w:div w:id="1652632645">
      <w:bodyDiv w:val="1"/>
      <w:marLeft w:val="0"/>
      <w:marRight w:val="0"/>
      <w:marTop w:val="0"/>
      <w:marBottom w:val="0"/>
      <w:divBdr>
        <w:top w:val="none" w:sz="0" w:space="0" w:color="auto"/>
        <w:left w:val="none" w:sz="0" w:space="0" w:color="auto"/>
        <w:bottom w:val="none" w:sz="0" w:space="0" w:color="auto"/>
        <w:right w:val="none" w:sz="0" w:space="0" w:color="auto"/>
      </w:divBdr>
    </w:div>
    <w:div w:id="1680042875">
      <w:bodyDiv w:val="1"/>
      <w:marLeft w:val="0"/>
      <w:marRight w:val="0"/>
      <w:marTop w:val="0"/>
      <w:marBottom w:val="0"/>
      <w:divBdr>
        <w:top w:val="none" w:sz="0" w:space="0" w:color="auto"/>
        <w:left w:val="none" w:sz="0" w:space="0" w:color="auto"/>
        <w:bottom w:val="none" w:sz="0" w:space="0" w:color="auto"/>
        <w:right w:val="none" w:sz="0" w:space="0" w:color="auto"/>
      </w:divBdr>
    </w:div>
    <w:div w:id="1696887343">
      <w:bodyDiv w:val="1"/>
      <w:marLeft w:val="0"/>
      <w:marRight w:val="0"/>
      <w:marTop w:val="0"/>
      <w:marBottom w:val="0"/>
      <w:divBdr>
        <w:top w:val="none" w:sz="0" w:space="0" w:color="auto"/>
        <w:left w:val="none" w:sz="0" w:space="0" w:color="auto"/>
        <w:bottom w:val="none" w:sz="0" w:space="0" w:color="auto"/>
        <w:right w:val="none" w:sz="0" w:space="0" w:color="auto"/>
      </w:divBdr>
    </w:div>
    <w:div w:id="1729257465">
      <w:bodyDiv w:val="1"/>
      <w:marLeft w:val="0"/>
      <w:marRight w:val="0"/>
      <w:marTop w:val="0"/>
      <w:marBottom w:val="0"/>
      <w:divBdr>
        <w:top w:val="none" w:sz="0" w:space="0" w:color="auto"/>
        <w:left w:val="none" w:sz="0" w:space="0" w:color="auto"/>
        <w:bottom w:val="none" w:sz="0" w:space="0" w:color="auto"/>
        <w:right w:val="none" w:sz="0" w:space="0" w:color="auto"/>
      </w:divBdr>
    </w:div>
    <w:div w:id="1734818060">
      <w:bodyDiv w:val="1"/>
      <w:marLeft w:val="0"/>
      <w:marRight w:val="0"/>
      <w:marTop w:val="0"/>
      <w:marBottom w:val="0"/>
      <w:divBdr>
        <w:top w:val="none" w:sz="0" w:space="0" w:color="auto"/>
        <w:left w:val="none" w:sz="0" w:space="0" w:color="auto"/>
        <w:bottom w:val="none" w:sz="0" w:space="0" w:color="auto"/>
        <w:right w:val="none" w:sz="0" w:space="0" w:color="auto"/>
      </w:divBdr>
    </w:div>
    <w:div w:id="1750879732">
      <w:bodyDiv w:val="1"/>
      <w:marLeft w:val="0"/>
      <w:marRight w:val="0"/>
      <w:marTop w:val="0"/>
      <w:marBottom w:val="0"/>
      <w:divBdr>
        <w:top w:val="none" w:sz="0" w:space="0" w:color="auto"/>
        <w:left w:val="none" w:sz="0" w:space="0" w:color="auto"/>
        <w:bottom w:val="none" w:sz="0" w:space="0" w:color="auto"/>
        <w:right w:val="none" w:sz="0" w:space="0" w:color="auto"/>
      </w:divBdr>
    </w:div>
    <w:div w:id="1794129751">
      <w:bodyDiv w:val="1"/>
      <w:marLeft w:val="0"/>
      <w:marRight w:val="0"/>
      <w:marTop w:val="0"/>
      <w:marBottom w:val="0"/>
      <w:divBdr>
        <w:top w:val="none" w:sz="0" w:space="0" w:color="auto"/>
        <w:left w:val="none" w:sz="0" w:space="0" w:color="auto"/>
        <w:bottom w:val="none" w:sz="0" w:space="0" w:color="auto"/>
        <w:right w:val="none" w:sz="0" w:space="0" w:color="auto"/>
      </w:divBdr>
    </w:div>
    <w:div w:id="1885091538">
      <w:bodyDiv w:val="1"/>
      <w:marLeft w:val="0"/>
      <w:marRight w:val="0"/>
      <w:marTop w:val="0"/>
      <w:marBottom w:val="0"/>
      <w:divBdr>
        <w:top w:val="none" w:sz="0" w:space="0" w:color="auto"/>
        <w:left w:val="none" w:sz="0" w:space="0" w:color="auto"/>
        <w:bottom w:val="none" w:sz="0" w:space="0" w:color="auto"/>
        <w:right w:val="none" w:sz="0" w:space="0" w:color="auto"/>
      </w:divBdr>
    </w:div>
    <w:div w:id="1895892260">
      <w:bodyDiv w:val="1"/>
      <w:marLeft w:val="0"/>
      <w:marRight w:val="0"/>
      <w:marTop w:val="0"/>
      <w:marBottom w:val="0"/>
      <w:divBdr>
        <w:top w:val="none" w:sz="0" w:space="0" w:color="auto"/>
        <w:left w:val="none" w:sz="0" w:space="0" w:color="auto"/>
        <w:bottom w:val="none" w:sz="0" w:space="0" w:color="auto"/>
        <w:right w:val="none" w:sz="0" w:space="0" w:color="auto"/>
      </w:divBdr>
    </w:div>
    <w:div w:id="1924876020">
      <w:bodyDiv w:val="1"/>
      <w:marLeft w:val="0"/>
      <w:marRight w:val="0"/>
      <w:marTop w:val="0"/>
      <w:marBottom w:val="0"/>
      <w:divBdr>
        <w:top w:val="none" w:sz="0" w:space="0" w:color="auto"/>
        <w:left w:val="none" w:sz="0" w:space="0" w:color="auto"/>
        <w:bottom w:val="none" w:sz="0" w:space="0" w:color="auto"/>
        <w:right w:val="none" w:sz="0" w:space="0" w:color="auto"/>
      </w:divBdr>
    </w:div>
    <w:div w:id="1940483819">
      <w:bodyDiv w:val="1"/>
      <w:marLeft w:val="0"/>
      <w:marRight w:val="0"/>
      <w:marTop w:val="0"/>
      <w:marBottom w:val="0"/>
      <w:divBdr>
        <w:top w:val="none" w:sz="0" w:space="0" w:color="auto"/>
        <w:left w:val="none" w:sz="0" w:space="0" w:color="auto"/>
        <w:bottom w:val="none" w:sz="0" w:space="0" w:color="auto"/>
        <w:right w:val="none" w:sz="0" w:space="0" w:color="auto"/>
      </w:divBdr>
    </w:div>
    <w:div w:id="1942256925">
      <w:bodyDiv w:val="1"/>
      <w:marLeft w:val="0"/>
      <w:marRight w:val="0"/>
      <w:marTop w:val="0"/>
      <w:marBottom w:val="0"/>
      <w:divBdr>
        <w:top w:val="none" w:sz="0" w:space="0" w:color="auto"/>
        <w:left w:val="none" w:sz="0" w:space="0" w:color="auto"/>
        <w:bottom w:val="none" w:sz="0" w:space="0" w:color="auto"/>
        <w:right w:val="none" w:sz="0" w:space="0" w:color="auto"/>
      </w:divBdr>
    </w:div>
    <w:div w:id="1959944131">
      <w:bodyDiv w:val="1"/>
      <w:marLeft w:val="0"/>
      <w:marRight w:val="0"/>
      <w:marTop w:val="0"/>
      <w:marBottom w:val="0"/>
      <w:divBdr>
        <w:top w:val="none" w:sz="0" w:space="0" w:color="auto"/>
        <w:left w:val="none" w:sz="0" w:space="0" w:color="auto"/>
        <w:bottom w:val="none" w:sz="0" w:space="0" w:color="auto"/>
        <w:right w:val="none" w:sz="0" w:space="0" w:color="auto"/>
      </w:divBdr>
    </w:div>
    <w:div w:id="1985741486">
      <w:bodyDiv w:val="1"/>
      <w:marLeft w:val="0"/>
      <w:marRight w:val="0"/>
      <w:marTop w:val="0"/>
      <w:marBottom w:val="0"/>
      <w:divBdr>
        <w:top w:val="none" w:sz="0" w:space="0" w:color="auto"/>
        <w:left w:val="none" w:sz="0" w:space="0" w:color="auto"/>
        <w:bottom w:val="none" w:sz="0" w:space="0" w:color="auto"/>
        <w:right w:val="none" w:sz="0" w:space="0" w:color="auto"/>
      </w:divBdr>
    </w:div>
    <w:div w:id="1986548490">
      <w:bodyDiv w:val="1"/>
      <w:marLeft w:val="0"/>
      <w:marRight w:val="0"/>
      <w:marTop w:val="0"/>
      <w:marBottom w:val="0"/>
      <w:divBdr>
        <w:top w:val="none" w:sz="0" w:space="0" w:color="auto"/>
        <w:left w:val="none" w:sz="0" w:space="0" w:color="auto"/>
        <w:bottom w:val="none" w:sz="0" w:space="0" w:color="auto"/>
        <w:right w:val="none" w:sz="0" w:space="0" w:color="auto"/>
      </w:divBdr>
    </w:div>
    <w:div w:id="2010058490">
      <w:bodyDiv w:val="1"/>
      <w:marLeft w:val="0"/>
      <w:marRight w:val="0"/>
      <w:marTop w:val="0"/>
      <w:marBottom w:val="0"/>
      <w:divBdr>
        <w:top w:val="none" w:sz="0" w:space="0" w:color="auto"/>
        <w:left w:val="none" w:sz="0" w:space="0" w:color="auto"/>
        <w:bottom w:val="none" w:sz="0" w:space="0" w:color="auto"/>
        <w:right w:val="none" w:sz="0" w:space="0" w:color="auto"/>
      </w:divBdr>
    </w:div>
    <w:div w:id="2014259961">
      <w:bodyDiv w:val="1"/>
      <w:marLeft w:val="0"/>
      <w:marRight w:val="0"/>
      <w:marTop w:val="0"/>
      <w:marBottom w:val="0"/>
      <w:divBdr>
        <w:top w:val="none" w:sz="0" w:space="0" w:color="auto"/>
        <w:left w:val="none" w:sz="0" w:space="0" w:color="auto"/>
        <w:bottom w:val="none" w:sz="0" w:space="0" w:color="auto"/>
        <w:right w:val="none" w:sz="0" w:space="0" w:color="auto"/>
      </w:divBdr>
    </w:div>
    <w:div w:id="2035955888">
      <w:bodyDiv w:val="1"/>
      <w:marLeft w:val="0"/>
      <w:marRight w:val="0"/>
      <w:marTop w:val="0"/>
      <w:marBottom w:val="0"/>
      <w:divBdr>
        <w:top w:val="none" w:sz="0" w:space="0" w:color="auto"/>
        <w:left w:val="none" w:sz="0" w:space="0" w:color="auto"/>
        <w:bottom w:val="none" w:sz="0" w:space="0" w:color="auto"/>
        <w:right w:val="none" w:sz="0" w:space="0" w:color="auto"/>
      </w:divBdr>
    </w:div>
    <w:div w:id="2040351849">
      <w:bodyDiv w:val="1"/>
      <w:marLeft w:val="0"/>
      <w:marRight w:val="0"/>
      <w:marTop w:val="0"/>
      <w:marBottom w:val="0"/>
      <w:divBdr>
        <w:top w:val="none" w:sz="0" w:space="0" w:color="auto"/>
        <w:left w:val="none" w:sz="0" w:space="0" w:color="auto"/>
        <w:bottom w:val="none" w:sz="0" w:space="0" w:color="auto"/>
        <w:right w:val="none" w:sz="0" w:space="0" w:color="auto"/>
      </w:divBdr>
    </w:div>
    <w:div w:id="2051294742">
      <w:bodyDiv w:val="1"/>
      <w:marLeft w:val="0"/>
      <w:marRight w:val="0"/>
      <w:marTop w:val="0"/>
      <w:marBottom w:val="0"/>
      <w:divBdr>
        <w:top w:val="none" w:sz="0" w:space="0" w:color="auto"/>
        <w:left w:val="none" w:sz="0" w:space="0" w:color="auto"/>
        <w:bottom w:val="none" w:sz="0" w:space="0" w:color="auto"/>
        <w:right w:val="none" w:sz="0" w:space="0" w:color="auto"/>
      </w:divBdr>
    </w:div>
    <w:div w:id="2104910772">
      <w:bodyDiv w:val="1"/>
      <w:marLeft w:val="0"/>
      <w:marRight w:val="0"/>
      <w:marTop w:val="0"/>
      <w:marBottom w:val="0"/>
      <w:divBdr>
        <w:top w:val="none" w:sz="0" w:space="0" w:color="auto"/>
        <w:left w:val="none" w:sz="0" w:space="0" w:color="auto"/>
        <w:bottom w:val="none" w:sz="0" w:space="0" w:color="auto"/>
        <w:right w:val="none" w:sz="0" w:space="0" w:color="auto"/>
      </w:divBdr>
    </w:div>
    <w:div w:id="2139375807">
      <w:bodyDiv w:val="1"/>
      <w:marLeft w:val="0"/>
      <w:marRight w:val="0"/>
      <w:marTop w:val="0"/>
      <w:marBottom w:val="0"/>
      <w:divBdr>
        <w:top w:val="none" w:sz="0" w:space="0" w:color="auto"/>
        <w:left w:val="none" w:sz="0" w:space="0" w:color="auto"/>
        <w:bottom w:val="none" w:sz="0" w:space="0" w:color="auto"/>
        <w:right w:val="none" w:sz="0" w:space="0" w:color="auto"/>
      </w:divBdr>
    </w:div>
    <w:div w:id="214454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A47FB-D5C2-4208-90F7-13D04C70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7</Pages>
  <Words>1412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 ECS</cp:lastModifiedBy>
  <cp:revision>53</cp:revision>
  <cp:lastPrinted>2017-06-02T09:04:00Z</cp:lastPrinted>
  <dcterms:created xsi:type="dcterms:W3CDTF">2016-03-14T11:30:00Z</dcterms:created>
  <dcterms:modified xsi:type="dcterms:W3CDTF">2017-06-22T08:05:00Z</dcterms:modified>
</cp:coreProperties>
</file>