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204"/>
        <w:gridCol w:w="3260"/>
      </w:tblGrid>
      <w:tr w:rsidR="00B84929" w:rsidRPr="0089449E" w:rsidTr="00B76551">
        <w:trPr>
          <w:cantSplit/>
          <w:trHeight w:val="993"/>
        </w:trPr>
        <w:tc>
          <w:tcPr>
            <w:tcW w:w="6204" w:type="dxa"/>
          </w:tcPr>
          <w:p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A441C3" w:rsidP="002B7DC4">
            <w:pPr>
              <w:pStyle w:val="BodyText"/>
              <w:jc w:val="left"/>
              <w:rPr>
                <w:rFonts w:ascii="Arial" w:hAnsi="Arial" w:cs="Arial"/>
                <w:szCs w:val="24"/>
              </w:rPr>
            </w:pPr>
            <w:r>
              <w:rPr>
                <w:rFonts w:ascii="Arial" w:hAnsi="Arial" w:cs="Arial"/>
                <w:szCs w:val="24"/>
              </w:rPr>
              <w:t>22 March 201</w:t>
            </w:r>
            <w:r w:rsidR="005210B8">
              <w:rPr>
                <w:rFonts w:ascii="Arial" w:hAnsi="Arial" w:cs="Arial"/>
                <w:szCs w:val="24"/>
              </w:rPr>
              <w:t>8</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3260" w:type="dxa"/>
          </w:tcPr>
          <w:p w:rsidR="00C17981" w:rsidRDefault="00B0145D" w:rsidP="00472040">
            <w:pPr>
              <w:rPr>
                <w:rFonts w:ascii="Arial" w:hAnsi="Arial" w:cs="Arial"/>
                <w:szCs w:val="24"/>
              </w:rPr>
            </w:pPr>
            <w:r>
              <w:rPr>
                <w:rFonts w:ascii="Arial" w:hAnsi="Arial" w:cs="Arial"/>
                <w:szCs w:val="24"/>
              </w:rPr>
              <w:t>AGENDA ITEM</w:t>
            </w:r>
            <w:r w:rsidR="00A84EFA">
              <w:rPr>
                <w:rFonts w:ascii="Arial" w:hAnsi="Arial" w:cs="Arial"/>
                <w:szCs w:val="24"/>
              </w:rPr>
              <w:t xml:space="preserve"> </w:t>
            </w:r>
            <w:r w:rsidR="000A1C55">
              <w:rPr>
                <w:rFonts w:ascii="Arial" w:hAnsi="Arial" w:cs="Arial"/>
                <w:szCs w:val="24"/>
              </w:rPr>
              <w:t>10</w:t>
            </w:r>
          </w:p>
          <w:p w:rsidR="00B84929" w:rsidRPr="0089449E" w:rsidRDefault="00B84929" w:rsidP="000A1C55">
            <w:pPr>
              <w:rPr>
                <w:rFonts w:ascii="Arial" w:hAnsi="Arial" w:cs="Arial"/>
                <w:szCs w:val="24"/>
              </w:rPr>
            </w:pPr>
            <w:r w:rsidRPr="0089449E">
              <w:rPr>
                <w:rFonts w:ascii="Arial" w:hAnsi="Arial" w:cs="Arial"/>
                <w:szCs w:val="24"/>
              </w:rPr>
              <w:t>REPORT N</w:t>
            </w:r>
            <w:r w:rsidR="004A13CB">
              <w:rPr>
                <w:rFonts w:ascii="Arial" w:hAnsi="Arial" w:cs="Arial"/>
                <w:szCs w:val="24"/>
              </w:rPr>
              <w:t>o</w:t>
            </w:r>
            <w:r w:rsidR="001D5EE7">
              <w:rPr>
                <w:rFonts w:ascii="Arial" w:hAnsi="Arial" w:cs="Arial"/>
                <w:szCs w:val="24"/>
              </w:rPr>
              <w:t xml:space="preserve"> </w:t>
            </w:r>
            <w:r w:rsidR="00C17981">
              <w:rPr>
                <w:rFonts w:ascii="Arial" w:hAnsi="Arial" w:cs="Arial"/>
                <w:szCs w:val="24"/>
              </w:rPr>
              <w:t>HLH</w:t>
            </w:r>
            <w:r w:rsidR="000A1C55">
              <w:rPr>
                <w:rFonts w:ascii="Arial" w:hAnsi="Arial" w:cs="Arial"/>
                <w:szCs w:val="24"/>
              </w:rPr>
              <w:t>4</w:t>
            </w:r>
            <w:r w:rsidR="001D5EE7">
              <w:rPr>
                <w:rFonts w:ascii="Arial" w:hAnsi="Arial" w:cs="Arial"/>
                <w:szCs w:val="24"/>
              </w:rPr>
              <w:t>/1</w:t>
            </w:r>
            <w:r w:rsidR="005210B8">
              <w:rPr>
                <w:rFonts w:ascii="Arial" w:hAnsi="Arial" w:cs="Arial"/>
                <w:szCs w:val="24"/>
              </w:rPr>
              <w:t>8</w:t>
            </w:r>
          </w:p>
        </w:tc>
      </w:tr>
    </w:tbl>
    <w:p w:rsidR="0039450A" w:rsidRPr="0089449E" w:rsidRDefault="0067745D" w:rsidP="00DE1E6C">
      <w:pPr>
        <w:pStyle w:val="Heading2"/>
        <w:rPr>
          <w:rFonts w:ascii="Arial" w:hAnsi="Arial" w:cs="Arial"/>
          <w:b/>
          <w:szCs w:val="24"/>
          <w:u w:val="none"/>
        </w:rPr>
      </w:pPr>
      <w:r>
        <w:rPr>
          <w:rFonts w:ascii="Arial" w:hAnsi="Arial" w:cs="Arial"/>
          <w:b/>
          <w:szCs w:val="24"/>
          <w:u w:val="none"/>
        </w:rPr>
        <w:t>FINANCE REPORT</w:t>
      </w:r>
      <w:r w:rsidRPr="0089449E">
        <w:rPr>
          <w:rFonts w:ascii="Arial" w:hAnsi="Arial" w:cs="Arial"/>
          <w:b/>
          <w:szCs w:val="24"/>
          <w:u w:val="none"/>
        </w:rPr>
        <w:t xml:space="preserve"> -</w:t>
      </w:r>
      <w:r w:rsidR="00DE1E6C" w:rsidRPr="0089449E">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DE3803">
      <w:pPr>
        <w:pStyle w:val="Heading1"/>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72040">
            <w:pPr>
              <w:pStyle w:val="Heading2"/>
              <w:jc w:val="both"/>
              <w:rPr>
                <w:rFonts w:ascii="Arial" w:hAnsi="Arial" w:cs="Arial"/>
                <w:b/>
                <w:szCs w:val="24"/>
                <w:u w:val="none"/>
              </w:rPr>
            </w:pPr>
            <w:r w:rsidRPr="0089449E">
              <w:rPr>
                <w:rFonts w:ascii="Arial" w:hAnsi="Arial" w:cs="Arial"/>
                <w:b/>
                <w:szCs w:val="24"/>
                <w:u w:val="none"/>
              </w:rPr>
              <w:t>Summary</w:t>
            </w:r>
          </w:p>
          <w:p w:rsidR="002B7DC4" w:rsidRPr="0089449E" w:rsidRDefault="002B7DC4" w:rsidP="00472040">
            <w:pPr>
              <w:jc w:val="both"/>
              <w:rPr>
                <w:rFonts w:ascii="Arial" w:hAnsi="Arial" w:cs="Arial"/>
              </w:rPr>
            </w:pPr>
          </w:p>
          <w:p w:rsidR="002B7DC4" w:rsidRDefault="00023E37" w:rsidP="00472040">
            <w:pPr>
              <w:jc w:val="both"/>
              <w:rPr>
                <w:rFonts w:ascii="Arial" w:hAnsi="Arial" w:cs="Arial"/>
              </w:rPr>
            </w:pPr>
            <w:r>
              <w:rPr>
                <w:rFonts w:ascii="Arial" w:hAnsi="Arial" w:cs="Arial"/>
              </w:rPr>
              <w:t xml:space="preserve">This report provides </w:t>
            </w:r>
            <w:r w:rsidR="007E2203">
              <w:rPr>
                <w:rFonts w:ascii="Arial" w:hAnsi="Arial" w:cs="Arial"/>
              </w:rPr>
              <w:t>D</w:t>
            </w:r>
            <w:r>
              <w:rPr>
                <w:rFonts w:ascii="Arial" w:hAnsi="Arial" w:cs="Arial"/>
              </w:rPr>
              <w:t>irectors with an update on the financial performance of High Life Highland f</w:t>
            </w:r>
            <w:r w:rsidR="007E2203">
              <w:rPr>
                <w:rFonts w:ascii="Arial" w:hAnsi="Arial" w:cs="Arial"/>
              </w:rPr>
              <w:t xml:space="preserve">or the </w:t>
            </w:r>
            <w:r w:rsidR="004A13CB">
              <w:rPr>
                <w:rFonts w:ascii="Arial" w:hAnsi="Arial" w:cs="Arial"/>
              </w:rPr>
              <w:t xml:space="preserve">period ending </w:t>
            </w:r>
            <w:r w:rsidR="0091163E">
              <w:rPr>
                <w:rFonts w:ascii="Arial" w:hAnsi="Arial" w:cs="Arial"/>
              </w:rPr>
              <w:t xml:space="preserve">31 </w:t>
            </w:r>
            <w:r w:rsidR="00A441C3">
              <w:rPr>
                <w:rFonts w:ascii="Arial" w:hAnsi="Arial" w:cs="Arial"/>
              </w:rPr>
              <w:t>January 201</w:t>
            </w:r>
            <w:r w:rsidR="005210B8">
              <w:rPr>
                <w:rFonts w:ascii="Arial" w:hAnsi="Arial" w:cs="Arial"/>
              </w:rPr>
              <w:t>8</w:t>
            </w:r>
            <w:r w:rsidR="00876702">
              <w:rPr>
                <w:rFonts w:ascii="Arial" w:hAnsi="Arial" w:cs="Arial"/>
              </w:rPr>
              <w:t>.</w:t>
            </w:r>
          </w:p>
          <w:p w:rsidR="00023E37" w:rsidRDefault="00023E37" w:rsidP="00472040">
            <w:pPr>
              <w:jc w:val="both"/>
              <w:rPr>
                <w:rFonts w:ascii="Arial" w:hAnsi="Arial" w:cs="Arial"/>
              </w:rPr>
            </w:pPr>
          </w:p>
          <w:p w:rsidR="009E4318" w:rsidRDefault="009E4318" w:rsidP="009E4318">
            <w:pPr>
              <w:jc w:val="both"/>
              <w:rPr>
                <w:rFonts w:ascii="Arial" w:hAnsi="Arial" w:cs="Arial"/>
              </w:rPr>
            </w:pPr>
            <w:r>
              <w:rPr>
                <w:rFonts w:ascii="Arial" w:hAnsi="Arial" w:cs="Arial"/>
              </w:rPr>
              <w:t>It is recommended that Directors note:</w:t>
            </w:r>
          </w:p>
          <w:p w:rsidR="009E4318" w:rsidRDefault="009E4318" w:rsidP="009E4318">
            <w:pPr>
              <w:jc w:val="both"/>
              <w:rPr>
                <w:rFonts w:ascii="Arial" w:hAnsi="Arial" w:cs="Arial"/>
              </w:rPr>
            </w:pPr>
          </w:p>
          <w:p w:rsidR="009E4318" w:rsidRPr="00226A24" w:rsidRDefault="009E4318" w:rsidP="000A1C55">
            <w:pPr>
              <w:pStyle w:val="ListParagraph"/>
              <w:numPr>
                <w:ilvl w:val="0"/>
                <w:numId w:val="17"/>
              </w:numPr>
              <w:spacing w:line="240" w:lineRule="auto"/>
              <w:ind w:left="567" w:hanging="283"/>
              <w:jc w:val="both"/>
              <w:rPr>
                <w:rFonts w:ascii="Arial" w:hAnsi="Arial" w:cs="Arial"/>
                <w:sz w:val="24"/>
                <w:szCs w:val="24"/>
              </w:rPr>
            </w:pPr>
            <w:r w:rsidRPr="00226A24">
              <w:rPr>
                <w:rFonts w:ascii="Arial" w:hAnsi="Arial" w:cs="Arial"/>
                <w:sz w:val="24"/>
                <w:szCs w:val="24"/>
              </w:rPr>
              <w:t xml:space="preserve">the current financial position of High Life Highland as detailed in </w:t>
            </w:r>
            <w:r w:rsidRPr="00226A24">
              <w:rPr>
                <w:rFonts w:ascii="Arial" w:hAnsi="Arial" w:cs="Arial"/>
                <w:b/>
                <w:sz w:val="24"/>
                <w:szCs w:val="24"/>
              </w:rPr>
              <w:t>Appendix A;</w:t>
            </w:r>
          </w:p>
          <w:p w:rsidR="009E4318" w:rsidRPr="00226A24" w:rsidRDefault="009E4318" w:rsidP="000A1C55">
            <w:pPr>
              <w:pStyle w:val="ListParagraph"/>
              <w:numPr>
                <w:ilvl w:val="0"/>
                <w:numId w:val="17"/>
              </w:numPr>
              <w:spacing w:line="240" w:lineRule="auto"/>
              <w:ind w:left="567" w:hanging="283"/>
              <w:jc w:val="both"/>
              <w:rPr>
                <w:rFonts w:ascii="Arial" w:hAnsi="Arial" w:cs="Arial"/>
                <w:sz w:val="24"/>
                <w:szCs w:val="24"/>
              </w:rPr>
            </w:pPr>
            <w:r w:rsidRPr="00226A24">
              <w:rPr>
                <w:rFonts w:ascii="Arial" w:hAnsi="Arial" w:cs="Arial"/>
                <w:sz w:val="24"/>
                <w:szCs w:val="24"/>
              </w:rPr>
              <w:t xml:space="preserve">the financial results for the </w:t>
            </w:r>
            <w:r w:rsidR="00A441C3">
              <w:rPr>
                <w:rFonts w:ascii="Arial" w:hAnsi="Arial" w:cs="Arial"/>
                <w:sz w:val="24"/>
                <w:szCs w:val="24"/>
              </w:rPr>
              <w:t>10</w:t>
            </w:r>
            <w:r w:rsidRPr="00226A24">
              <w:rPr>
                <w:rFonts w:ascii="Arial" w:hAnsi="Arial" w:cs="Arial"/>
                <w:sz w:val="24"/>
                <w:szCs w:val="24"/>
              </w:rPr>
              <w:t xml:space="preserve"> months to </w:t>
            </w:r>
            <w:r w:rsidR="00A441C3">
              <w:rPr>
                <w:rFonts w:ascii="Arial" w:hAnsi="Arial" w:cs="Arial"/>
                <w:sz w:val="24"/>
                <w:szCs w:val="24"/>
              </w:rPr>
              <w:t>January 201</w:t>
            </w:r>
            <w:r w:rsidR="005210B8">
              <w:rPr>
                <w:rFonts w:ascii="Arial" w:hAnsi="Arial" w:cs="Arial"/>
                <w:sz w:val="24"/>
                <w:szCs w:val="24"/>
              </w:rPr>
              <w:t>8</w:t>
            </w:r>
            <w:r w:rsidRPr="00226A24">
              <w:rPr>
                <w:rFonts w:ascii="Arial" w:hAnsi="Arial" w:cs="Arial"/>
                <w:sz w:val="24"/>
                <w:szCs w:val="24"/>
              </w:rPr>
              <w:t xml:space="preserve"> report a surplus of £</w:t>
            </w:r>
            <w:r w:rsidR="00D07AED">
              <w:rPr>
                <w:rFonts w:ascii="Arial" w:hAnsi="Arial" w:cs="Arial"/>
                <w:sz w:val="24"/>
                <w:szCs w:val="24"/>
              </w:rPr>
              <w:t>88,854</w:t>
            </w:r>
            <w:r w:rsidRPr="00226A24">
              <w:rPr>
                <w:rFonts w:ascii="Arial" w:hAnsi="Arial" w:cs="Arial"/>
                <w:sz w:val="24"/>
                <w:szCs w:val="24"/>
              </w:rPr>
              <w:t>;</w:t>
            </w:r>
          </w:p>
          <w:p w:rsidR="009E4318" w:rsidRPr="00494A2F" w:rsidRDefault="009E4318" w:rsidP="000A1C55">
            <w:pPr>
              <w:pStyle w:val="ListParagraph"/>
              <w:numPr>
                <w:ilvl w:val="0"/>
                <w:numId w:val="17"/>
              </w:numPr>
              <w:spacing w:line="240" w:lineRule="auto"/>
              <w:ind w:left="567" w:hanging="283"/>
              <w:jc w:val="both"/>
              <w:rPr>
                <w:rFonts w:ascii="Arial" w:hAnsi="Arial" w:cs="Arial"/>
                <w:szCs w:val="24"/>
              </w:rPr>
            </w:pPr>
            <w:r w:rsidRPr="00226A24">
              <w:rPr>
                <w:rFonts w:ascii="Arial" w:hAnsi="Arial" w:cs="Arial"/>
                <w:sz w:val="24"/>
                <w:szCs w:val="24"/>
              </w:rPr>
              <w:t xml:space="preserve">the projected final out-turn for the year </w:t>
            </w:r>
            <w:r>
              <w:rPr>
                <w:rFonts w:ascii="Arial" w:hAnsi="Arial" w:cs="Arial"/>
                <w:sz w:val="24"/>
                <w:szCs w:val="24"/>
              </w:rPr>
              <w:t xml:space="preserve">is a surplus to budget of </w:t>
            </w:r>
            <w:r w:rsidRPr="00226A24">
              <w:rPr>
                <w:rFonts w:ascii="Arial" w:hAnsi="Arial" w:cs="Arial"/>
                <w:sz w:val="24"/>
                <w:szCs w:val="24"/>
              </w:rPr>
              <w:t>£</w:t>
            </w:r>
            <w:r w:rsidR="00D07AED">
              <w:rPr>
                <w:rFonts w:ascii="Arial" w:hAnsi="Arial" w:cs="Arial"/>
                <w:sz w:val="24"/>
                <w:szCs w:val="24"/>
              </w:rPr>
              <w:t>129</w:t>
            </w:r>
            <w:r w:rsidRPr="00226A24">
              <w:rPr>
                <w:rFonts w:ascii="Arial" w:hAnsi="Arial" w:cs="Arial"/>
                <w:sz w:val="24"/>
                <w:szCs w:val="24"/>
              </w:rPr>
              <w:t xml:space="preserve">K; </w:t>
            </w:r>
          </w:p>
          <w:p w:rsidR="00084CE4" w:rsidRDefault="00F23CFB" w:rsidP="000A1C55">
            <w:pPr>
              <w:pStyle w:val="ListParagraph"/>
              <w:numPr>
                <w:ilvl w:val="0"/>
                <w:numId w:val="17"/>
              </w:numPr>
              <w:spacing w:line="240" w:lineRule="auto"/>
              <w:ind w:left="567" w:hanging="283"/>
              <w:jc w:val="both"/>
              <w:rPr>
                <w:rFonts w:ascii="Arial" w:hAnsi="Arial" w:cs="Arial"/>
                <w:sz w:val="24"/>
                <w:szCs w:val="24"/>
              </w:rPr>
            </w:pPr>
            <w:r>
              <w:rPr>
                <w:rFonts w:ascii="Arial" w:hAnsi="Arial" w:cs="Arial"/>
                <w:sz w:val="24"/>
                <w:szCs w:val="24"/>
              </w:rPr>
              <w:t>there was on</w:t>
            </w:r>
            <w:r w:rsidR="00084CE4">
              <w:rPr>
                <w:rFonts w:ascii="Arial" w:hAnsi="Arial" w:cs="Arial"/>
                <w:sz w:val="24"/>
                <w:szCs w:val="24"/>
              </w:rPr>
              <w:t>e non substantial</w:t>
            </w:r>
            <w:r w:rsidR="00653D2D">
              <w:rPr>
                <w:rFonts w:ascii="Arial" w:hAnsi="Arial" w:cs="Arial"/>
                <w:sz w:val="24"/>
                <w:szCs w:val="24"/>
              </w:rPr>
              <w:t xml:space="preserve"> breac</w:t>
            </w:r>
            <w:r w:rsidR="00876702">
              <w:rPr>
                <w:rFonts w:ascii="Arial" w:hAnsi="Arial" w:cs="Arial"/>
                <w:sz w:val="24"/>
                <w:szCs w:val="24"/>
              </w:rPr>
              <w:t>h</w:t>
            </w:r>
            <w:r w:rsidR="00653D2D">
              <w:rPr>
                <w:rFonts w:ascii="Arial" w:hAnsi="Arial" w:cs="Arial"/>
                <w:sz w:val="24"/>
                <w:szCs w:val="24"/>
              </w:rPr>
              <w:t xml:space="preserve"> in </w:t>
            </w:r>
            <w:r w:rsidR="00876702">
              <w:rPr>
                <w:rFonts w:ascii="Arial" w:hAnsi="Arial" w:cs="Arial"/>
                <w:sz w:val="24"/>
                <w:szCs w:val="24"/>
              </w:rPr>
              <w:t>i</w:t>
            </w:r>
            <w:r w:rsidR="00653D2D">
              <w:rPr>
                <w:rFonts w:ascii="Arial" w:hAnsi="Arial" w:cs="Arial"/>
                <w:sz w:val="24"/>
                <w:szCs w:val="24"/>
              </w:rPr>
              <w:t xml:space="preserve">nternal </w:t>
            </w:r>
            <w:r w:rsidR="00876702">
              <w:rPr>
                <w:rFonts w:ascii="Arial" w:hAnsi="Arial" w:cs="Arial"/>
                <w:sz w:val="24"/>
                <w:szCs w:val="24"/>
              </w:rPr>
              <w:t>c</w:t>
            </w:r>
            <w:r w:rsidR="00653D2D">
              <w:rPr>
                <w:rFonts w:ascii="Arial" w:hAnsi="Arial" w:cs="Arial"/>
                <w:sz w:val="24"/>
                <w:szCs w:val="24"/>
              </w:rPr>
              <w:t xml:space="preserve">ontrols </w:t>
            </w:r>
            <w:r w:rsidR="00876702">
              <w:rPr>
                <w:rFonts w:ascii="Arial" w:hAnsi="Arial" w:cs="Arial"/>
                <w:sz w:val="24"/>
                <w:szCs w:val="24"/>
              </w:rPr>
              <w:t xml:space="preserve">during </w:t>
            </w:r>
            <w:r w:rsidR="00084CE4">
              <w:rPr>
                <w:rFonts w:ascii="Arial" w:hAnsi="Arial" w:cs="Arial"/>
                <w:sz w:val="24"/>
                <w:szCs w:val="24"/>
              </w:rPr>
              <w:t xml:space="preserve">calendar year </w:t>
            </w:r>
            <w:r w:rsidR="00653D2D">
              <w:rPr>
                <w:rFonts w:ascii="Arial" w:hAnsi="Arial" w:cs="Arial"/>
                <w:sz w:val="24"/>
                <w:szCs w:val="24"/>
              </w:rPr>
              <w:t>201</w:t>
            </w:r>
            <w:r w:rsidR="005210B8">
              <w:rPr>
                <w:rFonts w:ascii="Arial" w:hAnsi="Arial" w:cs="Arial"/>
                <w:sz w:val="24"/>
                <w:szCs w:val="24"/>
              </w:rPr>
              <w:t>7</w:t>
            </w:r>
            <w:r w:rsidR="00876702">
              <w:rPr>
                <w:rFonts w:ascii="Arial" w:hAnsi="Arial" w:cs="Arial"/>
                <w:sz w:val="24"/>
                <w:szCs w:val="24"/>
              </w:rPr>
              <w:t>/1</w:t>
            </w:r>
            <w:r w:rsidR="005210B8">
              <w:rPr>
                <w:rFonts w:ascii="Arial" w:hAnsi="Arial" w:cs="Arial"/>
                <w:sz w:val="24"/>
                <w:szCs w:val="24"/>
              </w:rPr>
              <w:t>8</w:t>
            </w:r>
            <w:r w:rsidR="00084CE4">
              <w:rPr>
                <w:rFonts w:ascii="Arial" w:hAnsi="Arial" w:cs="Arial"/>
                <w:sz w:val="24"/>
                <w:szCs w:val="24"/>
              </w:rPr>
              <w:t>;</w:t>
            </w:r>
          </w:p>
          <w:p w:rsidR="00876702" w:rsidRDefault="00EE3F35" w:rsidP="000A1C55">
            <w:pPr>
              <w:pStyle w:val="ListParagraph"/>
              <w:numPr>
                <w:ilvl w:val="0"/>
                <w:numId w:val="17"/>
              </w:numPr>
              <w:spacing w:line="240" w:lineRule="auto"/>
              <w:ind w:left="567" w:hanging="283"/>
              <w:jc w:val="both"/>
              <w:rPr>
                <w:rFonts w:ascii="Arial" w:hAnsi="Arial" w:cs="Arial"/>
                <w:sz w:val="24"/>
                <w:szCs w:val="24"/>
              </w:rPr>
            </w:pPr>
            <w:r>
              <w:rPr>
                <w:rFonts w:ascii="Arial" w:hAnsi="Arial" w:cs="Arial"/>
                <w:sz w:val="24"/>
                <w:szCs w:val="24"/>
              </w:rPr>
              <w:t>the update on the Internal Audit</w:t>
            </w:r>
            <w:r w:rsidR="00084CE4">
              <w:rPr>
                <w:rFonts w:ascii="Arial" w:hAnsi="Arial" w:cs="Arial"/>
                <w:sz w:val="24"/>
                <w:szCs w:val="24"/>
              </w:rPr>
              <w:t>– HR Recruitment;</w:t>
            </w:r>
            <w:r w:rsidR="00876702">
              <w:rPr>
                <w:rFonts w:ascii="Arial" w:hAnsi="Arial" w:cs="Arial"/>
                <w:sz w:val="24"/>
                <w:szCs w:val="24"/>
              </w:rPr>
              <w:t xml:space="preserve"> </w:t>
            </w:r>
            <w:r w:rsidR="00413E9C">
              <w:rPr>
                <w:rFonts w:ascii="Arial" w:hAnsi="Arial" w:cs="Arial"/>
                <w:sz w:val="24"/>
                <w:szCs w:val="24"/>
              </w:rPr>
              <w:t xml:space="preserve"> </w:t>
            </w:r>
          </w:p>
          <w:p w:rsidR="00084CE4" w:rsidRDefault="00084CE4" w:rsidP="000A1C55">
            <w:pPr>
              <w:pStyle w:val="ListParagraph"/>
              <w:numPr>
                <w:ilvl w:val="0"/>
                <w:numId w:val="17"/>
              </w:numPr>
              <w:spacing w:line="240" w:lineRule="auto"/>
              <w:ind w:left="567" w:hanging="283"/>
              <w:jc w:val="both"/>
              <w:rPr>
                <w:rFonts w:ascii="Arial" w:hAnsi="Arial" w:cs="Arial"/>
                <w:sz w:val="24"/>
                <w:szCs w:val="24"/>
              </w:rPr>
            </w:pPr>
            <w:r>
              <w:rPr>
                <w:rFonts w:ascii="Arial" w:hAnsi="Arial" w:cs="Arial"/>
                <w:sz w:val="24"/>
                <w:szCs w:val="24"/>
              </w:rPr>
              <w:t>the recent change to th</w:t>
            </w:r>
            <w:r w:rsidR="00A9356A">
              <w:rPr>
                <w:rFonts w:ascii="Arial" w:hAnsi="Arial" w:cs="Arial"/>
                <w:sz w:val="24"/>
                <w:szCs w:val="24"/>
              </w:rPr>
              <w:t>e European OJEU threshold level; and</w:t>
            </w:r>
          </w:p>
          <w:p w:rsidR="00A9356A" w:rsidRDefault="00A9356A" w:rsidP="000A1C55">
            <w:pPr>
              <w:pStyle w:val="ListParagraph"/>
              <w:numPr>
                <w:ilvl w:val="0"/>
                <w:numId w:val="17"/>
              </w:numPr>
              <w:spacing w:line="240" w:lineRule="auto"/>
              <w:ind w:left="567" w:hanging="283"/>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award of contracts as detailed in </w:t>
            </w:r>
            <w:r w:rsidRPr="00A9356A">
              <w:rPr>
                <w:rFonts w:ascii="Arial" w:hAnsi="Arial" w:cs="Arial"/>
                <w:b/>
                <w:sz w:val="24"/>
                <w:szCs w:val="24"/>
              </w:rPr>
              <w:t>paragraph 6.3</w:t>
            </w:r>
            <w:r>
              <w:rPr>
                <w:rFonts w:ascii="Arial" w:hAnsi="Arial" w:cs="Arial"/>
                <w:sz w:val="24"/>
                <w:szCs w:val="24"/>
              </w:rPr>
              <w:t>.</w:t>
            </w:r>
          </w:p>
          <w:p w:rsidR="00876702" w:rsidRPr="009E4318" w:rsidRDefault="00876702" w:rsidP="005210B8">
            <w:pPr>
              <w:pStyle w:val="ListParagraph"/>
              <w:ind w:left="567"/>
              <w:jc w:val="both"/>
              <w:rPr>
                <w:rFonts w:ascii="Arial" w:hAnsi="Arial" w:cs="Arial"/>
                <w:sz w:val="24"/>
                <w:szCs w:val="24"/>
              </w:rPr>
            </w:pPr>
          </w:p>
        </w:tc>
      </w:tr>
    </w:tbl>
    <w:p w:rsidR="0097099E" w:rsidRPr="0089449E" w:rsidRDefault="0097099E" w:rsidP="00472040">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89449E">
        <w:tc>
          <w:tcPr>
            <w:tcW w:w="817" w:type="dxa"/>
          </w:tcPr>
          <w:p w:rsidR="00A53534" w:rsidRPr="0089449E" w:rsidRDefault="008B4D54" w:rsidP="00472040">
            <w:pPr>
              <w:jc w:val="both"/>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rsidR="00A53534" w:rsidRPr="0089449E" w:rsidRDefault="00A53534" w:rsidP="00472040">
            <w:pPr>
              <w:jc w:val="both"/>
              <w:rPr>
                <w:rFonts w:ascii="Arial" w:hAnsi="Arial" w:cs="Arial"/>
                <w:b/>
              </w:rPr>
            </w:pPr>
            <w:r w:rsidRPr="0089449E">
              <w:rPr>
                <w:rFonts w:ascii="Arial" w:hAnsi="Arial" w:cs="Arial"/>
                <w:b/>
              </w:rPr>
              <w:t>Business Plan Contribution</w:t>
            </w:r>
          </w:p>
          <w:p w:rsidR="00A53534" w:rsidRPr="0089449E" w:rsidRDefault="00A53534" w:rsidP="00472040">
            <w:pPr>
              <w:jc w:val="both"/>
              <w:rPr>
                <w:rFonts w:ascii="Arial" w:hAnsi="Arial" w:cs="Arial"/>
                <w:szCs w:val="24"/>
              </w:rPr>
            </w:pPr>
          </w:p>
        </w:tc>
      </w:tr>
      <w:tr w:rsidR="00A53534" w:rsidRPr="0089449E">
        <w:tc>
          <w:tcPr>
            <w:tcW w:w="817" w:type="dxa"/>
          </w:tcPr>
          <w:p w:rsidR="00A53534" w:rsidRPr="007161EF" w:rsidRDefault="008B4D54" w:rsidP="00472040">
            <w:pPr>
              <w:jc w:val="both"/>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rsidR="00B0145D" w:rsidRPr="00B0145D" w:rsidRDefault="00B0145D" w:rsidP="00B0145D">
            <w:pPr>
              <w:jc w:val="both"/>
              <w:rPr>
                <w:rFonts w:ascii="Arial" w:hAnsi="Arial" w:cs="Arial"/>
              </w:rPr>
            </w:pPr>
            <w:r w:rsidRPr="00B0145D">
              <w:rPr>
                <w:rFonts w:ascii="Arial" w:hAnsi="Arial" w:cs="Arial"/>
              </w:rPr>
              <w:t>This report supports the highlighted Business Outcome from the High Life Highland (HLH) Business Plan:</w:t>
            </w:r>
          </w:p>
          <w:p w:rsidR="00B0145D" w:rsidRPr="00B0145D" w:rsidRDefault="00B0145D" w:rsidP="00B0145D">
            <w:pPr>
              <w:jc w:val="both"/>
              <w:rPr>
                <w:rFonts w:ascii="Arial" w:hAnsi="Arial" w:cs="Arial"/>
              </w:rPr>
            </w:pPr>
          </w:p>
          <w:p w:rsidR="0031751B" w:rsidRPr="00692422" w:rsidRDefault="0031751B" w:rsidP="0031751B">
            <w:pPr>
              <w:pStyle w:val="ListParagraph"/>
              <w:numPr>
                <w:ilvl w:val="0"/>
                <w:numId w:val="6"/>
              </w:numPr>
              <w:spacing w:after="0" w:line="240" w:lineRule="auto"/>
              <w:jc w:val="both"/>
              <w:rPr>
                <w:rFonts w:ascii="Arial" w:hAnsi="Arial" w:cs="Arial"/>
                <w:b/>
                <w:sz w:val="24"/>
                <w:szCs w:val="24"/>
              </w:rPr>
            </w:pPr>
            <w:r w:rsidRPr="00692422">
              <w:rPr>
                <w:rFonts w:ascii="Arial" w:hAnsi="Arial" w:cs="Arial"/>
                <w:b/>
                <w:sz w:val="24"/>
                <w:szCs w:val="24"/>
              </w:rPr>
              <w:t>To advance sustainable growth and financial sustainability</w:t>
            </w:r>
          </w:p>
          <w:p w:rsidR="0031751B" w:rsidRPr="00692422" w:rsidRDefault="0031751B" w:rsidP="0031751B">
            <w:pPr>
              <w:pStyle w:val="ListParagraph"/>
              <w:numPr>
                <w:ilvl w:val="0"/>
                <w:numId w:val="6"/>
              </w:numPr>
              <w:spacing w:after="0" w:line="240" w:lineRule="auto"/>
              <w:jc w:val="both"/>
              <w:rPr>
                <w:rFonts w:ascii="Arial" w:hAnsi="Arial" w:cs="Arial"/>
                <w:sz w:val="24"/>
                <w:szCs w:val="24"/>
              </w:rPr>
            </w:pPr>
            <w:r w:rsidRPr="00692422">
              <w:rPr>
                <w:rFonts w:ascii="Arial" w:hAnsi="Arial" w:cs="Arial"/>
                <w:sz w:val="24"/>
                <w:szCs w:val="24"/>
              </w:rPr>
              <w:t>Deliver the Service Delivery Contract with THC</w:t>
            </w:r>
          </w:p>
          <w:p w:rsidR="0031751B" w:rsidRPr="00692422" w:rsidRDefault="0031751B" w:rsidP="0031751B">
            <w:pPr>
              <w:pStyle w:val="ListParagraph"/>
              <w:numPr>
                <w:ilvl w:val="0"/>
                <w:numId w:val="6"/>
              </w:numPr>
              <w:spacing w:after="0" w:line="240" w:lineRule="auto"/>
              <w:jc w:val="both"/>
              <w:rPr>
                <w:rFonts w:ascii="Arial" w:hAnsi="Arial" w:cs="Arial"/>
                <w:sz w:val="24"/>
                <w:szCs w:val="24"/>
              </w:rPr>
            </w:pPr>
            <w:r w:rsidRPr="00692422">
              <w:rPr>
                <w:rFonts w:ascii="Arial" w:hAnsi="Arial" w:cs="Arial"/>
                <w:sz w:val="24"/>
                <w:szCs w:val="24"/>
              </w:rPr>
              <w:t>Improving staff satisfaction</w:t>
            </w:r>
          </w:p>
          <w:p w:rsidR="0031751B" w:rsidRPr="00692422" w:rsidRDefault="0031751B" w:rsidP="0031751B">
            <w:pPr>
              <w:pStyle w:val="ListParagraph"/>
              <w:numPr>
                <w:ilvl w:val="0"/>
                <w:numId w:val="6"/>
              </w:numPr>
              <w:spacing w:after="0" w:line="240" w:lineRule="auto"/>
              <w:jc w:val="both"/>
              <w:rPr>
                <w:rFonts w:ascii="Arial" w:hAnsi="Arial" w:cs="Arial"/>
                <w:sz w:val="24"/>
                <w:szCs w:val="24"/>
              </w:rPr>
            </w:pPr>
            <w:r w:rsidRPr="00692422">
              <w:rPr>
                <w:rFonts w:ascii="Arial" w:hAnsi="Arial" w:cs="Arial"/>
                <w:sz w:val="24"/>
                <w:szCs w:val="24"/>
              </w:rPr>
              <w:t>Improving customer satisfaction</w:t>
            </w:r>
          </w:p>
          <w:p w:rsidR="0031751B" w:rsidRPr="00FF59DD" w:rsidRDefault="0031751B" w:rsidP="0031751B">
            <w:pPr>
              <w:pStyle w:val="ListParagraph"/>
              <w:numPr>
                <w:ilvl w:val="0"/>
                <w:numId w:val="6"/>
              </w:numPr>
              <w:spacing w:after="0" w:line="240" w:lineRule="auto"/>
              <w:jc w:val="both"/>
              <w:rPr>
                <w:rFonts w:ascii="Arial" w:hAnsi="Arial" w:cs="Arial"/>
                <w:sz w:val="24"/>
                <w:szCs w:val="24"/>
              </w:rPr>
            </w:pPr>
            <w:r w:rsidRPr="00FF59DD">
              <w:rPr>
                <w:rFonts w:ascii="Arial" w:hAnsi="Arial" w:cs="Arial"/>
                <w:sz w:val="24"/>
                <w:szCs w:val="24"/>
              </w:rPr>
              <w:t>A positive company image</w:t>
            </w:r>
          </w:p>
          <w:p w:rsidR="0031751B" w:rsidRPr="001216C7" w:rsidRDefault="0031751B" w:rsidP="0031751B">
            <w:pPr>
              <w:pStyle w:val="ListParagraph"/>
              <w:numPr>
                <w:ilvl w:val="0"/>
                <w:numId w:val="6"/>
              </w:numPr>
              <w:spacing w:after="0" w:line="240" w:lineRule="auto"/>
              <w:jc w:val="both"/>
              <w:rPr>
                <w:rFonts w:ascii="Arial" w:hAnsi="Arial" w:cs="Arial"/>
                <w:sz w:val="24"/>
                <w:szCs w:val="24"/>
              </w:rPr>
            </w:pPr>
            <w:r w:rsidRPr="001216C7">
              <w:rPr>
                <w:rFonts w:ascii="Arial" w:hAnsi="Arial" w:cs="Arial"/>
                <w:sz w:val="24"/>
                <w:szCs w:val="24"/>
              </w:rPr>
              <w:t>Services designed around customers and through market opportunities</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Sustain a good health and safety performance</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A trusted partner</w:t>
            </w:r>
          </w:p>
          <w:p w:rsidR="00C51930" w:rsidRPr="00B0145D" w:rsidRDefault="00C51930" w:rsidP="0031751B">
            <w:pPr>
              <w:contextualSpacing/>
              <w:jc w:val="both"/>
              <w:rPr>
                <w:rFonts w:ascii="Arial" w:hAnsi="Arial" w:cs="Arial"/>
              </w:rPr>
            </w:pPr>
          </w:p>
        </w:tc>
      </w:tr>
      <w:tr w:rsidR="00A53534" w:rsidRPr="0089449E">
        <w:tc>
          <w:tcPr>
            <w:tcW w:w="817" w:type="dxa"/>
          </w:tcPr>
          <w:p w:rsidR="00A53534" w:rsidRPr="0089449E" w:rsidRDefault="008B4D54" w:rsidP="00472040">
            <w:pPr>
              <w:jc w:val="both"/>
              <w:rPr>
                <w:rFonts w:ascii="Arial" w:hAnsi="Arial" w:cs="Arial"/>
                <w:b/>
                <w:szCs w:val="24"/>
              </w:rPr>
            </w:pPr>
            <w:r>
              <w:rPr>
                <w:rFonts w:ascii="Arial" w:hAnsi="Arial" w:cs="Arial"/>
                <w:b/>
                <w:szCs w:val="24"/>
              </w:rPr>
              <w:t>2.</w:t>
            </w:r>
          </w:p>
        </w:tc>
        <w:tc>
          <w:tcPr>
            <w:tcW w:w="8647" w:type="dxa"/>
          </w:tcPr>
          <w:p w:rsidR="008B4D54" w:rsidRPr="0097099E" w:rsidRDefault="008B4D54" w:rsidP="00472040">
            <w:pPr>
              <w:jc w:val="both"/>
              <w:rPr>
                <w:rFonts w:ascii="Arial" w:hAnsi="Arial" w:cs="Arial"/>
                <w:b/>
                <w:szCs w:val="24"/>
              </w:rPr>
            </w:pPr>
            <w:r w:rsidRPr="0097099E">
              <w:rPr>
                <w:rFonts w:ascii="Arial" w:hAnsi="Arial" w:cs="Arial"/>
                <w:b/>
                <w:szCs w:val="24"/>
              </w:rPr>
              <w:t>Background</w:t>
            </w:r>
          </w:p>
          <w:p w:rsidR="00A53534" w:rsidRPr="0089449E" w:rsidRDefault="00A53534" w:rsidP="00472040">
            <w:pPr>
              <w:jc w:val="both"/>
              <w:rPr>
                <w:rFonts w:ascii="Arial" w:hAnsi="Arial" w:cs="Arial"/>
                <w:szCs w:val="24"/>
              </w:rPr>
            </w:pPr>
          </w:p>
        </w:tc>
      </w:tr>
      <w:tr w:rsidR="004A13CB" w:rsidRPr="0089449E">
        <w:tc>
          <w:tcPr>
            <w:tcW w:w="817" w:type="dxa"/>
          </w:tcPr>
          <w:p w:rsidR="004A13CB" w:rsidRDefault="004A13CB" w:rsidP="004A13CB">
            <w:pPr>
              <w:jc w:val="both"/>
              <w:rPr>
                <w:rFonts w:ascii="Arial" w:hAnsi="Arial" w:cs="Arial"/>
                <w:szCs w:val="24"/>
              </w:rPr>
            </w:pPr>
            <w:r w:rsidRPr="008B4D54">
              <w:rPr>
                <w:rFonts w:ascii="Arial" w:hAnsi="Arial" w:cs="Arial"/>
                <w:szCs w:val="24"/>
              </w:rPr>
              <w:t>2.1</w:t>
            </w:r>
          </w:p>
          <w:p w:rsidR="004A13CB" w:rsidRDefault="004A13CB" w:rsidP="00472040">
            <w:pPr>
              <w:jc w:val="both"/>
              <w:rPr>
                <w:rFonts w:ascii="Arial" w:hAnsi="Arial" w:cs="Arial"/>
                <w:b/>
                <w:szCs w:val="24"/>
              </w:rPr>
            </w:pPr>
          </w:p>
        </w:tc>
        <w:tc>
          <w:tcPr>
            <w:tcW w:w="8647" w:type="dxa"/>
          </w:tcPr>
          <w:p w:rsidR="004A13CB" w:rsidRDefault="004A13CB" w:rsidP="004A13CB">
            <w:pPr>
              <w:jc w:val="both"/>
              <w:rPr>
                <w:rFonts w:ascii="Arial" w:hAnsi="Arial" w:cs="Arial"/>
                <w:szCs w:val="24"/>
              </w:rPr>
            </w:pPr>
            <w:r>
              <w:rPr>
                <w:rFonts w:ascii="Arial" w:hAnsi="Arial" w:cs="Arial"/>
                <w:szCs w:val="24"/>
              </w:rPr>
              <w:t xml:space="preserve">Directors of HLH receive a Finance Report on </w:t>
            </w:r>
            <w:r w:rsidR="001C4B5C">
              <w:rPr>
                <w:rFonts w:ascii="Arial" w:hAnsi="Arial" w:cs="Arial"/>
                <w:szCs w:val="24"/>
              </w:rPr>
              <w:t xml:space="preserve">a </w:t>
            </w:r>
            <w:r w:rsidR="00420554">
              <w:rPr>
                <w:rFonts w:ascii="Arial" w:hAnsi="Arial" w:cs="Arial"/>
                <w:szCs w:val="24"/>
              </w:rPr>
              <w:t xml:space="preserve">quarterly </w:t>
            </w:r>
            <w:r w:rsidR="009E3DB8">
              <w:rPr>
                <w:rFonts w:ascii="Arial" w:hAnsi="Arial" w:cs="Arial"/>
                <w:szCs w:val="24"/>
              </w:rPr>
              <w:t xml:space="preserve">basis. The primary purpose of the </w:t>
            </w:r>
            <w:r>
              <w:rPr>
                <w:rFonts w:ascii="Arial" w:hAnsi="Arial" w:cs="Arial"/>
                <w:szCs w:val="24"/>
              </w:rPr>
              <w:t>report is to summarise the financial performance of the o</w:t>
            </w:r>
            <w:r w:rsidR="00874988">
              <w:rPr>
                <w:rFonts w:ascii="Arial" w:hAnsi="Arial" w:cs="Arial"/>
                <w:szCs w:val="24"/>
              </w:rPr>
              <w:t>rganisation and its subsidiary</w:t>
            </w:r>
            <w:r>
              <w:rPr>
                <w:rFonts w:ascii="Arial" w:hAnsi="Arial" w:cs="Arial"/>
                <w:szCs w:val="24"/>
              </w:rPr>
              <w:t xml:space="preserve">. </w:t>
            </w:r>
          </w:p>
          <w:p w:rsidR="004A13CB" w:rsidRPr="0097099E" w:rsidRDefault="004A13CB" w:rsidP="00472040">
            <w:pPr>
              <w:jc w:val="both"/>
              <w:rPr>
                <w:rFonts w:ascii="Arial" w:hAnsi="Arial" w:cs="Arial"/>
                <w:b/>
                <w:szCs w:val="24"/>
              </w:rPr>
            </w:pPr>
          </w:p>
        </w:tc>
      </w:tr>
      <w:tr w:rsidR="004A13CB" w:rsidRPr="0089449E">
        <w:tc>
          <w:tcPr>
            <w:tcW w:w="817" w:type="dxa"/>
          </w:tcPr>
          <w:p w:rsidR="004A13CB" w:rsidRDefault="004A13CB" w:rsidP="004A13CB">
            <w:pPr>
              <w:jc w:val="both"/>
              <w:rPr>
                <w:rFonts w:ascii="Arial" w:hAnsi="Arial" w:cs="Arial"/>
                <w:b/>
                <w:szCs w:val="24"/>
              </w:rPr>
            </w:pPr>
            <w:r w:rsidRPr="00CD28C3">
              <w:rPr>
                <w:rFonts w:ascii="Arial" w:hAnsi="Arial" w:cs="Arial"/>
                <w:b/>
                <w:szCs w:val="24"/>
              </w:rPr>
              <w:t>3.</w:t>
            </w:r>
          </w:p>
          <w:p w:rsidR="004A13CB" w:rsidRPr="008B4D54" w:rsidRDefault="004A13CB" w:rsidP="004A13CB">
            <w:pPr>
              <w:jc w:val="both"/>
              <w:rPr>
                <w:rFonts w:ascii="Arial" w:hAnsi="Arial" w:cs="Arial"/>
                <w:szCs w:val="24"/>
              </w:rPr>
            </w:pPr>
          </w:p>
        </w:tc>
        <w:tc>
          <w:tcPr>
            <w:tcW w:w="8647" w:type="dxa"/>
          </w:tcPr>
          <w:p w:rsidR="004A13CB" w:rsidRDefault="004A13CB" w:rsidP="004A13CB">
            <w:pPr>
              <w:jc w:val="both"/>
              <w:rPr>
                <w:rFonts w:ascii="Arial" w:hAnsi="Arial" w:cs="Arial"/>
                <w:b/>
                <w:szCs w:val="24"/>
              </w:rPr>
            </w:pPr>
            <w:r w:rsidRPr="00CD28C3">
              <w:rPr>
                <w:rFonts w:ascii="Arial" w:hAnsi="Arial" w:cs="Arial"/>
                <w:b/>
                <w:szCs w:val="24"/>
              </w:rPr>
              <w:t xml:space="preserve">Financial Performance to </w:t>
            </w:r>
            <w:r w:rsidR="00A441C3">
              <w:rPr>
                <w:rFonts w:ascii="Arial" w:hAnsi="Arial" w:cs="Arial"/>
                <w:b/>
                <w:szCs w:val="24"/>
              </w:rPr>
              <w:t>January</w:t>
            </w:r>
            <w:r w:rsidR="00A95BB7">
              <w:rPr>
                <w:rFonts w:ascii="Arial" w:hAnsi="Arial" w:cs="Arial"/>
                <w:b/>
                <w:szCs w:val="24"/>
              </w:rPr>
              <w:t xml:space="preserve"> 201</w:t>
            </w:r>
            <w:r w:rsidR="005210B8">
              <w:rPr>
                <w:rFonts w:ascii="Arial" w:hAnsi="Arial" w:cs="Arial"/>
                <w:b/>
                <w:szCs w:val="24"/>
              </w:rPr>
              <w:t>8</w:t>
            </w:r>
          </w:p>
          <w:p w:rsidR="004A13CB" w:rsidRDefault="004A13CB" w:rsidP="004A13CB">
            <w:pPr>
              <w:jc w:val="both"/>
              <w:rPr>
                <w:rFonts w:ascii="Arial" w:hAnsi="Arial" w:cs="Arial"/>
                <w:szCs w:val="24"/>
              </w:rPr>
            </w:pPr>
          </w:p>
        </w:tc>
      </w:tr>
      <w:tr w:rsidR="00A53534" w:rsidRPr="0089449E">
        <w:tc>
          <w:tcPr>
            <w:tcW w:w="817" w:type="dxa"/>
          </w:tcPr>
          <w:p w:rsidR="00CD28C3" w:rsidRDefault="00CD28C3" w:rsidP="00472040">
            <w:pPr>
              <w:jc w:val="both"/>
              <w:rPr>
                <w:rFonts w:ascii="Arial" w:hAnsi="Arial" w:cs="Arial"/>
                <w:szCs w:val="24"/>
              </w:rPr>
            </w:pPr>
            <w:r w:rsidRPr="00CD28C3">
              <w:rPr>
                <w:rFonts w:ascii="Arial" w:hAnsi="Arial" w:cs="Arial"/>
                <w:szCs w:val="24"/>
              </w:rPr>
              <w:t>3.1</w:t>
            </w:r>
          </w:p>
          <w:p w:rsidR="00B9658E" w:rsidRDefault="00B9658E" w:rsidP="00472040">
            <w:pPr>
              <w:jc w:val="both"/>
              <w:rPr>
                <w:rFonts w:ascii="Arial" w:hAnsi="Arial" w:cs="Arial"/>
                <w:szCs w:val="24"/>
              </w:rPr>
            </w:pPr>
          </w:p>
          <w:p w:rsidR="00635750" w:rsidRDefault="00635750" w:rsidP="00472040">
            <w:pPr>
              <w:jc w:val="both"/>
              <w:rPr>
                <w:rFonts w:ascii="Arial" w:hAnsi="Arial" w:cs="Arial"/>
                <w:szCs w:val="24"/>
              </w:rPr>
            </w:pPr>
            <w:r>
              <w:rPr>
                <w:rFonts w:ascii="Arial" w:hAnsi="Arial" w:cs="Arial"/>
                <w:szCs w:val="24"/>
              </w:rPr>
              <w:t>3.2</w:t>
            </w:r>
          </w:p>
          <w:p w:rsidR="00B71E7C" w:rsidRDefault="00B71E7C" w:rsidP="00472040">
            <w:pPr>
              <w:jc w:val="both"/>
              <w:rPr>
                <w:rFonts w:ascii="Arial" w:hAnsi="Arial" w:cs="Arial"/>
                <w:szCs w:val="24"/>
              </w:rPr>
            </w:pPr>
          </w:p>
          <w:p w:rsidR="00B71E7C" w:rsidRDefault="00B71E7C" w:rsidP="00472040">
            <w:pPr>
              <w:jc w:val="both"/>
              <w:rPr>
                <w:rFonts w:ascii="Arial" w:hAnsi="Arial" w:cs="Arial"/>
                <w:szCs w:val="24"/>
              </w:rPr>
            </w:pPr>
          </w:p>
          <w:p w:rsidR="009E4318" w:rsidRDefault="009E4318" w:rsidP="00472040">
            <w:pPr>
              <w:jc w:val="both"/>
              <w:rPr>
                <w:rFonts w:ascii="Arial" w:hAnsi="Arial" w:cs="Arial"/>
                <w:szCs w:val="24"/>
              </w:rPr>
            </w:pPr>
          </w:p>
          <w:p w:rsidR="00B71E7C" w:rsidRDefault="00B71E7C" w:rsidP="00472040">
            <w:pPr>
              <w:jc w:val="both"/>
              <w:rPr>
                <w:rFonts w:ascii="Arial" w:hAnsi="Arial" w:cs="Arial"/>
                <w:szCs w:val="24"/>
              </w:rPr>
            </w:pPr>
            <w:r>
              <w:rPr>
                <w:rFonts w:ascii="Arial" w:hAnsi="Arial" w:cs="Arial"/>
                <w:szCs w:val="24"/>
              </w:rPr>
              <w:lastRenderedPageBreak/>
              <w:t>3.3</w:t>
            </w:r>
          </w:p>
          <w:p w:rsidR="00691D66" w:rsidRDefault="00691D66" w:rsidP="00472040">
            <w:pPr>
              <w:jc w:val="both"/>
              <w:rPr>
                <w:rFonts w:ascii="Arial" w:hAnsi="Arial" w:cs="Arial"/>
                <w:szCs w:val="24"/>
              </w:rPr>
            </w:pPr>
          </w:p>
          <w:p w:rsidR="00691D66" w:rsidRDefault="00691D66" w:rsidP="00472040">
            <w:pPr>
              <w:jc w:val="both"/>
              <w:rPr>
                <w:rFonts w:ascii="Arial" w:hAnsi="Arial" w:cs="Arial"/>
                <w:szCs w:val="24"/>
              </w:rPr>
            </w:pPr>
          </w:p>
          <w:p w:rsidR="00691D66" w:rsidRDefault="00691D66" w:rsidP="00472040">
            <w:pPr>
              <w:jc w:val="both"/>
              <w:rPr>
                <w:rFonts w:ascii="Arial" w:hAnsi="Arial" w:cs="Arial"/>
                <w:szCs w:val="24"/>
              </w:rPr>
            </w:pPr>
            <w:r>
              <w:rPr>
                <w:rFonts w:ascii="Arial" w:hAnsi="Arial" w:cs="Arial"/>
                <w:szCs w:val="24"/>
              </w:rPr>
              <w:t>3.4</w:t>
            </w:r>
          </w:p>
          <w:p w:rsidR="001766FB" w:rsidRPr="00CD28C3" w:rsidRDefault="001766FB" w:rsidP="00CA5E5B">
            <w:pPr>
              <w:jc w:val="both"/>
              <w:rPr>
                <w:rFonts w:ascii="Arial" w:hAnsi="Arial" w:cs="Arial"/>
                <w:szCs w:val="24"/>
              </w:rPr>
            </w:pPr>
          </w:p>
        </w:tc>
        <w:tc>
          <w:tcPr>
            <w:tcW w:w="8647" w:type="dxa"/>
          </w:tcPr>
          <w:p w:rsidR="00B9658E" w:rsidRDefault="00635750" w:rsidP="00635750">
            <w:pPr>
              <w:jc w:val="both"/>
              <w:rPr>
                <w:rFonts w:ascii="Arial" w:hAnsi="Arial" w:cs="Arial"/>
                <w:szCs w:val="24"/>
              </w:rPr>
            </w:pPr>
            <w:r>
              <w:rPr>
                <w:rFonts w:ascii="Arial" w:hAnsi="Arial" w:cs="Arial"/>
                <w:szCs w:val="24"/>
              </w:rPr>
              <w:lastRenderedPageBreak/>
              <w:t>The out</w:t>
            </w:r>
            <w:r w:rsidR="005A19A5">
              <w:rPr>
                <w:rFonts w:ascii="Arial" w:hAnsi="Arial" w:cs="Arial"/>
                <w:szCs w:val="24"/>
              </w:rPr>
              <w:t>-</w:t>
            </w:r>
            <w:r>
              <w:rPr>
                <w:rFonts w:ascii="Arial" w:hAnsi="Arial" w:cs="Arial"/>
                <w:szCs w:val="24"/>
              </w:rPr>
              <w:t xml:space="preserve">turn figure for the period to </w:t>
            </w:r>
            <w:r w:rsidR="00A441C3">
              <w:rPr>
                <w:rFonts w:ascii="Arial" w:hAnsi="Arial" w:cs="Arial"/>
                <w:szCs w:val="24"/>
              </w:rPr>
              <w:t>January 201</w:t>
            </w:r>
            <w:r w:rsidR="005210B8">
              <w:rPr>
                <w:rFonts w:ascii="Arial" w:hAnsi="Arial" w:cs="Arial"/>
                <w:szCs w:val="24"/>
              </w:rPr>
              <w:t>8</w:t>
            </w:r>
            <w:r w:rsidR="00C533AA">
              <w:rPr>
                <w:rFonts w:ascii="Arial" w:hAnsi="Arial" w:cs="Arial"/>
                <w:szCs w:val="24"/>
              </w:rPr>
              <w:t xml:space="preserve"> </w:t>
            </w:r>
            <w:r>
              <w:rPr>
                <w:rFonts w:ascii="Arial" w:hAnsi="Arial" w:cs="Arial"/>
                <w:szCs w:val="24"/>
              </w:rPr>
              <w:t xml:space="preserve">has been prepared. </w:t>
            </w:r>
          </w:p>
          <w:p w:rsidR="00B9658E" w:rsidRDefault="00B9658E" w:rsidP="00635750">
            <w:pPr>
              <w:jc w:val="both"/>
              <w:rPr>
                <w:rFonts w:ascii="Arial" w:hAnsi="Arial" w:cs="Arial"/>
                <w:szCs w:val="24"/>
              </w:rPr>
            </w:pPr>
          </w:p>
          <w:p w:rsidR="00691D66" w:rsidRDefault="00635750" w:rsidP="00635750">
            <w:pPr>
              <w:jc w:val="both"/>
              <w:rPr>
                <w:rFonts w:ascii="Arial" w:hAnsi="Arial" w:cs="Arial"/>
                <w:szCs w:val="24"/>
              </w:rPr>
            </w:pPr>
            <w:r>
              <w:rPr>
                <w:rFonts w:ascii="Arial" w:hAnsi="Arial" w:cs="Arial"/>
                <w:szCs w:val="24"/>
              </w:rPr>
              <w:t xml:space="preserve">HLH’s consolidated financial performance for </w:t>
            </w:r>
            <w:r w:rsidR="00B0145D">
              <w:rPr>
                <w:rFonts w:ascii="Arial" w:hAnsi="Arial" w:cs="Arial"/>
                <w:szCs w:val="24"/>
              </w:rPr>
              <w:t>the year is summarised by the 9 </w:t>
            </w:r>
            <w:r>
              <w:rPr>
                <w:rFonts w:ascii="Arial" w:hAnsi="Arial" w:cs="Arial"/>
                <w:szCs w:val="24"/>
              </w:rPr>
              <w:t xml:space="preserve">business areas at </w:t>
            </w:r>
            <w:r w:rsidR="004A13CB" w:rsidRPr="00DE7C73">
              <w:rPr>
                <w:rFonts w:ascii="Arial" w:hAnsi="Arial" w:cs="Arial"/>
                <w:b/>
                <w:szCs w:val="24"/>
              </w:rPr>
              <w:t>Appendix A</w:t>
            </w:r>
            <w:r>
              <w:rPr>
                <w:rFonts w:ascii="Arial" w:hAnsi="Arial" w:cs="Arial"/>
                <w:b/>
                <w:szCs w:val="24"/>
              </w:rPr>
              <w:t xml:space="preserve">.  </w:t>
            </w:r>
            <w:proofErr w:type="gramStart"/>
            <w:r w:rsidR="00590256">
              <w:rPr>
                <w:rFonts w:ascii="Arial" w:hAnsi="Arial" w:cs="Arial"/>
                <w:szCs w:val="24"/>
              </w:rPr>
              <w:t>The</w:t>
            </w:r>
            <w:r w:rsidR="00315D04">
              <w:rPr>
                <w:rFonts w:ascii="Arial" w:hAnsi="Arial" w:cs="Arial"/>
                <w:szCs w:val="24"/>
              </w:rPr>
              <w:t xml:space="preserve"> </w:t>
            </w:r>
            <w:r w:rsidR="00590256">
              <w:rPr>
                <w:rFonts w:ascii="Arial" w:hAnsi="Arial" w:cs="Arial"/>
                <w:szCs w:val="24"/>
              </w:rPr>
              <w:t>out</w:t>
            </w:r>
            <w:r w:rsidR="005A19A5">
              <w:rPr>
                <w:rFonts w:ascii="Arial" w:hAnsi="Arial" w:cs="Arial"/>
                <w:szCs w:val="24"/>
              </w:rPr>
              <w:t>-</w:t>
            </w:r>
            <w:r w:rsidR="00590256">
              <w:rPr>
                <w:rFonts w:ascii="Arial" w:hAnsi="Arial" w:cs="Arial"/>
                <w:szCs w:val="24"/>
              </w:rPr>
              <w:t>turn</w:t>
            </w:r>
            <w:proofErr w:type="gramEnd"/>
            <w:r w:rsidR="00590256">
              <w:rPr>
                <w:rFonts w:ascii="Arial" w:hAnsi="Arial" w:cs="Arial"/>
                <w:szCs w:val="24"/>
              </w:rPr>
              <w:t xml:space="preserve"> for the period</w:t>
            </w:r>
            <w:r>
              <w:rPr>
                <w:rFonts w:ascii="Arial" w:hAnsi="Arial" w:cs="Arial"/>
                <w:szCs w:val="24"/>
              </w:rPr>
              <w:t xml:space="preserve"> is split by cost category (revenues, staff costs and other costs) at </w:t>
            </w:r>
            <w:r w:rsidR="00686F9F">
              <w:rPr>
                <w:rFonts w:ascii="Arial" w:hAnsi="Arial" w:cs="Arial"/>
                <w:b/>
                <w:szCs w:val="24"/>
              </w:rPr>
              <w:t>Appendix</w:t>
            </w:r>
            <w:r w:rsidRPr="00635750">
              <w:rPr>
                <w:rFonts w:ascii="Arial" w:hAnsi="Arial" w:cs="Arial"/>
                <w:b/>
                <w:szCs w:val="24"/>
              </w:rPr>
              <w:t xml:space="preserve"> B</w:t>
            </w:r>
            <w:r>
              <w:rPr>
                <w:rFonts w:ascii="Arial" w:hAnsi="Arial" w:cs="Arial"/>
                <w:szCs w:val="24"/>
              </w:rPr>
              <w:t xml:space="preserve">. </w:t>
            </w:r>
          </w:p>
          <w:p w:rsidR="00691D66" w:rsidRDefault="00691D66" w:rsidP="00635750">
            <w:pPr>
              <w:jc w:val="both"/>
              <w:rPr>
                <w:rFonts w:ascii="Arial" w:hAnsi="Arial" w:cs="Arial"/>
                <w:szCs w:val="24"/>
              </w:rPr>
            </w:pPr>
          </w:p>
          <w:p w:rsidR="00CF250B" w:rsidRDefault="00691D66" w:rsidP="00CF250B">
            <w:pPr>
              <w:jc w:val="both"/>
              <w:rPr>
                <w:rFonts w:ascii="Arial" w:hAnsi="Arial" w:cs="Arial"/>
                <w:szCs w:val="24"/>
              </w:rPr>
            </w:pPr>
            <w:r>
              <w:rPr>
                <w:rFonts w:ascii="Arial" w:hAnsi="Arial" w:cs="Arial"/>
                <w:szCs w:val="24"/>
              </w:rPr>
              <w:lastRenderedPageBreak/>
              <w:t xml:space="preserve">The net position is £88,854 positive variance to budget with a commentary </w:t>
            </w:r>
            <w:r w:rsidR="00635750" w:rsidRPr="00532972">
              <w:rPr>
                <w:rFonts w:ascii="Arial" w:hAnsi="Arial" w:cs="Arial"/>
                <w:szCs w:val="24"/>
              </w:rPr>
              <w:t xml:space="preserve">on the major variances </w:t>
            </w:r>
            <w:r w:rsidR="001766FB" w:rsidRPr="00532972">
              <w:rPr>
                <w:rFonts w:ascii="Arial" w:hAnsi="Arial" w:cs="Arial"/>
                <w:szCs w:val="24"/>
              </w:rPr>
              <w:t>(o</w:t>
            </w:r>
            <w:r>
              <w:rPr>
                <w:rFonts w:ascii="Arial" w:hAnsi="Arial" w:cs="Arial"/>
                <w:szCs w:val="24"/>
              </w:rPr>
              <w:t>ver £5K)</w:t>
            </w:r>
            <w:r w:rsidR="00635750" w:rsidRPr="00532972">
              <w:rPr>
                <w:rFonts w:ascii="Arial" w:hAnsi="Arial" w:cs="Arial"/>
                <w:szCs w:val="24"/>
              </w:rPr>
              <w:t xml:space="preserve"> provided at</w:t>
            </w:r>
            <w:r w:rsidR="00635750" w:rsidRPr="0032499A">
              <w:rPr>
                <w:rFonts w:ascii="Arial" w:hAnsi="Arial" w:cs="Arial"/>
                <w:i/>
                <w:szCs w:val="24"/>
              </w:rPr>
              <w:t xml:space="preserve"> </w:t>
            </w:r>
            <w:r w:rsidR="00635750" w:rsidRPr="00635750">
              <w:rPr>
                <w:rFonts w:ascii="Arial" w:hAnsi="Arial" w:cs="Arial"/>
                <w:b/>
                <w:szCs w:val="24"/>
              </w:rPr>
              <w:t xml:space="preserve">Appendix </w:t>
            </w:r>
            <w:r w:rsidR="00CF250B">
              <w:rPr>
                <w:rFonts w:ascii="Arial" w:hAnsi="Arial" w:cs="Arial"/>
                <w:b/>
                <w:szCs w:val="24"/>
              </w:rPr>
              <w:t>C</w:t>
            </w:r>
            <w:r>
              <w:rPr>
                <w:rFonts w:ascii="Arial" w:hAnsi="Arial" w:cs="Arial"/>
                <w:b/>
                <w:szCs w:val="24"/>
              </w:rPr>
              <w:t xml:space="preserve"> and D</w:t>
            </w:r>
            <w:r w:rsidR="0029314E">
              <w:rPr>
                <w:rFonts w:ascii="Arial" w:hAnsi="Arial" w:cs="Arial"/>
                <w:szCs w:val="24"/>
              </w:rPr>
              <w:t>.</w:t>
            </w:r>
          </w:p>
          <w:p w:rsidR="00691D66" w:rsidRDefault="00691D66" w:rsidP="00CF250B">
            <w:pPr>
              <w:jc w:val="both"/>
              <w:rPr>
                <w:rFonts w:ascii="Arial" w:hAnsi="Arial" w:cs="Arial"/>
                <w:szCs w:val="24"/>
              </w:rPr>
            </w:pPr>
          </w:p>
          <w:p w:rsidR="00691D66" w:rsidRDefault="00691D66" w:rsidP="00CF250B">
            <w:pPr>
              <w:jc w:val="both"/>
              <w:rPr>
                <w:rFonts w:ascii="Arial" w:hAnsi="Arial" w:cs="Arial"/>
                <w:szCs w:val="24"/>
              </w:rPr>
            </w:pPr>
            <w:r>
              <w:rPr>
                <w:rFonts w:ascii="Arial" w:hAnsi="Arial" w:cs="Arial"/>
                <w:szCs w:val="24"/>
              </w:rPr>
              <w:t>The projected final outturn for the year is a surplus to budget of £129K.</w:t>
            </w:r>
          </w:p>
          <w:p w:rsidR="00B4768B" w:rsidRPr="002D76CB" w:rsidRDefault="00B4768B" w:rsidP="00B4768B">
            <w:pPr>
              <w:ind w:left="-817"/>
              <w:jc w:val="both"/>
              <w:rPr>
                <w:rFonts w:ascii="Arial" w:hAnsi="Arial" w:cs="Arial"/>
                <w:szCs w:val="24"/>
              </w:rPr>
            </w:pPr>
          </w:p>
        </w:tc>
      </w:tr>
      <w:tr w:rsidR="00037F60" w:rsidRPr="009B0904" w:rsidTr="008A3353">
        <w:trPr>
          <w:trHeight w:val="498"/>
        </w:trPr>
        <w:tc>
          <w:tcPr>
            <w:tcW w:w="817" w:type="dxa"/>
          </w:tcPr>
          <w:p w:rsidR="00037F60" w:rsidRDefault="005210B8" w:rsidP="00532972">
            <w:pPr>
              <w:autoSpaceDE w:val="0"/>
              <w:autoSpaceDN w:val="0"/>
              <w:adjustRightInd w:val="0"/>
              <w:rPr>
                <w:rFonts w:ascii="Arial" w:hAnsi="Arial" w:cs="Arial"/>
                <w:b/>
              </w:rPr>
            </w:pPr>
            <w:r>
              <w:rPr>
                <w:rFonts w:ascii="Arial" w:hAnsi="Arial" w:cs="Arial"/>
                <w:b/>
              </w:rPr>
              <w:lastRenderedPageBreak/>
              <w:t>4</w:t>
            </w:r>
            <w:r w:rsidR="00037F60">
              <w:rPr>
                <w:rFonts w:ascii="Arial" w:hAnsi="Arial" w:cs="Arial"/>
                <w:b/>
              </w:rPr>
              <w:t>.</w:t>
            </w:r>
          </w:p>
        </w:tc>
        <w:tc>
          <w:tcPr>
            <w:tcW w:w="8647" w:type="dxa"/>
          </w:tcPr>
          <w:p w:rsidR="00037F60" w:rsidRPr="007F31EC" w:rsidRDefault="00037F60" w:rsidP="00F60F83">
            <w:pPr>
              <w:autoSpaceDE w:val="0"/>
              <w:autoSpaceDN w:val="0"/>
              <w:adjustRightInd w:val="0"/>
              <w:jc w:val="both"/>
              <w:rPr>
                <w:rFonts w:ascii="Arial" w:hAnsi="Arial" w:cs="Arial"/>
                <w:b/>
              </w:rPr>
            </w:pPr>
            <w:r w:rsidRPr="007F31EC">
              <w:rPr>
                <w:rFonts w:ascii="Arial" w:hAnsi="Arial" w:cs="Arial"/>
                <w:b/>
              </w:rPr>
              <w:t>Annual Review of the Effectiveness of Internal Control</w:t>
            </w:r>
          </w:p>
          <w:p w:rsidR="00037F60" w:rsidRDefault="00037F60" w:rsidP="00F60F83">
            <w:pPr>
              <w:autoSpaceDE w:val="0"/>
              <w:autoSpaceDN w:val="0"/>
              <w:adjustRightInd w:val="0"/>
              <w:jc w:val="both"/>
              <w:rPr>
                <w:rFonts w:ascii="Arial" w:hAnsi="Arial" w:cs="Arial"/>
                <w:b/>
                <w:szCs w:val="24"/>
              </w:rPr>
            </w:pPr>
          </w:p>
        </w:tc>
      </w:tr>
      <w:tr w:rsidR="00037F60" w:rsidRPr="009B0904" w:rsidTr="004A6401">
        <w:trPr>
          <w:trHeight w:val="5595"/>
        </w:trPr>
        <w:tc>
          <w:tcPr>
            <w:tcW w:w="817" w:type="dxa"/>
          </w:tcPr>
          <w:p w:rsidR="00037F60" w:rsidRPr="009B0904" w:rsidRDefault="005210B8" w:rsidP="00590C36">
            <w:pPr>
              <w:autoSpaceDE w:val="0"/>
              <w:autoSpaceDN w:val="0"/>
              <w:adjustRightInd w:val="0"/>
              <w:rPr>
                <w:rFonts w:ascii="Arial" w:hAnsi="Arial" w:cs="Arial"/>
              </w:rPr>
            </w:pPr>
            <w:r>
              <w:rPr>
                <w:rFonts w:ascii="Arial" w:hAnsi="Arial" w:cs="Arial"/>
              </w:rPr>
              <w:t>4</w:t>
            </w:r>
            <w:r w:rsidR="00037F60" w:rsidRPr="009B0904">
              <w:rPr>
                <w:rFonts w:ascii="Arial" w:hAnsi="Arial" w:cs="Arial"/>
              </w:rPr>
              <w:t>.1</w:t>
            </w:r>
          </w:p>
          <w:p w:rsidR="00037F60" w:rsidRPr="009B0904" w:rsidRDefault="00037F60" w:rsidP="00590C36">
            <w:pPr>
              <w:autoSpaceDE w:val="0"/>
              <w:autoSpaceDN w:val="0"/>
              <w:adjustRightInd w:val="0"/>
              <w:rPr>
                <w:rFonts w:ascii="Arial" w:hAnsi="Arial" w:cs="Arial"/>
              </w:rPr>
            </w:pPr>
          </w:p>
          <w:p w:rsidR="00037F60" w:rsidRPr="009B0904" w:rsidRDefault="00037F60" w:rsidP="00590C36">
            <w:pPr>
              <w:autoSpaceDE w:val="0"/>
              <w:autoSpaceDN w:val="0"/>
              <w:adjustRightInd w:val="0"/>
              <w:rPr>
                <w:rFonts w:ascii="Arial" w:hAnsi="Arial" w:cs="Arial"/>
              </w:rPr>
            </w:pPr>
          </w:p>
          <w:p w:rsidR="00037F60" w:rsidRDefault="00037F60" w:rsidP="00590C36">
            <w:pPr>
              <w:autoSpaceDE w:val="0"/>
              <w:autoSpaceDN w:val="0"/>
              <w:adjustRightInd w:val="0"/>
              <w:rPr>
                <w:rFonts w:ascii="Arial" w:hAnsi="Arial" w:cs="Arial"/>
              </w:rPr>
            </w:pPr>
          </w:p>
          <w:p w:rsidR="00037F60" w:rsidRPr="009B0904" w:rsidRDefault="005210B8" w:rsidP="00590C36">
            <w:pPr>
              <w:autoSpaceDE w:val="0"/>
              <w:autoSpaceDN w:val="0"/>
              <w:adjustRightInd w:val="0"/>
              <w:rPr>
                <w:rFonts w:ascii="Arial" w:hAnsi="Arial" w:cs="Arial"/>
              </w:rPr>
            </w:pPr>
            <w:r>
              <w:rPr>
                <w:rFonts w:ascii="Arial" w:hAnsi="Arial" w:cs="Arial"/>
              </w:rPr>
              <w:t>4</w:t>
            </w:r>
            <w:r w:rsidR="004A6401">
              <w:rPr>
                <w:rFonts w:ascii="Arial" w:hAnsi="Arial" w:cs="Arial"/>
              </w:rPr>
              <w:t>.1.1</w:t>
            </w:r>
          </w:p>
          <w:p w:rsidR="00037F60" w:rsidRPr="009B0904" w:rsidRDefault="00037F60" w:rsidP="00590C36">
            <w:pPr>
              <w:autoSpaceDE w:val="0"/>
              <w:autoSpaceDN w:val="0"/>
              <w:adjustRightInd w:val="0"/>
              <w:rPr>
                <w:rFonts w:ascii="Arial" w:hAnsi="Arial" w:cs="Arial"/>
              </w:rPr>
            </w:pPr>
          </w:p>
          <w:p w:rsidR="00037F60" w:rsidRPr="009B0904" w:rsidRDefault="00037F60" w:rsidP="00590C36">
            <w:pPr>
              <w:autoSpaceDE w:val="0"/>
              <w:autoSpaceDN w:val="0"/>
              <w:adjustRightInd w:val="0"/>
              <w:rPr>
                <w:rFonts w:ascii="Arial" w:hAnsi="Arial" w:cs="Arial"/>
              </w:rPr>
            </w:pPr>
          </w:p>
          <w:p w:rsidR="00037F60" w:rsidRPr="009B0904" w:rsidRDefault="005210B8" w:rsidP="00590C36">
            <w:pPr>
              <w:autoSpaceDE w:val="0"/>
              <w:autoSpaceDN w:val="0"/>
              <w:adjustRightInd w:val="0"/>
              <w:rPr>
                <w:rFonts w:ascii="Arial" w:hAnsi="Arial" w:cs="Arial"/>
              </w:rPr>
            </w:pPr>
            <w:r>
              <w:rPr>
                <w:rFonts w:ascii="Arial" w:hAnsi="Arial" w:cs="Arial"/>
              </w:rPr>
              <w:t>4</w:t>
            </w:r>
            <w:r w:rsidR="004A6401">
              <w:rPr>
                <w:rFonts w:ascii="Arial" w:hAnsi="Arial" w:cs="Arial"/>
              </w:rPr>
              <w:t>.1.2</w:t>
            </w:r>
          </w:p>
          <w:p w:rsidR="00037F60" w:rsidRDefault="00037F60" w:rsidP="00590C36">
            <w:pPr>
              <w:autoSpaceDE w:val="0"/>
              <w:autoSpaceDN w:val="0"/>
              <w:adjustRightInd w:val="0"/>
              <w:rPr>
                <w:rFonts w:ascii="Arial" w:hAnsi="Arial" w:cs="Arial"/>
              </w:rPr>
            </w:pPr>
          </w:p>
          <w:p w:rsidR="004A6401" w:rsidRDefault="004A6401" w:rsidP="00590C36">
            <w:pPr>
              <w:autoSpaceDE w:val="0"/>
              <w:autoSpaceDN w:val="0"/>
              <w:adjustRightInd w:val="0"/>
              <w:rPr>
                <w:rFonts w:ascii="Arial" w:hAnsi="Arial" w:cs="Arial"/>
              </w:rPr>
            </w:pPr>
          </w:p>
          <w:p w:rsidR="004A6401" w:rsidRDefault="004A6401" w:rsidP="00590C36">
            <w:pPr>
              <w:autoSpaceDE w:val="0"/>
              <w:autoSpaceDN w:val="0"/>
              <w:adjustRightInd w:val="0"/>
              <w:rPr>
                <w:rFonts w:ascii="Arial" w:hAnsi="Arial" w:cs="Arial"/>
              </w:rPr>
            </w:pPr>
            <w:r>
              <w:rPr>
                <w:rFonts w:ascii="Arial" w:hAnsi="Arial" w:cs="Arial"/>
              </w:rPr>
              <w:t>4.1.3</w:t>
            </w:r>
          </w:p>
          <w:p w:rsidR="004A6401" w:rsidRDefault="004A6401" w:rsidP="00590C36">
            <w:pPr>
              <w:autoSpaceDE w:val="0"/>
              <w:autoSpaceDN w:val="0"/>
              <w:adjustRightInd w:val="0"/>
              <w:rPr>
                <w:rFonts w:ascii="Arial" w:hAnsi="Arial" w:cs="Arial"/>
              </w:rPr>
            </w:pPr>
          </w:p>
          <w:p w:rsidR="004A6401" w:rsidRDefault="004A6401" w:rsidP="00590C36">
            <w:pPr>
              <w:autoSpaceDE w:val="0"/>
              <w:autoSpaceDN w:val="0"/>
              <w:adjustRightInd w:val="0"/>
              <w:rPr>
                <w:rFonts w:ascii="Arial" w:hAnsi="Arial" w:cs="Arial"/>
              </w:rPr>
            </w:pPr>
          </w:p>
          <w:p w:rsidR="004A6401" w:rsidRDefault="004A6401" w:rsidP="00590C36">
            <w:pPr>
              <w:autoSpaceDE w:val="0"/>
              <w:autoSpaceDN w:val="0"/>
              <w:adjustRightInd w:val="0"/>
              <w:rPr>
                <w:rFonts w:ascii="Arial" w:hAnsi="Arial" w:cs="Arial"/>
              </w:rPr>
            </w:pPr>
          </w:p>
          <w:p w:rsidR="004A6401" w:rsidRDefault="004A6401" w:rsidP="00590C36">
            <w:pPr>
              <w:autoSpaceDE w:val="0"/>
              <w:autoSpaceDN w:val="0"/>
              <w:adjustRightInd w:val="0"/>
              <w:rPr>
                <w:rFonts w:ascii="Arial" w:hAnsi="Arial" w:cs="Arial"/>
              </w:rPr>
            </w:pPr>
          </w:p>
          <w:p w:rsidR="004A6401" w:rsidRDefault="004A6401" w:rsidP="00590C36">
            <w:pPr>
              <w:autoSpaceDE w:val="0"/>
              <w:autoSpaceDN w:val="0"/>
              <w:adjustRightInd w:val="0"/>
              <w:rPr>
                <w:rFonts w:ascii="Arial" w:hAnsi="Arial" w:cs="Arial"/>
              </w:rPr>
            </w:pPr>
          </w:p>
          <w:p w:rsidR="004A6401" w:rsidRDefault="004A6401" w:rsidP="00590C36">
            <w:pPr>
              <w:autoSpaceDE w:val="0"/>
              <w:autoSpaceDN w:val="0"/>
              <w:adjustRightInd w:val="0"/>
              <w:rPr>
                <w:rFonts w:ascii="Arial" w:hAnsi="Arial" w:cs="Arial"/>
              </w:rPr>
            </w:pPr>
          </w:p>
          <w:p w:rsidR="004A6401" w:rsidRDefault="004A6401" w:rsidP="00590C36">
            <w:pPr>
              <w:autoSpaceDE w:val="0"/>
              <w:autoSpaceDN w:val="0"/>
              <w:adjustRightInd w:val="0"/>
              <w:rPr>
                <w:rFonts w:ascii="Arial" w:hAnsi="Arial" w:cs="Arial"/>
              </w:rPr>
            </w:pPr>
          </w:p>
          <w:p w:rsidR="004A6401" w:rsidRDefault="004A6401" w:rsidP="00590C36">
            <w:pPr>
              <w:autoSpaceDE w:val="0"/>
              <w:autoSpaceDN w:val="0"/>
              <w:adjustRightInd w:val="0"/>
              <w:rPr>
                <w:rFonts w:ascii="Arial" w:hAnsi="Arial" w:cs="Arial"/>
              </w:rPr>
            </w:pPr>
          </w:p>
          <w:p w:rsidR="004A6401" w:rsidRDefault="004A6401" w:rsidP="00590C36">
            <w:pPr>
              <w:autoSpaceDE w:val="0"/>
              <w:autoSpaceDN w:val="0"/>
              <w:adjustRightInd w:val="0"/>
              <w:rPr>
                <w:rFonts w:ascii="Arial" w:hAnsi="Arial" w:cs="Arial"/>
              </w:rPr>
            </w:pPr>
          </w:p>
          <w:p w:rsidR="004A6401" w:rsidRDefault="004A6401" w:rsidP="00590C36">
            <w:pPr>
              <w:autoSpaceDE w:val="0"/>
              <w:autoSpaceDN w:val="0"/>
              <w:adjustRightInd w:val="0"/>
              <w:rPr>
                <w:rFonts w:ascii="Arial" w:hAnsi="Arial" w:cs="Arial"/>
              </w:rPr>
            </w:pPr>
          </w:p>
          <w:p w:rsidR="00037F60" w:rsidRDefault="00037F60" w:rsidP="00590C36">
            <w:pPr>
              <w:autoSpaceDE w:val="0"/>
              <w:autoSpaceDN w:val="0"/>
              <w:adjustRightInd w:val="0"/>
              <w:rPr>
                <w:rFonts w:ascii="Arial" w:hAnsi="Arial" w:cs="Arial"/>
              </w:rPr>
            </w:pPr>
          </w:p>
          <w:p w:rsidR="004A6401" w:rsidRDefault="004A6401" w:rsidP="00590C36">
            <w:pPr>
              <w:autoSpaceDE w:val="0"/>
              <w:autoSpaceDN w:val="0"/>
              <w:adjustRightInd w:val="0"/>
              <w:rPr>
                <w:rFonts w:ascii="Arial" w:hAnsi="Arial" w:cs="Arial"/>
              </w:rPr>
            </w:pPr>
          </w:p>
          <w:p w:rsidR="004A6401" w:rsidRDefault="004A6401" w:rsidP="00590C36">
            <w:pPr>
              <w:autoSpaceDE w:val="0"/>
              <w:autoSpaceDN w:val="0"/>
              <w:adjustRightInd w:val="0"/>
              <w:rPr>
                <w:rFonts w:ascii="Arial" w:hAnsi="Arial" w:cs="Arial"/>
              </w:rPr>
            </w:pPr>
          </w:p>
          <w:p w:rsidR="00691D66" w:rsidRPr="009B0904" w:rsidRDefault="00691D66" w:rsidP="00590C36">
            <w:pPr>
              <w:autoSpaceDE w:val="0"/>
              <w:autoSpaceDN w:val="0"/>
              <w:adjustRightInd w:val="0"/>
              <w:rPr>
                <w:rFonts w:ascii="Arial" w:hAnsi="Arial" w:cs="Arial"/>
              </w:rPr>
            </w:pPr>
          </w:p>
        </w:tc>
        <w:tc>
          <w:tcPr>
            <w:tcW w:w="8647" w:type="dxa"/>
          </w:tcPr>
          <w:tbl>
            <w:tblPr>
              <w:tblW w:w="8506" w:type="dxa"/>
              <w:tblLayout w:type="fixed"/>
              <w:tblLook w:val="0000" w:firstRow="0" w:lastRow="0" w:firstColumn="0" w:lastColumn="0" w:noHBand="0" w:noVBand="0"/>
            </w:tblPr>
            <w:tblGrid>
              <w:gridCol w:w="8506"/>
            </w:tblGrid>
            <w:tr w:rsidR="00037F60" w:rsidRPr="007F31EC" w:rsidTr="00691D66">
              <w:trPr>
                <w:trHeight w:val="1519"/>
              </w:trPr>
              <w:tc>
                <w:tcPr>
                  <w:tcW w:w="8506" w:type="dxa"/>
                </w:tcPr>
                <w:p w:rsidR="00037F60" w:rsidRPr="00691D66" w:rsidRDefault="00037F60" w:rsidP="00F23CFB">
                  <w:pPr>
                    <w:autoSpaceDE w:val="0"/>
                    <w:autoSpaceDN w:val="0"/>
                    <w:adjustRightInd w:val="0"/>
                    <w:ind w:left="-74"/>
                    <w:jc w:val="both"/>
                    <w:rPr>
                      <w:rFonts w:ascii="Arial" w:hAnsi="Arial" w:cs="Arial"/>
                    </w:rPr>
                  </w:pPr>
                  <w:r w:rsidRPr="00691D66">
                    <w:rPr>
                      <w:rFonts w:ascii="Arial" w:hAnsi="Arial" w:cs="Arial"/>
                    </w:rPr>
                    <w:t xml:space="preserve">The Finance and Audit Committee review all breaches of the Financial Regulations. </w:t>
                  </w:r>
                  <w:r w:rsidRPr="00691D66">
                    <w:rPr>
                      <w:rFonts w:ascii="Arial" w:hAnsi="Arial" w:cs="Arial"/>
                      <w:szCs w:val="24"/>
                    </w:rPr>
                    <w:t>T</w:t>
                  </w:r>
                  <w:r w:rsidRPr="00691D66">
                    <w:rPr>
                      <w:rFonts w:ascii="Arial" w:eastAsia="Calibri" w:hAnsi="Arial" w:cs="Arial"/>
                      <w:szCs w:val="24"/>
                      <w:lang w:eastAsia="en-US"/>
                    </w:rPr>
                    <w:t xml:space="preserve">here </w:t>
                  </w:r>
                  <w:r w:rsidR="004A6401" w:rsidRPr="00691D66">
                    <w:rPr>
                      <w:rFonts w:ascii="Arial" w:eastAsia="Calibri" w:hAnsi="Arial" w:cs="Arial"/>
                      <w:szCs w:val="24"/>
                      <w:lang w:eastAsia="en-US"/>
                    </w:rPr>
                    <w:t>was one non</w:t>
                  </w:r>
                  <w:r w:rsidRPr="00691D66">
                    <w:rPr>
                      <w:rFonts w:ascii="Arial" w:eastAsia="Calibri" w:hAnsi="Arial" w:cs="Arial"/>
                      <w:szCs w:val="24"/>
                      <w:lang w:eastAsia="en-US"/>
                    </w:rPr>
                    <w:t xml:space="preserve"> </w:t>
                  </w:r>
                  <w:r w:rsidR="0099141B">
                    <w:rPr>
                      <w:rFonts w:ascii="Arial" w:eastAsia="Calibri" w:hAnsi="Arial" w:cs="Arial"/>
                      <w:szCs w:val="24"/>
                      <w:lang w:eastAsia="en-US"/>
                    </w:rPr>
                    <w:t>substantial breach</w:t>
                  </w:r>
                  <w:r w:rsidR="004A6401" w:rsidRPr="00691D66">
                    <w:rPr>
                      <w:rFonts w:ascii="Arial" w:eastAsia="Calibri" w:hAnsi="Arial" w:cs="Arial"/>
                      <w:szCs w:val="24"/>
                      <w:lang w:eastAsia="en-US"/>
                    </w:rPr>
                    <w:t xml:space="preserve"> of control</w:t>
                  </w:r>
                  <w:r w:rsidRPr="00691D66">
                    <w:rPr>
                      <w:rFonts w:ascii="Arial" w:eastAsia="Calibri" w:hAnsi="Arial" w:cs="Arial"/>
                      <w:szCs w:val="24"/>
                      <w:lang w:eastAsia="en-US"/>
                    </w:rPr>
                    <w:t xml:space="preserve"> re</w:t>
                  </w:r>
                  <w:r w:rsidR="004A6401" w:rsidRPr="00691D66">
                    <w:rPr>
                      <w:rFonts w:ascii="Arial" w:eastAsia="Calibri" w:hAnsi="Arial" w:cs="Arial"/>
                      <w:szCs w:val="24"/>
                      <w:lang w:eastAsia="en-US"/>
                    </w:rPr>
                    <w:t>ported in quarter 1 in calendar year 2017</w:t>
                  </w:r>
                  <w:r w:rsidRPr="00691D66">
                    <w:rPr>
                      <w:rFonts w:ascii="Arial" w:eastAsia="Calibri" w:hAnsi="Arial" w:cs="Arial"/>
                      <w:szCs w:val="24"/>
                      <w:lang w:eastAsia="en-US"/>
                    </w:rPr>
                    <w:t xml:space="preserve">. </w:t>
                  </w:r>
                </w:p>
                <w:p w:rsidR="00037F60" w:rsidRPr="005210B8" w:rsidRDefault="00037F60" w:rsidP="00F60F83">
                  <w:pPr>
                    <w:autoSpaceDE w:val="0"/>
                    <w:autoSpaceDN w:val="0"/>
                    <w:adjustRightInd w:val="0"/>
                    <w:jc w:val="both"/>
                    <w:rPr>
                      <w:rFonts w:ascii="Arial" w:hAnsi="Arial" w:cs="Arial"/>
                      <w:highlight w:val="yellow"/>
                    </w:rPr>
                  </w:pPr>
                </w:p>
                <w:p w:rsidR="004A6401" w:rsidRPr="004A6401" w:rsidRDefault="004A6401" w:rsidP="004A6401">
                  <w:pPr>
                    <w:jc w:val="both"/>
                    <w:rPr>
                      <w:rFonts w:ascii="Arial" w:hAnsi="Arial" w:cs="Arial"/>
                      <w:szCs w:val="24"/>
                    </w:rPr>
                  </w:pPr>
                  <w:r w:rsidRPr="004A6401">
                    <w:rPr>
                      <w:rFonts w:ascii="Arial" w:hAnsi="Arial" w:cs="Arial"/>
                      <w:szCs w:val="24"/>
                    </w:rPr>
                    <w:t>Financial Regulation in respect of Payment of Invoices / Receipt of Goods and Services and Payment of Creditor Invoices, states:</w:t>
                  </w:r>
                </w:p>
                <w:p w:rsidR="004A6401" w:rsidRPr="004A6401" w:rsidRDefault="004A6401" w:rsidP="004A6401">
                  <w:pPr>
                    <w:jc w:val="both"/>
                    <w:rPr>
                      <w:rFonts w:ascii="Arial" w:hAnsi="Arial" w:cs="Arial"/>
                      <w:szCs w:val="24"/>
                    </w:rPr>
                  </w:pPr>
                </w:p>
                <w:p w:rsidR="004A6401" w:rsidRPr="004A6401" w:rsidRDefault="004A6401" w:rsidP="004A6401">
                  <w:pPr>
                    <w:jc w:val="both"/>
                    <w:rPr>
                      <w:rFonts w:ascii="Arial" w:hAnsi="Arial" w:cs="Arial"/>
                      <w:i/>
                      <w:szCs w:val="24"/>
                    </w:rPr>
                  </w:pPr>
                  <w:r w:rsidRPr="004A6401">
                    <w:rPr>
                      <w:rFonts w:ascii="Arial" w:hAnsi="Arial" w:cs="Arial"/>
                      <w:i/>
                      <w:szCs w:val="24"/>
                    </w:rPr>
                    <w:t>“Budget holders should not approve payments to themselves as individuals i.e. expense claims”.</w:t>
                  </w:r>
                </w:p>
                <w:p w:rsidR="004A6401" w:rsidRPr="004A6401" w:rsidRDefault="004A6401" w:rsidP="004A6401">
                  <w:pPr>
                    <w:jc w:val="both"/>
                    <w:rPr>
                      <w:rFonts w:ascii="Arial" w:hAnsi="Arial" w:cs="Arial"/>
                      <w:szCs w:val="24"/>
                    </w:rPr>
                  </w:pPr>
                </w:p>
                <w:p w:rsidR="004A6401" w:rsidRPr="004A6401" w:rsidRDefault="004A6401" w:rsidP="004A6401">
                  <w:pPr>
                    <w:jc w:val="both"/>
                    <w:rPr>
                      <w:rFonts w:ascii="Arial" w:hAnsi="Arial" w:cs="Arial"/>
                      <w:szCs w:val="24"/>
                    </w:rPr>
                  </w:pPr>
                  <w:r w:rsidRPr="004A6401">
                    <w:rPr>
                      <w:rFonts w:ascii="Arial" w:hAnsi="Arial" w:cs="Arial"/>
                      <w:szCs w:val="24"/>
                    </w:rPr>
                    <w:t>There was a payment made to an employee reimbursing for working expenses incurred, where:</w:t>
                  </w:r>
                </w:p>
                <w:p w:rsidR="004A6401" w:rsidRPr="004A6401" w:rsidRDefault="004A6401" w:rsidP="004A6401">
                  <w:pPr>
                    <w:jc w:val="both"/>
                    <w:rPr>
                      <w:rFonts w:ascii="Arial" w:hAnsi="Arial" w:cs="Arial"/>
                      <w:szCs w:val="24"/>
                    </w:rPr>
                  </w:pPr>
                </w:p>
                <w:p w:rsidR="00037F60" w:rsidRPr="004A6401" w:rsidRDefault="004A6401" w:rsidP="000A1C55">
                  <w:pPr>
                    <w:numPr>
                      <w:ilvl w:val="0"/>
                      <w:numId w:val="29"/>
                    </w:numPr>
                    <w:spacing w:after="200"/>
                    <w:ind w:left="351" w:hanging="283"/>
                    <w:jc w:val="both"/>
                    <w:rPr>
                      <w:rFonts w:ascii="Arial" w:hAnsi="Arial" w:cs="Arial"/>
                      <w:szCs w:val="24"/>
                    </w:rPr>
                  </w:pPr>
                  <w:proofErr w:type="gramStart"/>
                  <w:r w:rsidRPr="004A6401">
                    <w:rPr>
                      <w:rFonts w:ascii="Arial" w:hAnsi="Arial" w:cs="Arial"/>
                      <w:szCs w:val="24"/>
                    </w:rPr>
                    <w:t>the</w:t>
                  </w:r>
                  <w:proofErr w:type="gramEnd"/>
                  <w:r w:rsidRPr="004A6401">
                    <w:rPr>
                      <w:rFonts w:ascii="Arial" w:hAnsi="Arial" w:cs="Arial"/>
                      <w:szCs w:val="24"/>
                    </w:rPr>
                    <w:t xml:space="preserve"> cheque request had been correctly authorised by the employee’s line manager, however the transaction processed in </w:t>
                  </w:r>
                  <w:proofErr w:type="spellStart"/>
                  <w:r w:rsidRPr="004A6401">
                    <w:rPr>
                      <w:rFonts w:ascii="Arial" w:hAnsi="Arial" w:cs="Arial"/>
                      <w:szCs w:val="24"/>
                    </w:rPr>
                    <w:t>integra</w:t>
                  </w:r>
                  <w:proofErr w:type="spellEnd"/>
                  <w:r w:rsidRPr="004A6401">
                    <w:rPr>
                      <w:rFonts w:ascii="Arial" w:hAnsi="Arial" w:cs="Arial"/>
                      <w:szCs w:val="24"/>
                    </w:rPr>
                    <w:t xml:space="preserve"> was then authorised by the employee whose expenses were being reimbursed who was also the budget holder.  In this case authority to approve the payment in </w:t>
                  </w:r>
                  <w:proofErr w:type="spellStart"/>
                  <w:r w:rsidRPr="004A6401">
                    <w:rPr>
                      <w:rFonts w:ascii="Arial" w:hAnsi="Arial" w:cs="Arial"/>
                      <w:szCs w:val="24"/>
                    </w:rPr>
                    <w:t>integra</w:t>
                  </w:r>
                  <w:proofErr w:type="spellEnd"/>
                  <w:r w:rsidRPr="004A6401">
                    <w:rPr>
                      <w:rFonts w:ascii="Arial" w:hAnsi="Arial" w:cs="Arial"/>
                      <w:szCs w:val="24"/>
                    </w:rPr>
                    <w:t xml:space="preserve"> should have been delegated to another officer. There is no question of impropriety.</w:t>
                  </w:r>
                </w:p>
              </w:tc>
            </w:tr>
            <w:tr w:rsidR="004A6401" w:rsidRPr="007F31EC" w:rsidTr="00691D66">
              <w:trPr>
                <w:trHeight w:val="1519"/>
              </w:trPr>
              <w:tc>
                <w:tcPr>
                  <w:tcW w:w="8506" w:type="dxa"/>
                </w:tcPr>
                <w:p w:rsidR="004A6401" w:rsidRDefault="004A6401" w:rsidP="004A6401">
                  <w:pPr>
                    <w:autoSpaceDE w:val="0"/>
                    <w:autoSpaceDN w:val="0"/>
                    <w:adjustRightInd w:val="0"/>
                    <w:jc w:val="both"/>
                    <w:rPr>
                      <w:rFonts w:ascii="Arial" w:hAnsi="Arial" w:cs="Arial"/>
                    </w:rPr>
                  </w:pPr>
                  <w:r w:rsidRPr="004A6401">
                    <w:rPr>
                      <w:rFonts w:ascii="Arial" w:hAnsi="Arial" w:cs="Arial"/>
                    </w:rPr>
                    <w:t>Corrective action was taken as follows:</w:t>
                  </w:r>
                </w:p>
                <w:p w:rsidR="004A6401" w:rsidRPr="004A6401" w:rsidRDefault="004A6401" w:rsidP="004A6401">
                  <w:pPr>
                    <w:autoSpaceDE w:val="0"/>
                    <w:autoSpaceDN w:val="0"/>
                    <w:adjustRightInd w:val="0"/>
                    <w:jc w:val="both"/>
                    <w:rPr>
                      <w:rFonts w:ascii="Arial" w:hAnsi="Arial" w:cs="Arial"/>
                    </w:rPr>
                  </w:pPr>
                </w:p>
                <w:p w:rsidR="004A6401" w:rsidRPr="004A6401" w:rsidRDefault="003628F6" w:rsidP="00691D66">
                  <w:pPr>
                    <w:autoSpaceDE w:val="0"/>
                    <w:autoSpaceDN w:val="0"/>
                    <w:adjustRightInd w:val="0"/>
                    <w:ind w:left="918" w:hanging="918"/>
                    <w:jc w:val="both"/>
                    <w:rPr>
                      <w:rFonts w:ascii="Arial" w:hAnsi="Arial" w:cs="Arial"/>
                    </w:rPr>
                  </w:pPr>
                  <w:r>
                    <w:rPr>
                      <w:rFonts w:ascii="Arial" w:hAnsi="Arial" w:cs="Arial"/>
                    </w:rPr>
                    <w:t xml:space="preserve">i.      </w:t>
                  </w:r>
                  <w:r w:rsidR="004A6401" w:rsidRPr="004A6401">
                    <w:rPr>
                      <w:rFonts w:ascii="Arial" w:hAnsi="Arial" w:cs="Arial"/>
                    </w:rPr>
                    <w:t>a reminder E-mail has been circulated to all HLH staff ; and</w:t>
                  </w:r>
                </w:p>
                <w:p w:rsidR="004A6401" w:rsidRPr="005210B8" w:rsidRDefault="003628F6" w:rsidP="000A1C55">
                  <w:pPr>
                    <w:spacing w:after="200" w:line="276" w:lineRule="auto"/>
                    <w:ind w:left="493" w:hanging="493"/>
                    <w:jc w:val="both"/>
                    <w:rPr>
                      <w:rFonts w:ascii="Arial" w:hAnsi="Arial" w:cs="Arial"/>
                      <w:highlight w:val="yellow"/>
                    </w:rPr>
                  </w:pPr>
                  <w:r>
                    <w:rPr>
                      <w:rFonts w:ascii="Arial" w:hAnsi="Arial" w:cs="Arial"/>
                    </w:rPr>
                    <w:t xml:space="preserve">ii.     </w:t>
                  </w:r>
                  <w:proofErr w:type="gramStart"/>
                  <w:r w:rsidR="004A6401" w:rsidRPr="004A6401">
                    <w:rPr>
                      <w:rFonts w:ascii="Arial" w:hAnsi="Arial" w:cs="Arial"/>
                    </w:rPr>
                    <w:t>the</w:t>
                  </w:r>
                  <w:proofErr w:type="gramEnd"/>
                  <w:r w:rsidR="004A6401" w:rsidRPr="004A6401">
                    <w:rPr>
                      <w:rFonts w:ascii="Arial" w:hAnsi="Arial" w:cs="Arial"/>
                    </w:rPr>
                    <w:t xml:space="preserve"> issue was discussed with the relevant </w:t>
                  </w:r>
                  <w:r>
                    <w:rPr>
                      <w:rFonts w:ascii="Arial" w:hAnsi="Arial" w:cs="Arial"/>
                    </w:rPr>
                    <w:t xml:space="preserve">Principal Manager for follow up </w:t>
                  </w:r>
                  <w:r w:rsidR="004A6401" w:rsidRPr="004A6401">
                    <w:rPr>
                      <w:rFonts w:ascii="Arial" w:hAnsi="Arial" w:cs="Arial"/>
                    </w:rPr>
                    <w:t>discussion with the individual.</w:t>
                  </w:r>
                </w:p>
              </w:tc>
            </w:tr>
          </w:tbl>
          <w:p w:rsidR="00037F60" w:rsidRDefault="00037F60" w:rsidP="00F60F83">
            <w:pPr>
              <w:jc w:val="both"/>
              <w:rPr>
                <w:rFonts w:ascii="Arial" w:hAnsi="Arial" w:cs="Arial"/>
                <w:b/>
                <w:szCs w:val="24"/>
              </w:rPr>
            </w:pPr>
          </w:p>
        </w:tc>
      </w:tr>
      <w:tr w:rsidR="00691D66" w:rsidRPr="009B0904" w:rsidTr="00084CE4">
        <w:trPr>
          <w:trHeight w:val="570"/>
        </w:trPr>
        <w:tc>
          <w:tcPr>
            <w:tcW w:w="817" w:type="dxa"/>
          </w:tcPr>
          <w:p w:rsidR="00691D66" w:rsidRDefault="00691D66" w:rsidP="00590C36">
            <w:pPr>
              <w:autoSpaceDE w:val="0"/>
              <w:autoSpaceDN w:val="0"/>
              <w:adjustRightInd w:val="0"/>
              <w:rPr>
                <w:rFonts w:ascii="Arial" w:hAnsi="Arial" w:cs="Arial"/>
              </w:rPr>
            </w:pPr>
            <w:r w:rsidRPr="00691D66">
              <w:rPr>
                <w:rFonts w:ascii="Arial" w:hAnsi="Arial" w:cs="Arial"/>
                <w:b/>
              </w:rPr>
              <w:t>5.</w:t>
            </w:r>
          </w:p>
          <w:p w:rsidR="00084CE4" w:rsidRDefault="00084CE4" w:rsidP="00590C36">
            <w:pPr>
              <w:autoSpaceDE w:val="0"/>
              <w:autoSpaceDN w:val="0"/>
              <w:adjustRightInd w:val="0"/>
              <w:rPr>
                <w:rFonts w:ascii="Arial" w:hAnsi="Arial" w:cs="Arial"/>
              </w:rPr>
            </w:pPr>
          </w:p>
          <w:p w:rsidR="00084CE4" w:rsidRDefault="00084CE4" w:rsidP="00590C36">
            <w:pPr>
              <w:autoSpaceDE w:val="0"/>
              <w:autoSpaceDN w:val="0"/>
              <w:adjustRightInd w:val="0"/>
              <w:rPr>
                <w:rFonts w:ascii="Arial" w:hAnsi="Arial" w:cs="Arial"/>
              </w:rPr>
            </w:pPr>
            <w:r>
              <w:rPr>
                <w:rFonts w:ascii="Arial" w:hAnsi="Arial" w:cs="Arial"/>
              </w:rPr>
              <w:t>5.1</w:t>
            </w:r>
          </w:p>
          <w:p w:rsidR="00295519" w:rsidRDefault="00295519" w:rsidP="00590C36">
            <w:pPr>
              <w:autoSpaceDE w:val="0"/>
              <w:autoSpaceDN w:val="0"/>
              <w:adjustRightInd w:val="0"/>
              <w:rPr>
                <w:rFonts w:ascii="Arial" w:hAnsi="Arial" w:cs="Arial"/>
              </w:rPr>
            </w:pPr>
          </w:p>
          <w:p w:rsidR="00295519" w:rsidRDefault="00295519" w:rsidP="00590C36">
            <w:pPr>
              <w:autoSpaceDE w:val="0"/>
              <w:autoSpaceDN w:val="0"/>
              <w:adjustRightInd w:val="0"/>
              <w:rPr>
                <w:rFonts w:ascii="Arial" w:hAnsi="Arial" w:cs="Arial"/>
              </w:rPr>
            </w:pPr>
          </w:p>
          <w:p w:rsidR="00295519" w:rsidRDefault="00295519" w:rsidP="00590C36">
            <w:pPr>
              <w:autoSpaceDE w:val="0"/>
              <w:autoSpaceDN w:val="0"/>
              <w:adjustRightInd w:val="0"/>
              <w:rPr>
                <w:rFonts w:ascii="Arial" w:hAnsi="Arial" w:cs="Arial"/>
              </w:rPr>
            </w:pPr>
          </w:p>
          <w:p w:rsidR="00295519" w:rsidRPr="00084CE4" w:rsidRDefault="00295519" w:rsidP="00590C36">
            <w:pPr>
              <w:autoSpaceDE w:val="0"/>
              <w:autoSpaceDN w:val="0"/>
              <w:adjustRightInd w:val="0"/>
              <w:rPr>
                <w:rFonts w:ascii="Arial" w:hAnsi="Arial" w:cs="Arial"/>
              </w:rPr>
            </w:pPr>
          </w:p>
        </w:tc>
        <w:tc>
          <w:tcPr>
            <w:tcW w:w="8647" w:type="dxa"/>
          </w:tcPr>
          <w:p w:rsidR="00691D66" w:rsidRDefault="00295519" w:rsidP="00F60F83">
            <w:pPr>
              <w:autoSpaceDE w:val="0"/>
              <w:autoSpaceDN w:val="0"/>
              <w:adjustRightInd w:val="0"/>
              <w:jc w:val="both"/>
              <w:rPr>
                <w:rFonts w:ascii="Arial" w:hAnsi="Arial" w:cs="Arial"/>
                <w:b/>
              </w:rPr>
            </w:pPr>
            <w:r>
              <w:rPr>
                <w:rFonts w:ascii="Arial" w:hAnsi="Arial" w:cs="Arial"/>
                <w:b/>
              </w:rPr>
              <w:t xml:space="preserve">Internal Audit </w:t>
            </w:r>
          </w:p>
          <w:p w:rsidR="00084CE4" w:rsidRDefault="00084CE4" w:rsidP="00F60F83">
            <w:pPr>
              <w:autoSpaceDE w:val="0"/>
              <w:autoSpaceDN w:val="0"/>
              <w:adjustRightInd w:val="0"/>
              <w:jc w:val="both"/>
              <w:rPr>
                <w:rFonts w:ascii="Arial" w:hAnsi="Arial" w:cs="Arial"/>
                <w:b/>
              </w:rPr>
            </w:pPr>
          </w:p>
          <w:p w:rsidR="00295519" w:rsidRPr="00295519" w:rsidRDefault="00295519" w:rsidP="00295519">
            <w:pPr>
              <w:jc w:val="both"/>
              <w:rPr>
                <w:rFonts w:ascii="Arial" w:hAnsi="Arial" w:cs="Arial"/>
                <w:szCs w:val="24"/>
              </w:rPr>
            </w:pPr>
            <w:r w:rsidRPr="00295519">
              <w:rPr>
                <w:rFonts w:ascii="Arial" w:hAnsi="Arial" w:cs="Arial"/>
                <w:szCs w:val="24"/>
              </w:rPr>
              <w:t xml:space="preserve">Directors </w:t>
            </w:r>
            <w:r>
              <w:rPr>
                <w:rFonts w:ascii="Arial" w:hAnsi="Arial" w:cs="Arial"/>
                <w:szCs w:val="24"/>
              </w:rPr>
              <w:t xml:space="preserve">approved </w:t>
            </w:r>
            <w:r w:rsidRPr="00295519">
              <w:rPr>
                <w:rFonts w:ascii="Arial" w:hAnsi="Arial" w:cs="Arial"/>
                <w:szCs w:val="24"/>
              </w:rPr>
              <w:t>a 3 year Audit Plan at their June 2017 meeting</w:t>
            </w:r>
            <w:r>
              <w:rPr>
                <w:rFonts w:ascii="Arial" w:hAnsi="Arial" w:cs="Arial"/>
                <w:szCs w:val="24"/>
              </w:rPr>
              <w:t xml:space="preserve"> as follows:</w:t>
            </w:r>
          </w:p>
          <w:p w:rsidR="00295519" w:rsidRDefault="00295519" w:rsidP="00295519">
            <w:pPr>
              <w:jc w:val="both"/>
              <w:rPr>
                <w:rFonts w:ascii="Arial" w:hAnsi="Arial" w:cs="Arial"/>
                <w:b/>
                <w:szCs w:val="24"/>
              </w:rPr>
            </w:pPr>
          </w:p>
          <w:p w:rsidR="00295519" w:rsidRDefault="00295519" w:rsidP="00295519">
            <w:pPr>
              <w:jc w:val="both"/>
              <w:rPr>
                <w:rFonts w:ascii="Arial" w:hAnsi="Arial" w:cs="Arial"/>
                <w:szCs w:val="24"/>
              </w:rPr>
            </w:pPr>
            <w:r>
              <w:rPr>
                <w:rFonts w:ascii="Arial" w:hAnsi="Arial" w:cs="Arial"/>
                <w:b/>
                <w:szCs w:val="24"/>
              </w:rPr>
              <w:t>Year 1</w:t>
            </w:r>
            <w:r>
              <w:rPr>
                <w:rFonts w:ascii="Arial" w:hAnsi="Arial" w:cs="Arial"/>
                <w:szCs w:val="24"/>
              </w:rPr>
              <w:t xml:space="preserve"> - HR : Recruitment</w:t>
            </w:r>
            <w:r w:rsidR="00112CCB">
              <w:rPr>
                <w:rFonts w:ascii="Arial" w:hAnsi="Arial" w:cs="Arial"/>
                <w:szCs w:val="24"/>
              </w:rPr>
              <w:t xml:space="preserve"> ;  this </w:t>
            </w:r>
            <w:r>
              <w:rPr>
                <w:rFonts w:ascii="Arial" w:hAnsi="Arial" w:cs="Arial"/>
                <w:szCs w:val="24"/>
              </w:rPr>
              <w:t>took place December 2017</w:t>
            </w:r>
          </w:p>
          <w:p w:rsidR="00295519" w:rsidRDefault="00295519" w:rsidP="00295519">
            <w:pPr>
              <w:jc w:val="both"/>
              <w:rPr>
                <w:rFonts w:ascii="Arial" w:hAnsi="Arial" w:cs="Arial"/>
                <w:szCs w:val="24"/>
              </w:rPr>
            </w:pPr>
          </w:p>
          <w:p w:rsidR="00295519" w:rsidRDefault="00295519" w:rsidP="00295519">
            <w:pPr>
              <w:rPr>
                <w:rFonts w:ascii="Arial" w:hAnsi="Arial" w:cs="Arial"/>
                <w:szCs w:val="24"/>
              </w:rPr>
            </w:pPr>
            <w:r>
              <w:rPr>
                <w:rFonts w:ascii="Arial" w:hAnsi="Arial" w:cs="Arial"/>
                <w:b/>
                <w:szCs w:val="24"/>
              </w:rPr>
              <w:t>Year 2</w:t>
            </w:r>
            <w:r>
              <w:rPr>
                <w:rFonts w:ascii="Arial" w:hAnsi="Arial" w:cs="Arial"/>
                <w:szCs w:val="24"/>
              </w:rPr>
              <w:t xml:space="preserve"> - Health &amp;Safety/Property (RPO and Database)/Facilities operational Procedures.</w:t>
            </w:r>
          </w:p>
          <w:p w:rsidR="00295519" w:rsidRDefault="00295519" w:rsidP="00295519">
            <w:pPr>
              <w:jc w:val="both"/>
              <w:rPr>
                <w:rFonts w:ascii="Arial" w:hAnsi="Arial" w:cs="Arial"/>
                <w:szCs w:val="24"/>
              </w:rPr>
            </w:pPr>
          </w:p>
          <w:p w:rsidR="00295519" w:rsidRDefault="00295519" w:rsidP="00295519">
            <w:pPr>
              <w:autoSpaceDE w:val="0"/>
              <w:autoSpaceDN w:val="0"/>
              <w:adjustRightInd w:val="0"/>
              <w:jc w:val="both"/>
              <w:rPr>
                <w:rFonts w:ascii="Arial" w:hAnsi="Arial" w:cs="Arial"/>
                <w:szCs w:val="24"/>
              </w:rPr>
            </w:pPr>
            <w:r>
              <w:rPr>
                <w:rFonts w:ascii="Arial" w:hAnsi="Arial" w:cs="Arial"/>
                <w:b/>
                <w:szCs w:val="24"/>
              </w:rPr>
              <w:t>Year 3</w:t>
            </w:r>
            <w:r>
              <w:rPr>
                <w:rFonts w:ascii="Arial" w:hAnsi="Arial" w:cs="Arial"/>
                <w:szCs w:val="24"/>
              </w:rPr>
              <w:t xml:space="preserve"> - Performance Statistics Centralised Administration and User Numbers</w:t>
            </w:r>
          </w:p>
          <w:p w:rsidR="00084CE4" w:rsidRPr="00084CE4" w:rsidRDefault="00084CE4" w:rsidP="00295519">
            <w:pPr>
              <w:autoSpaceDE w:val="0"/>
              <w:autoSpaceDN w:val="0"/>
              <w:adjustRightInd w:val="0"/>
              <w:jc w:val="both"/>
              <w:rPr>
                <w:rFonts w:ascii="Arial" w:hAnsi="Arial" w:cs="Arial"/>
              </w:rPr>
            </w:pPr>
          </w:p>
        </w:tc>
      </w:tr>
      <w:tr w:rsidR="00295519" w:rsidRPr="009B0904" w:rsidTr="00084CE4">
        <w:trPr>
          <w:trHeight w:val="570"/>
        </w:trPr>
        <w:tc>
          <w:tcPr>
            <w:tcW w:w="817" w:type="dxa"/>
          </w:tcPr>
          <w:p w:rsidR="00295519" w:rsidRPr="00295519" w:rsidRDefault="00295519" w:rsidP="00590C36">
            <w:pPr>
              <w:autoSpaceDE w:val="0"/>
              <w:autoSpaceDN w:val="0"/>
              <w:adjustRightInd w:val="0"/>
              <w:rPr>
                <w:rFonts w:ascii="Arial" w:hAnsi="Arial" w:cs="Arial"/>
              </w:rPr>
            </w:pPr>
            <w:r w:rsidRPr="00295519">
              <w:rPr>
                <w:rFonts w:ascii="Arial" w:hAnsi="Arial" w:cs="Arial"/>
              </w:rPr>
              <w:t>5.</w:t>
            </w:r>
            <w:r>
              <w:rPr>
                <w:rFonts w:ascii="Arial" w:hAnsi="Arial" w:cs="Arial"/>
              </w:rPr>
              <w:t>2</w:t>
            </w:r>
          </w:p>
        </w:tc>
        <w:tc>
          <w:tcPr>
            <w:tcW w:w="8647" w:type="dxa"/>
          </w:tcPr>
          <w:p w:rsidR="00295519" w:rsidRDefault="00295519" w:rsidP="00295519">
            <w:pPr>
              <w:autoSpaceDE w:val="0"/>
              <w:autoSpaceDN w:val="0"/>
              <w:adjustRightInd w:val="0"/>
              <w:jc w:val="both"/>
              <w:rPr>
                <w:rFonts w:ascii="Arial" w:hAnsi="Arial" w:cs="Arial"/>
              </w:rPr>
            </w:pPr>
            <w:r w:rsidRPr="00295519">
              <w:rPr>
                <w:rFonts w:ascii="Arial" w:hAnsi="Arial" w:cs="Arial"/>
                <w:b/>
              </w:rPr>
              <w:t>Appendix E</w:t>
            </w:r>
            <w:r>
              <w:rPr>
                <w:rFonts w:ascii="Arial" w:hAnsi="Arial" w:cs="Arial"/>
              </w:rPr>
              <w:t xml:space="preserve"> shows the 2017 Internal Audit Report on HR Recruitment with an Audit opinion of “Reasonable Assurance”.  The report reflects strong procedures which are in place and gives positive recommendations for improvements.  All actions </w:t>
            </w:r>
            <w:r w:rsidR="00490B16">
              <w:rPr>
                <w:rFonts w:ascii="Arial" w:hAnsi="Arial" w:cs="Arial"/>
              </w:rPr>
              <w:t>identified are currently underway</w:t>
            </w:r>
            <w:r>
              <w:rPr>
                <w:rFonts w:ascii="Arial" w:hAnsi="Arial" w:cs="Arial"/>
              </w:rPr>
              <w:t xml:space="preserve">.  </w:t>
            </w:r>
          </w:p>
          <w:p w:rsidR="00295519" w:rsidRPr="00691D66" w:rsidRDefault="00295519" w:rsidP="00F60F83">
            <w:pPr>
              <w:autoSpaceDE w:val="0"/>
              <w:autoSpaceDN w:val="0"/>
              <w:adjustRightInd w:val="0"/>
              <w:jc w:val="both"/>
              <w:rPr>
                <w:rFonts w:ascii="Arial" w:hAnsi="Arial" w:cs="Arial"/>
                <w:b/>
              </w:rPr>
            </w:pPr>
          </w:p>
        </w:tc>
      </w:tr>
      <w:tr w:rsidR="00084CE4" w:rsidRPr="009B0904" w:rsidTr="00084CE4">
        <w:trPr>
          <w:trHeight w:val="570"/>
        </w:trPr>
        <w:tc>
          <w:tcPr>
            <w:tcW w:w="817" w:type="dxa"/>
          </w:tcPr>
          <w:p w:rsidR="00084CE4" w:rsidRDefault="00084CE4" w:rsidP="00590C36">
            <w:pPr>
              <w:autoSpaceDE w:val="0"/>
              <w:autoSpaceDN w:val="0"/>
              <w:adjustRightInd w:val="0"/>
              <w:rPr>
                <w:rFonts w:ascii="Arial" w:hAnsi="Arial" w:cs="Arial"/>
                <w:b/>
              </w:rPr>
            </w:pPr>
          </w:p>
          <w:p w:rsidR="00084CE4" w:rsidRPr="00691D66" w:rsidRDefault="00084CE4" w:rsidP="00590C36">
            <w:pPr>
              <w:autoSpaceDE w:val="0"/>
              <w:autoSpaceDN w:val="0"/>
              <w:adjustRightInd w:val="0"/>
              <w:rPr>
                <w:rFonts w:ascii="Arial" w:hAnsi="Arial" w:cs="Arial"/>
                <w:b/>
              </w:rPr>
            </w:pPr>
            <w:r>
              <w:rPr>
                <w:rFonts w:ascii="Arial" w:hAnsi="Arial" w:cs="Arial"/>
                <w:b/>
              </w:rPr>
              <w:t>6.</w:t>
            </w:r>
          </w:p>
        </w:tc>
        <w:tc>
          <w:tcPr>
            <w:tcW w:w="8647" w:type="dxa"/>
          </w:tcPr>
          <w:p w:rsidR="00084CE4" w:rsidRDefault="00084CE4" w:rsidP="00F60F83">
            <w:pPr>
              <w:autoSpaceDE w:val="0"/>
              <w:autoSpaceDN w:val="0"/>
              <w:adjustRightInd w:val="0"/>
              <w:jc w:val="both"/>
              <w:rPr>
                <w:rFonts w:ascii="Arial" w:hAnsi="Arial" w:cs="Arial"/>
                <w:b/>
              </w:rPr>
            </w:pPr>
          </w:p>
          <w:p w:rsidR="00084CE4" w:rsidRDefault="00084CE4" w:rsidP="00F60F83">
            <w:pPr>
              <w:autoSpaceDE w:val="0"/>
              <w:autoSpaceDN w:val="0"/>
              <w:adjustRightInd w:val="0"/>
              <w:jc w:val="both"/>
              <w:rPr>
                <w:rFonts w:ascii="Arial" w:hAnsi="Arial" w:cs="Arial"/>
                <w:b/>
              </w:rPr>
            </w:pPr>
            <w:r>
              <w:rPr>
                <w:rFonts w:ascii="Arial" w:hAnsi="Arial" w:cs="Arial"/>
                <w:b/>
              </w:rPr>
              <w:t>Procurement – changes in levels</w:t>
            </w:r>
          </w:p>
          <w:p w:rsidR="00084CE4" w:rsidRPr="00691D66" w:rsidRDefault="00084CE4" w:rsidP="00F60F83">
            <w:pPr>
              <w:autoSpaceDE w:val="0"/>
              <w:autoSpaceDN w:val="0"/>
              <w:adjustRightInd w:val="0"/>
              <w:jc w:val="both"/>
              <w:rPr>
                <w:rFonts w:ascii="Arial" w:hAnsi="Arial" w:cs="Arial"/>
                <w:b/>
              </w:rPr>
            </w:pPr>
          </w:p>
        </w:tc>
      </w:tr>
      <w:tr w:rsidR="00084CE4" w:rsidRPr="009B0904" w:rsidTr="00084CE4">
        <w:trPr>
          <w:trHeight w:val="570"/>
        </w:trPr>
        <w:tc>
          <w:tcPr>
            <w:tcW w:w="817" w:type="dxa"/>
          </w:tcPr>
          <w:p w:rsidR="00084CE4" w:rsidRPr="00084CE4" w:rsidRDefault="00084CE4" w:rsidP="00590C36">
            <w:pPr>
              <w:autoSpaceDE w:val="0"/>
              <w:autoSpaceDN w:val="0"/>
              <w:adjustRightInd w:val="0"/>
              <w:rPr>
                <w:rFonts w:ascii="Arial" w:hAnsi="Arial" w:cs="Arial"/>
              </w:rPr>
            </w:pPr>
            <w:r w:rsidRPr="00084CE4">
              <w:rPr>
                <w:rFonts w:ascii="Arial" w:hAnsi="Arial" w:cs="Arial"/>
              </w:rPr>
              <w:t>6.1</w:t>
            </w:r>
          </w:p>
        </w:tc>
        <w:tc>
          <w:tcPr>
            <w:tcW w:w="8647" w:type="dxa"/>
          </w:tcPr>
          <w:p w:rsidR="00084CE4" w:rsidRDefault="00084CE4" w:rsidP="00F60F83">
            <w:pPr>
              <w:autoSpaceDE w:val="0"/>
              <w:autoSpaceDN w:val="0"/>
              <w:adjustRightInd w:val="0"/>
              <w:jc w:val="both"/>
              <w:rPr>
                <w:rFonts w:ascii="Arial" w:hAnsi="Arial" w:cs="Arial"/>
              </w:rPr>
            </w:pPr>
            <w:r>
              <w:rPr>
                <w:rFonts w:ascii="Arial" w:hAnsi="Arial" w:cs="Arial"/>
              </w:rPr>
              <w:t>Directors are asked to note the increase to the European OJEU threshold level from &gt;£164,176 to &gt;£181,302 effective from 1 January 2018.</w:t>
            </w:r>
          </w:p>
          <w:p w:rsidR="00084CE4" w:rsidRPr="00084CE4" w:rsidRDefault="00084CE4" w:rsidP="00F60F83">
            <w:pPr>
              <w:autoSpaceDE w:val="0"/>
              <w:autoSpaceDN w:val="0"/>
              <w:adjustRightInd w:val="0"/>
              <w:jc w:val="both"/>
              <w:rPr>
                <w:rFonts w:ascii="Arial" w:hAnsi="Arial" w:cs="Arial"/>
              </w:rPr>
            </w:pPr>
          </w:p>
        </w:tc>
      </w:tr>
      <w:tr w:rsidR="00084CE4" w:rsidRPr="009B0904" w:rsidTr="00084CE4">
        <w:trPr>
          <w:trHeight w:val="570"/>
        </w:trPr>
        <w:tc>
          <w:tcPr>
            <w:tcW w:w="817" w:type="dxa"/>
          </w:tcPr>
          <w:p w:rsidR="00084CE4" w:rsidRDefault="00084CE4" w:rsidP="00590C36">
            <w:pPr>
              <w:autoSpaceDE w:val="0"/>
              <w:autoSpaceDN w:val="0"/>
              <w:adjustRightInd w:val="0"/>
              <w:rPr>
                <w:rFonts w:ascii="Arial" w:hAnsi="Arial" w:cs="Arial"/>
              </w:rPr>
            </w:pPr>
            <w:r>
              <w:rPr>
                <w:rFonts w:ascii="Arial" w:hAnsi="Arial" w:cs="Arial"/>
              </w:rPr>
              <w:lastRenderedPageBreak/>
              <w:t>6.2</w:t>
            </w:r>
          </w:p>
          <w:p w:rsidR="003B6E26" w:rsidRDefault="003B6E26" w:rsidP="00590C36">
            <w:pPr>
              <w:autoSpaceDE w:val="0"/>
              <w:autoSpaceDN w:val="0"/>
              <w:adjustRightInd w:val="0"/>
              <w:rPr>
                <w:rFonts w:ascii="Arial" w:hAnsi="Arial" w:cs="Arial"/>
              </w:rPr>
            </w:pPr>
          </w:p>
          <w:p w:rsidR="003B6E26" w:rsidRDefault="003B6E26" w:rsidP="00590C36">
            <w:pPr>
              <w:autoSpaceDE w:val="0"/>
              <w:autoSpaceDN w:val="0"/>
              <w:adjustRightInd w:val="0"/>
              <w:rPr>
                <w:rFonts w:ascii="Arial" w:hAnsi="Arial" w:cs="Arial"/>
              </w:rPr>
            </w:pPr>
          </w:p>
          <w:p w:rsidR="003B6E26" w:rsidRDefault="003B6E26" w:rsidP="00590C36">
            <w:pPr>
              <w:autoSpaceDE w:val="0"/>
              <w:autoSpaceDN w:val="0"/>
              <w:adjustRightInd w:val="0"/>
              <w:rPr>
                <w:rFonts w:ascii="Arial" w:hAnsi="Arial" w:cs="Arial"/>
              </w:rPr>
            </w:pPr>
          </w:p>
          <w:p w:rsidR="003B6E26" w:rsidRDefault="003B6E26" w:rsidP="00590C36">
            <w:pPr>
              <w:autoSpaceDE w:val="0"/>
              <w:autoSpaceDN w:val="0"/>
              <w:adjustRightInd w:val="0"/>
              <w:rPr>
                <w:rFonts w:ascii="Arial" w:hAnsi="Arial" w:cs="Arial"/>
              </w:rPr>
            </w:pPr>
          </w:p>
          <w:p w:rsidR="003B6E26" w:rsidRDefault="003B6E26" w:rsidP="00590C36">
            <w:pPr>
              <w:autoSpaceDE w:val="0"/>
              <w:autoSpaceDN w:val="0"/>
              <w:adjustRightInd w:val="0"/>
              <w:rPr>
                <w:rFonts w:ascii="Arial" w:hAnsi="Arial" w:cs="Arial"/>
              </w:rPr>
            </w:pPr>
          </w:p>
          <w:p w:rsidR="003B6E26" w:rsidRPr="00084CE4" w:rsidRDefault="003B6E26" w:rsidP="00590C36">
            <w:pPr>
              <w:autoSpaceDE w:val="0"/>
              <w:autoSpaceDN w:val="0"/>
              <w:adjustRightInd w:val="0"/>
              <w:rPr>
                <w:rFonts w:ascii="Arial" w:hAnsi="Arial" w:cs="Arial"/>
              </w:rPr>
            </w:pPr>
            <w:r>
              <w:rPr>
                <w:rFonts w:ascii="Arial" w:hAnsi="Arial" w:cs="Arial"/>
              </w:rPr>
              <w:t>6.3</w:t>
            </w:r>
          </w:p>
        </w:tc>
        <w:tc>
          <w:tcPr>
            <w:tcW w:w="8647" w:type="dxa"/>
          </w:tcPr>
          <w:p w:rsidR="00084CE4" w:rsidRDefault="00084CE4" w:rsidP="00F60F83">
            <w:pPr>
              <w:autoSpaceDE w:val="0"/>
              <w:autoSpaceDN w:val="0"/>
              <w:adjustRightInd w:val="0"/>
              <w:jc w:val="both"/>
              <w:rPr>
                <w:rFonts w:ascii="Arial" w:hAnsi="Arial" w:cs="Arial"/>
              </w:rPr>
            </w:pPr>
            <w:r w:rsidRPr="00084CE4">
              <w:rPr>
                <w:rFonts w:ascii="Arial" w:hAnsi="Arial" w:cs="Arial"/>
              </w:rPr>
              <w:t>At the</w:t>
            </w:r>
            <w:r>
              <w:rPr>
                <w:rFonts w:ascii="Arial" w:hAnsi="Arial" w:cs="Arial"/>
              </w:rPr>
              <w:t xml:space="preserve"> HLH Board meeting held on 15 June 2017 it was agreed, as part of the Scheme of Delegation, that the approval of any award of a contract/tender which exceeds the European OJEU level be reserved for Board approval.  The HLH Scheme of Delegation has been updated to reflect the change in the threshold figure.</w:t>
            </w:r>
          </w:p>
          <w:p w:rsidR="003B6E26" w:rsidRDefault="003B6E26" w:rsidP="00F60F83">
            <w:pPr>
              <w:autoSpaceDE w:val="0"/>
              <w:autoSpaceDN w:val="0"/>
              <w:adjustRightInd w:val="0"/>
              <w:jc w:val="both"/>
              <w:rPr>
                <w:rFonts w:ascii="Arial" w:hAnsi="Arial" w:cs="Arial"/>
              </w:rPr>
            </w:pPr>
          </w:p>
          <w:p w:rsidR="003B6E26" w:rsidRDefault="00A9356A" w:rsidP="00F60F83">
            <w:pPr>
              <w:autoSpaceDE w:val="0"/>
              <w:autoSpaceDN w:val="0"/>
              <w:adjustRightInd w:val="0"/>
              <w:jc w:val="both"/>
              <w:rPr>
                <w:rFonts w:ascii="Arial" w:hAnsi="Arial" w:cs="Arial"/>
              </w:rPr>
            </w:pPr>
            <w:r>
              <w:rPr>
                <w:rFonts w:ascii="Arial" w:hAnsi="Arial" w:cs="Arial"/>
              </w:rPr>
              <w:t>Tenders approved/contracts awarded (below OJEU level)</w:t>
            </w:r>
            <w:r w:rsidR="003B6E26">
              <w:rPr>
                <w:rFonts w:ascii="Arial" w:hAnsi="Arial" w:cs="Arial"/>
              </w:rPr>
              <w:t xml:space="preserve"> :</w:t>
            </w:r>
          </w:p>
          <w:p w:rsidR="003B6E26" w:rsidRDefault="003B6E26" w:rsidP="00F60F83">
            <w:pPr>
              <w:autoSpaceDE w:val="0"/>
              <w:autoSpaceDN w:val="0"/>
              <w:adjustRightInd w:val="0"/>
              <w:jc w:val="both"/>
              <w:rPr>
                <w:rFonts w:ascii="Arial" w:hAnsi="Arial" w:cs="Arial"/>
              </w:rPr>
            </w:pPr>
          </w:p>
          <w:tbl>
            <w:tblPr>
              <w:tblStyle w:val="TableGrid"/>
              <w:tblW w:w="8449" w:type="dxa"/>
              <w:tblLayout w:type="fixed"/>
              <w:tblLook w:val="04A0" w:firstRow="1" w:lastRow="0" w:firstColumn="1" w:lastColumn="0" w:noHBand="0" w:noVBand="1"/>
            </w:tblPr>
            <w:tblGrid>
              <w:gridCol w:w="1993"/>
              <w:gridCol w:w="2288"/>
              <w:gridCol w:w="2127"/>
              <w:gridCol w:w="2041"/>
            </w:tblGrid>
            <w:tr w:rsidR="00134032" w:rsidRPr="00AC7F09" w:rsidTr="003628F6">
              <w:trPr>
                <w:trHeight w:val="515"/>
              </w:trPr>
              <w:tc>
                <w:tcPr>
                  <w:tcW w:w="1993" w:type="dxa"/>
                  <w:tcBorders>
                    <w:bottom w:val="single" w:sz="4" w:space="0" w:color="auto"/>
                  </w:tcBorders>
                </w:tcPr>
                <w:p w:rsidR="00134032" w:rsidRDefault="00134032" w:rsidP="00323E12">
                  <w:pPr>
                    <w:rPr>
                      <w:rFonts w:ascii="Arial" w:hAnsi="Arial" w:cs="Arial"/>
                      <w:szCs w:val="24"/>
                    </w:rPr>
                  </w:pPr>
                  <w:r>
                    <w:rPr>
                      <w:rFonts w:ascii="Arial" w:hAnsi="Arial" w:cs="Arial"/>
                      <w:szCs w:val="24"/>
                    </w:rPr>
                    <w:t>Ernst &amp; Young</w:t>
                  </w:r>
                </w:p>
                <w:p w:rsidR="00134032" w:rsidRPr="00AC7F09" w:rsidRDefault="00134032" w:rsidP="00323E12">
                  <w:pPr>
                    <w:rPr>
                      <w:rFonts w:ascii="Arial" w:hAnsi="Arial" w:cs="Arial"/>
                      <w:szCs w:val="24"/>
                    </w:rPr>
                  </w:pPr>
                </w:p>
              </w:tc>
              <w:tc>
                <w:tcPr>
                  <w:tcW w:w="2288" w:type="dxa"/>
                  <w:tcBorders>
                    <w:bottom w:val="single" w:sz="4" w:space="0" w:color="auto"/>
                  </w:tcBorders>
                </w:tcPr>
                <w:p w:rsidR="00134032" w:rsidRPr="00AC7F09" w:rsidRDefault="00134032" w:rsidP="00323E12">
                  <w:pPr>
                    <w:rPr>
                      <w:rFonts w:ascii="Arial" w:hAnsi="Arial" w:cs="Arial"/>
                      <w:szCs w:val="24"/>
                    </w:rPr>
                  </w:pPr>
                  <w:r>
                    <w:rPr>
                      <w:rFonts w:ascii="Arial" w:hAnsi="Arial" w:cs="Arial"/>
                      <w:szCs w:val="24"/>
                    </w:rPr>
                    <w:t>Vat Advice</w:t>
                  </w:r>
                </w:p>
              </w:tc>
              <w:tc>
                <w:tcPr>
                  <w:tcW w:w="2127" w:type="dxa"/>
                  <w:tcBorders>
                    <w:bottom w:val="single" w:sz="4" w:space="0" w:color="auto"/>
                  </w:tcBorders>
                </w:tcPr>
                <w:p w:rsidR="00134032" w:rsidRPr="00AC7F09" w:rsidRDefault="00134032" w:rsidP="00323E12">
                  <w:pPr>
                    <w:rPr>
                      <w:rFonts w:ascii="Arial" w:hAnsi="Arial" w:cs="Arial"/>
                      <w:szCs w:val="24"/>
                    </w:rPr>
                  </w:pPr>
                  <w:r>
                    <w:rPr>
                      <w:rFonts w:ascii="Arial" w:hAnsi="Arial" w:cs="Arial"/>
                      <w:szCs w:val="24"/>
                    </w:rPr>
                    <w:t>Jan 18-Dec 22</w:t>
                  </w:r>
                </w:p>
              </w:tc>
              <w:tc>
                <w:tcPr>
                  <w:tcW w:w="2041" w:type="dxa"/>
                  <w:tcBorders>
                    <w:bottom w:val="single" w:sz="4" w:space="0" w:color="auto"/>
                  </w:tcBorders>
                </w:tcPr>
                <w:p w:rsidR="00134032" w:rsidRPr="00AC7F09" w:rsidRDefault="00134032" w:rsidP="00101B9B">
                  <w:pPr>
                    <w:rPr>
                      <w:rFonts w:ascii="Arial" w:hAnsi="Arial" w:cs="Arial"/>
                      <w:szCs w:val="24"/>
                    </w:rPr>
                  </w:pPr>
                  <w:r>
                    <w:rPr>
                      <w:rFonts w:ascii="Arial" w:hAnsi="Arial" w:cs="Arial"/>
                      <w:szCs w:val="24"/>
                    </w:rPr>
                    <w:t>c£65K</w:t>
                  </w:r>
                </w:p>
              </w:tc>
            </w:tr>
            <w:tr w:rsidR="00134032" w:rsidRPr="00AC7F09" w:rsidTr="003628F6">
              <w:trPr>
                <w:trHeight w:val="526"/>
              </w:trPr>
              <w:tc>
                <w:tcPr>
                  <w:tcW w:w="1993" w:type="dxa"/>
                  <w:tcBorders>
                    <w:bottom w:val="single" w:sz="4" w:space="0" w:color="auto"/>
                  </w:tcBorders>
                </w:tcPr>
                <w:p w:rsidR="00134032" w:rsidRPr="00AC7F09" w:rsidRDefault="00134032" w:rsidP="00323E12">
                  <w:pPr>
                    <w:rPr>
                      <w:rFonts w:ascii="Arial" w:hAnsi="Arial" w:cs="Arial"/>
                      <w:szCs w:val="24"/>
                    </w:rPr>
                  </w:pPr>
                  <w:r>
                    <w:rPr>
                      <w:rFonts w:ascii="Arial" w:hAnsi="Arial" w:cs="Arial"/>
                      <w:szCs w:val="24"/>
                    </w:rPr>
                    <w:t>UHI</w:t>
                  </w:r>
                </w:p>
              </w:tc>
              <w:tc>
                <w:tcPr>
                  <w:tcW w:w="2288" w:type="dxa"/>
                  <w:tcBorders>
                    <w:bottom w:val="single" w:sz="4" w:space="0" w:color="auto"/>
                  </w:tcBorders>
                </w:tcPr>
                <w:p w:rsidR="00134032" w:rsidRDefault="00134032" w:rsidP="00323E12">
                  <w:pPr>
                    <w:rPr>
                      <w:rFonts w:ascii="Arial" w:hAnsi="Arial" w:cs="Arial"/>
                      <w:szCs w:val="24"/>
                    </w:rPr>
                  </w:pPr>
                  <w:r>
                    <w:rPr>
                      <w:rFonts w:ascii="Arial" w:hAnsi="Arial" w:cs="Arial"/>
                      <w:szCs w:val="24"/>
                    </w:rPr>
                    <w:t>You Time Project Evaluation</w:t>
                  </w:r>
                </w:p>
                <w:p w:rsidR="00134032" w:rsidRDefault="00134032" w:rsidP="00323E12">
                  <w:pPr>
                    <w:rPr>
                      <w:rFonts w:ascii="Arial" w:hAnsi="Arial" w:cs="Arial"/>
                      <w:szCs w:val="24"/>
                    </w:rPr>
                  </w:pPr>
                </w:p>
              </w:tc>
              <w:tc>
                <w:tcPr>
                  <w:tcW w:w="2127" w:type="dxa"/>
                  <w:tcBorders>
                    <w:bottom w:val="single" w:sz="4" w:space="0" w:color="auto"/>
                  </w:tcBorders>
                </w:tcPr>
                <w:p w:rsidR="00134032" w:rsidRPr="00AC7F09" w:rsidRDefault="00134032" w:rsidP="00323E12">
                  <w:pPr>
                    <w:rPr>
                      <w:rFonts w:ascii="Arial" w:hAnsi="Arial" w:cs="Arial"/>
                      <w:szCs w:val="24"/>
                    </w:rPr>
                  </w:pPr>
                  <w:r>
                    <w:rPr>
                      <w:rFonts w:ascii="Arial" w:hAnsi="Arial" w:cs="Arial"/>
                      <w:szCs w:val="24"/>
                    </w:rPr>
                    <w:t>Jan 18-Sep 18</w:t>
                  </w:r>
                </w:p>
              </w:tc>
              <w:tc>
                <w:tcPr>
                  <w:tcW w:w="2041" w:type="dxa"/>
                  <w:tcBorders>
                    <w:bottom w:val="single" w:sz="4" w:space="0" w:color="auto"/>
                  </w:tcBorders>
                </w:tcPr>
                <w:p w:rsidR="00134032" w:rsidRDefault="00134032" w:rsidP="00101B9B">
                  <w:pPr>
                    <w:rPr>
                      <w:rFonts w:ascii="Arial" w:hAnsi="Arial" w:cs="Arial"/>
                      <w:szCs w:val="24"/>
                    </w:rPr>
                  </w:pPr>
                  <w:r>
                    <w:rPr>
                      <w:rFonts w:ascii="Arial" w:hAnsi="Arial" w:cs="Arial"/>
                      <w:szCs w:val="24"/>
                    </w:rPr>
                    <w:t xml:space="preserve">£7200 </w:t>
                  </w:r>
                </w:p>
                <w:p w:rsidR="00134032" w:rsidRPr="00AC7F09" w:rsidRDefault="00134032" w:rsidP="00101B9B">
                  <w:pPr>
                    <w:rPr>
                      <w:rFonts w:ascii="Arial" w:hAnsi="Arial" w:cs="Arial"/>
                      <w:szCs w:val="24"/>
                    </w:rPr>
                  </w:pPr>
                  <w:r>
                    <w:rPr>
                      <w:rFonts w:ascii="Arial" w:hAnsi="Arial" w:cs="Arial"/>
                      <w:szCs w:val="24"/>
                    </w:rPr>
                    <w:t>fixed budget</w:t>
                  </w:r>
                </w:p>
              </w:tc>
            </w:tr>
          </w:tbl>
          <w:p w:rsidR="00B50281" w:rsidRPr="00084CE4" w:rsidRDefault="00B50281" w:rsidP="00F60F83">
            <w:pPr>
              <w:autoSpaceDE w:val="0"/>
              <w:autoSpaceDN w:val="0"/>
              <w:adjustRightInd w:val="0"/>
              <w:jc w:val="both"/>
              <w:rPr>
                <w:rFonts w:ascii="Arial" w:hAnsi="Arial" w:cs="Arial"/>
              </w:rPr>
            </w:pPr>
          </w:p>
        </w:tc>
      </w:tr>
      <w:tr w:rsidR="005F7CEC" w:rsidRPr="009B0904" w:rsidTr="00084CE4">
        <w:trPr>
          <w:trHeight w:val="570"/>
        </w:trPr>
        <w:tc>
          <w:tcPr>
            <w:tcW w:w="817" w:type="dxa"/>
          </w:tcPr>
          <w:p w:rsidR="00134032" w:rsidRDefault="00134032" w:rsidP="00590C36">
            <w:pPr>
              <w:autoSpaceDE w:val="0"/>
              <w:autoSpaceDN w:val="0"/>
              <w:adjustRightInd w:val="0"/>
              <w:rPr>
                <w:rFonts w:ascii="Arial" w:hAnsi="Arial" w:cs="Arial"/>
                <w:b/>
              </w:rPr>
            </w:pPr>
          </w:p>
          <w:p w:rsidR="005F7CEC" w:rsidRDefault="005F7CEC" w:rsidP="00590C36">
            <w:pPr>
              <w:autoSpaceDE w:val="0"/>
              <w:autoSpaceDN w:val="0"/>
              <w:adjustRightInd w:val="0"/>
              <w:rPr>
                <w:rFonts w:ascii="Arial" w:hAnsi="Arial" w:cs="Arial"/>
              </w:rPr>
            </w:pPr>
            <w:r w:rsidRPr="005F7CEC">
              <w:rPr>
                <w:rFonts w:ascii="Arial" w:hAnsi="Arial" w:cs="Arial"/>
                <w:b/>
              </w:rPr>
              <w:t>7.</w:t>
            </w:r>
          </w:p>
          <w:p w:rsidR="005F7CEC" w:rsidRDefault="005F7CEC" w:rsidP="00590C36">
            <w:pPr>
              <w:autoSpaceDE w:val="0"/>
              <w:autoSpaceDN w:val="0"/>
              <w:adjustRightInd w:val="0"/>
              <w:rPr>
                <w:rFonts w:ascii="Arial" w:hAnsi="Arial" w:cs="Arial"/>
              </w:rPr>
            </w:pPr>
          </w:p>
          <w:p w:rsidR="005F7CEC" w:rsidRPr="005F7CEC" w:rsidRDefault="005F7CEC" w:rsidP="00590C36">
            <w:pPr>
              <w:autoSpaceDE w:val="0"/>
              <w:autoSpaceDN w:val="0"/>
              <w:adjustRightInd w:val="0"/>
              <w:rPr>
                <w:rFonts w:ascii="Arial" w:hAnsi="Arial" w:cs="Arial"/>
              </w:rPr>
            </w:pPr>
            <w:r>
              <w:rPr>
                <w:rFonts w:ascii="Arial" w:hAnsi="Arial" w:cs="Arial"/>
              </w:rPr>
              <w:t>7.1</w:t>
            </w:r>
          </w:p>
        </w:tc>
        <w:tc>
          <w:tcPr>
            <w:tcW w:w="8647" w:type="dxa"/>
          </w:tcPr>
          <w:p w:rsidR="00134032" w:rsidRDefault="00134032" w:rsidP="00F60F83">
            <w:pPr>
              <w:autoSpaceDE w:val="0"/>
              <w:autoSpaceDN w:val="0"/>
              <w:adjustRightInd w:val="0"/>
              <w:jc w:val="both"/>
              <w:rPr>
                <w:rFonts w:ascii="Arial" w:hAnsi="Arial" w:cs="Arial"/>
                <w:b/>
              </w:rPr>
            </w:pPr>
          </w:p>
          <w:p w:rsidR="005F7CEC" w:rsidRDefault="005F7CEC" w:rsidP="00F60F83">
            <w:pPr>
              <w:autoSpaceDE w:val="0"/>
              <w:autoSpaceDN w:val="0"/>
              <w:adjustRightInd w:val="0"/>
              <w:jc w:val="both"/>
              <w:rPr>
                <w:rFonts w:ascii="Arial" w:hAnsi="Arial" w:cs="Arial"/>
              </w:rPr>
            </w:pPr>
            <w:r w:rsidRPr="005F7CEC">
              <w:rPr>
                <w:rFonts w:ascii="Arial" w:hAnsi="Arial" w:cs="Arial"/>
                <w:b/>
              </w:rPr>
              <w:t>Annual Review of Insurance</w:t>
            </w:r>
          </w:p>
          <w:p w:rsidR="005F7CEC" w:rsidRDefault="005F7CEC" w:rsidP="00F60F83">
            <w:pPr>
              <w:autoSpaceDE w:val="0"/>
              <w:autoSpaceDN w:val="0"/>
              <w:adjustRightInd w:val="0"/>
              <w:jc w:val="both"/>
              <w:rPr>
                <w:rFonts w:ascii="Arial" w:hAnsi="Arial" w:cs="Arial"/>
              </w:rPr>
            </w:pPr>
          </w:p>
          <w:p w:rsidR="005F7CEC" w:rsidRDefault="005F7CEC" w:rsidP="005F7CEC">
            <w:pPr>
              <w:autoSpaceDE w:val="0"/>
              <w:autoSpaceDN w:val="0"/>
              <w:adjustRightInd w:val="0"/>
              <w:jc w:val="both"/>
              <w:rPr>
                <w:rFonts w:ascii="Arial" w:hAnsi="Arial" w:cs="Arial"/>
              </w:rPr>
            </w:pPr>
            <w:r>
              <w:rPr>
                <w:rFonts w:ascii="Arial" w:hAnsi="Arial" w:cs="Arial"/>
              </w:rPr>
              <w:t xml:space="preserve">HLH insurance cover is included as part of The Highland Council insurance cover. THC regularly reviews the insurance over and forwards a detailed schedule annually to HLH.  The insurance </w:t>
            </w:r>
            <w:r w:rsidR="00EE3F35">
              <w:rPr>
                <w:rFonts w:ascii="Arial" w:hAnsi="Arial" w:cs="Arial"/>
              </w:rPr>
              <w:t>will renew</w:t>
            </w:r>
            <w:r>
              <w:rPr>
                <w:rFonts w:ascii="Arial" w:hAnsi="Arial" w:cs="Arial"/>
              </w:rPr>
              <w:t xml:space="preserve"> on 1 April 2018 for 2018/19 and new additions </w:t>
            </w:r>
            <w:r w:rsidR="00EE3F35">
              <w:rPr>
                <w:rFonts w:ascii="Arial" w:hAnsi="Arial" w:cs="Arial"/>
              </w:rPr>
              <w:t>will be</w:t>
            </w:r>
            <w:r>
              <w:rPr>
                <w:rFonts w:ascii="Arial" w:hAnsi="Arial" w:cs="Arial"/>
              </w:rPr>
              <w:t xml:space="preserve"> advised throughout the year as and when required.</w:t>
            </w:r>
          </w:p>
          <w:p w:rsidR="005F7CEC" w:rsidRPr="005F7CEC" w:rsidRDefault="005F7CEC" w:rsidP="005F7CEC">
            <w:pPr>
              <w:autoSpaceDE w:val="0"/>
              <w:autoSpaceDN w:val="0"/>
              <w:adjustRightInd w:val="0"/>
              <w:jc w:val="both"/>
              <w:rPr>
                <w:rFonts w:ascii="Arial" w:hAnsi="Arial" w:cs="Arial"/>
              </w:rPr>
            </w:pPr>
          </w:p>
        </w:tc>
      </w:tr>
      <w:tr w:rsidR="00066624" w:rsidRPr="009B0904" w:rsidTr="00084CE4">
        <w:trPr>
          <w:trHeight w:val="570"/>
        </w:trPr>
        <w:tc>
          <w:tcPr>
            <w:tcW w:w="817" w:type="dxa"/>
          </w:tcPr>
          <w:p w:rsidR="00066624" w:rsidRPr="005F7CEC" w:rsidRDefault="00066624" w:rsidP="00590C36">
            <w:pPr>
              <w:autoSpaceDE w:val="0"/>
              <w:autoSpaceDN w:val="0"/>
              <w:adjustRightInd w:val="0"/>
              <w:rPr>
                <w:rFonts w:ascii="Arial" w:hAnsi="Arial" w:cs="Arial"/>
                <w:b/>
              </w:rPr>
            </w:pPr>
            <w:r>
              <w:rPr>
                <w:rFonts w:ascii="Arial" w:hAnsi="Arial" w:cs="Arial"/>
                <w:b/>
              </w:rPr>
              <w:t>8.</w:t>
            </w:r>
          </w:p>
        </w:tc>
        <w:tc>
          <w:tcPr>
            <w:tcW w:w="8647" w:type="dxa"/>
          </w:tcPr>
          <w:p w:rsidR="00066624" w:rsidRPr="005F7CEC" w:rsidRDefault="00066624" w:rsidP="00F60F83">
            <w:pPr>
              <w:autoSpaceDE w:val="0"/>
              <w:autoSpaceDN w:val="0"/>
              <w:adjustRightInd w:val="0"/>
              <w:jc w:val="both"/>
              <w:rPr>
                <w:rFonts w:ascii="Arial" w:hAnsi="Arial" w:cs="Arial"/>
                <w:b/>
              </w:rPr>
            </w:pPr>
            <w:r>
              <w:rPr>
                <w:rFonts w:ascii="Arial" w:hAnsi="Arial" w:cs="Arial"/>
                <w:b/>
              </w:rPr>
              <w:t>Implications</w:t>
            </w:r>
          </w:p>
        </w:tc>
      </w:tr>
      <w:tr w:rsidR="00066624" w:rsidRPr="009B0904" w:rsidTr="00084CE4">
        <w:trPr>
          <w:trHeight w:val="570"/>
        </w:trPr>
        <w:tc>
          <w:tcPr>
            <w:tcW w:w="817" w:type="dxa"/>
          </w:tcPr>
          <w:p w:rsidR="00066624" w:rsidRDefault="00066624" w:rsidP="00590C36">
            <w:pPr>
              <w:autoSpaceDE w:val="0"/>
              <w:autoSpaceDN w:val="0"/>
              <w:adjustRightInd w:val="0"/>
              <w:rPr>
                <w:rFonts w:ascii="Arial" w:hAnsi="Arial" w:cs="Arial"/>
              </w:rPr>
            </w:pPr>
            <w:r>
              <w:rPr>
                <w:rFonts w:ascii="Arial" w:hAnsi="Arial" w:cs="Arial"/>
              </w:rPr>
              <w:t>8.1</w:t>
            </w:r>
          </w:p>
          <w:p w:rsidR="00066624" w:rsidRDefault="00066624" w:rsidP="00590C36">
            <w:pPr>
              <w:autoSpaceDE w:val="0"/>
              <w:autoSpaceDN w:val="0"/>
              <w:adjustRightInd w:val="0"/>
              <w:rPr>
                <w:rFonts w:ascii="Arial" w:hAnsi="Arial" w:cs="Arial"/>
              </w:rPr>
            </w:pPr>
          </w:p>
          <w:p w:rsidR="00066624" w:rsidRDefault="00066624" w:rsidP="00590C36">
            <w:pPr>
              <w:autoSpaceDE w:val="0"/>
              <w:autoSpaceDN w:val="0"/>
              <w:adjustRightInd w:val="0"/>
              <w:rPr>
                <w:rFonts w:ascii="Arial" w:hAnsi="Arial" w:cs="Arial"/>
              </w:rPr>
            </w:pPr>
          </w:p>
          <w:p w:rsidR="00066624" w:rsidRDefault="00066624" w:rsidP="00590C36">
            <w:pPr>
              <w:autoSpaceDE w:val="0"/>
              <w:autoSpaceDN w:val="0"/>
              <w:adjustRightInd w:val="0"/>
              <w:rPr>
                <w:rFonts w:ascii="Arial" w:hAnsi="Arial" w:cs="Arial"/>
              </w:rPr>
            </w:pPr>
            <w:r>
              <w:rPr>
                <w:rFonts w:ascii="Arial" w:hAnsi="Arial" w:cs="Arial"/>
              </w:rPr>
              <w:t>8.2</w:t>
            </w:r>
          </w:p>
          <w:p w:rsidR="00066624" w:rsidRDefault="00066624" w:rsidP="00590C36">
            <w:pPr>
              <w:autoSpaceDE w:val="0"/>
              <w:autoSpaceDN w:val="0"/>
              <w:adjustRightInd w:val="0"/>
              <w:rPr>
                <w:rFonts w:ascii="Arial" w:hAnsi="Arial" w:cs="Arial"/>
              </w:rPr>
            </w:pPr>
          </w:p>
          <w:p w:rsidR="00066624" w:rsidRDefault="00066624" w:rsidP="00590C36">
            <w:pPr>
              <w:autoSpaceDE w:val="0"/>
              <w:autoSpaceDN w:val="0"/>
              <w:adjustRightInd w:val="0"/>
              <w:rPr>
                <w:rFonts w:ascii="Arial" w:hAnsi="Arial" w:cs="Arial"/>
              </w:rPr>
            </w:pPr>
          </w:p>
          <w:p w:rsidR="00066624" w:rsidRPr="00066624" w:rsidRDefault="00066624" w:rsidP="00590C36">
            <w:pPr>
              <w:autoSpaceDE w:val="0"/>
              <w:autoSpaceDN w:val="0"/>
              <w:adjustRightInd w:val="0"/>
              <w:rPr>
                <w:rFonts w:ascii="Arial" w:hAnsi="Arial" w:cs="Arial"/>
              </w:rPr>
            </w:pPr>
            <w:r>
              <w:rPr>
                <w:rFonts w:ascii="Arial" w:hAnsi="Arial" w:cs="Arial"/>
              </w:rPr>
              <w:t>8.3</w:t>
            </w:r>
          </w:p>
        </w:tc>
        <w:tc>
          <w:tcPr>
            <w:tcW w:w="8647" w:type="dxa"/>
          </w:tcPr>
          <w:p w:rsidR="00066624" w:rsidRPr="00066624" w:rsidRDefault="00066624" w:rsidP="00066624">
            <w:pPr>
              <w:jc w:val="both"/>
              <w:rPr>
                <w:rFonts w:ascii="Arial" w:eastAsia="Calibri" w:hAnsi="Arial" w:cs="Arial"/>
                <w:szCs w:val="24"/>
                <w:lang w:eastAsia="en-US"/>
              </w:rPr>
            </w:pPr>
            <w:r w:rsidRPr="00066624">
              <w:rPr>
                <w:rFonts w:ascii="Arial" w:eastAsia="Calibri" w:hAnsi="Arial" w:cs="Arial"/>
                <w:szCs w:val="24"/>
                <w:lang w:eastAsia="en-US"/>
              </w:rPr>
              <w:t xml:space="preserve">Resource Implications – there are no new resource implications associated with the recommendations of this report. </w:t>
            </w:r>
          </w:p>
          <w:p w:rsidR="00066624" w:rsidRDefault="00066624" w:rsidP="00F60F83">
            <w:pPr>
              <w:autoSpaceDE w:val="0"/>
              <w:autoSpaceDN w:val="0"/>
              <w:adjustRightInd w:val="0"/>
              <w:jc w:val="both"/>
              <w:rPr>
                <w:rFonts w:ascii="Arial" w:hAnsi="Arial" w:cs="Arial"/>
                <w:b/>
              </w:rPr>
            </w:pPr>
          </w:p>
          <w:p w:rsidR="00066624" w:rsidRPr="00066624" w:rsidRDefault="00066624" w:rsidP="00066624">
            <w:pPr>
              <w:jc w:val="both"/>
              <w:rPr>
                <w:rFonts w:ascii="Arial" w:eastAsia="Calibri" w:hAnsi="Arial" w:cs="Arial"/>
                <w:szCs w:val="24"/>
                <w:lang w:eastAsia="en-US"/>
              </w:rPr>
            </w:pPr>
            <w:r w:rsidRPr="00066624">
              <w:rPr>
                <w:rFonts w:ascii="Arial" w:eastAsia="Calibri" w:hAnsi="Arial" w:cs="Arial"/>
                <w:szCs w:val="24"/>
                <w:lang w:eastAsia="en-US"/>
              </w:rPr>
              <w:t>Legal Implications – there are no new legal implications associated with the recommendations of this report.</w:t>
            </w:r>
          </w:p>
          <w:p w:rsidR="00066624" w:rsidRDefault="00066624" w:rsidP="00F60F83">
            <w:pPr>
              <w:autoSpaceDE w:val="0"/>
              <w:autoSpaceDN w:val="0"/>
              <w:adjustRightInd w:val="0"/>
              <w:jc w:val="both"/>
              <w:rPr>
                <w:rFonts w:ascii="Arial" w:hAnsi="Arial" w:cs="Arial"/>
                <w:b/>
              </w:rPr>
            </w:pPr>
          </w:p>
          <w:p w:rsidR="00066624" w:rsidRDefault="00066624" w:rsidP="00F60F83">
            <w:pPr>
              <w:autoSpaceDE w:val="0"/>
              <w:autoSpaceDN w:val="0"/>
              <w:adjustRightInd w:val="0"/>
              <w:jc w:val="both"/>
              <w:rPr>
                <w:rFonts w:ascii="Arial" w:hAnsi="Arial" w:cs="Arial"/>
                <w:szCs w:val="24"/>
              </w:rPr>
            </w:pPr>
            <w:r w:rsidRPr="00266AC3">
              <w:rPr>
                <w:rFonts w:ascii="Arial" w:hAnsi="Arial" w:cs="Arial"/>
                <w:szCs w:val="24"/>
              </w:rPr>
              <w:t xml:space="preserve">Risk Implications </w:t>
            </w:r>
            <w:r>
              <w:rPr>
                <w:rFonts w:ascii="Arial" w:hAnsi="Arial" w:cs="Arial"/>
                <w:szCs w:val="24"/>
              </w:rPr>
              <w:t>–</w:t>
            </w:r>
            <w:r w:rsidRPr="00266AC3">
              <w:rPr>
                <w:rFonts w:ascii="Arial" w:hAnsi="Arial" w:cs="Arial"/>
                <w:szCs w:val="24"/>
              </w:rPr>
              <w:t xml:space="preserve"> </w:t>
            </w:r>
            <w:r w:rsidRPr="009E2AFE">
              <w:rPr>
                <w:rFonts w:ascii="Arial" w:hAnsi="Arial" w:cs="Arial"/>
                <w:szCs w:val="24"/>
              </w:rPr>
              <w:t>the year end position remains a best estimate subject to Audit.</w:t>
            </w:r>
            <w:r>
              <w:rPr>
                <w:rFonts w:ascii="Arial" w:hAnsi="Arial" w:cs="Arial"/>
                <w:szCs w:val="24"/>
              </w:rPr>
              <w:t xml:space="preserve">  </w:t>
            </w:r>
          </w:p>
          <w:p w:rsidR="00066624" w:rsidRDefault="00066624" w:rsidP="00F60F83">
            <w:pPr>
              <w:autoSpaceDE w:val="0"/>
              <w:autoSpaceDN w:val="0"/>
              <w:adjustRightInd w:val="0"/>
              <w:jc w:val="both"/>
              <w:rPr>
                <w:rFonts w:ascii="Arial" w:hAnsi="Arial" w:cs="Arial"/>
                <w:b/>
              </w:rPr>
            </w:pPr>
          </w:p>
        </w:tc>
      </w:tr>
      <w:tr w:rsidR="00037F60" w:rsidRPr="0089449E" w:rsidTr="00BA5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037F60" w:rsidRPr="0089449E" w:rsidRDefault="00037F60" w:rsidP="00BA5464">
            <w:pPr>
              <w:pStyle w:val="Heading2"/>
              <w:jc w:val="both"/>
              <w:rPr>
                <w:rFonts w:ascii="Arial" w:hAnsi="Arial" w:cs="Arial"/>
                <w:b/>
                <w:szCs w:val="24"/>
                <w:u w:val="none"/>
              </w:rPr>
            </w:pPr>
            <w:r>
              <w:rPr>
                <w:rFonts w:ascii="Arial" w:hAnsi="Arial" w:cs="Arial"/>
                <w:b/>
                <w:szCs w:val="24"/>
                <w:u w:val="none"/>
              </w:rPr>
              <w:t>Recommendations</w:t>
            </w:r>
          </w:p>
          <w:p w:rsidR="00037F60" w:rsidRDefault="00037F60" w:rsidP="00876702">
            <w:pPr>
              <w:jc w:val="both"/>
              <w:rPr>
                <w:rFonts w:ascii="Arial" w:hAnsi="Arial" w:cs="Arial"/>
                <w:szCs w:val="24"/>
              </w:rPr>
            </w:pPr>
          </w:p>
          <w:p w:rsidR="00084CE4" w:rsidRDefault="00084CE4" w:rsidP="00084CE4">
            <w:pPr>
              <w:jc w:val="both"/>
              <w:rPr>
                <w:rFonts w:ascii="Arial" w:hAnsi="Arial" w:cs="Arial"/>
              </w:rPr>
            </w:pPr>
            <w:r>
              <w:rPr>
                <w:rFonts w:ascii="Arial" w:hAnsi="Arial" w:cs="Arial"/>
              </w:rPr>
              <w:t>It is recommended that Directors note:</w:t>
            </w:r>
          </w:p>
          <w:p w:rsidR="00084CE4" w:rsidRDefault="00084CE4" w:rsidP="00084CE4">
            <w:pPr>
              <w:jc w:val="both"/>
              <w:rPr>
                <w:rFonts w:ascii="Arial" w:hAnsi="Arial" w:cs="Arial"/>
              </w:rPr>
            </w:pPr>
          </w:p>
          <w:p w:rsidR="00084CE4" w:rsidRPr="00226A24" w:rsidRDefault="00084CE4" w:rsidP="00084CE4">
            <w:pPr>
              <w:pStyle w:val="ListParagraph"/>
              <w:numPr>
                <w:ilvl w:val="0"/>
                <w:numId w:val="31"/>
              </w:numPr>
              <w:ind w:left="567" w:hanging="283"/>
              <w:jc w:val="both"/>
              <w:rPr>
                <w:rFonts w:ascii="Arial" w:hAnsi="Arial" w:cs="Arial"/>
                <w:sz w:val="24"/>
                <w:szCs w:val="24"/>
              </w:rPr>
            </w:pPr>
            <w:r w:rsidRPr="00226A24">
              <w:rPr>
                <w:rFonts w:ascii="Arial" w:hAnsi="Arial" w:cs="Arial"/>
                <w:sz w:val="24"/>
                <w:szCs w:val="24"/>
              </w:rPr>
              <w:t xml:space="preserve">the current financial position of High Life Highland as detailed in </w:t>
            </w:r>
            <w:r w:rsidRPr="00226A24">
              <w:rPr>
                <w:rFonts w:ascii="Arial" w:hAnsi="Arial" w:cs="Arial"/>
                <w:b/>
                <w:sz w:val="24"/>
                <w:szCs w:val="24"/>
              </w:rPr>
              <w:t>Appendix A;</w:t>
            </w:r>
          </w:p>
          <w:p w:rsidR="00084CE4" w:rsidRPr="00226A24" w:rsidRDefault="00084CE4" w:rsidP="00084CE4">
            <w:pPr>
              <w:pStyle w:val="ListParagraph"/>
              <w:numPr>
                <w:ilvl w:val="0"/>
                <w:numId w:val="31"/>
              </w:numPr>
              <w:ind w:left="567" w:hanging="283"/>
              <w:jc w:val="both"/>
              <w:rPr>
                <w:rFonts w:ascii="Arial" w:hAnsi="Arial" w:cs="Arial"/>
                <w:sz w:val="24"/>
                <w:szCs w:val="24"/>
              </w:rPr>
            </w:pPr>
            <w:r w:rsidRPr="00226A24">
              <w:rPr>
                <w:rFonts w:ascii="Arial" w:hAnsi="Arial" w:cs="Arial"/>
                <w:sz w:val="24"/>
                <w:szCs w:val="24"/>
              </w:rPr>
              <w:t xml:space="preserve">the financial results for the </w:t>
            </w:r>
            <w:r>
              <w:rPr>
                <w:rFonts w:ascii="Arial" w:hAnsi="Arial" w:cs="Arial"/>
                <w:sz w:val="24"/>
                <w:szCs w:val="24"/>
              </w:rPr>
              <w:t>10</w:t>
            </w:r>
            <w:r w:rsidRPr="00226A24">
              <w:rPr>
                <w:rFonts w:ascii="Arial" w:hAnsi="Arial" w:cs="Arial"/>
                <w:sz w:val="24"/>
                <w:szCs w:val="24"/>
              </w:rPr>
              <w:t xml:space="preserve"> months to </w:t>
            </w:r>
            <w:r>
              <w:rPr>
                <w:rFonts w:ascii="Arial" w:hAnsi="Arial" w:cs="Arial"/>
                <w:sz w:val="24"/>
                <w:szCs w:val="24"/>
              </w:rPr>
              <w:t>January 2018</w:t>
            </w:r>
            <w:r w:rsidRPr="00226A24">
              <w:rPr>
                <w:rFonts w:ascii="Arial" w:hAnsi="Arial" w:cs="Arial"/>
                <w:sz w:val="24"/>
                <w:szCs w:val="24"/>
              </w:rPr>
              <w:t xml:space="preserve"> report a surplus of £</w:t>
            </w:r>
            <w:r>
              <w:rPr>
                <w:rFonts w:ascii="Arial" w:hAnsi="Arial" w:cs="Arial"/>
                <w:sz w:val="24"/>
                <w:szCs w:val="24"/>
              </w:rPr>
              <w:t>88,854</w:t>
            </w:r>
            <w:r w:rsidRPr="00226A24">
              <w:rPr>
                <w:rFonts w:ascii="Arial" w:hAnsi="Arial" w:cs="Arial"/>
                <w:sz w:val="24"/>
                <w:szCs w:val="24"/>
              </w:rPr>
              <w:t>;</w:t>
            </w:r>
          </w:p>
          <w:p w:rsidR="00084CE4" w:rsidRPr="00494A2F" w:rsidRDefault="00084CE4" w:rsidP="00084CE4">
            <w:pPr>
              <w:pStyle w:val="ListParagraph"/>
              <w:numPr>
                <w:ilvl w:val="0"/>
                <w:numId w:val="31"/>
              </w:numPr>
              <w:ind w:left="567" w:hanging="283"/>
              <w:jc w:val="both"/>
              <w:rPr>
                <w:rFonts w:ascii="Arial" w:hAnsi="Arial" w:cs="Arial"/>
                <w:szCs w:val="24"/>
              </w:rPr>
            </w:pPr>
            <w:r w:rsidRPr="00226A24">
              <w:rPr>
                <w:rFonts w:ascii="Arial" w:hAnsi="Arial" w:cs="Arial"/>
                <w:sz w:val="24"/>
                <w:szCs w:val="24"/>
              </w:rPr>
              <w:t xml:space="preserve">the projected final out-turn for the year </w:t>
            </w:r>
            <w:r>
              <w:rPr>
                <w:rFonts w:ascii="Arial" w:hAnsi="Arial" w:cs="Arial"/>
                <w:sz w:val="24"/>
                <w:szCs w:val="24"/>
              </w:rPr>
              <w:t xml:space="preserve">is a surplus to budget of </w:t>
            </w:r>
            <w:r w:rsidRPr="00226A24">
              <w:rPr>
                <w:rFonts w:ascii="Arial" w:hAnsi="Arial" w:cs="Arial"/>
                <w:sz w:val="24"/>
                <w:szCs w:val="24"/>
              </w:rPr>
              <w:t>£</w:t>
            </w:r>
            <w:r>
              <w:rPr>
                <w:rFonts w:ascii="Arial" w:hAnsi="Arial" w:cs="Arial"/>
                <w:sz w:val="24"/>
                <w:szCs w:val="24"/>
              </w:rPr>
              <w:t>129</w:t>
            </w:r>
            <w:r w:rsidRPr="00226A24">
              <w:rPr>
                <w:rFonts w:ascii="Arial" w:hAnsi="Arial" w:cs="Arial"/>
                <w:sz w:val="24"/>
                <w:szCs w:val="24"/>
              </w:rPr>
              <w:t xml:space="preserve">K; </w:t>
            </w:r>
          </w:p>
          <w:p w:rsidR="00084CE4" w:rsidRDefault="00084CE4" w:rsidP="00084CE4">
            <w:pPr>
              <w:pStyle w:val="ListParagraph"/>
              <w:numPr>
                <w:ilvl w:val="0"/>
                <w:numId w:val="31"/>
              </w:numPr>
              <w:ind w:left="567" w:hanging="283"/>
              <w:jc w:val="both"/>
              <w:rPr>
                <w:rFonts w:ascii="Arial" w:hAnsi="Arial" w:cs="Arial"/>
                <w:sz w:val="24"/>
                <w:szCs w:val="24"/>
              </w:rPr>
            </w:pPr>
            <w:r>
              <w:rPr>
                <w:rFonts w:ascii="Arial" w:hAnsi="Arial" w:cs="Arial"/>
                <w:sz w:val="24"/>
                <w:szCs w:val="24"/>
              </w:rPr>
              <w:t>one non substantial breach in internal controls during calendar year 2017/18;</w:t>
            </w:r>
          </w:p>
          <w:p w:rsidR="00084CE4" w:rsidRDefault="00084CE4" w:rsidP="00084CE4">
            <w:pPr>
              <w:pStyle w:val="ListParagraph"/>
              <w:numPr>
                <w:ilvl w:val="0"/>
                <w:numId w:val="31"/>
              </w:numPr>
              <w:ind w:left="567" w:hanging="283"/>
              <w:jc w:val="both"/>
              <w:rPr>
                <w:rFonts w:ascii="Arial" w:hAnsi="Arial" w:cs="Arial"/>
                <w:sz w:val="24"/>
                <w:szCs w:val="24"/>
              </w:rPr>
            </w:pPr>
            <w:r>
              <w:rPr>
                <w:rFonts w:ascii="Arial" w:hAnsi="Arial" w:cs="Arial"/>
                <w:sz w:val="24"/>
                <w:szCs w:val="24"/>
              </w:rPr>
              <w:t xml:space="preserve">the update on the Internal Audi – HR Recruitment; </w:t>
            </w:r>
          </w:p>
          <w:p w:rsidR="00084CE4" w:rsidRDefault="00084CE4" w:rsidP="00084CE4">
            <w:pPr>
              <w:pStyle w:val="ListParagraph"/>
              <w:numPr>
                <w:ilvl w:val="0"/>
                <w:numId w:val="31"/>
              </w:numPr>
              <w:ind w:left="567" w:hanging="283"/>
              <w:jc w:val="both"/>
              <w:rPr>
                <w:rFonts w:ascii="Arial" w:hAnsi="Arial" w:cs="Arial"/>
                <w:sz w:val="24"/>
                <w:szCs w:val="24"/>
              </w:rPr>
            </w:pPr>
            <w:r>
              <w:rPr>
                <w:rFonts w:ascii="Arial" w:hAnsi="Arial" w:cs="Arial"/>
                <w:sz w:val="24"/>
                <w:szCs w:val="24"/>
              </w:rPr>
              <w:t>the recent change to th</w:t>
            </w:r>
            <w:r w:rsidR="00A9356A">
              <w:rPr>
                <w:rFonts w:ascii="Arial" w:hAnsi="Arial" w:cs="Arial"/>
                <w:sz w:val="24"/>
                <w:szCs w:val="24"/>
              </w:rPr>
              <w:t>e European OJEU threshold level; and</w:t>
            </w:r>
          </w:p>
          <w:p w:rsidR="00A9356A" w:rsidRDefault="00A9356A" w:rsidP="00084CE4">
            <w:pPr>
              <w:pStyle w:val="ListParagraph"/>
              <w:numPr>
                <w:ilvl w:val="0"/>
                <w:numId w:val="31"/>
              </w:numPr>
              <w:ind w:left="567" w:hanging="283"/>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award of contracts as detailed in </w:t>
            </w:r>
            <w:r w:rsidRPr="00A9356A">
              <w:rPr>
                <w:rFonts w:ascii="Arial" w:hAnsi="Arial" w:cs="Arial"/>
                <w:b/>
                <w:sz w:val="24"/>
                <w:szCs w:val="24"/>
              </w:rPr>
              <w:t>paragraph 6.3</w:t>
            </w:r>
            <w:r>
              <w:rPr>
                <w:rFonts w:ascii="Arial" w:hAnsi="Arial" w:cs="Arial"/>
                <w:sz w:val="24"/>
                <w:szCs w:val="24"/>
              </w:rPr>
              <w:t>.</w:t>
            </w:r>
          </w:p>
          <w:p w:rsidR="00876702" w:rsidRPr="0020008D" w:rsidRDefault="00876702" w:rsidP="0020008D">
            <w:pPr>
              <w:jc w:val="both"/>
              <w:rPr>
                <w:rFonts w:ascii="Arial" w:hAnsi="Arial" w:cs="Arial"/>
                <w:szCs w:val="24"/>
              </w:rPr>
            </w:pPr>
          </w:p>
        </w:tc>
      </w:tr>
    </w:tbl>
    <w:p w:rsidR="0039450A" w:rsidRPr="009B0904" w:rsidRDefault="0039450A" w:rsidP="00532972">
      <w:pPr>
        <w:tabs>
          <w:tab w:val="left" w:pos="1701"/>
        </w:tabs>
        <w:rPr>
          <w:rFonts w:ascii="Arial" w:hAnsi="Arial" w:cs="Arial"/>
          <w:szCs w:val="24"/>
        </w:rPr>
      </w:pPr>
      <w:bookmarkStart w:id="0" w:name="_GoBack"/>
      <w:bookmarkEnd w:id="0"/>
    </w:p>
    <w:p w:rsidR="0039450A" w:rsidRPr="009B0904" w:rsidRDefault="0039450A" w:rsidP="00532972">
      <w:pPr>
        <w:tabs>
          <w:tab w:val="left" w:pos="1701"/>
        </w:tabs>
        <w:rPr>
          <w:rFonts w:ascii="Arial" w:hAnsi="Arial" w:cs="Arial"/>
          <w:szCs w:val="24"/>
        </w:rPr>
      </w:pPr>
      <w:r w:rsidRPr="009B0904">
        <w:rPr>
          <w:rFonts w:ascii="Arial" w:hAnsi="Arial" w:cs="Arial"/>
          <w:szCs w:val="24"/>
        </w:rPr>
        <w:t>Designation:</w:t>
      </w:r>
      <w:r w:rsidR="0067538A" w:rsidRPr="009B0904">
        <w:rPr>
          <w:rFonts w:ascii="Arial" w:hAnsi="Arial" w:cs="Arial"/>
          <w:szCs w:val="24"/>
        </w:rPr>
        <w:tab/>
        <w:t>Chief Executive</w:t>
      </w:r>
    </w:p>
    <w:p w:rsidR="0039450A" w:rsidRPr="009B0904" w:rsidRDefault="0039450A" w:rsidP="00532972">
      <w:pPr>
        <w:tabs>
          <w:tab w:val="left" w:pos="1701"/>
        </w:tabs>
        <w:rPr>
          <w:rFonts w:ascii="Arial" w:hAnsi="Arial" w:cs="Arial"/>
          <w:szCs w:val="24"/>
        </w:rPr>
      </w:pPr>
    </w:p>
    <w:p w:rsidR="00655F80" w:rsidRPr="009B0904" w:rsidRDefault="00532972" w:rsidP="00532972">
      <w:pPr>
        <w:tabs>
          <w:tab w:val="left" w:pos="1701"/>
        </w:tabs>
        <w:rPr>
          <w:rFonts w:ascii="Arial" w:hAnsi="Arial" w:cs="Arial"/>
          <w:szCs w:val="24"/>
        </w:rPr>
      </w:pPr>
      <w:r>
        <w:rPr>
          <w:rFonts w:ascii="Arial" w:hAnsi="Arial" w:cs="Arial"/>
          <w:szCs w:val="24"/>
        </w:rPr>
        <w:t>Date:</w:t>
      </w:r>
      <w:r>
        <w:rPr>
          <w:rFonts w:ascii="Arial" w:hAnsi="Arial" w:cs="Arial"/>
          <w:szCs w:val="24"/>
        </w:rPr>
        <w:tab/>
      </w:r>
      <w:r w:rsidR="00104C06">
        <w:rPr>
          <w:rFonts w:ascii="Arial" w:hAnsi="Arial" w:cs="Arial"/>
          <w:szCs w:val="24"/>
        </w:rPr>
        <w:t>8</w:t>
      </w:r>
      <w:r w:rsidR="005210B8">
        <w:rPr>
          <w:rFonts w:ascii="Arial" w:hAnsi="Arial" w:cs="Arial"/>
          <w:szCs w:val="24"/>
        </w:rPr>
        <w:t xml:space="preserve"> March 2018</w:t>
      </w:r>
    </w:p>
    <w:p w:rsidR="003E6B08" w:rsidRDefault="003E6B08">
      <w:pPr>
        <w:rPr>
          <w:rFonts w:ascii="Arial" w:hAnsi="Arial" w:cs="Arial"/>
          <w:szCs w:val="24"/>
        </w:rPr>
      </w:pPr>
    </w:p>
    <w:p w:rsidR="00532972" w:rsidRDefault="00532972">
      <w:pPr>
        <w:rPr>
          <w:rFonts w:ascii="Arial" w:hAnsi="Arial" w:cs="Arial"/>
          <w:szCs w:val="24"/>
        </w:rPr>
        <w:sectPr w:rsidR="00532972" w:rsidSect="000A1C55">
          <w:pgSz w:w="11906" w:h="16838"/>
          <w:pgMar w:top="851" w:right="1440" w:bottom="993" w:left="1440" w:header="720" w:footer="720" w:gutter="0"/>
          <w:cols w:space="720"/>
        </w:sectPr>
      </w:pPr>
    </w:p>
    <w:p w:rsidR="00290EB5" w:rsidRDefault="00290EB5" w:rsidP="00290EB5">
      <w:pPr>
        <w:rPr>
          <w:rFonts w:ascii="Arial" w:hAnsi="Arial" w:cs="Arial"/>
          <w:szCs w:val="24"/>
        </w:rPr>
      </w:pPr>
    </w:p>
    <w:p w:rsidR="00B50281" w:rsidRPr="00B50281" w:rsidRDefault="00B50281" w:rsidP="00B50281">
      <w:pPr>
        <w:spacing w:after="200" w:line="276" w:lineRule="auto"/>
        <w:rPr>
          <w:rFonts w:ascii="Arial" w:eastAsia="Calibri" w:hAnsi="Arial" w:cs="Arial"/>
          <w:b/>
          <w:szCs w:val="24"/>
          <w:lang w:eastAsia="en-US"/>
        </w:rPr>
      </w:pPr>
      <w:r w:rsidRPr="00B50281">
        <w:rPr>
          <w:rFonts w:ascii="Arial" w:eastAsia="Calibri" w:hAnsi="Arial" w:cs="Arial"/>
          <w:b/>
          <w:sz w:val="28"/>
          <w:szCs w:val="28"/>
          <w:lang w:eastAsia="en-US"/>
        </w:rPr>
        <w:t>Consolidated</w:t>
      </w:r>
      <w:r w:rsidRPr="00B50281">
        <w:rPr>
          <w:rFonts w:ascii="Arial" w:eastAsia="Calibri" w:hAnsi="Arial" w:cs="Arial"/>
          <w:sz w:val="28"/>
          <w:szCs w:val="28"/>
          <w:lang w:eastAsia="en-US"/>
        </w:rPr>
        <w:t xml:space="preserve"> </w:t>
      </w:r>
      <w:r w:rsidRPr="00B50281">
        <w:rPr>
          <w:rFonts w:ascii="Arial" w:eastAsia="Calibri" w:hAnsi="Arial" w:cs="Arial"/>
          <w:sz w:val="28"/>
          <w:szCs w:val="28"/>
          <w:lang w:eastAsia="en-US"/>
        </w:rPr>
        <w:tab/>
      </w:r>
      <w:r w:rsidRPr="00B50281">
        <w:rPr>
          <w:rFonts w:ascii="Arial" w:eastAsia="Calibri" w:hAnsi="Arial" w:cs="Arial"/>
          <w:b/>
          <w:sz w:val="28"/>
          <w:szCs w:val="28"/>
          <w:lang w:eastAsia="en-US"/>
        </w:rPr>
        <w:t>2017/18: April 2017 – January 2018</w:t>
      </w:r>
      <w:r w:rsidRPr="00B50281">
        <w:rPr>
          <w:rFonts w:ascii="Arial" w:eastAsia="Calibri" w:hAnsi="Arial" w:cs="Arial"/>
          <w:szCs w:val="24"/>
          <w:lang w:eastAsia="en-US"/>
        </w:rPr>
        <w:tab/>
      </w:r>
      <w:r w:rsidRPr="00B50281">
        <w:rPr>
          <w:rFonts w:ascii="Arial" w:eastAsia="Calibri" w:hAnsi="Arial" w:cs="Arial"/>
          <w:szCs w:val="24"/>
          <w:lang w:eastAsia="en-US"/>
        </w:rPr>
        <w:tab/>
      </w:r>
      <w:r w:rsidRPr="00B50281">
        <w:rPr>
          <w:rFonts w:ascii="Arial" w:eastAsia="Calibri" w:hAnsi="Arial" w:cs="Arial"/>
          <w:szCs w:val="24"/>
          <w:lang w:eastAsia="en-US"/>
        </w:rPr>
        <w:tab/>
        <w:t xml:space="preserve">                                    </w:t>
      </w:r>
      <w:r w:rsidRPr="00B50281">
        <w:rPr>
          <w:rFonts w:ascii="Arial" w:eastAsia="Calibri" w:hAnsi="Arial" w:cs="Arial"/>
          <w:b/>
          <w:sz w:val="28"/>
          <w:szCs w:val="28"/>
          <w:lang w:eastAsia="en-US"/>
        </w:rPr>
        <w:t>APPENDIX A</w:t>
      </w:r>
      <w:r w:rsidRPr="00B50281">
        <w:rPr>
          <w:rFonts w:ascii="Arial" w:eastAsia="Calibri" w:hAnsi="Arial" w:cs="Arial"/>
          <w:szCs w:val="24"/>
          <w:lang w:eastAsia="en-US"/>
        </w:rPr>
        <w:tab/>
      </w:r>
      <w:r w:rsidRPr="00B50281">
        <w:rPr>
          <w:rFonts w:ascii="Arial" w:eastAsia="Calibri" w:hAnsi="Arial" w:cs="Arial"/>
          <w:b/>
          <w:szCs w:val="24"/>
          <w:lang w:eastAsia="en-US"/>
        </w:rPr>
        <w:t xml:space="preserve"> </w:t>
      </w:r>
    </w:p>
    <w:p w:rsidR="00B50281" w:rsidRPr="00B50281" w:rsidRDefault="00B50281" w:rsidP="00B50281">
      <w:pPr>
        <w:spacing w:after="200" w:line="276" w:lineRule="auto"/>
        <w:rPr>
          <w:rFonts w:ascii="Arial" w:eastAsia="Calibri" w:hAnsi="Arial" w:cs="Arial"/>
          <w:b/>
          <w:szCs w:val="24"/>
          <w:lang w:eastAsia="en-US"/>
        </w:rPr>
      </w:pPr>
    </w:p>
    <w:p w:rsidR="00A9356A" w:rsidRPr="00A9356A" w:rsidRDefault="00B50281" w:rsidP="00B50281">
      <w:pPr>
        <w:spacing w:after="200" w:line="276" w:lineRule="auto"/>
        <w:rPr>
          <w:rFonts w:ascii="Calibri" w:eastAsia="Calibri" w:hAnsi="Calibri"/>
          <w:szCs w:val="24"/>
        </w:rPr>
      </w:pPr>
      <w:r w:rsidRPr="00B50281">
        <w:rPr>
          <w:rFonts w:eastAsia="Calibri"/>
          <w:lang w:eastAsia="en-US"/>
        </w:rPr>
        <w:fldChar w:fldCharType="begin"/>
      </w:r>
      <w:r w:rsidRPr="00B50281">
        <w:rPr>
          <w:rFonts w:eastAsia="Calibri"/>
          <w:lang w:eastAsia="en-US"/>
        </w:rPr>
        <w:instrText xml:space="preserve"> LINK </w:instrText>
      </w:r>
      <w:r w:rsidR="00490B16">
        <w:rPr>
          <w:rFonts w:eastAsia="Calibri"/>
          <w:lang w:eastAsia="en-US"/>
        </w:rPr>
        <w:instrText xml:space="preserve">Excel.SheetMacroEnabled.12 "\\\\ntfileserv2\\finance\\Monitoring\\17-18\\06 - Sep\\MASTER 06 Monitoring (Sep-17) FINAL updated 251017.xlsm" Sheet2!R11C3:R16C7 </w:instrText>
      </w:r>
      <w:r w:rsidRPr="00B50281">
        <w:rPr>
          <w:rFonts w:eastAsia="Calibri"/>
          <w:lang w:eastAsia="en-US"/>
        </w:rPr>
        <w:instrText xml:space="preserve">\a \f 4 \h  \* MERGEFORMAT </w:instrText>
      </w:r>
      <w:r w:rsidRPr="00B50281">
        <w:rPr>
          <w:rFonts w:eastAsia="Calibri"/>
          <w:lang w:eastAsia="en-US"/>
        </w:rPr>
        <w:fldChar w:fldCharType="separate"/>
      </w:r>
    </w:p>
    <w:tbl>
      <w:tblPr>
        <w:tblW w:w="10452" w:type="dxa"/>
        <w:tblInd w:w="108" w:type="dxa"/>
        <w:tblLook w:val="04A0" w:firstRow="1" w:lastRow="0" w:firstColumn="1" w:lastColumn="0" w:noHBand="0" w:noVBand="1"/>
      </w:tblPr>
      <w:tblGrid>
        <w:gridCol w:w="2863"/>
        <w:gridCol w:w="1991"/>
        <w:gridCol w:w="1876"/>
        <w:gridCol w:w="1916"/>
        <w:gridCol w:w="1806"/>
      </w:tblGrid>
      <w:tr w:rsidR="00A9356A" w:rsidRPr="00A9356A" w:rsidTr="00A9356A">
        <w:trPr>
          <w:trHeight w:val="252"/>
        </w:trPr>
        <w:tc>
          <w:tcPr>
            <w:tcW w:w="2863" w:type="dxa"/>
            <w:tcBorders>
              <w:top w:val="nil"/>
              <w:left w:val="nil"/>
              <w:bottom w:val="nil"/>
              <w:right w:val="nil"/>
            </w:tcBorders>
            <w:shd w:val="clear" w:color="auto" w:fill="auto"/>
            <w:noWrap/>
            <w:vAlign w:val="bottom"/>
            <w:hideMark/>
          </w:tcPr>
          <w:p w:rsidR="00A9356A" w:rsidRPr="00A9356A" w:rsidRDefault="00A9356A" w:rsidP="00A9356A">
            <w:pPr>
              <w:rPr>
                <w:rFonts w:ascii="Verdana" w:hAnsi="Verdana"/>
                <w:color w:val="000000"/>
                <w:sz w:val="20"/>
              </w:rPr>
            </w:pPr>
          </w:p>
        </w:tc>
        <w:tc>
          <w:tcPr>
            <w:tcW w:w="1991" w:type="dxa"/>
            <w:tcBorders>
              <w:top w:val="nil"/>
              <w:left w:val="nil"/>
              <w:bottom w:val="nil"/>
              <w:right w:val="nil"/>
            </w:tcBorders>
            <w:shd w:val="clear" w:color="auto" w:fill="auto"/>
            <w:noWrap/>
            <w:vAlign w:val="bottom"/>
            <w:hideMark/>
          </w:tcPr>
          <w:p w:rsidR="00A9356A" w:rsidRPr="00A9356A" w:rsidRDefault="00A9356A" w:rsidP="00A9356A">
            <w:pPr>
              <w:rPr>
                <w:rFonts w:ascii="Verdana" w:hAnsi="Verdana"/>
                <w:color w:val="000000"/>
                <w:sz w:val="20"/>
              </w:rPr>
            </w:pPr>
          </w:p>
        </w:tc>
        <w:tc>
          <w:tcPr>
            <w:tcW w:w="1876" w:type="dxa"/>
            <w:tcBorders>
              <w:top w:val="nil"/>
              <w:left w:val="nil"/>
              <w:bottom w:val="nil"/>
              <w:right w:val="nil"/>
            </w:tcBorders>
            <w:shd w:val="clear" w:color="auto" w:fill="auto"/>
            <w:noWrap/>
            <w:vAlign w:val="bottom"/>
            <w:hideMark/>
          </w:tcPr>
          <w:p w:rsidR="00A9356A" w:rsidRPr="00A9356A" w:rsidRDefault="00A9356A" w:rsidP="00A9356A">
            <w:pPr>
              <w:rPr>
                <w:rFonts w:ascii="Verdana" w:hAnsi="Verdana"/>
                <w:color w:val="000000"/>
                <w:sz w:val="20"/>
              </w:rPr>
            </w:pPr>
          </w:p>
        </w:tc>
        <w:tc>
          <w:tcPr>
            <w:tcW w:w="1916" w:type="dxa"/>
            <w:tcBorders>
              <w:top w:val="nil"/>
              <w:left w:val="nil"/>
              <w:bottom w:val="nil"/>
              <w:right w:val="nil"/>
            </w:tcBorders>
            <w:shd w:val="clear" w:color="auto" w:fill="auto"/>
            <w:noWrap/>
            <w:vAlign w:val="bottom"/>
            <w:hideMark/>
          </w:tcPr>
          <w:p w:rsidR="00A9356A" w:rsidRPr="00A9356A" w:rsidRDefault="00A9356A" w:rsidP="00A9356A">
            <w:pPr>
              <w:rPr>
                <w:rFonts w:ascii="Verdana" w:hAnsi="Verdana"/>
                <w:color w:val="000000"/>
                <w:sz w:val="20"/>
              </w:rPr>
            </w:pPr>
          </w:p>
        </w:tc>
        <w:tc>
          <w:tcPr>
            <w:tcW w:w="1806" w:type="dxa"/>
            <w:tcBorders>
              <w:top w:val="nil"/>
              <w:left w:val="nil"/>
              <w:bottom w:val="nil"/>
              <w:right w:val="nil"/>
            </w:tcBorders>
            <w:shd w:val="clear" w:color="auto" w:fill="auto"/>
            <w:noWrap/>
            <w:vAlign w:val="bottom"/>
            <w:hideMark/>
          </w:tcPr>
          <w:p w:rsidR="00A9356A" w:rsidRPr="00A9356A" w:rsidRDefault="00A9356A" w:rsidP="00A9356A">
            <w:pPr>
              <w:rPr>
                <w:rFonts w:ascii="Verdana" w:hAnsi="Verdana"/>
                <w:color w:val="000000"/>
                <w:sz w:val="20"/>
              </w:rPr>
            </w:pPr>
          </w:p>
        </w:tc>
      </w:tr>
    </w:tbl>
    <w:p w:rsidR="00B50281" w:rsidRPr="00B50281" w:rsidRDefault="00B50281" w:rsidP="00B50281">
      <w:pPr>
        <w:spacing w:after="200" w:line="276" w:lineRule="auto"/>
        <w:rPr>
          <w:rFonts w:ascii="Arial" w:eastAsia="Calibri" w:hAnsi="Arial" w:cs="Arial"/>
          <w:b/>
          <w:szCs w:val="24"/>
          <w:lang w:eastAsia="en-US"/>
        </w:rPr>
      </w:pPr>
      <w:r w:rsidRPr="00B50281">
        <w:rPr>
          <w:rFonts w:ascii="Arial" w:eastAsia="Calibri" w:hAnsi="Arial" w:cs="Arial"/>
          <w:b/>
          <w:szCs w:val="24"/>
          <w:lang w:eastAsia="en-US"/>
        </w:rPr>
        <w:fldChar w:fldCharType="end"/>
      </w:r>
      <w:r w:rsidRPr="00B50281">
        <w:rPr>
          <w:rFonts w:ascii="Arial" w:eastAsia="Calibri" w:hAnsi="Arial" w:cs="Arial"/>
          <w:b/>
          <w:szCs w:val="24"/>
          <w:lang w:eastAsia="en-US"/>
        </w:rPr>
        <w:t xml:space="preserve"> </w:t>
      </w:r>
      <w:r>
        <w:rPr>
          <w:rFonts w:ascii="Calibri" w:eastAsia="Calibri" w:hAnsi="Calibri"/>
          <w:noProof/>
          <w:sz w:val="22"/>
          <w:szCs w:val="22"/>
        </w:rPr>
        <w:drawing>
          <wp:inline distT="0" distB="0" distL="0" distR="0">
            <wp:extent cx="885825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0" cy="990600"/>
                    </a:xfrm>
                    <a:prstGeom prst="rect">
                      <a:avLst/>
                    </a:prstGeom>
                    <a:noFill/>
                    <a:ln>
                      <a:noFill/>
                    </a:ln>
                  </pic:spPr>
                </pic:pic>
              </a:graphicData>
            </a:graphic>
          </wp:inline>
        </w:drawing>
      </w:r>
    </w:p>
    <w:p w:rsidR="00B50281" w:rsidRPr="00B50281" w:rsidRDefault="00B50281" w:rsidP="00B50281">
      <w:pPr>
        <w:spacing w:after="200" w:line="276" w:lineRule="auto"/>
        <w:rPr>
          <w:rFonts w:ascii="Arial" w:eastAsia="Calibri" w:hAnsi="Arial" w:cs="Arial"/>
          <w:b/>
          <w:szCs w:val="24"/>
          <w:lang w:eastAsia="en-US"/>
        </w:rPr>
      </w:pPr>
    </w:p>
    <w:p w:rsidR="00B50281" w:rsidRPr="00B50281" w:rsidRDefault="00B50281" w:rsidP="00B50281">
      <w:pPr>
        <w:spacing w:after="200" w:line="276" w:lineRule="auto"/>
        <w:rPr>
          <w:rFonts w:ascii="Arial" w:eastAsia="Calibri" w:hAnsi="Arial" w:cs="Arial"/>
          <w:b/>
          <w:szCs w:val="24"/>
          <w:lang w:eastAsia="en-US"/>
        </w:rPr>
      </w:pPr>
    </w:p>
    <w:p w:rsidR="00B50281" w:rsidRPr="00B50281" w:rsidRDefault="00B50281" w:rsidP="00B50281">
      <w:pPr>
        <w:spacing w:after="200" w:line="276" w:lineRule="auto"/>
        <w:rPr>
          <w:rFonts w:ascii="Arial" w:eastAsia="Calibri" w:hAnsi="Arial" w:cs="Arial"/>
          <w:b/>
          <w:szCs w:val="24"/>
          <w:lang w:eastAsia="en-US"/>
        </w:rPr>
      </w:pPr>
    </w:p>
    <w:p w:rsidR="00B50281" w:rsidRPr="00B50281" w:rsidRDefault="00B50281" w:rsidP="00B50281">
      <w:pPr>
        <w:spacing w:after="200" w:line="276" w:lineRule="auto"/>
        <w:rPr>
          <w:rFonts w:ascii="Arial" w:eastAsia="Calibri" w:hAnsi="Arial" w:cs="Arial"/>
          <w:b/>
          <w:szCs w:val="24"/>
          <w:lang w:eastAsia="en-US"/>
        </w:rPr>
      </w:pPr>
    </w:p>
    <w:p w:rsidR="00B50281" w:rsidRPr="00B50281" w:rsidRDefault="00B50281" w:rsidP="00B50281">
      <w:pPr>
        <w:spacing w:after="200" w:line="276" w:lineRule="auto"/>
        <w:rPr>
          <w:rFonts w:ascii="Calibri" w:eastAsia="Calibri" w:hAnsi="Calibri"/>
          <w:b/>
          <w:sz w:val="22"/>
          <w:szCs w:val="22"/>
          <w:lang w:eastAsia="en-US"/>
        </w:rPr>
      </w:pPr>
    </w:p>
    <w:p w:rsidR="00B50281" w:rsidRPr="00B50281" w:rsidRDefault="00B50281" w:rsidP="00B50281">
      <w:pPr>
        <w:spacing w:after="200" w:line="276" w:lineRule="auto"/>
        <w:rPr>
          <w:rFonts w:ascii="Calibri" w:eastAsia="Calibri" w:hAnsi="Calibri"/>
          <w:b/>
          <w:sz w:val="22"/>
          <w:szCs w:val="22"/>
          <w:lang w:eastAsia="en-US"/>
        </w:rPr>
      </w:pPr>
    </w:p>
    <w:p w:rsidR="00B50281" w:rsidRPr="00B50281" w:rsidRDefault="00B50281" w:rsidP="00B50281">
      <w:pPr>
        <w:spacing w:after="200" w:line="276" w:lineRule="auto"/>
        <w:rPr>
          <w:rFonts w:ascii="Arial" w:eastAsia="Calibri" w:hAnsi="Arial" w:cs="Arial"/>
          <w:b/>
          <w:sz w:val="28"/>
          <w:szCs w:val="28"/>
          <w:lang w:eastAsia="en-US"/>
        </w:rPr>
      </w:pPr>
      <w:r w:rsidRPr="00B50281">
        <w:rPr>
          <w:rFonts w:ascii="Calibri" w:eastAsia="Calibri" w:hAnsi="Calibri"/>
          <w:b/>
          <w:sz w:val="22"/>
          <w:szCs w:val="22"/>
          <w:lang w:eastAsia="en-US"/>
        </w:rPr>
        <w:br w:type="page"/>
      </w:r>
      <w:r w:rsidRPr="00B50281">
        <w:rPr>
          <w:rFonts w:ascii="Arial" w:eastAsia="Calibri" w:hAnsi="Arial" w:cs="Arial"/>
          <w:b/>
          <w:sz w:val="22"/>
          <w:szCs w:val="22"/>
          <w:lang w:eastAsia="en-US"/>
        </w:rPr>
        <w:lastRenderedPageBreak/>
        <w:t xml:space="preserve">             </w:t>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r>
      <w:r w:rsidRPr="00B50281">
        <w:rPr>
          <w:rFonts w:ascii="Arial" w:eastAsia="Calibri" w:hAnsi="Arial" w:cs="Arial"/>
          <w:b/>
          <w:sz w:val="22"/>
          <w:szCs w:val="22"/>
          <w:lang w:eastAsia="en-US"/>
        </w:rPr>
        <w:tab/>
        <w:t xml:space="preserve"> </w:t>
      </w:r>
      <w:r w:rsidRPr="00B50281">
        <w:rPr>
          <w:rFonts w:ascii="Arial" w:eastAsia="Calibri" w:hAnsi="Arial" w:cs="Arial"/>
          <w:b/>
          <w:sz w:val="22"/>
          <w:szCs w:val="22"/>
          <w:lang w:eastAsia="en-US"/>
        </w:rPr>
        <w:tab/>
      </w:r>
      <w:r w:rsidRPr="00B50281">
        <w:rPr>
          <w:rFonts w:ascii="Arial" w:eastAsia="Calibri" w:hAnsi="Arial" w:cs="Arial"/>
          <w:b/>
          <w:sz w:val="28"/>
          <w:szCs w:val="28"/>
          <w:lang w:eastAsia="en-US"/>
        </w:rPr>
        <w:t>APPENDIX B</w:t>
      </w:r>
    </w:p>
    <w:p w:rsidR="00B50281" w:rsidRPr="00B50281" w:rsidRDefault="00B50281" w:rsidP="00B50281">
      <w:pPr>
        <w:spacing w:after="200" w:line="276" w:lineRule="auto"/>
        <w:rPr>
          <w:rFonts w:ascii="Arial" w:eastAsia="Calibri" w:hAnsi="Arial" w:cs="Arial"/>
          <w:b/>
          <w:sz w:val="28"/>
          <w:szCs w:val="28"/>
          <w:lang w:eastAsia="en-US"/>
        </w:rPr>
      </w:pPr>
      <w:r w:rsidRPr="00B50281">
        <w:rPr>
          <w:rFonts w:ascii="Arial" w:eastAsia="Calibri" w:hAnsi="Arial" w:cs="Arial"/>
          <w:b/>
          <w:sz w:val="22"/>
          <w:szCs w:val="22"/>
          <w:lang w:eastAsia="en-US"/>
        </w:rPr>
        <w:t xml:space="preserve">  </w:t>
      </w:r>
      <w:r w:rsidRPr="00B50281">
        <w:rPr>
          <w:rFonts w:ascii="Arial" w:eastAsia="Calibri" w:hAnsi="Arial" w:cs="Arial"/>
          <w:b/>
          <w:sz w:val="28"/>
          <w:szCs w:val="28"/>
          <w:lang w:eastAsia="en-US"/>
        </w:rPr>
        <w:t>Variance by Sector</w:t>
      </w:r>
    </w:p>
    <w:p w:rsidR="00A9356A" w:rsidRPr="00A9356A" w:rsidRDefault="00B50281" w:rsidP="00B50281">
      <w:pPr>
        <w:spacing w:after="200" w:line="276" w:lineRule="auto"/>
        <w:rPr>
          <w:rFonts w:ascii="Calibri" w:eastAsia="Calibri" w:hAnsi="Calibri"/>
          <w:sz w:val="28"/>
          <w:szCs w:val="28"/>
        </w:rPr>
      </w:pPr>
      <w:r>
        <w:rPr>
          <w:rFonts w:ascii="Calibri" w:eastAsia="Calibri" w:hAnsi="Calibri"/>
          <w:noProof/>
          <w:sz w:val="22"/>
          <w:szCs w:val="22"/>
        </w:rPr>
        <w:drawing>
          <wp:inline distT="0" distB="0" distL="0" distR="0">
            <wp:extent cx="8858250" cy="2257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0" cy="2257425"/>
                    </a:xfrm>
                    <a:prstGeom prst="rect">
                      <a:avLst/>
                    </a:prstGeom>
                    <a:noFill/>
                    <a:ln>
                      <a:noFill/>
                    </a:ln>
                  </pic:spPr>
                </pic:pic>
              </a:graphicData>
            </a:graphic>
          </wp:inline>
        </w:drawing>
      </w:r>
      <w:r w:rsidRPr="00B50281">
        <w:rPr>
          <w:rFonts w:ascii="Arial" w:eastAsia="Calibri" w:hAnsi="Arial" w:cs="Arial"/>
          <w:b/>
          <w:sz w:val="28"/>
          <w:szCs w:val="28"/>
          <w:lang w:eastAsia="en-US"/>
        </w:rPr>
        <w:fldChar w:fldCharType="begin"/>
      </w:r>
      <w:r w:rsidRPr="00B50281">
        <w:rPr>
          <w:rFonts w:ascii="Arial" w:eastAsia="Calibri" w:hAnsi="Arial" w:cs="Arial"/>
          <w:b/>
          <w:sz w:val="28"/>
          <w:szCs w:val="28"/>
          <w:lang w:eastAsia="en-US"/>
        </w:rPr>
        <w:instrText xml:space="preserve"> LINK </w:instrText>
      </w:r>
      <w:r w:rsidR="00490B16">
        <w:rPr>
          <w:rFonts w:ascii="Arial" w:eastAsia="Calibri" w:hAnsi="Arial" w:cs="Arial"/>
          <w:b/>
          <w:sz w:val="28"/>
          <w:szCs w:val="28"/>
          <w:lang w:eastAsia="en-US"/>
        </w:rPr>
        <w:instrText xml:space="preserve">Excel.SheetMacroEnabled.12 "\\\\ntfileserv2\\finance\\Monitoring\\17-18\\06 - Sep\\MASTER 06 Monitoring (Sep-17) FINAL updated 251017.xlsm" Sheet2!R39C3:R51C7 </w:instrText>
      </w:r>
      <w:r w:rsidRPr="00B50281">
        <w:rPr>
          <w:rFonts w:ascii="Arial" w:eastAsia="Calibri" w:hAnsi="Arial" w:cs="Arial"/>
          <w:b/>
          <w:sz w:val="28"/>
          <w:szCs w:val="28"/>
          <w:lang w:eastAsia="en-US"/>
        </w:rPr>
        <w:instrText xml:space="preserve">\a \f 4 \h  \* MERGEFORMAT </w:instrText>
      </w:r>
      <w:r w:rsidRPr="00B50281">
        <w:rPr>
          <w:rFonts w:ascii="Arial" w:eastAsia="Calibri" w:hAnsi="Arial" w:cs="Arial"/>
          <w:b/>
          <w:sz w:val="28"/>
          <w:szCs w:val="28"/>
          <w:lang w:eastAsia="en-US"/>
        </w:rPr>
        <w:fldChar w:fldCharType="separate"/>
      </w:r>
    </w:p>
    <w:p w:rsidR="00B50281" w:rsidRPr="00B50281" w:rsidRDefault="00B50281" w:rsidP="00B50281">
      <w:pPr>
        <w:spacing w:after="200" w:line="276" w:lineRule="auto"/>
        <w:rPr>
          <w:rFonts w:ascii="Arial" w:eastAsia="Calibri" w:hAnsi="Arial" w:cs="Arial"/>
          <w:b/>
          <w:sz w:val="28"/>
          <w:szCs w:val="28"/>
          <w:lang w:eastAsia="en-US"/>
        </w:rPr>
      </w:pPr>
      <w:r w:rsidRPr="00B50281">
        <w:rPr>
          <w:rFonts w:ascii="Arial" w:eastAsia="Calibri" w:hAnsi="Arial" w:cs="Arial"/>
          <w:b/>
          <w:sz w:val="28"/>
          <w:szCs w:val="28"/>
          <w:lang w:eastAsia="en-US"/>
        </w:rPr>
        <w:fldChar w:fldCharType="end"/>
      </w: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8"/>
          <w:szCs w:val="28"/>
          <w:lang w:eastAsia="en-US"/>
        </w:rPr>
      </w:pPr>
      <w:r w:rsidRPr="00B50281">
        <w:rPr>
          <w:rFonts w:ascii="Arial" w:eastAsia="Calibri" w:hAnsi="Arial" w:cs="Arial"/>
          <w:b/>
          <w:sz w:val="28"/>
          <w:szCs w:val="28"/>
          <w:lang w:eastAsia="en-US"/>
        </w:rPr>
        <w:lastRenderedPageBreak/>
        <w:t>Variance by Category</w:t>
      </w:r>
      <w:r w:rsidRPr="00B50281">
        <w:rPr>
          <w:rFonts w:ascii="Arial" w:eastAsia="Calibri" w:hAnsi="Arial" w:cs="Arial"/>
          <w:b/>
          <w:sz w:val="28"/>
          <w:szCs w:val="28"/>
          <w:lang w:eastAsia="en-US"/>
        </w:rPr>
        <w:tab/>
      </w:r>
      <w:r w:rsidRPr="00B50281">
        <w:rPr>
          <w:rFonts w:ascii="Arial" w:eastAsia="Calibri" w:hAnsi="Arial" w:cs="Arial"/>
          <w:b/>
          <w:sz w:val="28"/>
          <w:szCs w:val="28"/>
          <w:lang w:eastAsia="en-US"/>
        </w:rPr>
        <w:tab/>
      </w:r>
      <w:r w:rsidRPr="00B50281">
        <w:rPr>
          <w:rFonts w:ascii="Arial" w:eastAsia="Calibri" w:hAnsi="Arial" w:cs="Arial"/>
          <w:b/>
          <w:sz w:val="28"/>
          <w:szCs w:val="28"/>
          <w:lang w:eastAsia="en-US"/>
        </w:rPr>
        <w:tab/>
      </w:r>
      <w:r w:rsidRPr="00B50281">
        <w:rPr>
          <w:rFonts w:ascii="Arial" w:eastAsia="Calibri" w:hAnsi="Arial" w:cs="Arial"/>
          <w:b/>
          <w:sz w:val="28"/>
          <w:szCs w:val="28"/>
          <w:lang w:eastAsia="en-US"/>
        </w:rPr>
        <w:tab/>
      </w:r>
      <w:r w:rsidRPr="00B50281">
        <w:rPr>
          <w:rFonts w:ascii="Arial" w:eastAsia="Calibri" w:hAnsi="Arial" w:cs="Arial"/>
          <w:b/>
          <w:sz w:val="28"/>
          <w:szCs w:val="28"/>
          <w:lang w:eastAsia="en-US"/>
        </w:rPr>
        <w:tab/>
      </w:r>
      <w:r w:rsidRPr="00B50281">
        <w:rPr>
          <w:rFonts w:ascii="Arial" w:eastAsia="Calibri" w:hAnsi="Arial" w:cs="Arial"/>
          <w:b/>
          <w:sz w:val="28"/>
          <w:szCs w:val="28"/>
          <w:lang w:eastAsia="en-US"/>
        </w:rPr>
        <w:tab/>
      </w:r>
      <w:r w:rsidRPr="00B50281">
        <w:rPr>
          <w:rFonts w:ascii="Arial" w:eastAsia="Calibri" w:hAnsi="Arial" w:cs="Arial"/>
          <w:b/>
          <w:sz w:val="28"/>
          <w:szCs w:val="28"/>
          <w:lang w:eastAsia="en-US"/>
        </w:rPr>
        <w:tab/>
      </w:r>
      <w:r w:rsidRPr="00B50281">
        <w:rPr>
          <w:rFonts w:ascii="Arial" w:eastAsia="Calibri" w:hAnsi="Arial" w:cs="Arial"/>
          <w:b/>
          <w:sz w:val="28"/>
          <w:szCs w:val="28"/>
          <w:lang w:eastAsia="en-US"/>
        </w:rPr>
        <w:tab/>
      </w:r>
      <w:r w:rsidRPr="00B50281">
        <w:rPr>
          <w:rFonts w:ascii="Arial" w:eastAsia="Calibri" w:hAnsi="Arial" w:cs="Arial"/>
          <w:b/>
          <w:sz w:val="28"/>
          <w:szCs w:val="28"/>
          <w:lang w:eastAsia="en-US"/>
        </w:rPr>
        <w:tab/>
      </w:r>
      <w:r w:rsidRPr="00B50281">
        <w:rPr>
          <w:rFonts w:ascii="Arial" w:eastAsia="Calibri" w:hAnsi="Arial" w:cs="Arial"/>
          <w:b/>
          <w:sz w:val="28"/>
          <w:szCs w:val="28"/>
          <w:lang w:eastAsia="en-US"/>
        </w:rPr>
        <w:tab/>
      </w:r>
      <w:r w:rsidRPr="00B50281">
        <w:rPr>
          <w:rFonts w:ascii="Arial" w:eastAsia="Calibri" w:hAnsi="Arial" w:cs="Arial"/>
          <w:b/>
          <w:sz w:val="28"/>
          <w:szCs w:val="28"/>
          <w:lang w:eastAsia="en-US"/>
        </w:rPr>
        <w:tab/>
      </w:r>
      <w:r w:rsidRPr="00B50281">
        <w:rPr>
          <w:rFonts w:ascii="Arial" w:eastAsia="Calibri" w:hAnsi="Arial" w:cs="Arial"/>
          <w:b/>
          <w:sz w:val="28"/>
          <w:szCs w:val="28"/>
          <w:lang w:eastAsia="en-US"/>
        </w:rPr>
        <w:tab/>
        <w:t>APPENDIX C</w:t>
      </w:r>
    </w:p>
    <w:p w:rsidR="00B50281" w:rsidRPr="00B50281" w:rsidRDefault="00B50281" w:rsidP="00B50281">
      <w:pPr>
        <w:spacing w:after="200" w:line="276" w:lineRule="auto"/>
        <w:rPr>
          <w:rFonts w:ascii="Arial" w:eastAsia="Calibri" w:hAnsi="Arial" w:cs="Arial"/>
          <w:b/>
          <w:sz w:val="22"/>
          <w:szCs w:val="22"/>
          <w:lang w:eastAsia="en-US"/>
        </w:rPr>
      </w:pPr>
      <w:r>
        <w:rPr>
          <w:rFonts w:ascii="Calibri" w:eastAsia="Calibri" w:hAnsi="Calibri"/>
          <w:noProof/>
          <w:sz w:val="22"/>
          <w:szCs w:val="22"/>
        </w:rPr>
        <w:drawing>
          <wp:inline distT="0" distB="0" distL="0" distR="0">
            <wp:extent cx="8858250" cy="188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0" cy="1885950"/>
                    </a:xfrm>
                    <a:prstGeom prst="rect">
                      <a:avLst/>
                    </a:prstGeom>
                    <a:noFill/>
                    <a:ln>
                      <a:noFill/>
                    </a:ln>
                  </pic:spPr>
                </pic:pic>
              </a:graphicData>
            </a:graphic>
          </wp:inline>
        </w:drawing>
      </w: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rPr>
          <w:rFonts w:ascii="Arial" w:eastAsia="Calibri" w:hAnsi="Arial" w:cs="Arial"/>
          <w:b/>
          <w:sz w:val="22"/>
          <w:szCs w:val="22"/>
          <w:lang w:eastAsia="en-US"/>
        </w:rPr>
      </w:pPr>
    </w:p>
    <w:p w:rsidR="00B50281" w:rsidRPr="00B50281" w:rsidRDefault="00B50281" w:rsidP="00B50281">
      <w:pPr>
        <w:spacing w:after="200" w:line="276" w:lineRule="auto"/>
        <w:jc w:val="right"/>
        <w:rPr>
          <w:rFonts w:ascii="Arial" w:eastAsia="Calibri" w:hAnsi="Arial" w:cs="Arial"/>
          <w:b/>
          <w:szCs w:val="24"/>
          <w:lang w:eastAsia="en-US"/>
        </w:rPr>
      </w:pPr>
      <w:r w:rsidRPr="00B50281">
        <w:rPr>
          <w:rFonts w:ascii="Arial" w:eastAsia="Calibri" w:hAnsi="Arial" w:cs="Arial"/>
          <w:b/>
          <w:szCs w:val="24"/>
          <w:lang w:eastAsia="en-US"/>
        </w:rPr>
        <w:lastRenderedPageBreak/>
        <w:t>Appendix D</w:t>
      </w:r>
    </w:p>
    <w:p w:rsidR="00B50281" w:rsidRPr="00B50281" w:rsidRDefault="00B50281" w:rsidP="00B50281">
      <w:pPr>
        <w:spacing w:after="200" w:line="276" w:lineRule="auto"/>
        <w:rPr>
          <w:rFonts w:ascii="Arial" w:eastAsia="Calibri" w:hAnsi="Arial" w:cs="Arial"/>
          <w:b/>
          <w:szCs w:val="24"/>
          <w:lang w:eastAsia="en-US"/>
        </w:rPr>
      </w:pPr>
      <w:r w:rsidRPr="00B50281">
        <w:rPr>
          <w:rFonts w:ascii="Arial" w:eastAsia="Calibri" w:hAnsi="Arial" w:cs="Arial"/>
          <w:b/>
          <w:szCs w:val="24"/>
          <w:lang w:eastAsia="en-US"/>
        </w:rPr>
        <w:t>Variances over £5,000</w:t>
      </w:r>
    </w:p>
    <w:tbl>
      <w:tblPr>
        <w:tblW w:w="15309" w:type="dxa"/>
        <w:tblInd w:w="-459" w:type="dxa"/>
        <w:tblLook w:val="04A0" w:firstRow="1" w:lastRow="0" w:firstColumn="1" w:lastColumn="0" w:noHBand="0" w:noVBand="1"/>
      </w:tblPr>
      <w:tblGrid>
        <w:gridCol w:w="2410"/>
        <w:gridCol w:w="2268"/>
        <w:gridCol w:w="10631"/>
      </w:tblGrid>
      <w:tr w:rsidR="00B50281" w:rsidRPr="00B50281" w:rsidTr="00F2318B">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281" w:rsidRPr="00B50281" w:rsidRDefault="00B50281" w:rsidP="00B50281">
            <w:pPr>
              <w:spacing w:after="200" w:line="276" w:lineRule="auto"/>
              <w:jc w:val="center"/>
              <w:rPr>
                <w:rFonts w:ascii="Arial" w:eastAsia="Calibri" w:hAnsi="Arial" w:cs="Arial"/>
                <w:b/>
                <w:bCs/>
                <w:sz w:val="22"/>
                <w:szCs w:val="22"/>
                <w:lang w:eastAsia="en-US"/>
              </w:rPr>
            </w:pPr>
            <w:r w:rsidRPr="00B50281">
              <w:rPr>
                <w:rFonts w:ascii="Arial" w:eastAsia="Calibri" w:hAnsi="Arial" w:cs="Arial"/>
                <w:b/>
                <w:bCs/>
                <w:sz w:val="22"/>
                <w:szCs w:val="22"/>
                <w:lang w:eastAsia="en-US"/>
              </w:rPr>
              <w:t>Sector</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50281" w:rsidRPr="00B50281" w:rsidRDefault="00B50281" w:rsidP="00B50281">
            <w:pPr>
              <w:spacing w:after="200" w:line="276" w:lineRule="auto"/>
              <w:jc w:val="center"/>
              <w:rPr>
                <w:rFonts w:ascii="Arial" w:eastAsia="Calibri" w:hAnsi="Arial" w:cs="Arial"/>
                <w:b/>
                <w:bCs/>
                <w:sz w:val="22"/>
                <w:szCs w:val="22"/>
                <w:lang w:eastAsia="en-US"/>
              </w:rPr>
            </w:pPr>
            <w:r w:rsidRPr="00B50281">
              <w:rPr>
                <w:rFonts w:ascii="Arial" w:eastAsia="Calibri" w:hAnsi="Arial" w:cs="Arial"/>
                <w:b/>
                <w:bCs/>
                <w:sz w:val="22"/>
                <w:szCs w:val="22"/>
                <w:lang w:eastAsia="en-US"/>
              </w:rPr>
              <w:t>Variance</w:t>
            </w:r>
          </w:p>
        </w:tc>
        <w:tc>
          <w:tcPr>
            <w:tcW w:w="10631" w:type="dxa"/>
            <w:tcBorders>
              <w:top w:val="single" w:sz="4" w:space="0" w:color="auto"/>
              <w:left w:val="nil"/>
              <w:bottom w:val="single" w:sz="4" w:space="0" w:color="auto"/>
              <w:right w:val="single" w:sz="4" w:space="0" w:color="auto"/>
            </w:tcBorders>
            <w:shd w:val="clear" w:color="auto" w:fill="auto"/>
            <w:noWrap/>
            <w:vAlign w:val="bottom"/>
            <w:hideMark/>
          </w:tcPr>
          <w:p w:rsidR="00B50281" w:rsidRPr="00B50281" w:rsidRDefault="00B50281" w:rsidP="00B50281">
            <w:pPr>
              <w:spacing w:after="200" w:line="276" w:lineRule="auto"/>
              <w:jc w:val="center"/>
              <w:rPr>
                <w:rFonts w:ascii="Arial" w:eastAsia="Calibri" w:hAnsi="Arial" w:cs="Arial"/>
                <w:b/>
                <w:bCs/>
                <w:sz w:val="22"/>
                <w:szCs w:val="22"/>
                <w:lang w:eastAsia="en-US"/>
              </w:rPr>
            </w:pPr>
            <w:r w:rsidRPr="00B50281">
              <w:rPr>
                <w:rFonts w:ascii="Arial" w:eastAsia="Calibri" w:hAnsi="Arial" w:cs="Arial"/>
                <w:b/>
                <w:bCs/>
                <w:sz w:val="22"/>
                <w:szCs w:val="22"/>
                <w:lang w:eastAsia="en-US"/>
              </w:rPr>
              <w:t>Note</w:t>
            </w:r>
          </w:p>
        </w:tc>
      </w:tr>
      <w:tr w:rsidR="00B50281" w:rsidRPr="00B50281" w:rsidTr="00F2318B">
        <w:trPr>
          <w:trHeight w:val="55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eastAsia="Calibri" w:hAnsi="Arial" w:cs="Arial"/>
                <w:sz w:val="22"/>
                <w:szCs w:val="22"/>
                <w:lang w:eastAsia="en-US"/>
              </w:rPr>
            </w:pPr>
            <w:r w:rsidRPr="00B50281">
              <w:rPr>
                <w:rFonts w:ascii="Arial" w:eastAsia="Calibri" w:hAnsi="Arial" w:cs="Arial"/>
                <w:sz w:val="22"/>
                <w:szCs w:val="22"/>
                <w:lang w:eastAsia="en-US"/>
              </w:rPr>
              <w:t>Adult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hAnsi="Arial" w:cs="Arial"/>
                <w:color w:val="000000"/>
                <w:sz w:val="22"/>
                <w:szCs w:val="22"/>
              </w:rPr>
            </w:pPr>
            <w:r w:rsidRPr="00B50281">
              <w:rPr>
                <w:rFonts w:ascii="Arial" w:hAnsi="Arial" w:cs="Arial"/>
                <w:color w:val="000000"/>
                <w:sz w:val="22"/>
                <w:szCs w:val="22"/>
              </w:rPr>
              <w:t>£105,580</w:t>
            </w:r>
          </w:p>
        </w:tc>
        <w:tc>
          <w:tcPr>
            <w:tcW w:w="10631" w:type="dxa"/>
            <w:tcBorders>
              <w:top w:val="single" w:sz="4" w:space="0" w:color="auto"/>
              <w:left w:val="nil"/>
              <w:bottom w:val="single" w:sz="4" w:space="0" w:color="auto"/>
              <w:right w:val="single" w:sz="4" w:space="0" w:color="auto"/>
            </w:tcBorders>
            <w:shd w:val="clear" w:color="auto" w:fill="auto"/>
            <w:noWrap/>
          </w:tcPr>
          <w:p w:rsidR="00B50281" w:rsidRPr="00B50281" w:rsidRDefault="00B50281" w:rsidP="00B50281">
            <w:pPr>
              <w:spacing w:after="200" w:line="276" w:lineRule="auto"/>
              <w:jc w:val="both"/>
              <w:rPr>
                <w:rFonts w:ascii="Arial" w:eastAsia="Calibri" w:hAnsi="Arial" w:cs="Arial"/>
                <w:sz w:val="22"/>
                <w:szCs w:val="22"/>
                <w:lang w:eastAsia="en-US"/>
              </w:rPr>
            </w:pPr>
            <w:r w:rsidRPr="00B50281">
              <w:rPr>
                <w:rFonts w:ascii="Arial" w:eastAsia="Calibri" w:hAnsi="Arial" w:cs="Arial"/>
                <w:sz w:val="22"/>
                <w:szCs w:val="22"/>
                <w:lang w:eastAsia="en-US"/>
              </w:rPr>
              <w:t>Additional income earned from ESOL classes and tutor support £35K, Staff Vacancies &amp; Recruitment Management £23K, [posts now filled]. Early realisation of planned structural savings - underspend on Grant Literacy Fund £45K.</w:t>
            </w:r>
          </w:p>
        </w:tc>
      </w:tr>
      <w:tr w:rsidR="00B50281" w:rsidRPr="00B50281" w:rsidTr="00F2318B">
        <w:trPr>
          <w:trHeight w:val="55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eastAsia="Calibri" w:hAnsi="Arial" w:cs="Arial"/>
                <w:sz w:val="22"/>
                <w:szCs w:val="22"/>
                <w:lang w:eastAsia="en-US"/>
              </w:rPr>
            </w:pPr>
            <w:r w:rsidRPr="00B50281">
              <w:rPr>
                <w:rFonts w:ascii="Arial" w:eastAsia="Calibri" w:hAnsi="Arial" w:cs="Arial"/>
                <w:sz w:val="22"/>
                <w:szCs w:val="22"/>
                <w:lang w:eastAsia="en-US"/>
              </w:rPr>
              <w:t>Archives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hAnsi="Arial" w:cs="Arial"/>
                <w:color w:val="000000"/>
                <w:sz w:val="22"/>
                <w:szCs w:val="22"/>
              </w:rPr>
            </w:pPr>
            <w:r w:rsidRPr="00B50281">
              <w:rPr>
                <w:rFonts w:ascii="Arial" w:hAnsi="Arial" w:cs="Arial"/>
                <w:color w:val="000000"/>
                <w:sz w:val="22"/>
                <w:szCs w:val="22"/>
              </w:rPr>
              <w:t>£106,386</w:t>
            </w:r>
          </w:p>
        </w:tc>
        <w:tc>
          <w:tcPr>
            <w:tcW w:w="10631" w:type="dxa"/>
            <w:tcBorders>
              <w:top w:val="single" w:sz="4" w:space="0" w:color="auto"/>
              <w:left w:val="nil"/>
              <w:bottom w:val="single" w:sz="4" w:space="0" w:color="auto"/>
              <w:right w:val="single" w:sz="4" w:space="0" w:color="auto"/>
            </w:tcBorders>
            <w:shd w:val="clear" w:color="auto" w:fill="auto"/>
            <w:noWrap/>
          </w:tcPr>
          <w:p w:rsidR="00B50281" w:rsidRPr="00B50281" w:rsidRDefault="00B50281" w:rsidP="00B50281">
            <w:pPr>
              <w:spacing w:after="200" w:line="276" w:lineRule="auto"/>
              <w:rPr>
                <w:rFonts w:ascii="Arial" w:eastAsia="Calibri" w:hAnsi="Arial" w:cs="Arial"/>
                <w:sz w:val="22"/>
                <w:szCs w:val="22"/>
                <w:lang w:eastAsia="en-US"/>
              </w:rPr>
            </w:pPr>
            <w:r w:rsidRPr="00B50281">
              <w:rPr>
                <w:rFonts w:ascii="Arial" w:eastAsia="Calibri" w:hAnsi="Arial" w:cs="Arial"/>
                <w:sz w:val="22"/>
                <w:szCs w:val="22"/>
                <w:lang w:eastAsia="en-US"/>
              </w:rPr>
              <w:t xml:space="preserve">£144K of the variance is for staffing, there have been a number of vacancies across the service during the year.  These are now filled apart from one remaining vacancy. </w:t>
            </w:r>
          </w:p>
          <w:p w:rsidR="00B50281" w:rsidRPr="00B50281" w:rsidRDefault="00B50281" w:rsidP="00B50281">
            <w:pPr>
              <w:spacing w:after="200" w:line="276" w:lineRule="auto"/>
              <w:rPr>
                <w:rFonts w:ascii="Arial" w:eastAsia="Calibri" w:hAnsi="Arial" w:cs="Arial"/>
                <w:sz w:val="22"/>
                <w:szCs w:val="22"/>
                <w:lang w:eastAsia="en-US"/>
              </w:rPr>
            </w:pPr>
            <w:r w:rsidRPr="00B50281">
              <w:rPr>
                <w:rFonts w:ascii="Arial" w:eastAsia="Calibri" w:hAnsi="Arial" w:cs="Arial"/>
                <w:sz w:val="22"/>
                <w:szCs w:val="22"/>
                <w:lang w:eastAsia="en-US"/>
              </w:rPr>
              <w:t xml:space="preserve">The income variance is £36K, £29K of which is offset against a positive variance on Staff/ Other Costs in the Conservation project. </w:t>
            </w:r>
          </w:p>
        </w:tc>
      </w:tr>
      <w:tr w:rsidR="00B50281" w:rsidRPr="00B50281" w:rsidTr="00F2318B">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eastAsia="Calibri" w:hAnsi="Arial" w:cs="Arial"/>
                <w:sz w:val="22"/>
                <w:szCs w:val="22"/>
                <w:lang w:eastAsia="en-US"/>
              </w:rPr>
            </w:pPr>
            <w:r w:rsidRPr="00B50281">
              <w:rPr>
                <w:rFonts w:ascii="Arial" w:eastAsia="Calibri" w:hAnsi="Arial" w:cs="Arial"/>
                <w:sz w:val="22"/>
                <w:szCs w:val="22"/>
                <w:lang w:eastAsia="en-US"/>
              </w:rPr>
              <w:t>Arts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hAnsi="Arial" w:cs="Arial"/>
                <w:color w:val="000000"/>
                <w:sz w:val="22"/>
                <w:szCs w:val="22"/>
              </w:rPr>
            </w:pPr>
            <w:r w:rsidRPr="00B50281">
              <w:rPr>
                <w:rFonts w:ascii="Arial" w:hAnsi="Arial" w:cs="Arial"/>
                <w:color w:val="000000"/>
                <w:sz w:val="22"/>
                <w:szCs w:val="22"/>
              </w:rPr>
              <w:t>(£11,912)</w:t>
            </w:r>
          </w:p>
        </w:tc>
        <w:tc>
          <w:tcPr>
            <w:tcW w:w="10631" w:type="dxa"/>
            <w:tcBorders>
              <w:top w:val="single" w:sz="4" w:space="0" w:color="auto"/>
              <w:left w:val="nil"/>
              <w:bottom w:val="single" w:sz="4" w:space="0" w:color="auto"/>
              <w:right w:val="single" w:sz="4" w:space="0" w:color="auto"/>
            </w:tcBorders>
            <w:shd w:val="clear" w:color="auto" w:fill="auto"/>
          </w:tcPr>
          <w:p w:rsidR="00B50281" w:rsidRPr="00B50281" w:rsidRDefault="00B50281" w:rsidP="00B50281">
            <w:pPr>
              <w:spacing w:after="200" w:line="276" w:lineRule="auto"/>
              <w:jc w:val="both"/>
              <w:rPr>
                <w:rFonts w:ascii="Arial" w:eastAsia="Calibri" w:hAnsi="Arial" w:cs="Arial"/>
                <w:sz w:val="22"/>
                <w:szCs w:val="22"/>
                <w:lang w:eastAsia="en-US"/>
              </w:rPr>
            </w:pPr>
            <w:r w:rsidRPr="00B50281">
              <w:rPr>
                <w:rFonts w:ascii="Arial" w:eastAsia="Calibri" w:hAnsi="Arial" w:cs="Arial"/>
                <w:sz w:val="22"/>
                <w:szCs w:val="22"/>
                <w:lang w:eastAsia="en-US"/>
              </w:rPr>
              <w:t>There is additional up front expenditure for projects reported in Other Costs, the year-end projects a c. £5K deficit with additional grants due in before year end.</w:t>
            </w:r>
          </w:p>
        </w:tc>
      </w:tr>
      <w:tr w:rsidR="00B50281" w:rsidRPr="00B50281" w:rsidTr="00F2318B">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eastAsia="Calibri" w:hAnsi="Arial" w:cs="Arial"/>
                <w:sz w:val="22"/>
                <w:szCs w:val="22"/>
                <w:lang w:eastAsia="en-US"/>
              </w:rPr>
            </w:pPr>
            <w:r w:rsidRPr="00B50281">
              <w:rPr>
                <w:rFonts w:ascii="Arial" w:eastAsia="Calibri" w:hAnsi="Arial" w:cs="Arial"/>
                <w:sz w:val="22"/>
                <w:szCs w:val="22"/>
                <w:lang w:eastAsia="en-US"/>
              </w:rPr>
              <w:t>Facilities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hAnsi="Arial" w:cs="Arial"/>
                <w:color w:val="000000"/>
                <w:sz w:val="22"/>
                <w:szCs w:val="22"/>
              </w:rPr>
            </w:pPr>
            <w:r w:rsidRPr="00B50281">
              <w:rPr>
                <w:rFonts w:ascii="Arial" w:hAnsi="Arial" w:cs="Arial"/>
                <w:color w:val="000000"/>
                <w:sz w:val="22"/>
                <w:szCs w:val="22"/>
              </w:rPr>
              <w:t>(£161,963)</w:t>
            </w:r>
          </w:p>
        </w:tc>
        <w:tc>
          <w:tcPr>
            <w:tcW w:w="10631" w:type="dxa"/>
            <w:tcBorders>
              <w:top w:val="single" w:sz="4" w:space="0" w:color="auto"/>
              <w:left w:val="nil"/>
              <w:bottom w:val="single" w:sz="4" w:space="0" w:color="auto"/>
              <w:right w:val="single" w:sz="4" w:space="0" w:color="auto"/>
            </w:tcBorders>
            <w:shd w:val="clear" w:color="auto" w:fill="auto"/>
          </w:tcPr>
          <w:p w:rsidR="00B50281" w:rsidRPr="00B50281" w:rsidRDefault="00B50281" w:rsidP="00B50281">
            <w:pPr>
              <w:spacing w:after="200" w:line="276" w:lineRule="auto"/>
              <w:jc w:val="both"/>
              <w:rPr>
                <w:rFonts w:ascii="Arial" w:eastAsia="Calibri" w:hAnsi="Arial" w:cs="Arial"/>
                <w:sz w:val="22"/>
                <w:szCs w:val="22"/>
                <w:lang w:eastAsia="en-US"/>
              </w:rPr>
            </w:pPr>
            <w:r w:rsidRPr="00B50281">
              <w:rPr>
                <w:rFonts w:ascii="Arial" w:eastAsia="Calibri" w:hAnsi="Arial" w:cs="Arial"/>
                <w:sz w:val="22"/>
                <w:szCs w:val="22"/>
                <w:lang w:eastAsia="en-US"/>
              </w:rPr>
              <w:t xml:space="preserve">The YTD and projected outturn for facilities is reporting a negative variance (£161K). The Facilities budget for 2017/18 includes aggressive income target (growth) and a significant level of structural savings (£300K). Implementation of a number of the structural savings has been delayed for operational reasons and this has impacted on reported outturn. </w:t>
            </w:r>
          </w:p>
          <w:p w:rsidR="00B50281" w:rsidRPr="00B50281" w:rsidRDefault="00B50281" w:rsidP="00B50281">
            <w:pPr>
              <w:spacing w:after="200" w:line="276" w:lineRule="auto"/>
              <w:jc w:val="both"/>
              <w:rPr>
                <w:rFonts w:ascii="Arial" w:eastAsia="Calibri" w:hAnsi="Arial" w:cs="Arial"/>
                <w:sz w:val="22"/>
                <w:szCs w:val="22"/>
                <w:lang w:eastAsia="en-US"/>
              </w:rPr>
            </w:pPr>
            <w:r w:rsidRPr="00B50281">
              <w:rPr>
                <w:rFonts w:ascii="Arial" w:eastAsia="Calibri" w:hAnsi="Arial" w:cs="Arial"/>
                <w:sz w:val="22"/>
                <w:szCs w:val="22"/>
                <w:lang w:eastAsia="en-US"/>
              </w:rPr>
              <w:t xml:space="preserve">A number of new centres have been taken </w:t>
            </w:r>
            <w:proofErr w:type="gramStart"/>
            <w:r w:rsidRPr="00B50281">
              <w:rPr>
                <w:rFonts w:ascii="Arial" w:eastAsia="Calibri" w:hAnsi="Arial" w:cs="Arial"/>
                <w:sz w:val="22"/>
                <w:szCs w:val="22"/>
                <w:lang w:eastAsia="en-US"/>
              </w:rPr>
              <w:t>over/opened</w:t>
            </w:r>
            <w:proofErr w:type="gramEnd"/>
            <w:r w:rsidRPr="00B50281">
              <w:rPr>
                <w:rFonts w:ascii="Arial" w:eastAsia="Calibri" w:hAnsi="Arial" w:cs="Arial"/>
                <w:sz w:val="22"/>
                <w:szCs w:val="22"/>
                <w:lang w:eastAsia="en-US"/>
              </w:rPr>
              <w:t xml:space="preserve"> this year, NCL / Strathpeffer Pavilion / Poolewe Swimming Pool and the new Canal Park facility which have incurred one off set up costs. </w:t>
            </w:r>
          </w:p>
          <w:p w:rsidR="00B50281" w:rsidRPr="00B50281" w:rsidRDefault="00B50281" w:rsidP="00B50281">
            <w:pPr>
              <w:spacing w:after="200" w:line="276" w:lineRule="auto"/>
              <w:jc w:val="both"/>
              <w:rPr>
                <w:rFonts w:ascii="Arial" w:eastAsia="Calibri" w:hAnsi="Arial" w:cs="Arial"/>
                <w:sz w:val="22"/>
                <w:szCs w:val="22"/>
                <w:lang w:eastAsia="en-US"/>
              </w:rPr>
            </w:pPr>
            <w:r w:rsidRPr="00B50281">
              <w:rPr>
                <w:rFonts w:ascii="Arial" w:eastAsia="Calibri" w:hAnsi="Arial" w:cs="Arial"/>
                <w:sz w:val="22"/>
                <w:szCs w:val="22"/>
                <w:lang w:eastAsia="en-US"/>
              </w:rPr>
              <w:t>The main variances include:</w:t>
            </w:r>
          </w:p>
          <w:p w:rsidR="00B50281" w:rsidRPr="00B50281" w:rsidRDefault="00B50281" w:rsidP="00B50281">
            <w:pPr>
              <w:numPr>
                <w:ilvl w:val="0"/>
                <w:numId w:val="32"/>
              </w:numPr>
              <w:spacing w:line="276" w:lineRule="auto"/>
              <w:jc w:val="both"/>
              <w:rPr>
                <w:rFonts w:ascii="Arial" w:eastAsia="Calibri" w:hAnsi="Arial" w:cs="Arial"/>
                <w:sz w:val="22"/>
                <w:szCs w:val="22"/>
                <w:lang w:eastAsia="en-US"/>
              </w:rPr>
            </w:pPr>
            <w:r w:rsidRPr="00B50281">
              <w:rPr>
                <w:rFonts w:ascii="Arial" w:eastAsia="Calibri" w:hAnsi="Arial" w:cs="Arial"/>
                <w:sz w:val="22"/>
                <w:szCs w:val="22"/>
                <w:lang w:eastAsia="en-US"/>
              </w:rPr>
              <w:t>Canal Park – Deficit of £50K</w:t>
            </w:r>
          </w:p>
          <w:p w:rsidR="00B50281" w:rsidRPr="00B50281" w:rsidRDefault="00B50281" w:rsidP="00B50281">
            <w:pPr>
              <w:numPr>
                <w:ilvl w:val="0"/>
                <w:numId w:val="32"/>
              </w:numPr>
              <w:spacing w:line="276" w:lineRule="auto"/>
              <w:jc w:val="both"/>
              <w:rPr>
                <w:rFonts w:ascii="Arial" w:eastAsia="Calibri" w:hAnsi="Arial" w:cs="Arial"/>
                <w:sz w:val="22"/>
                <w:szCs w:val="22"/>
                <w:lang w:eastAsia="en-US"/>
              </w:rPr>
            </w:pPr>
            <w:r w:rsidRPr="00B50281">
              <w:rPr>
                <w:rFonts w:ascii="Arial" w:eastAsia="Calibri" w:hAnsi="Arial" w:cs="Arial"/>
                <w:sz w:val="22"/>
                <w:szCs w:val="22"/>
                <w:lang w:eastAsia="en-US"/>
              </w:rPr>
              <w:t>North Coast Leisure ( Bettyhill) – Deficit £44K , received 50% of management fee for 17/18 and one off costs</w:t>
            </w:r>
          </w:p>
          <w:p w:rsidR="00B50281" w:rsidRPr="00B50281" w:rsidRDefault="00B50281" w:rsidP="00B50281">
            <w:pPr>
              <w:numPr>
                <w:ilvl w:val="0"/>
                <w:numId w:val="32"/>
              </w:numPr>
              <w:spacing w:line="276" w:lineRule="auto"/>
              <w:jc w:val="both"/>
              <w:rPr>
                <w:rFonts w:ascii="Arial" w:eastAsia="Calibri" w:hAnsi="Arial" w:cs="Arial"/>
                <w:sz w:val="22"/>
                <w:szCs w:val="22"/>
                <w:lang w:eastAsia="en-US"/>
              </w:rPr>
            </w:pPr>
            <w:r w:rsidRPr="00B50281">
              <w:rPr>
                <w:rFonts w:ascii="Arial" w:eastAsia="Calibri" w:hAnsi="Arial" w:cs="Arial"/>
                <w:sz w:val="22"/>
                <w:szCs w:val="22"/>
                <w:lang w:eastAsia="en-US"/>
              </w:rPr>
              <w:t>Additional Health &amp; Safety Cost - £20K ( one off)</w:t>
            </w:r>
          </w:p>
          <w:p w:rsidR="00B50281" w:rsidRPr="00B50281" w:rsidRDefault="00B50281" w:rsidP="00B50281">
            <w:pPr>
              <w:numPr>
                <w:ilvl w:val="0"/>
                <w:numId w:val="32"/>
              </w:numPr>
              <w:spacing w:after="200" w:line="276" w:lineRule="auto"/>
              <w:jc w:val="both"/>
              <w:rPr>
                <w:rFonts w:ascii="Arial" w:eastAsia="Calibri" w:hAnsi="Arial" w:cs="Arial"/>
                <w:sz w:val="22"/>
                <w:szCs w:val="22"/>
                <w:lang w:eastAsia="en-US"/>
              </w:rPr>
            </w:pPr>
            <w:r w:rsidRPr="00B50281">
              <w:rPr>
                <w:rFonts w:ascii="Arial" w:eastAsia="Calibri" w:hAnsi="Arial" w:cs="Arial"/>
                <w:sz w:val="22"/>
                <w:szCs w:val="22"/>
                <w:lang w:eastAsia="en-US"/>
              </w:rPr>
              <w:t>Priority Signage - £30K</w:t>
            </w:r>
          </w:p>
        </w:tc>
      </w:tr>
      <w:tr w:rsidR="00B50281" w:rsidRPr="00B50281" w:rsidTr="00F2318B">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eastAsia="Calibri" w:hAnsi="Arial" w:cs="Arial"/>
                <w:sz w:val="22"/>
                <w:szCs w:val="22"/>
                <w:lang w:eastAsia="en-US"/>
              </w:rPr>
            </w:pPr>
            <w:r w:rsidRPr="00B50281">
              <w:rPr>
                <w:rFonts w:ascii="Arial" w:eastAsia="Calibri" w:hAnsi="Arial" w:cs="Arial"/>
                <w:sz w:val="22"/>
                <w:szCs w:val="22"/>
                <w:lang w:eastAsia="en-US"/>
              </w:rPr>
              <w:lastRenderedPageBreak/>
              <w:t>Management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hAnsi="Arial" w:cs="Arial"/>
                <w:color w:val="000000"/>
                <w:sz w:val="22"/>
                <w:szCs w:val="22"/>
              </w:rPr>
            </w:pPr>
            <w:r w:rsidRPr="00B50281">
              <w:rPr>
                <w:rFonts w:ascii="Arial" w:hAnsi="Arial" w:cs="Arial"/>
                <w:color w:val="000000"/>
                <w:sz w:val="22"/>
                <w:szCs w:val="22"/>
              </w:rPr>
              <w:t>(£37,136)</w:t>
            </w:r>
          </w:p>
        </w:tc>
        <w:tc>
          <w:tcPr>
            <w:tcW w:w="10631" w:type="dxa"/>
            <w:tcBorders>
              <w:top w:val="single" w:sz="4" w:space="0" w:color="auto"/>
              <w:left w:val="nil"/>
              <w:bottom w:val="single" w:sz="4" w:space="0" w:color="auto"/>
              <w:right w:val="single" w:sz="4" w:space="0" w:color="auto"/>
            </w:tcBorders>
            <w:shd w:val="clear" w:color="auto" w:fill="auto"/>
          </w:tcPr>
          <w:p w:rsidR="00B50281" w:rsidRPr="00B50281" w:rsidRDefault="00B50281" w:rsidP="00B50281">
            <w:pPr>
              <w:spacing w:after="200" w:line="276" w:lineRule="auto"/>
              <w:jc w:val="both"/>
              <w:rPr>
                <w:rFonts w:ascii="Arial" w:eastAsia="Calibri" w:hAnsi="Arial" w:cs="Arial"/>
                <w:sz w:val="22"/>
                <w:szCs w:val="22"/>
                <w:lang w:eastAsia="en-US"/>
              </w:rPr>
            </w:pPr>
            <w:r w:rsidRPr="00B50281">
              <w:rPr>
                <w:rFonts w:ascii="Arial" w:eastAsia="Calibri" w:hAnsi="Arial" w:cs="Arial"/>
                <w:sz w:val="22"/>
                <w:szCs w:val="22"/>
                <w:lang w:eastAsia="en-US"/>
              </w:rPr>
              <w:t>Other Costs are over budget as a result of accruals for ICT £25K once off and £15K for additional marketing costs relating to website improvements</w:t>
            </w:r>
          </w:p>
        </w:tc>
      </w:tr>
      <w:tr w:rsidR="00B50281" w:rsidRPr="00B50281" w:rsidTr="00F2318B">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eastAsia="Calibri" w:hAnsi="Arial" w:cs="Arial"/>
                <w:sz w:val="22"/>
                <w:szCs w:val="22"/>
                <w:lang w:eastAsia="en-US"/>
              </w:rPr>
            </w:pPr>
            <w:r w:rsidRPr="00B50281">
              <w:rPr>
                <w:rFonts w:ascii="Arial" w:eastAsia="Calibri" w:hAnsi="Arial" w:cs="Arial"/>
                <w:sz w:val="22"/>
                <w:szCs w:val="22"/>
                <w:lang w:eastAsia="en-US"/>
              </w:rPr>
              <w:t>Museums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hAnsi="Arial" w:cs="Arial"/>
                <w:color w:val="000000"/>
                <w:sz w:val="22"/>
                <w:szCs w:val="22"/>
              </w:rPr>
            </w:pPr>
            <w:r w:rsidRPr="00B50281">
              <w:rPr>
                <w:rFonts w:ascii="Arial" w:hAnsi="Arial" w:cs="Arial"/>
                <w:color w:val="000000"/>
                <w:sz w:val="22"/>
                <w:szCs w:val="22"/>
              </w:rPr>
              <w:t>£21,623</w:t>
            </w:r>
          </w:p>
        </w:tc>
        <w:tc>
          <w:tcPr>
            <w:tcW w:w="10631" w:type="dxa"/>
            <w:tcBorders>
              <w:top w:val="single" w:sz="4" w:space="0" w:color="auto"/>
              <w:left w:val="nil"/>
              <w:bottom w:val="single" w:sz="4" w:space="0" w:color="auto"/>
              <w:right w:val="single" w:sz="4" w:space="0" w:color="auto"/>
            </w:tcBorders>
            <w:shd w:val="clear" w:color="auto" w:fill="auto"/>
          </w:tcPr>
          <w:p w:rsidR="00B50281" w:rsidRPr="00B50281" w:rsidRDefault="00B50281" w:rsidP="00B50281">
            <w:pPr>
              <w:spacing w:after="200" w:line="276" w:lineRule="auto"/>
              <w:jc w:val="both"/>
              <w:rPr>
                <w:rFonts w:ascii="Arial" w:eastAsia="Calibri" w:hAnsi="Arial" w:cs="Arial"/>
                <w:sz w:val="22"/>
                <w:szCs w:val="22"/>
                <w:lang w:eastAsia="en-US"/>
              </w:rPr>
            </w:pPr>
            <w:r w:rsidRPr="00B50281">
              <w:rPr>
                <w:rFonts w:ascii="Arial" w:eastAsia="Calibri" w:hAnsi="Arial" w:cs="Arial"/>
                <w:sz w:val="22"/>
                <w:szCs w:val="22"/>
                <w:lang w:eastAsia="en-US"/>
              </w:rPr>
              <w:t>The net variance is accounted for mainly by HFM £39K , IMAG £4K and  a deficit of (£14K) on the HFM recognition project which is covered in reserves, with grant of £14K received in 16/17</w:t>
            </w:r>
          </w:p>
        </w:tc>
      </w:tr>
      <w:tr w:rsidR="00B50281" w:rsidRPr="00B50281" w:rsidTr="00F2318B">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eastAsia="Calibri" w:hAnsi="Arial" w:cs="Arial"/>
                <w:sz w:val="22"/>
                <w:szCs w:val="22"/>
                <w:lang w:eastAsia="en-US"/>
              </w:rPr>
            </w:pPr>
            <w:r w:rsidRPr="00B50281">
              <w:rPr>
                <w:rFonts w:ascii="Arial" w:eastAsia="Calibri" w:hAnsi="Arial" w:cs="Arial"/>
                <w:sz w:val="22"/>
                <w:szCs w:val="22"/>
                <w:lang w:eastAsia="en-US"/>
              </w:rPr>
              <w:t>Sports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hAnsi="Arial" w:cs="Arial"/>
                <w:color w:val="000000"/>
                <w:sz w:val="22"/>
                <w:szCs w:val="22"/>
              </w:rPr>
            </w:pPr>
            <w:r w:rsidRPr="00B50281">
              <w:rPr>
                <w:rFonts w:ascii="Arial" w:hAnsi="Arial" w:cs="Arial"/>
                <w:color w:val="000000"/>
                <w:sz w:val="22"/>
                <w:szCs w:val="22"/>
              </w:rPr>
              <w:t>£46,590</w:t>
            </w:r>
          </w:p>
        </w:tc>
        <w:tc>
          <w:tcPr>
            <w:tcW w:w="10631" w:type="dxa"/>
            <w:tcBorders>
              <w:top w:val="single" w:sz="4" w:space="0" w:color="auto"/>
              <w:left w:val="nil"/>
              <w:bottom w:val="single" w:sz="4" w:space="0" w:color="auto"/>
              <w:right w:val="single" w:sz="4" w:space="0" w:color="auto"/>
            </w:tcBorders>
            <w:shd w:val="clear" w:color="auto" w:fill="auto"/>
          </w:tcPr>
          <w:p w:rsidR="00B50281" w:rsidRPr="00B50281" w:rsidRDefault="00B50281" w:rsidP="00B50281">
            <w:pPr>
              <w:spacing w:after="200" w:line="276" w:lineRule="auto"/>
              <w:jc w:val="both"/>
              <w:rPr>
                <w:rFonts w:ascii="Arial" w:eastAsia="Calibri" w:hAnsi="Arial" w:cs="Arial"/>
                <w:sz w:val="22"/>
                <w:szCs w:val="22"/>
                <w:lang w:eastAsia="en-US"/>
              </w:rPr>
            </w:pPr>
            <w:r w:rsidRPr="00B50281">
              <w:rPr>
                <w:rFonts w:ascii="Arial" w:eastAsia="Calibri" w:hAnsi="Arial" w:cs="Arial"/>
                <w:sz w:val="22"/>
                <w:szCs w:val="22"/>
                <w:lang w:eastAsia="en-US"/>
              </w:rPr>
              <w:t>Additional Income generated from classes during the year.</w:t>
            </w:r>
          </w:p>
        </w:tc>
      </w:tr>
      <w:tr w:rsidR="00B50281" w:rsidRPr="00B50281" w:rsidTr="00F2318B">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eastAsia="Calibri" w:hAnsi="Arial" w:cs="Arial"/>
                <w:sz w:val="22"/>
                <w:szCs w:val="22"/>
                <w:lang w:eastAsia="en-US"/>
              </w:rPr>
            </w:pPr>
            <w:proofErr w:type="spellStart"/>
            <w:r w:rsidRPr="00B50281">
              <w:rPr>
                <w:rFonts w:ascii="Arial" w:eastAsia="Calibri" w:hAnsi="Arial" w:cs="Arial"/>
                <w:sz w:val="22"/>
                <w:szCs w:val="22"/>
                <w:lang w:eastAsia="en-US"/>
              </w:rPr>
              <w:t>Youthwork</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50281" w:rsidRPr="00B50281" w:rsidRDefault="00B50281" w:rsidP="00B50281">
            <w:pPr>
              <w:spacing w:after="200" w:line="276" w:lineRule="auto"/>
              <w:jc w:val="center"/>
              <w:rPr>
                <w:rFonts w:ascii="Arial" w:hAnsi="Arial" w:cs="Arial"/>
                <w:color w:val="000000"/>
                <w:sz w:val="22"/>
                <w:szCs w:val="22"/>
              </w:rPr>
            </w:pPr>
            <w:r w:rsidRPr="00B50281">
              <w:rPr>
                <w:rFonts w:ascii="Arial" w:hAnsi="Arial" w:cs="Arial"/>
                <w:color w:val="000000"/>
                <w:sz w:val="22"/>
                <w:szCs w:val="22"/>
              </w:rPr>
              <w:t>£18,595</w:t>
            </w:r>
          </w:p>
        </w:tc>
        <w:tc>
          <w:tcPr>
            <w:tcW w:w="10631" w:type="dxa"/>
            <w:tcBorders>
              <w:top w:val="single" w:sz="4" w:space="0" w:color="auto"/>
              <w:left w:val="nil"/>
              <w:bottom w:val="single" w:sz="4" w:space="0" w:color="auto"/>
              <w:right w:val="single" w:sz="4" w:space="0" w:color="auto"/>
            </w:tcBorders>
            <w:shd w:val="clear" w:color="auto" w:fill="auto"/>
          </w:tcPr>
          <w:p w:rsidR="00B50281" w:rsidRPr="00B50281" w:rsidRDefault="00B50281" w:rsidP="00B50281">
            <w:pPr>
              <w:spacing w:after="200" w:line="276" w:lineRule="auto"/>
              <w:jc w:val="both"/>
              <w:rPr>
                <w:rFonts w:ascii="Arial" w:eastAsia="Calibri" w:hAnsi="Arial" w:cs="Arial"/>
                <w:sz w:val="22"/>
                <w:szCs w:val="22"/>
                <w:lang w:eastAsia="en-US"/>
              </w:rPr>
            </w:pPr>
            <w:r w:rsidRPr="00B50281">
              <w:rPr>
                <w:rFonts w:ascii="Arial" w:eastAsia="Calibri" w:hAnsi="Arial" w:cs="Arial"/>
                <w:sz w:val="22"/>
                <w:szCs w:val="22"/>
                <w:lang w:eastAsia="en-US"/>
              </w:rPr>
              <w:t>The variance to budget of £18K is as a result of increased grants albeit there are additional costs there is a net positive impact.</w:t>
            </w:r>
          </w:p>
        </w:tc>
      </w:tr>
    </w:tbl>
    <w:p w:rsidR="00B50281" w:rsidRPr="00B50281" w:rsidRDefault="00B50281" w:rsidP="00B50281">
      <w:pPr>
        <w:spacing w:after="200" w:line="276" w:lineRule="auto"/>
        <w:rPr>
          <w:rFonts w:ascii="Arial" w:eastAsia="Calibri" w:hAnsi="Arial" w:cs="Arial"/>
          <w:b/>
          <w:szCs w:val="24"/>
          <w:lang w:eastAsia="en-US"/>
        </w:rPr>
      </w:pPr>
    </w:p>
    <w:p w:rsidR="00B50281" w:rsidRDefault="00B50281" w:rsidP="00B50281">
      <w:pPr>
        <w:spacing w:after="200" w:line="276" w:lineRule="auto"/>
        <w:rPr>
          <w:rFonts w:ascii="Arial" w:eastAsia="Calibri" w:hAnsi="Arial" w:cs="Arial"/>
          <w:b/>
          <w:szCs w:val="24"/>
          <w:lang w:eastAsia="en-US"/>
        </w:rPr>
        <w:sectPr w:rsidR="00B50281" w:rsidSect="00382D10">
          <w:pgSz w:w="16838" w:h="11906" w:orient="landscape"/>
          <w:pgMar w:top="1135" w:right="1440" w:bottom="1276"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50281" w:rsidRDefault="00B50281" w:rsidP="00B50281">
      <w:pPr>
        <w:rPr>
          <w:rFonts w:ascii="Calibri" w:hAnsi="Calibri"/>
          <w:sz w:val="22"/>
          <w:szCs w:val="22"/>
          <w:lang w:eastAsia="en-US"/>
        </w:rPr>
      </w:pPr>
    </w:p>
    <w:p w:rsidR="00B50281" w:rsidRDefault="00B50281" w:rsidP="00B50281">
      <w:pPr>
        <w:rPr>
          <w:rFonts w:ascii="Calibri" w:hAnsi="Calibri"/>
          <w:sz w:val="22"/>
          <w:szCs w:val="22"/>
          <w:lang w:eastAsia="en-US"/>
        </w:rPr>
      </w:pPr>
    </w:p>
    <w:p w:rsidR="00B50281" w:rsidRPr="00B50281" w:rsidRDefault="00B50281" w:rsidP="00B50281">
      <w:pPr>
        <w:rPr>
          <w:rFonts w:ascii="Calibri" w:hAnsi="Calibri"/>
          <w:sz w:val="22"/>
          <w:szCs w:val="22"/>
          <w:lang w:eastAsia="en-US"/>
        </w:rPr>
      </w:pPr>
    </w:p>
    <w:p w:rsidR="00B50281" w:rsidRPr="00B50281" w:rsidRDefault="00B50281" w:rsidP="00B50281">
      <w:pPr>
        <w:rPr>
          <w:rFonts w:ascii="Calibri" w:hAnsi="Calibri"/>
          <w:sz w:val="22"/>
          <w:szCs w:val="22"/>
          <w:lang w:eastAsia="en-US"/>
        </w:rPr>
      </w:pPr>
    </w:p>
    <w:p w:rsidR="00B50281" w:rsidRPr="00B50281" w:rsidRDefault="00B50281" w:rsidP="00B50281">
      <w:pPr>
        <w:ind w:left="720"/>
        <w:jc w:val="right"/>
        <w:rPr>
          <w:rFonts w:ascii="Arial" w:hAnsi="Arial" w:cs="Arial"/>
          <w:b/>
          <w:sz w:val="28"/>
          <w:szCs w:val="28"/>
        </w:rPr>
      </w:pPr>
      <w:r w:rsidRPr="00B50281">
        <w:rPr>
          <w:rFonts w:ascii="Arial" w:hAnsi="Arial" w:cs="Arial"/>
          <w:b/>
          <w:sz w:val="28"/>
          <w:szCs w:val="28"/>
        </w:rPr>
        <w:t>APPENDIX E</w:t>
      </w:r>
    </w:p>
    <w:p w:rsidR="00B50281" w:rsidRPr="00B50281" w:rsidRDefault="00B50281" w:rsidP="00B50281">
      <w:pPr>
        <w:rPr>
          <w:rFonts w:ascii="Calibri" w:hAnsi="Calibri"/>
          <w:sz w:val="22"/>
          <w:szCs w:val="22"/>
          <w:lang w:eastAsia="en-US"/>
        </w:rPr>
      </w:pPr>
    </w:p>
    <w:p w:rsidR="00B50281" w:rsidRPr="00B50281" w:rsidRDefault="00B50281" w:rsidP="00B50281">
      <w:pPr>
        <w:rPr>
          <w:rFonts w:ascii="Calibri" w:hAnsi="Calibri"/>
          <w:sz w:val="22"/>
          <w:szCs w:val="22"/>
          <w:lang w:eastAsia="en-US"/>
        </w:rPr>
      </w:pPr>
    </w:p>
    <w:p w:rsidR="00B50281" w:rsidRPr="00B50281" w:rsidRDefault="00B50281" w:rsidP="00B50281">
      <w:pPr>
        <w:jc w:val="right"/>
        <w:rPr>
          <w:rFonts w:ascii="Verdana" w:hAnsi="Verdana"/>
          <w:sz w:val="20"/>
        </w:rPr>
      </w:pPr>
    </w:p>
    <w:p w:rsidR="00B50281" w:rsidRPr="00B50281" w:rsidRDefault="00B50281" w:rsidP="00B50281">
      <w:pPr>
        <w:jc w:val="right"/>
        <w:rPr>
          <w:rFonts w:ascii="Verdana" w:hAnsi="Verdana"/>
          <w:b/>
          <w:sz w:val="28"/>
        </w:rPr>
      </w:pPr>
      <w:r>
        <w:rPr>
          <w:rFonts w:ascii="Verdana" w:hAnsi="Verdana"/>
          <w:noProof/>
          <w:sz w:val="20"/>
        </w:rPr>
        <w:drawing>
          <wp:inline distT="0" distB="0" distL="0" distR="0" wp14:anchorId="1068117E" wp14:editId="0373CBFE">
            <wp:extent cx="227647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1152525"/>
                    </a:xfrm>
                    <a:prstGeom prst="rect">
                      <a:avLst/>
                    </a:prstGeom>
                    <a:noFill/>
                    <a:ln>
                      <a:noFill/>
                    </a:ln>
                  </pic:spPr>
                </pic:pic>
              </a:graphicData>
            </a:graphic>
          </wp:inline>
        </w:drawing>
      </w:r>
    </w:p>
    <w:p w:rsidR="00B50281" w:rsidRPr="00B50281" w:rsidRDefault="00B50281" w:rsidP="00B50281">
      <w:pPr>
        <w:jc w:val="both"/>
        <w:rPr>
          <w:rFonts w:ascii="Verdana" w:hAnsi="Verdana"/>
          <w:b/>
          <w:sz w:val="28"/>
          <w:szCs w:val="28"/>
        </w:rPr>
      </w:pPr>
    </w:p>
    <w:p w:rsidR="00B50281" w:rsidRPr="00B50281" w:rsidRDefault="00B50281" w:rsidP="00B50281">
      <w:pPr>
        <w:spacing w:after="120"/>
        <w:jc w:val="both"/>
        <w:rPr>
          <w:rFonts w:ascii="Verdana" w:hAnsi="Verdana"/>
          <w:b/>
          <w:sz w:val="28"/>
          <w:szCs w:val="28"/>
        </w:rPr>
      </w:pPr>
      <w:r w:rsidRPr="00B50281">
        <w:rPr>
          <w:rFonts w:ascii="Verdana" w:hAnsi="Verdana"/>
          <w:b/>
          <w:sz w:val="28"/>
          <w:szCs w:val="28"/>
        </w:rPr>
        <w:t>Internal Audit Draft Report</w:t>
      </w:r>
    </w:p>
    <w:p w:rsidR="00B50281" w:rsidRPr="00B50281" w:rsidRDefault="00B50281" w:rsidP="00B50281">
      <w:pPr>
        <w:spacing w:after="120"/>
        <w:jc w:val="both"/>
        <w:rPr>
          <w:rFonts w:ascii="Verdana" w:hAnsi="Verdana"/>
          <w:b/>
          <w:sz w:val="28"/>
          <w:szCs w:val="28"/>
        </w:rPr>
      </w:pPr>
    </w:p>
    <w:p w:rsidR="00B50281" w:rsidRPr="00B50281" w:rsidRDefault="00B50281" w:rsidP="00B50281">
      <w:pPr>
        <w:jc w:val="both"/>
        <w:rPr>
          <w:rFonts w:ascii="Verdana" w:hAnsi="Verdana"/>
          <w:sz w:val="20"/>
        </w:rPr>
      </w:pPr>
      <w:r>
        <w:rPr>
          <w:rFonts w:ascii="Calibri" w:eastAsia="Calibri" w:hAnsi="Calibri"/>
          <w:noProof/>
          <w:sz w:val="22"/>
          <w:szCs w:val="22"/>
        </w:rPr>
        <mc:AlternateContent>
          <mc:Choice Requires="wps">
            <w:drawing>
              <wp:anchor distT="0" distB="0" distL="114300" distR="114300" simplePos="0" relativeHeight="251659264" behindDoc="0" locked="0" layoutInCell="0" allowOverlap="1" wp14:anchorId="0C65921D" wp14:editId="2FA316E9">
                <wp:simplePos x="0" y="0"/>
                <wp:positionH relativeFrom="column">
                  <wp:posOffset>-78105</wp:posOffset>
                </wp:positionH>
                <wp:positionV relativeFrom="paragraph">
                  <wp:posOffset>114300</wp:posOffset>
                </wp:positionV>
                <wp:extent cx="5972175" cy="1169670"/>
                <wp:effectExtent l="0" t="0" r="952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169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281" w:rsidRDefault="00B50281" w:rsidP="00B50281">
                            <w:pPr>
                              <w:rPr>
                                <w:noProof/>
                                <w:sz w:val="28"/>
                              </w:rPr>
                            </w:pPr>
                            <w:r>
                              <w:rPr>
                                <w:noProof/>
                                <w:sz w:val="28"/>
                              </w:rPr>
                              <w:t>High Life Highland</w:t>
                            </w:r>
                          </w:p>
                          <w:p w:rsidR="00B50281" w:rsidRPr="001E6BDC" w:rsidRDefault="00B50281" w:rsidP="00B50281">
                            <w:pPr>
                              <w:rPr>
                                <w:sz w:val="28"/>
                              </w:rPr>
                            </w:pPr>
                          </w:p>
                          <w:p w:rsidR="00B50281" w:rsidRPr="00BB7855" w:rsidRDefault="00B50281" w:rsidP="00B50281">
                            <w:pPr>
                              <w:rPr>
                                <w:caps/>
                                <w:sz w:val="28"/>
                                <w:szCs w:val="28"/>
                              </w:rPr>
                            </w:pPr>
                            <w:r w:rsidRPr="002E40F6">
                              <w:rPr>
                                <w:noProof/>
                                <w:sz w:val="28"/>
                              </w:rPr>
                              <w:t>HR Processes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15pt;margin-top:9pt;width:470.25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gwIAABA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" o:allowincell="f" stroked="f">
                <v:textbox>
                  <w:txbxContent>
                    <w:p w:rsidR="00B50281" w:rsidRDefault="00B50281" w:rsidP="00B50281">
                      <w:pPr>
                        <w:rPr>
                          <w:noProof/>
                          <w:sz w:val="28"/>
                        </w:rPr>
                      </w:pPr>
                      <w:r>
                        <w:rPr>
                          <w:noProof/>
                          <w:sz w:val="28"/>
                        </w:rPr>
                        <w:t>High Life Highland</w:t>
                      </w:r>
                    </w:p>
                    <w:p w:rsidR="00B50281" w:rsidRPr="001E6BDC" w:rsidRDefault="00B50281" w:rsidP="00B50281">
                      <w:pPr>
                        <w:rPr>
                          <w:sz w:val="28"/>
                        </w:rPr>
                      </w:pPr>
                    </w:p>
                    <w:p w:rsidR="00B50281" w:rsidRPr="00BB7855" w:rsidRDefault="00B50281" w:rsidP="00B50281">
                      <w:pPr>
                        <w:rPr>
                          <w:caps/>
                          <w:sz w:val="28"/>
                          <w:szCs w:val="28"/>
                        </w:rPr>
                      </w:pPr>
                      <w:r w:rsidRPr="002E40F6">
                        <w:rPr>
                          <w:noProof/>
                          <w:sz w:val="28"/>
                        </w:rPr>
                        <w:t>HR Processes</w:t>
                      </w:r>
                    </w:p>
                  </w:txbxContent>
                </v:textbox>
                <w10:wrap type="square"/>
              </v:shape>
            </w:pict>
          </mc:Fallback>
        </mc:AlternateContent>
      </w:r>
    </w:p>
    <w:p w:rsidR="00B50281" w:rsidRPr="00B50281" w:rsidRDefault="00B50281" w:rsidP="00B50281">
      <w:pPr>
        <w:jc w:val="both"/>
        <w:rPr>
          <w:rFonts w:ascii="Verdana" w:hAnsi="Verdana"/>
          <w:sz w:val="20"/>
        </w:rPr>
      </w:pPr>
    </w:p>
    <w:p w:rsidR="00B50281" w:rsidRPr="00B50281" w:rsidRDefault="00B50281" w:rsidP="00B50281">
      <w:pPr>
        <w:jc w:val="both"/>
        <w:rPr>
          <w:rFonts w:ascii="Verdana" w:hAnsi="Verdana"/>
          <w:sz w:val="20"/>
        </w:rPr>
      </w:pPr>
    </w:p>
    <w:p w:rsidR="00B50281" w:rsidRPr="00B50281" w:rsidRDefault="00B50281" w:rsidP="00B50281">
      <w:pPr>
        <w:jc w:val="both"/>
        <w:rPr>
          <w:rFonts w:ascii="Verdana" w:hAnsi="Verdana"/>
          <w:sz w:val="20"/>
        </w:rPr>
      </w:pPr>
    </w:p>
    <w:p w:rsidR="00B50281" w:rsidRPr="00B50281" w:rsidRDefault="00B50281" w:rsidP="00B50281">
      <w:pPr>
        <w:jc w:val="both"/>
        <w:rPr>
          <w:rFonts w:ascii="Verdana" w:hAnsi="Verdana"/>
          <w:sz w:val="20"/>
        </w:rPr>
      </w:pPr>
    </w:p>
    <w:p w:rsidR="00B50281" w:rsidRPr="00B50281" w:rsidRDefault="00B50281" w:rsidP="00B50281">
      <w:pPr>
        <w:jc w:val="both"/>
        <w:rPr>
          <w:rFonts w:ascii="Verdana" w:hAnsi="Verdana"/>
          <w:sz w:val="20"/>
        </w:rPr>
      </w:pPr>
    </w:p>
    <w:p w:rsidR="00B50281" w:rsidRPr="00B50281" w:rsidRDefault="00B50281" w:rsidP="00B50281">
      <w:pPr>
        <w:jc w:val="both"/>
        <w:rPr>
          <w:rFonts w:ascii="Verdana" w:hAnsi="Verdana"/>
          <w:sz w:val="20"/>
        </w:rPr>
      </w:pPr>
    </w:p>
    <w:p w:rsidR="00B50281" w:rsidRPr="00B50281" w:rsidRDefault="00B50281" w:rsidP="00B50281">
      <w:pPr>
        <w:jc w:val="both"/>
        <w:rPr>
          <w:rFonts w:ascii="Verdana" w:hAnsi="Verdana"/>
          <w:sz w:val="20"/>
        </w:rPr>
      </w:pPr>
    </w:p>
    <w:p w:rsidR="00B50281" w:rsidRPr="00B50281" w:rsidRDefault="00B50281" w:rsidP="00B50281">
      <w:pPr>
        <w:jc w:val="both"/>
        <w:rPr>
          <w:rFonts w:ascii="Verdana" w:hAnsi="Verdana"/>
          <w:sz w:val="20"/>
        </w:rPr>
      </w:pPr>
    </w:p>
    <w:p w:rsidR="00B50281" w:rsidRPr="00B50281" w:rsidRDefault="00B50281" w:rsidP="00B50281">
      <w:pPr>
        <w:jc w:val="both"/>
        <w:rPr>
          <w:rFonts w:ascii="Verdana" w:hAnsi="Verdana"/>
          <w:sz w:val="20"/>
        </w:rPr>
      </w:pPr>
    </w:p>
    <w:p w:rsidR="00B50281" w:rsidRPr="00B50281" w:rsidRDefault="00B50281" w:rsidP="00B50281">
      <w:pPr>
        <w:jc w:val="both"/>
        <w:rPr>
          <w:rFonts w:ascii="Verdana" w:hAnsi="Verdana"/>
          <w:sz w:val="20"/>
        </w:rPr>
      </w:pPr>
    </w:p>
    <w:tbl>
      <w:tblPr>
        <w:tblW w:w="0" w:type="auto"/>
        <w:tblLook w:val="04A0" w:firstRow="1" w:lastRow="0" w:firstColumn="1" w:lastColumn="0" w:noHBand="0" w:noVBand="1"/>
      </w:tblPr>
      <w:tblGrid>
        <w:gridCol w:w="5442"/>
        <w:gridCol w:w="1712"/>
        <w:gridCol w:w="1296"/>
        <w:gridCol w:w="1262"/>
      </w:tblGrid>
      <w:tr w:rsidR="00B50281" w:rsidRPr="00B50281" w:rsidTr="00F2318B">
        <w:tc>
          <w:tcPr>
            <w:tcW w:w="8046" w:type="dxa"/>
            <w:shd w:val="clear" w:color="auto" w:fill="auto"/>
          </w:tcPr>
          <w:p w:rsidR="00B50281" w:rsidRPr="00B50281" w:rsidRDefault="00B50281" w:rsidP="00B50281">
            <w:pPr>
              <w:jc w:val="both"/>
              <w:rPr>
                <w:rFonts w:ascii="Verdana" w:hAnsi="Verdana"/>
                <w:b/>
                <w:sz w:val="18"/>
                <w:szCs w:val="18"/>
              </w:rPr>
            </w:pPr>
            <w:r w:rsidRPr="00B50281">
              <w:rPr>
                <w:rFonts w:ascii="Verdana" w:hAnsi="Verdana"/>
                <w:b/>
                <w:sz w:val="18"/>
                <w:szCs w:val="18"/>
              </w:rPr>
              <w:t>Distribution:</w:t>
            </w:r>
          </w:p>
        </w:tc>
        <w:tc>
          <w:tcPr>
            <w:tcW w:w="2694" w:type="dxa"/>
            <w:shd w:val="clear" w:color="auto" w:fill="auto"/>
          </w:tcPr>
          <w:p w:rsidR="00B50281" w:rsidRPr="00B50281" w:rsidRDefault="00B50281" w:rsidP="00B50281">
            <w:pPr>
              <w:jc w:val="both"/>
              <w:rPr>
                <w:rFonts w:ascii="Verdana" w:hAnsi="Verdana"/>
                <w:sz w:val="18"/>
                <w:szCs w:val="18"/>
              </w:rPr>
            </w:pPr>
          </w:p>
        </w:tc>
        <w:tc>
          <w:tcPr>
            <w:tcW w:w="1559" w:type="dxa"/>
            <w:shd w:val="clear" w:color="auto" w:fill="auto"/>
          </w:tcPr>
          <w:p w:rsidR="00B50281" w:rsidRPr="00B50281" w:rsidRDefault="00B50281" w:rsidP="00B50281">
            <w:pPr>
              <w:jc w:val="both"/>
              <w:rPr>
                <w:rFonts w:ascii="Verdana" w:hAnsi="Verdana"/>
                <w:b/>
                <w:sz w:val="18"/>
                <w:szCs w:val="18"/>
              </w:rPr>
            </w:pPr>
            <w:r w:rsidRPr="00B50281">
              <w:rPr>
                <w:rFonts w:ascii="Verdana" w:hAnsi="Verdana"/>
                <w:b/>
                <w:sz w:val="18"/>
                <w:szCs w:val="18"/>
              </w:rPr>
              <w:t>Report Ref:</w:t>
            </w:r>
          </w:p>
        </w:tc>
        <w:tc>
          <w:tcPr>
            <w:tcW w:w="1276"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HLH01/004</w:t>
            </w:r>
          </w:p>
        </w:tc>
      </w:tr>
      <w:tr w:rsidR="00B50281" w:rsidRPr="00B50281" w:rsidTr="00F2318B">
        <w:tc>
          <w:tcPr>
            <w:tcW w:w="8046"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HR Manager, High Life Highland</w:t>
            </w:r>
          </w:p>
        </w:tc>
        <w:tc>
          <w:tcPr>
            <w:tcW w:w="2694" w:type="dxa"/>
            <w:shd w:val="clear" w:color="auto" w:fill="auto"/>
          </w:tcPr>
          <w:p w:rsidR="00B50281" w:rsidRPr="00B50281" w:rsidRDefault="00B50281" w:rsidP="00B50281">
            <w:pPr>
              <w:jc w:val="both"/>
              <w:rPr>
                <w:rFonts w:ascii="Verdana" w:hAnsi="Verdana"/>
                <w:sz w:val="18"/>
                <w:szCs w:val="18"/>
              </w:rPr>
            </w:pPr>
          </w:p>
        </w:tc>
        <w:tc>
          <w:tcPr>
            <w:tcW w:w="1559" w:type="dxa"/>
            <w:shd w:val="clear" w:color="auto" w:fill="auto"/>
          </w:tcPr>
          <w:p w:rsidR="00B50281" w:rsidRPr="00B50281" w:rsidRDefault="00B50281" w:rsidP="00B50281">
            <w:pPr>
              <w:jc w:val="both"/>
              <w:rPr>
                <w:rFonts w:ascii="Verdana" w:hAnsi="Verdana"/>
                <w:b/>
                <w:sz w:val="18"/>
                <w:szCs w:val="18"/>
              </w:rPr>
            </w:pPr>
            <w:r w:rsidRPr="00B50281">
              <w:rPr>
                <w:rFonts w:ascii="Verdana" w:hAnsi="Verdana"/>
                <w:b/>
                <w:sz w:val="18"/>
                <w:szCs w:val="18"/>
              </w:rPr>
              <w:t>Draft Date:</w:t>
            </w:r>
          </w:p>
        </w:tc>
        <w:tc>
          <w:tcPr>
            <w:tcW w:w="1276"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14/02/18</w:t>
            </w:r>
          </w:p>
        </w:tc>
      </w:tr>
      <w:tr w:rsidR="00B50281" w:rsidRPr="00B50281" w:rsidTr="00F2318B">
        <w:tc>
          <w:tcPr>
            <w:tcW w:w="8046"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Finance Manager, High Life Highland</w:t>
            </w:r>
          </w:p>
        </w:tc>
        <w:tc>
          <w:tcPr>
            <w:tcW w:w="2694" w:type="dxa"/>
            <w:shd w:val="clear" w:color="auto" w:fill="auto"/>
          </w:tcPr>
          <w:p w:rsidR="00B50281" w:rsidRPr="00B50281" w:rsidRDefault="00B50281" w:rsidP="00B50281">
            <w:pPr>
              <w:jc w:val="both"/>
              <w:rPr>
                <w:rFonts w:ascii="Verdana" w:hAnsi="Verdana"/>
                <w:sz w:val="18"/>
                <w:szCs w:val="18"/>
              </w:rPr>
            </w:pPr>
          </w:p>
        </w:tc>
        <w:tc>
          <w:tcPr>
            <w:tcW w:w="1559" w:type="dxa"/>
            <w:shd w:val="clear" w:color="auto" w:fill="auto"/>
          </w:tcPr>
          <w:p w:rsidR="00B50281" w:rsidRPr="00B50281" w:rsidRDefault="00B50281" w:rsidP="00B50281">
            <w:pPr>
              <w:jc w:val="both"/>
              <w:rPr>
                <w:rFonts w:ascii="Verdana" w:hAnsi="Verdana"/>
                <w:b/>
                <w:sz w:val="18"/>
                <w:szCs w:val="18"/>
              </w:rPr>
            </w:pPr>
            <w:r w:rsidRPr="00B50281">
              <w:rPr>
                <w:rFonts w:ascii="Verdana" w:hAnsi="Verdana"/>
                <w:b/>
                <w:sz w:val="18"/>
                <w:szCs w:val="18"/>
              </w:rPr>
              <w:t>Final Date:</w:t>
            </w:r>
          </w:p>
        </w:tc>
        <w:tc>
          <w:tcPr>
            <w:tcW w:w="1276" w:type="dxa"/>
            <w:shd w:val="clear" w:color="auto" w:fill="auto"/>
          </w:tcPr>
          <w:p w:rsidR="00B50281" w:rsidRPr="00B50281" w:rsidRDefault="00B50281" w:rsidP="00B50281">
            <w:pPr>
              <w:jc w:val="both"/>
              <w:rPr>
                <w:rFonts w:ascii="Verdana" w:hAnsi="Verdana"/>
                <w:sz w:val="18"/>
                <w:szCs w:val="18"/>
              </w:rPr>
            </w:pPr>
          </w:p>
        </w:tc>
      </w:tr>
      <w:tr w:rsidR="00B50281" w:rsidRPr="00B50281" w:rsidTr="00F2318B">
        <w:tc>
          <w:tcPr>
            <w:tcW w:w="8046" w:type="dxa"/>
            <w:shd w:val="clear" w:color="auto" w:fill="auto"/>
          </w:tcPr>
          <w:p w:rsidR="00B50281" w:rsidRDefault="00B50281" w:rsidP="00B50281">
            <w:pPr>
              <w:jc w:val="both"/>
              <w:rPr>
                <w:rFonts w:ascii="Verdana" w:hAnsi="Verdana"/>
                <w:sz w:val="18"/>
                <w:szCs w:val="18"/>
              </w:rPr>
            </w:pPr>
          </w:p>
          <w:p w:rsidR="00B50281" w:rsidRDefault="00B50281" w:rsidP="00B50281">
            <w:pPr>
              <w:jc w:val="both"/>
              <w:rPr>
                <w:rFonts w:ascii="Verdana" w:hAnsi="Verdana"/>
                <w:sz w:val="18"/>
                <w:szCs w:val="18"/>
              </w:rPr>
            </w:pPr>
          </w:p>
          <w:p w:rsidR="00B50281" w:rsidRDefault="00B50281" w:rsidP="00B50281">
            <w:pPr>
              <w:jc w:val="both"/>
              <w:rPr>
                <w:rFonts w:ascii="Verdana" w:hAnsi="Verdana"/>
                <w:sz w:val="18"/>
                <w:szCs w:val="18"/>
              </w:rPr>
            </w:pPr>
          </w:p>
          <w:p w:rsidR="00B50281" w:rsidRDefault="00B50281" w:rsidP="00B50281">
            <w:pPr>
              <w:jc w:val="both"/>
              <w:rPr>
                <w:rFonts w:ascii="Verdana" w:hAnsi="Verdana"/>
                <w:sz w:val="18"/>
                <w:szCs w:val="18"/>
              </w:rPr>
            </w:pPr>
          </w:p>
          <w:p w:rsidR="00B50281" w:rsidRPr="00B50281" w:rsidRDefault="00B50281" w:rsidP="00B50281">
            <w:pPr>
              <w:jc w:val="both"/>
              <w:rPr>
                <w:rFonts w:ascii="Verdana" w:hAnsi="Verdana"/>
                <w:sz w:val="18"/>
                <w:szCs w:val="18"/>
              </w:rPr>
            </w:pPr>
          </w:p>
        </w:tc>
        <w:tc>
          <w:tcPr>
            <w:tcW w:w="2694" w:type="dxa"/>
            <w:shd w:val="clear" w:color="auto" w:fill="auto"/>
          </w:tcPr>
          <w:p w:rsidR="00B50281" w:rsidRPr="00B50281" w:rsidRDefault="00B50281" w:rsidP="00B50281">
            <w:pPr>
              <w:jc w:val="both"/>
              <w:rPr>
                <w:rFonts w:ascii="Verdana" w:hAnsi="Verdana"/>
                <w:sz w:val="18"/>
                <w:szCs w:val="18"/>
              </w:rPr>
            </w:pPr>
          </w:p>
        </w:tc>
        <w:tc>
          <w:tcPr>
            <w:tcW w:w="1559" w:type="dxa"/>
            <w:shd w:val="clear" w:color="auto" w:fill="auto"/>
          </w:tcPr>
          <w:p w:rsidR="00B50281" w:rsidRPr="00B50281" w:rsidRDefault="00B50281" w:rsidP="00B50281">
            <w:pPr>
              <w:jc w:val="both"/>
              <w:rPr>
                <w:rFonts w:ascii="Verdana" w:hAnsi="Verdana"/>
                <w:sz w:val="18"/>
                <w:szCs w:val="18"/>
              </w:rPr>
            </w:pPr>
          </w:p>
        </w:tc>
        <w:tc>
          <w:tcPr>
            <w:tcW w:w="1276" w:type="dxa"/>
            <w:shd w:val="clear" w:color="auto" w:fill="auto"/>
          </w:tcPr>
          <w:p w:rsidR="00B50281" w:rsidRPr="00B50281" w:rsidRDefault="00B50281" w:rsidP="00B50281">
            <w:pPr>
              <w:jc w:val="both"/>
              <w:rPr>
                <w:rFonts w:ascii="Verdana" w:hAnsi="Verdana"/>
                <w:sz w:val="18"/>
                <w:szCs w:val="18"/>
              </w:rPr>
            </w:pPr>
          </w:p>
        </w:tc>
      </w:tr>
      <w:tr w:rsidR="00B50281" w:rsidRPr="00B50281" w:rsidTr="00F2318B">
        <w:tc>
          <w:tcPr>
            <w:tcW w:w="8046" w:type="dxa"/>
            <w:shd w:val="clear" w:color="auto" w:fill="auto"/>
          </w:tcPr>
          <w:p w:rsidR="00B50281" w:rsidRPr="00B50281" w:rsidRDefault="00B50281" w:rsidP="00B50281">
            <w:pPr>
              <w:jc w:val="both"/>
              <w:rPr>
                <w:rFonts w:ascii="Verdana" w:hAnsi="Verdana"/>
                <w:sz w:val="18"/>
                <w:szCs w:val="18"/>
              </w:rPr>
            </w:pPr>
          </w:p>
        </w:tc>
        <w:tc>
          <w:tcPr>
            <w:tcW w:w="2694" w:type="dxa"/>
            <w:shd w:val="clear" w:color="auto" w:fill="auto"/>
          </w:tcPr>
          <w:p w:rsidR="00B50281" w:rsidRPr="00B50281" w:rsidRDefault="00B50281" w:rsidP="00B50281">
            <w:pPr>
              <w:jc w:val="both"/>
              <w:rPr>
                <w:rFonts w:ascii="Verdana" w:hAnsi="Verdana"/>
                <w:sz w:val="18"/>
                <w:szCs w:val="18"/>
              </w:rPr>
            </w:pPr>
          </w:p>
        </w:tc>
        <w:tc>
          <w:tcPr>
            <w:tcW w:w="1559" w:type="dxa"/>
            <w:shd w:val="clear" w:color="auto" w:fill="auto"/>
          </w:tcPr>
          <w:p w:rsidR="00B50281" w:rsidRPr="00B50281" w:rsidRDefault="00B50281" w:rsidP="00B50281">
            <w:pPr>
              <w:jc w:val="both"/>
              <w:rPr>
                <w:rFonts w:ascii="Verdana" w:hAnsi="Verdana"/>
                <w:sz w:val="18"/>
                <w:szCs w:val="18"/>
              </w:rPr>
            </w:pPr>
          </w:p>
        </w:tc>
        <w:tc>
          <w:tcPr>
            <w:tcW w:w="1276" w:type="dxa"/>
            <w:shd w:val="clear" w:color="auto" w:fill="auto"/>
          </w:tcPr>
          <w:p w:rsidR="00B50281" w:rsidRPr="00B50281" w:rsidRDefault="00B50281" w:rsidP="00B50281">
            <w:pPr>
              <w:jc w:val="both"/>
              <w:rPr>
                <w:rFonts w:ascii="Verdana" w:hAnsi="Verdana"/>
                <w:sz w:val="18"/>
                <w:szCs w:val="18"/>
              </w:rPr>
            </w:pPr>
          </w:p>
        </w:tc>
      </w:tr>
      <w:tr w:rsidR="00B50281" w:rsidRPr="00B50281" w:rsidTr="00F2318B">
        <w:tc>
          <w:tcPr>
            <w:tcW w:w="8046" w:type="dxa"/>
            <w:shd w:val="clear" w:color="auto" w:fill="auto"/>
          </w:tcPr>
          <w:p w:rsidR="00B50281" w:rsidRPr="00B50281" w:rsidRDefault="00B50281" w:rsidP="00B50281">
            <w:pPr>
              <w:jc w:val="both"/>
              <w:rPr>
                <w:rFonts w:ascii="Verdana" w:hAnsi="Verdana"/>
                <w:sz w:val="18"/>
                <w:szCs w:val="18"/>
              </w:rPr>
            </w:pPr>
          </w:p>
        </w:tc>
        <w:tc>
          <w:tcPr>
            <w:tcW w:w="2694" w:type="dxa"/>
            <w:shd w:val="clear" w:color="auto" w:fill="auto"/>
          </w:tcPr>
          <w:p w:rsidR="00B50281" w:rsidRPr="00B50281" w:rsidRDefault="00B50281" w:rsidP="00B50281">
            <w:pPr>
              <w:jc w:val="both"/>
              <w:rPr>
                <w:rFonts w:ascii="Verdana" w:hAnsi="Verdana"/>
                <w:sz w:val="18"/>
                <w:szCs w:val="18"/>
              </w:rPr>
            </w:pPr>
          </w:p>
        </w:tc>
        <w:tc>
          <w:tcPr>
            <w:tcW w:w="1559" w:type="dxa"/>
            <w:shd w:val="clear" w:color="auto" w:fill="auto"/>
          </w:tcPr>
          <w:p w:rsidR="00B50281" w:rsidRPr="00B50281" w:rsidRDefault="00B50281" w:rsidP="00B50281">
            <w:pPr>
              <w:jc w:val="both"/>
              <w:rPr>
                <w:rFonts w:ascii="Verdana" w:hAnsi="Verdana"/>
                <w:sz w:val="18"/>
                <w:szCs w:val="18"/>
              </w:rPr>
            </w:pPr>
          </w:p>
        </w:tc>
        <w:tc>
          <w:tcPr>
            <w:tcW w:w="1276" w:type="dxa"/>
            <w:shd w:val="clear" w:color="auto" w:fill="auto"/>
          </w:tcPr>
          <w:p w:rsidR="00B50281" w:rsidRPr="00B50281" w:rsidRDefault="00B50281" w:rsidP="00B50281">
            <w:pPr>
              <w:jc w:val="both"/>
              <w:rPr>
                <w:rFonts w:ascii="Verdana" w:hAnsi="Verdana"/>
                <w:sz w:val="18"/>
                <w:szCs w:val="18"/>
              </w:rPr>
            </w:pPr>
          </w:p>
        </w:tc>
      </w:tr>
      <w:tr w:rsidR="00B50281" w:rsidRPr="00B50281" w:rsidTr="00F2318B">
        <w:tc>
          <w:tcPr>
            <w:tcW w:w="8046" w:type="dxa"/>
            <w:shd w:val="clear" w:color="auto" w:fill="auto"/>
          </w:tcPr>
          <w:p w:rsidR="00B50281" w:rsidRPr="00B50281" w:rsidRDefault="00B50281" w:rsidP="00B50281">
            <w:pPr>
              <w:jc w:val="both"/>
              <w:rPr>
                <w:rFonts w:ascii="Verdana" w:hAnsi="Verdana"/>
                <w:sz w:val="18"/>
                <w:szCs w:val="18"/>
              </w:rPr>
            </w:pPr>
          </w:p>
        </w:tc>
        <w:tc>
          <w:tcPr>
            <w:tcW w:w="2694" w:type="dxa"/>
            <w:shd w:val="clear" w:color="auto" w:fill="auto"/>
          </w:tcPr>
          <w:p w:rsidR="00B50281" w:rsidRPr="00B50281" w:rsidRDefault="00B50281" w:rsidP="00B50281">
            <w:pPr>
              <w:jc w:val="both"/>
              <w:rPr>
                <w:rFonts w:ascii="Verdana" w:hAnsi="Verdana"/>
                <w:sz w:val="18"/>
                <w:szCs w:val="18"/>
              </w:rPr>
            </w:pPr>
          </w:p>
        </w:tc>
        <w:tc>
          <w:tcPr>
            <w:tcW w:w="1559" w:type="dxa"/>
            <w:shd w:val="clear" w:color="auto" w:fill="auto"/>
          </w:tcPr>
          <w:p w:rsidR="00B50281" w:rsidRPr="00B50281" w:rsidRDefault="00B50281" w:rsidP="00B50281">
            <w:pPr>
              <w:jc w:val="both"/>
              <w:rPr>
                <w:rFonts w:ascii="Verdana" w:hAnsi="Verdana"/>
                <w:sz w:val="18"/>
                <w:szCs w:val="18"/>
              </w:rPr>
            </w:pPr>
          </w:p>
        </w:tc>
        <w:tc>
          <w:tcPr>
            <w:tcW w:w="1276" w:type="dxa"/>
            <w:shd w:val="clear" w:color="auto" w:fill="auto"/>
          </w:tcPr>
          <w:p w:rsidR="00B50281" w:rsidRPr="00B50281" w:rsidRDefault="00B50281" w:rsidP="00B50281">
            <w:pPr>
              <w:jc w:val="both"/>
              <w:rPr>
                <w:rFonts w:ascii="Verdana" w:hAnsi="Verdana"/>
                <w:sz w:val="18"/>
                <w:szCs w:val="18"/>
              </w:rPr>
            </w:pPr>
          </w:p>
        </w:tc>
      </w:tr>
    </w:tbl>
    <w:p w:rsidR="00B50281" w:rsidRPr="00B50281" w:rsidRDefault="00B50281" w:rsidP="00B50281">
      <w:pPr>
        <w:jc w:val="both"/>
        <w:rPr>
          <w:rFonts w:ascii="Verdana" w:hAnsi="Verdana"/>
          <w:sz w:val="20"/>
        </w:rPr>
      </w:pPr>
    </w:p>
    <w:p w:rsidR="00B50281" w:rsidRPr="00B50281" w:rsidRDefault="00B50281" w:rsidP="00B50281">
      <w:pPr>
        <w:jc w:val="both"/>
        <w:rPr>
          <w:rFonts w:ascii="Verdana" w:hAnsi="Verdana"/>
          <w:sz w:val="20"/>
        </w:rPr>
        <w:sectPr w:rsidR="00B50281" w:rsidRPr="00B50281" w:rsidSect="00B50281">
          <w:footerReference w:type="default" r:id="rId13"/>
          <w:pgSz w:w="11906" w:h="16838"/>
          <w:pgMar w:top="1440" w:right="1276" w:bottom="1440" w:left="1134"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72"/>
        </w:sectPr>
      </w:pPr>
    </w:p>
    <w:p w:rsidR="00B50281" w:rsidRPr="00B50281" w:rsidRDefault="00B50281" w:rsidP="00B50281">
      <w:pPr>
        <w:keepNext/>
        <w:spacing w:after="240"/>
        <w:jc w:val="both"/>
        <w:outlineLvl w:val="0"/>
        <w:rPr>
          <w:rFonts w:ascii="Verdana" w:hAnsi="Verdana"/>
          <w:b/>
          <w:sz w:val="20"/>
        </w:rPr>
      </w:pPr>
      <w:bookmarkStart w:id="1" w:name="_Toc433715106"/>
      <w:r w:rsidRPr="00B50281">
        <w:rPr>
          <w:rFonts w:ascii="Verdana" w:hAnsi="Verdana"/>
          <w:b/>
          <w:caps/>
          <w:sz w:val="20"/>
        </w:rPr>
        <w:lastRenderedPageBreak/>
        <w:t>1.</w:t>
      </w:r>
      <w:r w:rsidRPr="00B50281">
        <w:rPr>
          <w:rFonts w:ascii="Verdana" w:hAnsi="Verdana"/>
          <w:b/>
          <w:caps/>
          <w:sz w:val="20"/>
        </w:rPr>
        <w:tab/>
      </w:r>
      <w:bookmarkEnd w:id="1"/>
      <w:r w:rsidRPr="00B50281">
        <w:rPr>
          <w:rFonts w:ascii="Verdana" w:hAnsi="Verdana"/>
          <w:b/>
          <w:caps/>
          <w:sz w:val="20"/>
        </w:rPr>
        <w:t>I</w:t>
      </w:r>
      <w:r w:rsidRPr="00B50281">
        <w:rPr>
          <w:rFonts w:ascii="Verdana" w:hAnsi="Verdana"/>
          <w:b/>
          <w:sz w:val="20"/>
        </w:rPr>
        <w:t>ntroduction</w:t>
      </w:r>
    </w:p>
    <w:p w:rsidR="00B50281" w:rsidRPr="00B50281" w:rsidRDefault="00B50281" w:rsidP="00B50281">
      <w:pPr>
        <w:spacing w:after="120"/>
        <w:ind w:left="720" w:hanging="720"/>
        <w:jc w:val="both"/>
        <w:rPr>
          <w:rFonts w:ascii="Verdana" w:hAnsi="Verdana"/>
          <w:sz w:val="20"/>
        </w:rPr>
      </w:pPr>
      <w:r w:rsidRPr="00B50281">
        <w:rPr>
          <w:rFonts w:ascii="Verdana" w:hAnsi="Verdana"/>
          <w:sz w:val="20"/>
        </w:rPr>
        <w:t>1.1</w:t>
      </w:r>
      <w:r w:rsidRPr="00B50281">
        <w:rPr>
          <w:rFonts w:ascii="Verdana" w:hAnsi="Verdana"/>
          <w:sz w:val="20"/>
        </w:rPr>
        <w:tab/>
        <w:t>This report details the findings of the Internal Audit review of High Life Highland (HLH) recruitment processes. The audit was carried out as part of the 2017/18 audit plan. The HLH staffing establishment at 30/09/17, as reported to the HLH Board on 13/12/17, was 616.75 FTE posts.</w:t>
      </w:r>
    </w:p>
    <w:p w:rsidR="00B50281" w:rsidRPr="00B50281" w:rsidRDefault="00B50281" w:rsidP="00B50281">
      <w:pPr>
        <w:spacing w:after="120"/>
        <w:ind w:left="720" w:hanging="720"/>
        <w:jc w:val="both"/>
        <w:rPr>
          <w:rFonts w:ascii="Verdana" w:hAnsi="Verdana"/>
          <w:sz w:val="20"/>
        </w:rPr>
      </w:pPr>
      <w:r w:rsidRPr="00B50281">
        <w:rPr>
          <w:rFonts w:ascii="Verdana" w:hAnsi="Verdana"/>
          <w:sz w:val="20"/>
        </w:rPr>
        <w:t>1.2</w:t>
      </w:r>
      <w:r w:rsidRPr="00B50281">
        <w:rPr>
          <w:rFonts w:ascii="Verdana" w:hAnsi="Verdana"/>
          <w:sz w:val="20"/>
        </w:rPr>
        <w:tab/>
        <w:t>The audit reviewed the recruitment process for a sample of 30 vacancies from April to September 2017 to verify that the decision to recruit had been suitably authorised, recruitment had been carried out in line with HLH policies, and that where applicable the relevant Protecting Vulnerable Groups (PVG) checking has been undertaken. 15 of the vacancies reviewed required a PVG check to be carried out. The scope of the audit was agreed with the Finance Manager and HR Manager.</w:t>
      </w:r>
    </w:p>
    <w:p w:rsidR="00B50281" w:rsidRPr="00B50281" w:rsidRDefault="00B50281" w:rsidP="00B50281">
      <w:pPr>
        <w:spacing w:after="120"/>
        <w:ind w:left="720" w:hanging="720"/>
        <w:jc w:val="both"/>
        <w:rPr>
          <w:rFonts w:ascii="Verdana" w:hAnsi="Verdana"/>
          <w:sz w:val="20"/>
        </w:rPr>
      </w:pPr>
      <w:r w:rsidRPr="00B50281">
        <w:rPr>
          <w:rFonts w:ascii="Verdana" w:hAnsi="Verdana"/>
          <w:sz w:val="20"/>
        </w:rPr>
        <w:t>1.3</w:t>
      </w:r>
      <w:r w:rsidRPr="00B50281">
        <w:rPr>
          <w:rFonts w:ascii="Verdana" w:hAnsi="Verdana"/>
          <w:sz w:val="20"/>
        </w:rPr>
        <w:tab/>
        <w:t>The recruitment process is initiated by the relevant manager, and the process involves the manager and the Business Support – Recruitment team (BSR team).</w:t>
      </w:r>
    </w:p>
    <w:p w:rsidR="00B50281" w:rsidRPr="00B50281" w:rsidRDefault="00B50281" w:rsidP="00B50281">
      <w:pPr>
        <w:keepNext/>
        <w:spacing w:after="240"/>
        <w:jc w:val="both"/>
        <w:outlineLvl w:val="0"/>
        <w:rPr>
          <w:rFonts w:ascii="Verdana" w:hAnsi="Verdana"/>
          <w:b/>
          <w:sz w:val="20"/>
        </w:rPr>
      </w:pPr>
      <w:bookmarkStart w:id="2" w:name="_Toc433715107"/>
      <w:r w:rsidRPr="00B50281">
        <w:rPr>
          <w:rFonts w:ascii="Verdana" w:hAnsi="Verdana"/>
          <w:b/>
          <w:sz w:val="20"/>
        </w:rPr>
        <w:t>2.</w:t>
      </w:r>
      <w:r w:rsidRPr="00B50281">
        <w:rPr>
          <w:rFonts w:ascii="Verdana" w:hAnsi="Verdana"/>
          <w:b/>
          <w:sz w:val="20"/>
        </w:rPr>
        <w:tab/>
        <w:t>Main Findings</w:t>
      </w:r>
    </w:p>
    <w:p w:rsidR="00B50281" w:rsidRPr="00B50281" w:rsidRDefault="00B50281" w:rsidP="00B50281">
      <w:pPr>
        <w:spacing w:after="120"/>
        <w:jc w:val="both"/>
        <w:rPr>
          <w:rFonts w:ascii="Verdana" w:hAnsi="Verdana"/>
          <w:i/>
          <w:sz w:val="20"/>
        </w:rPr>
      </w:pPr>
      <w:r w:rsidRPr="00B50281">
        <w:rPr>
          <w:rFonts w:ascii="Verdana" w:hAnsi="Verdana"/>
          <w:sz w:val="20"/>
        </w:rPr>
        <w:t>2.1</w:t>
      </w:r>
      <w:r w:rsidRPr="00B50281">
        <w:rPr>
          <w:rFonts w:ascii="Verdana" w:hAnsi="Verdana"/>
          <w:sz w:val="20"/>
        </w:rPr>
        <w:tab/>
      </w:r>
      <w:r w:rsidRPr="00B50281">
        <w:rPr>
          <w:rFonts w:ascii="Verdana" w:hAnsi="Verdana"/>
          <w:i/>
          <w:sz w:val="20"/>
        </w:rPr>
        <w:t>PVG checking</w:t>
      </w:r>
    </w:p>
    <w:p w:rsidR="00B50281" w:rsidRPr="00B50281" w:rsidRDefault="00B50281" w:rsidP="00B50281">
      <w:pPr>
        <w:spacing w:after="120"/>
        <w:ind w:left="709"/>
        <w:jc w:val="both"/>
        <w:rPr>
          <w:rFonts w:ascii="Verdana" w:hAnsi="Verdana"/>
          <w:sz w:val="20"/>
        </w:rPr>
      </w:pPr>
      <w:r w:rsidRPr="00B50281">
        <w:rPr>
          <w:rFonts w:ascii="Verdana" w:hAnsi="Verdana"/>
          <w:sz w:val="20"/>
        </w:rPr>
        <w:t>This objective was partially achieved, as there are policies and procedures in place in respect of PVG checking. However, a PVG application form issued on 10/07/17 following the appointment to a Relief Leisure Supervisor post (vacancy HLH/1705/16) has not been returned to the BSR team. There is no further detail on the vacancy or PVG spreadsheet to clarify if he took up the post.</w:t>
      </w:r>
    </w:p>
    <w:p w:rsidR="00B50281" w:rsidRPr="00B50281" w:rsidRDefault="00B50281" w:rsidP="00B50281">
      <w:pPr>
        <w:spacing w:after="120"/>
        <w:ind w:left="709"/>
        <w:jc w:val="both"/>
        <w:rPr>
          <w:rFonts w:ascii="Verdana" w:hAnsi="Verdana"/>
          <w:sz w:val="20"/>
        </w:rPr>
      </w:pPr>
      <w:r w:rsidRPr="00B50281">
        <w:rPr>
          <w:rFonts w:ascii="Verdana" w:hAnsi="Verdana"/>
          <w:sz w:val="20"/>
        </w:rPr>
        <w:t xml:space="preserve">This was raised with the HR Manager, who found that the PVG check has been requested twice (first in 2015 and then in 2017) but does not appear to have been completed. The BSR team are to follow up with the Manager and ensure that this PVG check is </w:t>
      </w:r>
      <w:r w:rsidRPr="00B50281">
        <w:rPr>
          <w:rFonts w:ascii="Verdana" w:hAnsi="Verdana"/>
          <w:sz w:val="20"/>
        </w:rPr>
        <w:lastRenderedPageBreak/>
        <w:t>completed as soon as possible, as the member of staff is still employed.</w:t>
      </w:r>
    </w:p>
    <w:p w:rsidR="00B50281" w:rsidRPr="00B50281" w:rsidRDefault="00B50281" w:rsidP="00B50281">
      <w:pPr>
        <w:spacing w:after="120"/>
        <w:jc w:val="both"/>
        <w:rPr>
          <w:rFonts w:ascii="Verdana" w:hAnsi="Verdana"/>
          <w:i/>
          <w:sz w:val="20"/>
        </w:rPr>
      </w:pPr>
      <w:r w:rsidRPr="00B50281">
        <w:rPr>
          <w:rFonts w:ascii="Verdana" w:hAnsi="Verdana"/>
          <w:sz w:val="20"/>
        </w:rPr>
        <w:t>2.2</w:t>
      </w:r>
      <w:r w:rsidRPr="00B50281">
        <w:rPr>
          <w:rFonts w:ascii="Verdana" w:hAnsi="Verdana"/>
          <w:sz w:val="20"/>
        </w:rPr>
        <w:tab/>
      </w:r>
      <w:r w:rsidRPr="00B50281">
        <w:rPr>
          <w:rFonts w:ascii="Verdana" w:hAnsi="Verdana"/>
          <w:i/>
          <w:sz w:val="20"/>
        </w:rPr>
        <w:t>Recruitment process carried out in line with HLH policies</w:t>
      </w:r>
    </w:p>
    <w:p w:rsidR="00B50281" w:rsidRPr="00B50281" w:rsidRDefault="00B50281" w:rsidP="00B50281">
      <w:pPr>
        <w:spacing w:after="120"/>
        <w:ind w:left="709"/>
        <w:jc w:val="both"/>
        <w:rPr>
          <w:rFonts w:ascii="Verdana" w:hAnsi="Verdana"/>
          <w:sz w:val="20"/>
        </w:rPr>
      </w:pPr>
      <w:r w:rsidRPr="00B50281">
        <w:rPr>
          <w:rFonts w:ascii="Verdana" w:hAnsi="Verdana"/>
          <w:sz w:val="20"/>
        </w:rPr>
        <w:t>This objective was substantially achieved, as vacancies were approved in line with policies prior to recruitment taking place. However, the undernoted issues were identified.</w:t>
      </w:r>
    </w:p>
    <w:p w:rsidR="00B50281" w:rsidRPr="00B50281" w:rsidRDefault="00B50281" w:rsidP="00B50281">
      <w:pPr>
        <w:spacing w:after="120"/>
        <w:ind w:left="709"/>
        <w:jc w:val="both"/>
        <w:rPr>
          <w:rFonts w:ascii="Verdana" w:hAnsi="Verdana"/>
          <w:sz w:val="20"/>
        </w:rPr>
      </w:pPr>
      <w:r w:rsidRPr="00B50281">
        <w:rPr>
          <w:rFonts w:ascii="Verdana" w:hAnsi="Verdana"/>
          <w:sz w:val="20"/>
        </w:rPr>
        <w:t>Details of the outcome of the appointment process were not always recorded on the vacancies spreadsheet maintained by the BSR team (e.g. name of appointee, no appointment made etc.). In some instances this results from failure not notify them by the lead officer (e.g. vacancy HLH/1706/16 where interviews were not conducted and no appointment was made and HLH/1709/20 where interviews were held on 20/10/17 but no further information has been provided to –the BSR team). Similarly, the PVG application form issued to the successful applicant on 05/07/17 following her appointment to a Leisure Assistant post at the Spectrum Centre (vacancy HLH/1705/10) was not returned to the BSR team. During the audit, the BSR team contacted the Facility Manager who stated that the PVG forms had not been returned and confirmed that the applicant had not taken up the relief post. There is no documentation to show that the BSR team were notified of this at the time.</w:t>
      </w:r>
    </w:p>
    <w:p w:rsidR="00B50281" w:rsidRDefault="00B50281" w:rsidP="00B50281">
      <w:pPr>
        <w:spacing w:after="120"/>
        <w:ind w:left="709"/>
        <w:jc w:val="both"/>
        <w:rPr>
          <w:rFonts w:ascii="Verdana" w:hAnsi="Verdana"/>
          <w:sz w:val="20"/>
        </w:rPr>
        <w:sectPr w:rsidR="00B50281" w:rsidSect="00B50281">
          <w:headerReference w:type="default" r:id="rId14"/>
          <w:footerReference w:type="default" r:id="rId15"/>
          <w:type w:val="continuous"/>
          <w:pgSz w:w="11906" w:h="16838"/>
          <w:pgMar w:top="1440" w:right="1276" w:bottom="1440" w:left="1134" w:header="720" w:footer="720" w:gutter="0"/>
          <w:pgBorders w:offsetFrom="page">
            <w:top w:val="single" w:sz="4" w:space="24" w:color="auto"/>
            <w:left w:val="single" w:sz="4" w:space="24" w:color="auto"/>
            <w:bottom w:val="single" w:sz="4" w:space="24" w:color="auto"/>
            <w:right w:val="single" w:sz="4" w:space="24" w:color="auto"/>
          </w:pgBorders>
          <w:pgNumType w:start="1"/>
          <w:cols w:num="2" w:space="720"/>
          <w:docGrid w:linePitch="272"/>
        </w:sectPr>
      </w:pPr>
      <w:r w:rsidRPr="00B50281">
        <w:rPr>
          <w:rFonts w:ascii="Verdana" w:hAnsi="Verdana"/>
          <w:sz w:val="20"/>
        </w:rPr>
        <w:t xml:space="preserve">References were not always held on employee files for existing HLH employees who were successfully appointed to another post. In the majority of these cases the existing post was a relief post, so the previous references may be held in the folder for the relief post, which is held in the Dingwall office. The recruitment policy does not state that references are not required for existing HLH employees, so it would be expected that a reference would be sought from the applicant’s </w:t>
      </w:r>
    </w:p>
    <w:p w:rsidR="00B50281" w:rsidRPr="00B50281" w:rsidRDefault="00B50281" w:rsidP="00B50281">
      <w:pPr>
        <w:spacing w:after="120"/>
        <w:ind w:left="709"/>
        <w:jc w:val="both"/>
        <w:rPr>
          <w:rFonts w:ascii="Verdana" w:hAnsi="Verdana"/>
          <w:sz w:val="20"/>
        </w:rPr>
      </w:pPr>
      <w:proofErr w:type="gramStart"/>
      <w:r w:rsidRPr="00B50281">
        <w:rPr>
          <w:rFonts w:ascii="Verdana" w:hAnsi="Verdana"/>
          <w:sz w:val="20"/>
        </w:rPr>
        <w:lastRenderedPageBreak/>
        <w:t>current</w:t>
      </w:r>
      <w:proofErr w:type="gramEnd"/>
      <w:r w:rsidRPr="00B50281">
        <w:rPr>
          <w:rFonts w:ascii="Verdana" w:hAnsi="Verdana"/>
          <w:sz w:val="20"/>
        </w:rPr>
        <w:t xml:space="preserve"> HLH Line Manager. This was clarified with the HR Manager who stated that common sense is often used when recruitment has taken place (particularly in cases where an applicant already works in the facility where the vacancy is). A review of recruitment procedures is currently underway, and the requirement for references for internal applicants will be clarified as part of this review.</w:t>
      </w:r>
    </w:p>
    <w:p w:rsidR="00B50281" w:rsidRPr="00B50281" w:rsidRDefault="00B50281" w:rsidP="00B50281">
      <w:pPr>
        <w:spacing w:after="120"/>
        <w:ind w:left="709"/>
        <w:jc w:val="both"/>
        <w:rPr>
          <w:rFonts w:ascii="Verdana" w:hAnsi="Verdana"/>
          <w:sz w:val="20"/>
        </w:rPr>
      </w:pPr>
      <w:r w:rsidRPr="00B50281">
        <w:rPr>
          <w:rFonts w:ascii="Verdana" w:hAnsi="Verdana"/>
          <w:sz w:val="20"/>
        </w:rPr>
        <w:t>20 vacancies did not have the scoring sheets completed by Managers as part of the interview process retained within the employee’s HR folder. The BSR team procedures state that scoring sheets should be included in the HR folder for staff appointed to contracted posts. The HR Manager stated that scoring sheets were often not received back from Managers.</w:t>
      </w:r>
      <w:bookmarkEnd w:id="2"/>
    </w:p>
    <w:p w:rsidR="00B50281" w:rsidRPr="00B50281" w:rsidRDefault="00B50281" w:rsidP="00B50281">
      <w:pPr>
        <w:keepNext/>
        <w:spacing w:after="240"/>
        <w:jc w:val="both"/>
        <w:outlineLvl w:val="0"/>
        <w:rPr>
          <w:rFonts w:ascii="Verdana" w:hAnsi="Verdana"/>
          <w:b/>
          <w:caps/>
          <w:sz w:val="20"/>
        </w:rPr>
      </w:pPr>
      <w:bookmarkStart w:id="3" w:name="_Toc433715114"/>
      <w:bookmarkStart w:id="4" w:name="_Toc433715113"/>
      <w:r w:rsidRPr="00B50281">
        <w:rPr>
          <w:rFonts w:ascii="Verdana" w:hAnsi="Verdana"/>
          <w:b/>
          <w:caps/>
          <w:sz w:val="20"/>
        </w:rPr>
        <w:t>3.</w:t>
      </w:r>
      <w:r w:rsidRPr="00B50281">
        <w:rPr>
          <w:rFonts w:ascii="Verdana" w:hAnsi="Verdana"/>
          <w:b/>
          <w:caps/>
          <w:sz w:val="20"/>
        </w:rPr>
        <w:tab/>
      </w:r>
      <w:bookmarkEnd w:id="3"/>
      <w:r w:rsidRPr="00B50281">
        <w:rPr>
          <w:rFonts w:ascii="Verdana" w:hAnsi="Verdana"/>
          <w:b/>
          <w:sz w:val="20"/>
        </w:rPr>
        <w:t>Audit Opinion</w:t>
      </w:r>
    </w:p>
    <w:p w:rsidR="00B50281" w:rsidRPr="00B50281" w:rsidRDefault="00B50281" w:rsidP="00B50281">
      <w:pPr>
        <w:spacing w:after="120"/>
        <w:ind w:left="720" w:hanging="720"/>
        <w:jc w:val="both"/>
        <w:rPr>
          <w:rFonts w:ascii="Verdana" w:hAnsi="Verdana"/>
          <w:bCs/>
          <w:iCs/>
          <w:sz w:val="20"/>
        </w:rPr>
      </w:pPr>
      <w:r w:rsidRPr="00B50281">
        <w:rPr>
          <w:rFonts w:ascii="Verdana" w:hAnsi="Verdana"/>
          <w:sz w:val="20"/>
        </w:rPr>
        <w:t>3.1</w:t>
      </w:r>
      <w:r w:rsidRPr="00B50281">
        <w:rPr>
          <w:rFonts w:ascii="Verdana" w:hAnsi="Verdana"/>
          <w:sz w:val="20"/>
        </w:rPr>
        <w:tab/>
      </w:r>
      <w:r w:rsidRPr="00B50281">
        <w:rPr>
          <w:rFonts w:ascii="Verdana" w:hAnsi="Verdana"/>
          <w:iCs/>
          <w:sz w:val="20"/>
        </w:rPr>
        <w:t xml:space="preserve">The opinion is based upon, and limited to, the work performed in respect of the subject under review.  Internal Audit cannot provide total assurance that control weaknesses or irregularities do not exist.  It is the opinion that </w:t>
      </w:r>
      <w:r w:rsidRPr="00B50281">
        <w:rPr>
          <w:rFonts w:ascii="Verdana" w:hAnsi="Verdana"/>
          <w:b/>
          <w:bCs/>
          <w:iCs/>
          <w:sz w:val="20"/>
        </w:rPr>
        <w:t xml:space="preserve">Reasonable Assurance </w:t>
      </w:r>
      <w:r w:rsidRPr="00B50281">
        <w:rPr>
          <w:rFonts w:ascii="Verdana" w:hAnsi="Verdana"/>
          <w:iCs/>
          <w:sz w:val="20"/>
        </w:rPr>
        <w:t xml:space="preserve">can be given in that </w:t>
      </w:r>
      <w:r w:rsidRPr="00B50281">
        <w:rPr>
          <w:rFonts w:ascii="Verdana" w:hAnsi="Verdana"/>
          <w:bCs/>
          <w:iCs/>
          <w:sz w:val="20"/>
        </w:rPr>
        <w:t>whilst the system is broadly reliable, areas of weakness have been identified which put some of the system objectives at risk, and/ or there is evidence that the level of non-compliance with some of the controls may put some of the system objectives at risk.</w:t>
      </w:r>
    </w:p>
    <w:p w:rsidR="00B50281" w:rsidRPr="00B50281" w:rsidRDefault="00B50281" w:rsidP="00B50281">
      <w:pPr>
        <w:spacing w:after="120"/>
        <w:ind w:left="720"/>
        <w:jc w:val="both"/>
        <w:rPr>
          <w:rFonts w:ascii="Verdana" w:hAnsi="Verdana"/>
          <w:sz w:val="20"/>
        </w:rPr>
      </w:pPr>
      <w:r w:rsidRPr="00B50281">
        <w:rPr>
          <w:rFonts w:ascii="Verdana" w:hAnsi="Verdana"/>
          <w:sz w:val="20"/>
        </w:rPr>
        <w:t>The audit found one instance where a PVG check was not completed for a Relief Leisure Supervisor, which provides a major area of concern. While the remaining 14 vacancies subject to PVG checking reviewed as part of the audit were completed, it is unclear at this stage whether this is an isolated example. The remaining issues identified are relatively minor procedural issues, and are likely to be addressed by the ongoing review of recruitment procedures.</w:t>
      </w:r>
    </w:p>
    <w:p w:rsidR="00B50281" w:rsidRPr="00B50281" w:rsidRDefault="00B50281" w:rsidP="00B50281">
      <w:pPr>
        <w:spacing w:after="120"/>
        <w:ind w:left="720"/>
        <w:jc w:val="both"/>
        <w:rPr>
          <w:rFonts w:ascii="Verdana" w:hAnsi="Verdana"/>
          <w:sz w:val="20"/>
        </w:rPr>
      </w:pPr>
      <w:r w:rsidRPr="00B50281">
        <w:rPr>
          <w:rFonts w:ascii="Verdana" w:hAnsi="Verdana"/>
          <w:sz w:val="20"/>
        </w:rPr>
        <w:lastRenderedPageBreak/>
        <w:t xml:space="preserve">An action plan is provided at section 4 detailing the recommendations for improvement together with the management response.  This contains a total of </w:t>
      </w:r>
      <w:r w:rsidRPr="00B50281">
        <w:rPr>
          <w:rFonts w:ascii="Verdana" w:hAnsi="Verdana"/>
          <w:b/>
          <w:sz w:val="20"/>
        </w:rPr>
        <w:t>4</w:t>
      </w:r>
      <w:r w:rsidRPr="00B50281">
        <w:rPr>
          <w:rFonts w:ascii="Verdana" w:hAnsi="Verdana"/>
          <w:sz w:val="20"/>
        </w:rPr>
        <w:t xml:space="preserve"> recommendations comprising of the following:</w:t>
      </w:r>
    </w:p>
    <w:tbl>
      <w:tblPr>
        <w:tblW w:w="61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1101"/>
        <w:gridCol w:w="635"/>
      </w:tblGrid>
      <w:tr w:rsidR="00B50281" w:rsidRPr="00B50281" w:rsidTr="00F2318B">
        <w:tc>
          <w:tcPr>
            <w:tcW w:w="4379" w:type="dxa"/>
            <w:shd w:val="clear" w:color="auto" w:fill="auto"/>
          </w:tcPr>
          <w:p w:rsidR="00B50281" w:rsidRPr="00B50281" w:rsidRDefault="00B50281" w:rsidP="00B50281">
            <w:pPr>
              <w:jc w:val="both"/>
              <w:rPr>
                <w:rFonts w:ascii="Verdana" w:hAnsi="Verdana"/>
                <w:b/>
                <w:sz w:val="18"/>
                <w:szCs w:val="18"/>
              </w:rPr>
            </w:pPr>
            <w:r w:rsidRPr="00B50281">
              <w:rPr>
                <w:rFonts w:ascii="Verdana" w:hAnsi="Verdana"/>
                <w:b/>
                <w:sz w:val="18"/>
                <w:szCs w:val="18"/>
              </w:rPr>
              <w:t>Description</w:t>
            </w:r>
          </w:p>
        </w:tc>
        <w:tc>
          <w:tcPr>
            <w:tcW w:w="1101" w:type="dxa"/>
            <w:shd w:val="clear" w:color="auto" w:fill="auto"/>
          </w:tcPr>
          <w:p w:rsidR="00B50281" w:rsidRPr="00B50281" w:rsidRDefault="00B50281" w:rsidP="00B50281">
            <w:pPr>
              <w:jc w:val="both"/>
              <w:rPr>
                <w:rFonts w:ascii="Verdana" w:hAnsi="Verdana"/>
                <w:b/>
                <w:sz w:val="18"/>
                <w:szCs w:val="18"/>
              </w:rPr>
            </w:pPr>
            <w:r w:rsidRPr="00B50281">
              <w:rPr>
                <w:rFonts w:ascii="Verdana" w:hAnsi="Verdana"/>
                <w:b/>
                <w:sz w:val="18"/>
                <w:szCs w:val="18"/>
              </w:rPr>
              <w:t>Priority</w:t>
            </w:r>
          </w:p>
        </w:tc>
        <w:tc>
          <w:tcPr>
            <w:tcW w:w="635" w:type="dxa"/>
            <w:shd w:val="clear" w:color="auto" w:fill="auto"/>
          </w:tcPr>
          <w:p w:rsidR="00B50281" w:rsidRPr="00B50281" w:rsidRDefault="00B50281" w:rsidP="00B50281">
            <w:pPr>
              <w:jc w:val="both"/>
              <w:rPr>
                <w:rFonts w:ascii="Verdana" w:hAnsi="Verdana"/>
                <w:b/>
                <w:sz w:val="18"/>
                <w:szCs w:val="18"/>
              </w:rPr>
            </w:pPr>
            <w:r w:rsidRPr="00B50281">
              <w:rPr>
                <w:rFonts w:ascii="Verdana" w:hAnsi="Verdana"/>
                <w:b/>
                <w:sz w:val="18"/>
                <w:szCs w:val="18"/>
              </w:rPr>
              <w:t>No.</w:t>
            </w:r>
          </w:p>
        </w:tc>
      </w:tr>
      <w:tr w:rsidR="00B50281" w:rsidRPr="00B50281" w:rsidTr="00F2318B">
        <w:tc>
          <w:tcPr>
            <w:tcW w:w="4379"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Major issues that managers need to address as a matter of urgency.</w:t>
            </w:r>
          </w:p>
        </w:tc>
        <w:tc>
          <w:tcPr>
            <w:tcW w:w="1101" w:type="dxa"/>
            <w:shd w:val="clear" w:color="auto" w:fill="FF0000"/>
          </w:tcPr>
          <w:p w:rsidR="00B50281" w:rsidRPr="00B50281" w:rsidRDefault="00B50281" w:rsidP="00B50281">
            <w:pPr>
              <w:jc w:val="both"/>
              <w:rPr>
                <w:rFonts w:ascii="Verdana" w:hAnsi="Verdana"/>
                <w:sz w:val="18"/>
                <w:szCs w:val="18"/>
              </w:rPr>
            </w:pPr>
            <w:r w:rsidRPr="00B50281">
              <w:rPr>
                <w:rFonts w:ascii="Verdana" w:hAnsi="Verdana"/>
                <w:sz w:val="18"/>
                <w:szCs w:val="18"/>
              </w:rPr>
              <w:t>High</w:t>
            </w:r>
          </w:p>
        </w:tc>
        <w:tc>
          <w:tcPr>
            <w:tcW w:w="635"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1</w:t>
            </w:r>
          </w:p>
        </w:tc>
      </w:tr>
      <w:tr w:rsidR="00B50281" w:rsidRPr="00B50281" w:rsidTr="00F2318B">
        <w:tc>
          <w:tcPr>
            <w:tcW w:w="4379"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Important issues that managers should address and will benefit the Organisation if implemented.</w:t>
            </w:r>
          </w:p>
        </w:tc>
        <w:tc>
          <w:tcPr>
            <w:tcW w:w="1101" w:type="dxa"/>
            <w:shd w:val="clear" w:color="auto" w:fill="FFC000"/>
          </w:tcPr>
          <w:p w:rsidR="00B50281" w:rsidRPr="00B50281" w:rsidRDefault="00B50281" w:rsidP="00B50281">
            <w:pPr>
              <w:jc w:val="both"/>
              <w:rPr>
                <w:rFonts w:ascii="Verdana" w:hAnsi="Verdana"/>
                <w:sz w:val="18"/>
                <w:szCs w:val="18"/>
              </w:rPr>
            </w:pPr>
            <w:r w:rsidRPr="00B50281">
              <w:rPr>
                <w:rFonts w:ascii="Verdana" w:hAnsi="Verdana"/>
                <w:sz w:val="18"/>
                <w:szCs w:val="18"/>
              </w:rPr>
              <w:t>Medium</w:t>
            </w:r>
          </w:p>
        </w:tc>
        <w:tc>
          <w:tcPr>
            <w:tcW w:w="635"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0</w:t>
            </w:r>
          </w:p>
        </w:tc>
      </w:tr>
      <w:tr w:rsidR="00B50281" w:rsidRPr="00B50281" w:rsidTr="00F2318B">
        <w:tc>
          <w:tcPr>
            <w:tcW w:w="4379"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Minor issues that are not critical but managers should address.</w:t>
            </w:r>
          </w:p>
        </w:tc>
        <w:tc>
          <w:tcPr>
            <w:tcW w:w="1101" w:type="dxa"/>
            <w:shd w:val="clear" w:color="auto" w:fill="92D050"/>
          </w:tcPr>
          <w:p w:rsidR="00B50281" w:rsidRPr="00B50281" w:rsidRDefault="00B50281" w:rsidP="00B50281">
            <w:pPr>
              <w:jc w:val="both"/>
              <w:rPr>
                <w:rFonts w:ascii="Verdana" w:hAnsi="Verdana"/>
                <w:sz w:val="18"/>
                <w:szCs w:val="18"/>
              </w:rPr>
            </w:pPr>
            <w:r w:rsidRPr="00B50281">
              <w:rPr>
                <w:rFonts w:ascii="Verdana" w:hAnsi="Verdana"/>
                <w:sz w:val="18"/>
                <w:szCs w:val="18"/>
              </w:rPr>
              <w:t>Low</w:t>
            </w:r>
          </w:p>
        </w:tc>
        <w:tc>
          <w:tcPr>
            <w:tcW w:w="635"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3</w:t>
            </w:r>
          </w:p>
        </w:tc>
      </w:tr>
    </w:tbl>
    <w:p w:rsidR="00B50281" w:rsidRPr="00B50281" w:rsidRDefault="00B50281" w:rsidP="00B50281">
      <w:pPr>
        <w:jc w:val="both"/>
        <w:rPr>
          <w:rFonts w:ascii="Verdana" w:hAnsi="Verdana"/>
          <w:sz w:val="20"/>
        </w:rPr>
      </w:pPr>
    </w:p>
    <w:p w:rsidR="00B50281" w:rsidRPr="00B50281" w:rsidRDefault="00B50281" w:rsidP="00B50281">
      <w:pPr>
        <w:jc w:val="both"/>
        <w:rPr>
          <w:rFonts w:ascii="Verdana" w:hAnsi="Verdana"/>
          <w:sz w:val="20"/>
        </w:rPr>
      </w:pPr>
    </w:p>
    <w:p w:rsidR="00B50281" w:rsidRPr="00B50281" w:rsidRDefault="00B50281" w:rsidP="00B50281">
      <w:pPr>
        <w:jc w:val="both"/>
        <w:rPr>
          <w:rFonts w:ascii="Verdana" w:hAnsi="Verdana"/>
          <w:sz w:val="20"/>
        </w:rPr>
      </w:pPr>
    </w:p>
    <w:p w:rsidR="00B50281" w:rsidRPr="00B50281" w:rsidRDefault="00B50281" w:rsidP="00B50281">
      <w:pPr>
        <w:jc w:val="both"/>
        <w:rPr>
          <w:rFonts w:ascii="Verdana" w:hAnsi="Verdana"/>
          <w:sz w:val="20"/>
        </w:rPr>
        <w:sectPr w:rsidR="00B50281" w:rsidRPr="00B50281" w:rsidSect="00B50281">
          <w:pgSz w:w="16838" w:h="11906" w:orient="landscape"/>
          <w:pgMar w:top="1134" w:right="1440" w:bottom="1276" w:left="1440" w:header="720" w:footer="720" w:gutter="0"/>
          <w:pgBorders w:offsetFrom="page">
            <w:top w:val="single" w:sz="4" w:space="24" w:color="auto"/>
            <w:left w:val="single" w:sz="4" w:space="24" w:color="auto"/>
            <w:bottom w:val="single" w:sz="4" w:space="24" w:color="auto"/>
            <w:right w:val="single" w:sz="4" w:space="24" w:color="auto"/>
          </w:pgBorders>
          <w:pgNumType w:start="1"/>
          <w:cols w:num="2" w:space="720"/>
          <w:docGrid w:linePitch="272"/>
        </w:sectPr>
      </w:pPr>
    </w:p>
    <w:p w:rsidR="00B50281" w:rsidRPr="00B50281" w:rsidRDefault="00B50281" w:rsidP="00B50281">
      <w:pPr>
        <w:keepNext/>
        <w:spacing w:after="240"/>
        <w:ind w:left="720" w:hanging="720"/>
        <w:jc w:val="both"/>
        <w:outlineLvl w:val="0"/>
        <w:rPr>
          <w:rFonts w:ascii="Verdana" w:hAnsi="Verdana"/>
          <w:b/>
          <w:caps/>
          <w:sz w:val="20"/>
        </w:rPr>
      </w:pPr>
      <w:bookmarkStart w:id="5" w:name="_Toc433715116"/>
      <w:bookmarkEnd w:id="4"/>
      <w:r w:rsidRPr="00B50281">
        <w:rPr>
          <w:rFonts w:ascii="Verdana" w:hAnsi="Verdana"/>
          <w:b/>
          <w:caps/>
          <w:sz w:val="20"/>
        </w:rPr>
        <w:lastRenderedPageBreak/>
        <w:t>4.</w:t>
      </w:r>
      <w:r w:rsidRPr="00B50281">
        <w:rPr>
          <w:rFonts w:ascii="Verdana" w:hAnsi="Verdana"/>
          <w:b/>
          <w:caps/>
          <w:sz w:val="20"/>
        </w:rPr>
        <w:tab/>
      </w:r>
      <w:r w:rsidRPr="00B50281">
        <w:rPr>
          <w:rFonts w:ascii="Verdana" w:hAnsi="Verdana"/>
          <w:b/>
          <w:sz w:val="20"/>
        </w:rPr>
        <w:t xml:space="preserve">Action </w:t>
      </w:r>
      <w:smartTag w:uri="urn:schemas-microsoft-com:office:smarttags" w:element="stockticker">
        <w:r w:rsidRPr="00B50281">
          <w:rPr>
            <w:rFonts w:ascii="Verdana" w:hAnsi="Verdana"/>
            <w:b/>
            <w:sz w:val="20"/>
          </w:rPr>
          <w:t>Plan</w:t>
        </w:r>
      </w:smartTag>
      <w:bookmarkEnd w:id="5"/>
    </w:p>
    <w:tbl>
      <w:tblPr>
        <w:tblW w:w="144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00"/>
        <w:gridCol w:w="4003"/>
        <w:gridCol w:w="3636"/>
        <w:gridCol w:w="2835"/>
        <w:gridCol w:w="1701"/>
        <w:gridCol w:w="1134"/>
      </w:tblGrid>
      <w:tr w:rsidR="00B50281" w:rsidRPr="00B50281" w:rsidTr="00F2318B">
        <w:trPr>
          <w:tblHeader/>
        </w:trPr>
        <w:tc>
          <w:tcPr>
            <w:tcW w:w="1100" w:type="dxa"/>
            <w:vMerge w:val="restart"/>
            <w:tcBorders>
              <w:top w:val="single" w:sz="4" w:space="0" w:color="auto"/>
              <w:bottom w:val="single" w:sz="6" w:space="0" w:color="auto"/>
            </w:tcBorders>
            <w:shd w:val="pct10" w:color="000000" w:fill="auto"/>
            <w:vAlign w:val="bottom"/>
          </w:tcPr>
          <w:p w:rsidR="00B50281" w:rsidRPr="00B50281" w:rsidRDefault="00B50281" w:rsidP="00B50281">
            <w:pPr>
              <w:rPr>
                <w:rFonts w:ascii="Verdana" w:hAnsi="Verdana"/>
                <w:b/>
                <w:sz w:val="18"/>
              </w:rPr>
            </w:pPr>
            <w:r w:rsidRPr="00B50281">
              <w:rPr>
                <w:rFonts w:ascii="Verdana" w:hAnsi="Verdana"/>
                <w:b/>
                <w:sz w:val="18"/>
              </w:rPr>
              <w:t>Priority</w:t>
            </w:r>
          </w:p>
        </w:tc>
        <w:tc>
          <w:tcPr>
            <w:tcW w:w="4003" w:type="dxa"/>
            <w:vMerge w:val="restart"/>
            <w:tcBorders>
              <w:top w:val="single" w:sz="4" w:space="0" w:color="auto"/>
            </w:tcBorders>
            <w:shd w:val="pct10" w:color="000000" w:fill="auto"/>
            <w:vAlign w:val="bottom"/>
          </w:tcPr>
          <w:p w:rsidR="00B50281" w:rsidRPr="00B50281" w:rsidRDefault="00B50281" w:rsidP="00B50281">
            <w:pPr>
              <w:rPr>
                <w:rFonts w:ascii="Verdana" w:hAnsi="Verdana"/>
                <w:b/>
                <w:sz w:val="18"/>
              </w:rPr>
            </w:pPr>
            <w:r w:rsidRPr="00B50281">
              <w:rPr>
                <w:rFonts w:ascii="Verdana" w:hAnsi="Verdana"/>
                <w:b/>
                <w:sz w:val="18"/>
              </w:rPr>
              <w:t>Finding</w:t>
            </w:r>
          </w:p>
        </w:tc>
        <w:tc>
          <w:tcPr>
            <w:tcW w:w="3636" w:type="dxa"/>
            <w:vMerge w:val="restart"/>
            <w:tcBorders>
              <w:top w:val="single" w:sz="4" w:space="0" w:color="auto"/>
            </w:tcBorders>
            <w:shd w:val="pct10" w:color="000000" w:fill="auto"/>
            <w:vAlign w:val="bottom"/>
          </w:tcPr>
          <w:p w:rsidR="00B50281" w:rsidRPr="00B50281" w:rsidRDefault="00B50281" w:rsidP="00B50281">
            <w:pPr>
              <w:rPr>
                <w:rFonts w:ascii="Verdana" w:hAnsi="Verdana"/>
                <w:b/>
                <w:sz w:val="18"/>
              </w:rPr>
            </w:pPr>
            <w:r w:rsidRPr="00B50281">
              <w:rPr>
                <w:rFonts w:ascii="Verdana" w:hAnsi="Verdana"/>
                <w:b/>
                <w:sz w:val="18"/>
              </w:rPr>
              <w:t>Recommendation</w:t>
            </w:r>
          </w:p>
        </w:tc>
        <w:tc>
          <w:tcPr>
            <w:tcW w:w="2835" w:type="dxa"/>
            <w:vMerge w:val="restart"/>
            <w:tcBorders>
              <w:top w:val="single" w:sz="4" w:space="0" w:color="auto"/>
              <w:bottom w:val="single" w:sz="6" w:space="0" w:color="auto"/>
            </w:tcBorders>
            <w:shd w:val="pct10" w:color="000000" w:fill="auto"/>
            <w:vAlign w:val="bottom"/>
          </w:tcPr>
          <w:p w:rsidR="00B50281" w:rsidRPr="00B50281" w:rsidRDefault="00B50281" w:rsidP="00B50281">
            <w:pPr>
              <w:rPr>
                <w:rFonts w:ascii="Verdana" w:hAnsi="Verdana"/>
                <w:b/>
                <w:color w:val="1F497D"/>
                <w:sz w:val="18"/>
              </w:rPr>
            </w:pPr>
            <w:r w:rsidRPr="00B50281">
              <w:rPr>
                <w:rFonts w:ascii="Verdana" w:hAnsi="Verdana"/>
                <w:b/>
                <w:color w:val="1F497D"/>
                <w:sz w:val="18"/>
              </w:rPr>
              <w:t>Management Response</w:t>
            </w:r>
          </w:p>
        </w:tc>
        <w:tc>
          <w:tcPr>
            <w:tcW w:w="2835" w:type="dxa"/>
            <w:gridSpan w:val="2"/>
            <w:tcBorders>
              <w:top w:val="single" w:sz="4" w:space="0" w:color="auto"/>
              <w:bottom w:val="single" w:sz="6" w:space="0" w:color="auto"/>
            </w:tcBorders>
            <w:shd w:val="pct10" w:color="000000" w:fill="auto"/>
            <w:vAlign w:val="bottom"/>
          </w:tcPr>
          <w:p w:rsidR="00B50281" w:rsidRPr="00B50281" w:rsidRDefault="00B50281" w:rsidP="00B50281">
            <w:pPr>
              <w:rPr>
                <w:rFonts w:ascii="Verdana" w:hAnsi="Verdana"/>
                <w:b/>
                <w:color w:val="1F497D"/>
                <w:sz w:val="18"/>
              </w:rPr>
            </w:pPr>
            <w:r w:rsidRPr="00B50281">
              <w:rPr>
                <w:rFonts w:ascii="Verdana" w:hAnsi="Verdana"/>
                <w:b/>
                <w:color w:val="1F497D"/>
                <w:sz w:val="18"/>
              </w:rPr>
              <w:t>Implementation</w:t>
            </w:r>
          </w:p>
        </w:tc>
      </w:tr>
      <w:tr w:rsidR="00B50281" w:rsidRPr="00B50281" w:rsidTr="00F2318B">
        <w:trPr>
          <w:tblHeader/>
        </w:trPr>
        <w:tc>
          <w:tcPr>
            <w:tcW w:w="1100" w:type="dxa"/>
            <w:vMerge/>
            <w:tcBorders>
              <w:top w:val="single" w:sz="6" w:space="0" w:color="auto"/>
              <w:bottom w:val="single" w:sz="6" w:space="0" w:color="auto"/>
            </w:tcBorders>
            <w:shd w:val="pct10" w:color="000000" w:fill="auto"/>
          </w:tcPr>
          <w:p w:rsidR="00B50281" w:rsidRPr="00B50281" w:rsidRDefault="00B50281" w:rsidP="00B50281">
            <w:pPr>
              <w:spacing w:after="120"/>
              <w:rPr>
                <w:rFonts w:ascii="Verdana" w:hAnsi="Verdana"/>
                <w:sz w:val="18"/>
              </w:rPr>
            </w:pPr>
          </w:p>
        </w:tc>
        <w:tc>
          <w:tcPr>
            <w:tcW w:w="4003" w:type="dxa"/>
            <w:vMerge/>
            <w:shd w:val="pct10" w:color="000000" w:fill="auto"/>
          </w:tcPr>
          <w:p w:rsidR="00B50281" w:rsidRPr="00B50281" w:rsidRDefault="00B50281" w:rsidP="00B50281">
            <w:pPr>
              <w:rPr>
                <w:rFonts w:ascii="Verdana" w:hAnsi="Verdana"/>
                <w:sz w:val="18"/>
              </w:rPr>
            </w:pPr>
          </w:p>
        </w:tc>
        <w:tc>
          <w:tcPr>
            <w:tcW w:w="3636" w:type="dxa"/>
            <w:vMerge/>
            <w:shd w:val="pct10" w:color="000000" w:fill="auto"/>
          </w:tcPr>
          <w:p w:rsidR="00B50281" w:rsidRPr="00B50281" w:rsidRDefault="00B50281" w:rsidP="00B50281">
            <w:pPr>
              <w:rPr>
                <w:rFonts w:ascii="Verdana" w:hAnsi="Verdana"/>
                <w:sz w:val="18"/>
              </w:rPr>
            </w:pPr>
          </w:p>
        </w:tc>
        <w:tc>
          <w:tcPr>
            <w:tcW w:w="2835" w:type="dxa"/>
            <w:vMerge/>
            <w:tcBorders>
              <w:top w:val="single" w:sz="6" w:space="0" w:color="auto"/>
              <w:bottom w:val="single" w:sz="6" w:space="0" w:color="auto"/>
            </w:tcBorders>
            <w:shd w:val="pct10" w:color="000000" w:fill="auto"/>
          </w:tcPr>
          <w:p w:rsidR="00B50281" w:rsidRPr="00B50281" w:rsidRDefault="00B50281" w:rsidP="00B50281">
            <w:pPr>
              <w:spacing w:after="120"/>
              <w:rPr>
                <w:rFonts w:ascii="Verdana" w:hAnsi="Verdana"/>
                <w:color w:val="1F497D"/>
                <w:sz w:val="18"/>
              </w:rPr>
            </w:pPr>
          </w:p>
        </w:tc>
        <w:tc>
          <w:tcPr>
            <w:tcW w:w="1701" w:type="dxa"/>
            <w:tcBorders>
              <w:top w:val="single" w:sz="6" w:space="0" w:color="auto"/>
              <w:bottom w:val="single" w:sz="6" w:space="0" w:color="auto"/>
            </w:tcBorders>
            <w:shd w:val="pct10" w:color="000000" w:fill="auto"/>
            <w:vAlign w:val="bottom"/>
          </w:tcPr>
          <w:p w:rsidR="00B50281" w:rsidRPr="00B50281" w:rsidRDefault="00B50281" w:rsidP="00B50281">
            <w:pPr>
              <w:rPr>
                <w:rFonts w:ascii="Verdana" w:hAnsi="Verdana"/>
                <w:b/>
                <w:color w:val="1F497D"/>
                <w:sz w:val="18"/>
              </w:rPr>
            </w:pPr>
            <w:r w:rsidRPr="00B50281">
              <w:rPr>
                <w:rFonts w:ascii="Verdana" w:hAnsi="Verdana"/>
                <w:b/>
                <w:color w:val="1F497D"/>
                <w:sz w:val="18"/>
              </w:rPr>
              <w:t>Responsible Officer</w:t>
            </w:r>
          </w:p>
        </w:tc>
        <w:tc>
          <w:tcPr>
            <w:tcW w:w="1134" w:type="dxa"/>
            <w:tcBorders>
              <w:top w:val="single" w:sz="6" w:space="0" w:color="auto"/>
              <w:bottom w:val="single" w:sz="6" w:space="0" w:color="auto"/>
            </w:tcBorders>
            <w:shd w:val="pct10" w:color="000000" w:fill="auto"/>
            <w:vAlign w:val="bottom"/>
          </w:tcPr>
          <w:p w:rsidR="00B50281" w:rsidRPr="00B50281" w:rsidRDefault="00B50281" w:rsidP="00B50281">
            <w:pPr>
              <w:rPr>
                <w:rFonts w:ascii="Verdana" w:hAnsi="Verdana"/>
                <w:b/>
                <w:color w:val="1F497D"/>
                <w:sz w:val="18"/>
              </w:rPr>
            </w:pPr>
            <w:r w:rsidRPr="00B50281">
              <w:rPr>
                <w:rFonts w:ascii="Verdana" w:hAnsi="Verdana"/>
                <w:b/>
                <w:color w:val="1F497D"/>
                <w:sz w:val="18"/>
              </w:rPr>
              <w:t>Target Date</w:t>
            </w:r>
          </w:p>
        </w:tc>
      </w:tr>
      <w:tr w:rsidR="00B50281" w:rsidRPr="00B50281" w:rsidTr="00F2318B">
        <w:tc>
          <w:tcPr>
            <w:tcW w:w="1100" w:type="dxa"/>
            <w:tcBorders>
              <w:top w:val="nil"/>
            </w:tcBorders>
          </w:tcPr>
          <w:p w:rsidR="00B50281" w:rsidRPr="00B50281" w:rsidRDefault="00B50281" w:rsidP="00B50281">
            <w:pPr>
              <w:jc w:val="both"/>
              <w:rPr>
                <w:rFonts w:ascii="Verdana" w:hAnsi="Verdana"/>
                <w:sz w:val="18"/>
                <w:szCs w:val="18"/>
              </w:rPr>
            </w:pPr>
            <w:r w:rsidRPr="00B50281">
              <w:rPr>
                <w:rFonts w:ascii="Verdana" w:hAnsi="Verdana"/>
                <w:sz w:val="18"/>
                <w:szCs w:val="18"/>
              </w:rPr>
              <w:t>High</w:t>
            </w:r>
          </w:p>
        </w:tc>
        <w:tc>
          <w:tcPr>
            <w:tcW w:w="4003"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A PVG check has not been carried out on a Relief Leisure Supervisor.</w:t>
            </w:r>
          </w:p>
        </w:tc>
        <w:tc>
          <w:tcPr>
            <w:tcW w:w="3636" w:type="dxa"/>
            <w:shd w:val="clear" w:color="auto" w:fill="auto"/>
          </w:tcPr>
          <w:p w:rsidR="00B50281" w:rsidRPr="00B50281" w:rsidRDefault="00B50281" w:rsidP="00B50281">
            <w:pPr>
              <w:numPr>
                <w:ilvl w:val="0"/>
                <w:numId w:val="33"/>
              </w:numPr>
              <w:spacing w:after="200" w:line="276" w:lineRule="auto"/>
              <w:ind w:left="284" w:hanging="284"/>
              <w:contextualSpacing/>
              <w:jc w:val="both"/>
              <w:rPr>
                <w:rFonts w:ascii="Verdana" w:hAnsi="Verdana"/>
                <w:sz w:val="18"/>
                <w:szCs w:val="18"/>
              </w:rPr>
            </w:pPr>
            <w:r w:rsidRPr="00B50281">
              <w:rPr>
                <w:rFonts w:ascii="Verdana" w:hAnsi="Verdana"/>
                <w:sz w:val="18"/>
                <w:szCs w:val="18"/>
              </w:rPr>
              <w:t>The PVG check for this employee should be completed urgently.</w:t>
            </w:r>
          </w:p>
          <w:p w:rsidR="00B50281" w:rsidRPr="00B50281" w:rsidRDefault="00B50281" w:rsidP="00B50281">
            <w:pPr>
              <w:numPr>
                <w:ilvl w:val="0"/>
                <w:numId w:val="33"/>
              </w:numPr>
              <w:spacing w:after="200" w:line="276" w:lineRule="auto"/>
              <w:ind w:left="284" w:hanging="284"/>
              <w:contextualSpacing/>
              <w:jc w:val="both"/>
              <w:rPr>
                <w:rFonts w:ascii="Verdana" w:hAnsi="Verdana"/>
                <w:sz w:val="18"/>
                <w:szCs w:val="18"/>
              </w:rPr>
            </w:pPr>
            <w:r w:rsidRPr="00B50281">
              <w:rPr>
                <w:rFonts w:ascii="Verdana" w:hAnsi="Verdana"/>
                <w:sz w:val="18"/>
                <w:szCs w:val="18"/>
              </w:rPr>
              <w:t xml:space="preserve">Checks should be carried out by the BSR team to identify if any other </w:t>
            </w:r>
            <w:proofErr w:type="gramStart"/>
            <w:r w:rsidRPr="00B50281">
              <w:rPr>
                <w:rFonts w:ascii="Verdana" w:hAnsi="Verdana"/>
                <w:sz w:val="18"/>
                <w:szCs w:val="18"/>
              </w:rPr>
              <w:t>staff have</w:t>
            </w:r>
            <w:proofErr w:type="gramEnd"/>
            <w:r w:rsidRPr="00B50281">
              <w:rPr>
                <w:rFonts w:ascii="Verdana" w:hAnsi="Verdana"/>
                <w:sz w:val="18"/>
                <w:szCs w:val="18"/>
              </w:rPr>
              <w:t xml:space="preserve"> not been PVG checked.</w:t>
            </w:r>
          </w:p>
          <w:p w:rsidR="00B50281" w:rsidRPr="00B50281" w:rsidRDefault="00B50281" w:rsidP="00B50281">
            <w:pPr>
              <w:numPr>
                <w:ilvl w:val="0"/>
                <w:numId w:val="33"/>
              </w:numPr>
              <w:spacing w:after="200" w:line="276" w:lineRule="auto"/>
              <w:ind w:left="284" w:hanging="284"/>
              <w:contextualSpacing/>
              <w:jc w:val="both"/>
              <w:rPr>
                <w:rFonts w:ascii="Verdana" w:hAnsi="Verdana"/>
                <w:sz w:val="18"/>
                <w:szCs w:val="18"/>
              </w:rPr>
            </w:pPr>
            <w:r w:rsidRPr="00B50281">
              <w:rPr>
                <w:rFonts w:ascii="Verdana" w:hAnsi="Verdana"/>
                <w:sz w:val="18"/>
                <w:szCs w:val="18"/>
              </w:rPr>
              <w:t>Regular checks should be carried out by the BSR team to identify PVG forms that have not been returned, and reminders issued where required.</w:t>
            </w:r>
          </w:p>
        </w:tc>
        <w:tc>
          <w:tcPr>
            <w:tcW w:w="2835" w:type="dxa"/>
            <w:tcBorders>
              <w:top w:val="nil"/>
            </w:tcBorders>
          </w:tcPr>
          <w:p w:rsidR="00B50281" w:rsidRPr="00B50281" w:rsidRDefault="00B50281" w:rsidP="00B50281">
            <w:pPr>
              <w:numPr>
                <w:ilvl w:val="0"/>
                <w:numId w:val="36"/>
              </w:numPr>
              <w:spacing w:after="200" w:line="276" w:lineRule="auto"/>
              <w:contextualSpacing/>
              <w:jc w:val="both"/>
              <w:rPr>
                <w:rFonts w:ascii="Verdana" w:hAnsi="Verdana"/>
                <w:color w:val="1F497D"/>
                <w:sz w:val="18"/>
                <w:szCs w:val="18"/>
              </w:rPr>
            </w:pPr>
            <w:r w:rsidRPr="00B50281">
              <w:rPr>
                <w:rFonts w:ascii="Verdana" w:hAnsi="Verdana"/>
                <w:color w:val="1F497D"/>
                <w:sz w:val="18"/>
                <w:szCs w:val="18"/>
              </w:rPr>
              <w:t>BSR has already contacted Line Manager and reissued PVG form as a matter of urgency.  HR Manager has also contacted Manager and reminded him of his responsibilities in ensuring staff are covered by PVG check.</w:t>
            </w:r>
          </w:p>
          <w:p w:rsidR="00B50281" w:rsidRPr="00B50281" w:rsidRDefault="00B50281" w:rsidP="00B50281">
            <w:pPr>
              <w:numPr>
                <w:ilvl w:val="0"/>
                <w:numId w:val="36"/>
              </w:numPr>
              <w:spacing w:after="200" w:line="276" w:lineRule="auto"/>
              <w:contextualSpacing/>
              <w:jc w:val="both"/>
              <w:rPr>
                <w:rFonts w:ascii="Verdana" w:hAnsi="Verdana"/>
                <w:color w:val="1F497D"/>
                <w:sz w:val="18"/>
                <w:szCs w:val="18"/>
              </w:rPr>
            </w:pPr>
            <w:r w:rsidRPr="00B50281">
              <w:rPr>
                <w:rFonts w:ascii="Verdana" w:hAnsi="Verdana"/>
                <w:color w:val="1F497D"/>
                <w:sz w:val="18"/>
                <w:szCs w:val="18"/>
              </w:rPr>
              <w:t xml:space="preserve">BSR staff to carry out full review of PVG database and identify outstanding forms. Notify managers directly and HR Manager of any issues.  </w:t>
            </w:r>
          </w:p>
          <w:p w:rsidR="00B50281" w:rsidRPr="00B50281" w:rsidRDefault="00B50281" w:rsidP="00B50281">
            <w:pPr>
              <w:numPr>
                <w:ilvl w:val="0"/>
                <w:numId w:val="36"/>
              </w:numPr>
              <w:spacing w:after="200" w:line="276" w:lineRule="auto"/>
              <w:contextualSpacing/>
              <w:jc w:val="both"/>
              <w:rPr>
                <w:rFonts w:ascii="Verdana" w:hAnsi="Verdana"/>
                <w:color w:val="1F497D"/>
                <w:sz w:val="18"/>
                <w:szCs w:val="18"/>
              </w:rPr>
            </w:pPr>
            <w:r w:rsidRPr="00B50281">
              <w:rPr>
                <w:rFonts w:ascii="Verdana" w:hAnsi="Verdana"/>
                <w:color w:val="1F497D"/>
                <w:sz w:val="18"/>
                <w:szCs w:val="18"/>
              </w:rPr>
              <w:t>HR Manager to issue reminder to all Managers that it is their responsibility to ensure staff have been PVG checked</w:t>
            </w:r>
          </w:p>
          <w:p w:rsidR="00B50281" w:rsidRPr="00B50281" w:rsidRDefault="00B50281" w:rsidP="00B50281">
            <w:pPr>
              <w:numPr>
                <w:ilvl w:val="0"/>
                <w:numId w:val="36"/>
              </w:numPr>
              <w:spacing w:after="200" w:line="276" w:lineRule="auto"/>
              <w:contextualSpacing/>
              <w:jc w:val="both"/>
              <w:rPr>
                <w:rFonts w:ascii="Verdana" w:hAnsi="Verdana"/>
                <w:color w:val="1F497D"/>
                <w:sz w:val="18"/>
                <w:szCs w:val="18"/>
              </w:rPr>
            </w:pPr>
            <w:r w:rsidRPr="00B50281">
              <w:rPr>
                <w:rFonts w:ascii="Verdana" w:hAnsi="Verdana"/>
                <w:color w:val="1F497D"/>
                <w:sz w:val="18"/>
                <w:szCs w:val="18"/>
              </w:rPr>
              <w:t xml:space="preserve">BSR staff to identify system for carrying out regular checks of PVG database.  </w:t>
            </w:r>
          </w:p>
        </w:tc>
        <w:tc>
          <w:tcPr>
            <w:tcW w:w="1701" w:type="dxa"/>
            <w:tcBorders>
              <w:top w:val="nil"/>
            </w:tcBorders>
          </w:tcPr>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HR Manager</w:t>
            </w: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HR Manager</w:t>
            </w: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HR Manager</w:t>
            </w: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HR Manager</w:t>
            </w: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tc>
        <w:tc>
          <w:tcPr>
            <w:tcW w:w="1134" w:type="dxa"/>
            <w:tcBorders>
              <w:top w:val="nil"/>
            </w:tcBorders>
          </w:tcPr>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14/2/18</w:t>
            </w: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16/2/18</w:t>
            </w: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16/2/18</w:t>
            </w: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p>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16/2/18</w:t>
            </w:r>
          </w:p>
        </w:tc>
      </w:tr>
      <w:tr w:rsidR="00B50281" w:rsidRPr="00B50281" w:rsidTr="00F2318B">
        <w:tc>
          <w:tcPr>
            <w:tcW w:w="1100" w:type="dxa"/>
          </w:tcPr>
          <w:p w:rsidR="00B50281" w:rsidRPr="00B50281" w:rsidRDefault="00B50281" w:rsidP="00B50281">
            <w:pPr>
              <w:jc w:val="both"/>
              <w:rPr>
                <w:rFonts w:ascii="Verdana" w:hAnsi="Verdana"/>
                <w:sz w:val="18"/>
                <w:szCs w:val="18"/>
              </w:rPr>
            </w:pPr>
            <w:r w:rsidRPr="00B50281">
              <w:rPr>
                <w:rFonts w:ascii="Verdana" w:hAnsi="Verdana"/>
                <w:sz w:val="18"/>
                <w:szCs w:val="18"/>
              </w:rPr>
              <w:t>Low</w:t>
            </w:r>
          </w:p>
        </w:tc>
        <w:tc>
          <w:tcPr>
            <w:tcW w:w="4003"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 xml:space="preserve">Details of the outcome of the appointment process were not always </w:t>
            </w:r>
            <w:r w:rsidRPr="00B50281">
              <w:rPr>
                <w:rFonts w:ascii="Verdana" w:hAnsi="Verdana"/>
                <w:sz w:val="18"/>
                <w:szCs w:val="18"/>
              </w:rPr>
              <w:lastRenderedPageBreak/>
              <w:t>recorded on the vacancies spreadsheet maintained by the BSR team.</w:t>
            </w:r>
          </w:p>
        </w:tc>
        <w:tc>
          <w:tcPr>
            <w:tcW w:w="3636" w:type="dxa"/>
            <w:shd w:val="clear" w:color="auto" w:fill="auto"/>
          </w:tcPr>
          <w:p w:rsidR="00B50281" w:rsidRPr="00B50281" w:rsidRDefault="00B50281" w:rsidP="00B50281">
            <w:pPr>
              <w:numPr>
                <w:ilvl w:val="0"/>
                <w:numId w:val="34"/>
              </w:numPr>
              <w:spacing w:after="200" w:line="276" w:lineRule="auto"/>
              <w:ind w:left="284" w:hanging="284"/>
              <w:contextualSpacing/>
              <w:jc w:val="both"/>
              <w:rPr>
                <w:rFonts w:ascii="Verdana" w:hAnsi="Verdana"/>
                <w:sz w:val="18"/>
                <w:szCs w:val="18"/>
              </w:rPr>
            </w:pPr>
            <w:r w:rsidRPr="00B50281">
              <w:rPr>
                <w:rFonts w:ascii="Verdana" w:hAnsi="Verdana"/>
                <w:sz w:val="18"/>
                <w:szCs w:val="18"/>
              </w:rPr>
              <w:lastRenderedPageBreak/>
              <w:t xml:space="preserve">Managers should be reminded </w:t>
            </w:r>
            <w:r w:rsidRPr="00B50281">
              <w:rPr>
                <w:rFonts w:ascii="Verdana" w:hAnsi="Verdana"/>
                <w:sz w:val="18"/>
                <w:szCs w:val="18"/>
              </w:rPr>
              <w:lastRenderedPageBreak/>
              <w:t>that the BSR team are notified of the outcome of recruitment, including instances where no appointment was made.</w:t>
            </w:r>
          </w:p>
          <w:p w:rsidR="00B50281" w:rsidRPr="00B50281" w:rsidRDefault="00B50281" w:rsidP="00B50281">
            <w:pPr>
              <w:numPr>
                <w:ilvl w:val="0"/>
                <w:numId w:val="34"/>
              </w:numPr>
              <w:spacing w:after="200" w:line="276" w:lineRule="auto"/>
              <w:ind w:left="284" w:hanging="284"/>
              <w:contextualSpacing/>
              <w:jc w:val="both"/>
              <w:rPr>
                <w:rFonts w:ascii="Verdana" w:hAnsi="Verdana"/>
                <w:sz w:val="18"/>
                <w:szCs w:val="18"/>
              </w:rPr>
            </w:pPr>
            <w:r w:rsidRPr="00B50281">
              <w:rPr>
                <w:rFonts w:ascii="Verdana" w:hAnsi="Verdana"/>
                <w:sz w:val="18"/>
                <w:szCs w:val="18"/>
              </w:rPr>
              <w:t>The BSR team should regularly follow up any missing information.</w:t>
            </w:r>
          </w:p>
        </w:tc>
        <w:tc>
          <w:tcPr>
            <w:tcW w:w="2835" w:type="dxa"/>
          </w:tcPr>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lastRenderedPageBreak/>
              <w:t xml:space="preserve">HR Manager to issue updated recruitment </w:t>
            </w:r>
            <w:r w:rsidRPr="00B50281">
              <w:rPr>
                <w:rFonts w:ascii="Verdana" w:hAnsi="Verdana"/>
                <w:color w:val="1F497D"/>
                <w:sz w:val="18"/>
                <w:szCs w:val="18"/>
              </w:rPr>
              <w:lastRenderedPageBreak/>
              <w:t>procedures to all Mangers reminding them of key issues as highlighted in audit</w:t>
            </w:r>
          </w:p>
        </w:tc>
        <w:tc>
          <w:tcPr>
            <w:tcW w:w="1701" w:type="dxa"/>
          </w:tcPr>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lastRenderedPageBreak/>
              <w:t>HR Manager</w:t>
            </w:r>
          </w:p>
        </w:tc>
        <w:tc>
          <w:tcPr>
            <w:tcW w:w="1134" w:type="dxa"/>
          </w:tcPr>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28/2/18</w:t>
            </w:r>
          </w:p>
        </w:tc>
      </w:tr>
      <w:tr w:rsidR="00B50281" w:rsidRPr="00B50281" w:rsidTr="00F2318B">
        <w:tc>
          <w:tcPr>
            <w:tcW w:w="1100" w:type="dxa"/>
          </w:tcPr>
          <w:p w:rsidR="00B50281" w:rsidRPr="00B50281" w:rsidRDefault="00B50281" w:rsidP="00B50281">
            <w:pPr>
              <w:jc w:val="both"/>
              <w:rPr>
                <w:rFonts w:ascii="Verdana" w:hAnsi="Verdana"/>
                <w:sz w:val="18"/>
                <w:szCs w:val="18"/>
              </w:rPr>
            </w:pPr>
            <w:r w:rsidRPr="00B50281">
              <w:rPr>
                <w:rFonts w:ascii="Verdana" w:hAnsi="Verdana"/>
                <w:sz w:val="18"/>
                <w:szCs w:val="18"/>
              </w:rPr>
              <w:lastRenderedPageBreak/>
              <w:t>Low</w:t>
            </w:r>
          </w:p>
        </w:tc>
        <w:tc>
          <w:tcPr>
            <w:tcW w:w="4003"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References were not always held on employee files for existing HLH employees who were successfully appointed to another post.</w:t>
            </w:r>
          </w:p>
        </w:tc>
        <w:tc>
          <w:tcPr>
            <w:tcW w:w="3636"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The requirement for references for internal candidates should be clarified as part of the ongoing review of recruitment procedures.</w:t>
            </w:r>
          </w:p>
        </w:tc>
        <w:tc>
          <w:tcPr>
            <w:tcW w:w="2835" w:type="dxa"/>
          </w:tcPr>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 xml:space="preserve">BS Officers finalise review </w:t>
            </w:r>
            <w:proofErr w:type="gramStart"/>
            <w:r w:rsidRPr="00B50281">
              <w:rPr>
                <w:rFonts w:ascii="Verdana" w:hAnsi="Verdana"/>
                <w:color w:val="1F497D"/>
                <w:sz w:val="18"/>
                <w:szCs w:val="18"/>
              </w:rPr>
              <w:t>of  recruitment</w:t>
            </w:r>
            <w:proofErr w:type="gramEnd"/>
            <w:r w:rsidRPr="00B50281">
              <w:rPr>
                <w:rFonts w:ascii="Verdana" w:hAnsi="Verdana"/>
                <w:color w:val="1F497D"/>
                <w:sz w:val="18"/>
                <w:szCs w:val="18"/>
              </w:rPr>
              <w:t xml:space="preserve"> procedures and HR manager issue.  </w:t>
            </w:r>
          </w:p>
        </w:tc>
        <w:tc>
          <w:tcPr>
            <w:tcW w:w="1701" w:type="dxa"/>
          </w:tcPr>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HR Manager</w:t>
            </w:r>
          </w:p>
        </w:tc>
        <w:tc>
          <w:tcPr>
            <w:tcW w:w="1134" w:type="dxa"/>
          </w:tcPr>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28/2/18</w:t>
            </w:r>
          </w:p>
        </w:tc>
      </w:tr>
      <w:tr w:rsidR="00B50281" w:rsidRPr="00B50281" w:rsidTr="00F2318B">
        <w:tc>
          <w:tcPr>
            <w:tcW w:w="1100" w:type="dxa"/>
          </w:tcPr>
          <w:p w:rsidR="00B50281" w:rsidRPr="00B50281" w:rsidRDefault="00B50281" w:rsidP="00B50281">
            <w:pPr>
              <w:jc w:val="both"/>
              <w:rPr>
                <w:rFonts w:ascii="Verdana" w:hAnsi="Verdana"/>
                <w:sz w:val="18"/>
                <w:szCs w:val="18"/>
              </w:rPr>
            </w:pPr>
            <w:r w:rsidRPr="00B50281">
              <w:rPr>
                <w:rFonts w:ascii="Verdana" w:hAnsi="Verdana"/>
                <w:sz w:val="18"/>
                <w:szCs w:val="18"/>
              </w:rPr>
              <w:t>Low</w:t>
            </w:r>
          </w:p>
        </w:tc>
        <w:tc>
          <w:tcPr>
            <w:tcW w:w="4003" w:type="dxa"/>
            <w:shd w:val="clear" w:color="auto" w:fill="auto"/>
          </w:tcPr>
          <w:p w:rsidR="00B50281" w:rsidRPr="00B50281" w:rsidRDefault="00B50281" w:rsidP="00B50281">
            <w:pPr>
              <w:jc w:val="both"/>
              <w:rPr>
                <w:rFonts w:ascii="Verdana" w:hAnsi="Verdana"/>
                <w:sz w:val="18"/>
                <w:szCs w:val="18"/>
              </w:rPr>
            </w:pPr>
            <w:r w:rsidRPr="00B50281">
              <w:rPr>
                <w:rFonts w:ascii="Verdana" w:hAnsi="Verdana"/>
                <w:sz w:val="18"/>
                <w:szCs w:val="18"/>
              </w:rPr>
              <w:t>Scoring sheets used as part of the recruitment process were not always retained within the relevant HR employee folder as they are often not returned to the BSR team by Managers.</w:t>
            </w:r>
          </w:p>
        </w:tc>
        <w:tc>
          <w:tcPr>
            <w:tcW w:w="3636" w:type="dxa"/>
            <w:shd w:val="clear" w:color="auto" w:fill="auto"/>
          </w:tcPr>
          <w:p w:rsidR="00B50281" w:rsidRPr="00B50281" w:rsidRDefault="00B50281" w:rsidP="00B50281">
            <w:pPr>
              <w:numPr>
                <w:ilvl w:val="0"/>
                <w:numId w:val="35"/>
              </w:numPr>
              <w:spacing w:after="200" w:line="276" w:lineRule="auto"/>
              <w:ind w:left="284" w:hanging="284"/>
              <w:contextualSpacing/>
              <w:jc w:val="both"/>
              <w:rPr>
                <w:rFonts w:ascii="Verdana" w:hAnsi="Verdana"/>
                <w:sz w:val="18"/>
                <w:szCs w:val="18"/>
              </w:rPr>
            </w:pPr>
            <w:r w:rsidRPr="00B50281">
              <w:rPr>
                <w:rFonts w:ascii="Verdana" w:hAnsi="Verdana"/>
                <w:sz w:val="18"/>
                <w:szCs w:val="18"/>
              </w:rPr>
              <w:t xml:space="preserve">Managers should be reminded that scoring sheets should be passed to the BSR team. </w:t>
            </w:r>
          </w:p>
          <w:p w:rsidR="00B50281" w:rsidRPr="00B50281" w:rsidRDefault="00B50281" w:rsidP="00B50281">
            <w:pPr>
              <w:numPr>
                <w:ilvl w:val="0"/>
                <w:numId w:val="35"/>
              </w:numPr>
              <w:spacing w:after="200" w:line="276" w:lineRule="auto"/>
              <w:ind w:left="284" w:hanging="284"/>
              <w:contextualSpacing/>
              <w:jc w:val="both"/>
              <w:rPr>
                <w:rFonts w:ascii="Verdana" w:hAnsi="Verdana"/>
                <w:sz w:val="18"/>
                <w:szCs w:val="18"/>
              </w:rPr>
            </w:pPr>
            <w:r w:rsidRPr="00B50281">
              <w:rPr>
                <w:rFonts w:ascii="Verdana" w:hAnsi="Verdana"/>
                <w:sz w:val="18"/>
                <w:szCs w:val="18"/>
              </w:rPr>
              <w:t>The BSR team should regularly follow up any missing information.</w:t>
            </w:r>
          </w:p>
        </w:tc>
        <w:tc>
          <w:tcPr>
            <w:tcW w:w="2835" w:type="dxa"/>
          </w:tcPr>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HR Manager to issue updated recruitment procedures to all Mangers reminding them of key issues as highlighted in audit</w:t>
            </w:r>
          </w:p>
        </w:tc>
        <w:tc>
          <w:tcPr>
            <w:tcW w:w="1701" w:type="dxa"/>
          </w:tcPr>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HR Manager</w:t>
            </w:r>
          </w:p>
        </w:tc>
        <w:tc>
          <w:tcPr>
            <w:tcW w:w="1134" w:type="dxa"/>
          </w:tcPr>
          <w:p w:rsidR="00B50281" w:rsidRPr="00B50281" w:rsidRDefault="00B50281" w:rsidP="00B50281">
            <w:pPr>
              <w:jc w:val="both"/>
              <w:rPr>
                <w:rFonts w:ascii="Verdana" w:hAnsi="Verdana"/>
                <w:color w:val="1F497D"/>
                <w:sz w:val="18"/>
                <w:szCs w:val="18"/>
              </w:rPr>
            </w:pPr>
            <w:r w:rsidRPr="00B50281">
              <w:rPr>
                <w:rFonts w:ascii="Verdana" w:hAnsi="Verdana"/>
                <w:color w:val="1F497D"/>
                <w:sz w:val="18"/>
                <w:szCs w:val="18"/>
              </w:rPr>
              <w:t>28/2/18</w:t>
            </w:r>
          </w:p>
        </w:tc>
      </w:tr>
    </w:tbl>
    <w:p w:rsidR="00532972" w:rsidRDefault="00532972" w:rsidP="00290EB5">
      <w:pPr>
        <w:rPr>
          <w:rFonts w:ascii="Arial" w:hAnsi="Arial" w:cs="Arial"/>
          <w:b/>
          <w:szCs w:val="24"/>
        </w:rPr>
      </w:pPr>
    </w:p>
    <w:sectPr w:rsidR="00532972" w:rsidSect="00B50281">
      <w:headerReference w:type="default" r:id="rId16"/>
      <w:footerReference w:type="default" r:id="rId17"/>
      <w:pgSz w:w="16838" w:h="11906" w:orient="landscape"/>
      <w:pgMar w:top="1134" w:right="1440" w:bottom="127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02" w:rsidRDefault="00876702">
      <w:r>
        <w:separator/>
      </w:r>
    </w:p>
  </w:endnote>
  <w:endnote w:type="continuationSeparator" w:id="0">
    <w:p w:rsidR="00876702" w:rsidRDefault="0087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81" w:rsidRDefault="00B50281" w:rsidP="008579C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81" w:rsidRDefault="00B50281" w:rsidP="008579CE">
    <w:pPr>
      <w:pStyle w:val="Footer"/>
      <w:jc w:val="center"/>
    </w:pPr>
    <w:r>
      <w:fldChar w:fldCharType="begin"/>
    </w:r>
    <w:r>
      <w:instrText xml:space="preserve"> PAGE   \* MERGEFORMAT </w:instrText>
    </w:r>
    <w:r>
      <w:fldChar w:fldCharType="separate"/>
    </w:r>
    <w:r w:rsidR="000A1C55">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81" w:rsidRDefault="00B50281" w:rsidP="008579CE">
    <w:pPr>
      <w:pStyle w:val="Footer"/>
      <w:jc w:val="center"/>
    </w:pPr>
    <w:r>
      <w:fldChar w:fldCharType="begin"/>
    </w:r>
    <w:r>
      <w:instrText xml:space="preserve"> PAGE   \* MERGEFORMAT </w:instrText>
    </w:r>
    <w:r>
      <w:fldChar w:fldCharType="separate"/>
    </w:r>
    <w:r w:rsidR="000A1C55">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02" w:rsidRDefault="00876702">
      <w:r>
        <w:separator/>
      </w:r>
    </w:p>
  </w:footnote>
  <w:footnote w:type="continuationSeparator" w:id="0">
    <w:p w:rsidR="00876702" w:rsidRDefault="00876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81" w:rsidRPr="006A4A64" w:rsidRDefault="00B50281" w:rsidP="00857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81" w:rsidRPr="006A4A64" w:rsidRDefault="00B50281" w:rsidP="00857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240"/>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E0D443F"/>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E46345E"/>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F183C70"/>
    <w:multiLevelType w:val="multilevel"/>
    <w:tmpl w:val="42AAE7A4"/>
    <w:lvl w:ilvl="0">
      <w:start w:val="5"/>
      <w:numFmt w:val="decimal"/>
      <w:lvlText w:val="%1"/>
      <w:lvlJc w:val="left"/>
      <w:pPr>
        <w:ind w:hanging="864"/>
      </w:pPr>
      <w:rPr>
        <w:rFonts w:hint="default"/>
      </w:rPr>
    </w:lvl>
    <w:lvl w:ilvl="1">
      <w:start w:val="1"/>
      <w:numFmt w:val="decimal"/>
      <w:lvlText w:val="%1.%2"/>
      <w:lvlJc w:val="left"/>
      <w:pPr>
        <w:ind w:hanging="864"/>
      </w:pPr>
      <w:rPr>
        <w:rFonts w:ascii="Arial" w:eastAsia="Arial" w:hAnsi="Arial" w:hint="default"/>
        <w:color w:val="313131"/>
        <w:w w:val="95"/>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0350772"/>
    <w:multiLevelType w:val="hybridMultilevel"/>
    <w:tmpl w:val="F9583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752B5A"/>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2D5012D"/>
    <w:multiLevelType w:val="hybridMultilevel"/>
    <w:tmpl w:val="7BFE3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A46B25"/>
    <w:multiLevelType w:val="hybridMultilevel"/>
    <w:tmpl w:val="6C02F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822E01"/>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B580BFD"/>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DBD781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E1C13B6"/>
    <w:multiLevelType w:val="hybridMultilevel"/>
    <w:tmpl w:val="B6E627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BF01D1"/>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FD23D11"/>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30742D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6EE098D"/>
    <w:multiLevelType w:val="hybridMultilevel"/>
    <w:tmpl w:val="12DCCB7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C13607"/>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407E557F"/>
    <w:multiLevelType w:val="hybridMultilevel"/>
    <w:tmpl w:val="A88ED9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AA6EC5"/>
    <w:multiLevelType w:val="hybridMultilevel"/>
    <w:tmpl w:val="DE4824D0"/>
    <w:lvl w:ilvl="0" w:tplc="A0545D0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016495"/>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91C0C95"/>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0CF4A08"/>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5222187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AB92C72"/>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AF709A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B342471"/>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5BE237E6"/>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6156749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20B1D27"/>
    <w:multiLevelType w:val="hybridMultilevel"/>
    <w:tmpl w:val="3DA44BD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83B5B72"/>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707458D1"/>
    <w:multiLevelType w:val="hybridMultilevel"/>
    <w:tmpl w:val="6C02F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3277442"/>
    <w:multiLevelType w:val="hybridMultilevel"/>
    <w:tmpl w:val="A412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9E3A6D"/>
    <w:multiLevelType w:val="multilevel"/>
    <w:tmpl w:val="8AD80F7A"/>
    <w:lvl w:ilvl="0">
      <w:start w:val="4"/>
      <w:numFmt w:val="decimal"/>
      <w:lvlText w:val="%1"/>
      <w:lvlJc w:val="left"/>
      <w:pPr>
        <w:ind w:hanging="855"/>
      </w:pPr>
      <w:rPr>
        <w:rFonts w:hint="default"/>
      </w:rPr>
    </w:lvl>
    <w:lvl w:ilvl="1">
      <w:start w:val="1"/>
      <w:numFmt w:val="decimal"/>
      <w:lvlText w:val="%1.%2"/>
      <w:lvlJc w:val="left"/>
      <w:pPr>
        <w:ind w:hanging="855"/>
      </w:pPr>
      <w:rPr>
        <w:rFonts w:ascii="Arial" w:eastAsia="Arial" w:hAnsi="Arial" w:hint="default"/>
        <w:color w:val="313131"/>
        <w:w w:val="96"/>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5">
    <w:nsid w:val="7D18540C"/>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3"/>
  </w:num>
  <w:num w:numId="2">
    <w:abstractNumId w:val="29"/>
  </w:num>
  <w:num w:numId="3">
    <w:abstractNumId w:val="20"/>
  </w:num>
  <w:num w:numId="4">
    <w:abstractNumId w:val="22"/>
  </w:num>
  <w:num w:numId="5">
    <w:abstractNumId w:val="5"/>
  </w:num>
  <w:num w:numId="6">
    <w:abstractNumId w:val="34"/>
  </w:num>
  <w:num w:numId="7">
    <w:abstractNumId w:val="26"/>
  </w:num>
  <w:num w:numId="8">
    <w:abstractNumId w:val="12"/>
  </w:num>
  <w:num w:numId="9">
    <w:abstractNumId w:val="24"/>
  </w:num>
  <w:num w:numId="10">
    <w:abstractNumId w:val="2"/>
  </w:num>
  <w:num w:numId="11">
    <w:abstractNumId w:val="31"/>
  </w:num>
  <w:num w:numId="12">
    <w:abstractNumId w:val="17"/>
  </w:num>
  <w:num w:numId="13">
    <w:abstractNumId w:val="15"/>
  </w:num>
  <w:num w:numId="14">
    <w:abstractNumId w:val="14"/>
  </w:num>
  <w:num w:numId="15">
    <w:abstractNumId w:val="16"/>
  </w:num>
  <w:num w:numId="16">
    <w:abstractNumId w:val="8"/>
  </w:num>
  <w:num w:numId="17">
    <w:abstractNumId w:val="0"/>
  </w:num>
  <w:num w:numId="18">
    <w:abstractNumId w:val="13"/>
  </w:num>
  <w:num w:numId="19">
    <w:abstractNumId w:val="21"/>
  </w:num>
  <w:num w:numId="20">
    <w:abstractNumId w:val="32"/>
  </w:num>
  <w:num w:numId="21">
    <w:abstractNumId w:val="3"/>
  </w:num>
  <w:num w:numId="22">
    <w:abstractNumId w:val="9"/>
  </w:num>
  <w:num w:numId="23">
    <w:abstractNumId w:val="25"/>
  </w:num>
  <w:num w:numId="24">
    <w:abstractNumId w:val="1"/>
  </w:num>
  <w:num w:numId="25">
    <w:abstractNumId w:val="23"/>
  </w:num>
  <w:num w:numId="26">
    <w:abstractNumId w:val="19"/>
  </w:num>
  <w:num w:numId="27">
    <w:abstractNumId w:val="27"/>
  </w:num>
  <w:num w:numId="28">
    <w:abstractNumId w:val="11"/>
  </w:num>
  <w:num w:numId="29">
    <w:abstractNumId w:val="18"/>
  </w:num>
  <w:num w:numId="30">
    <w:abstractNumId w:val="10"/>
  </w:num>
  <w:num w:numId="31">
    <w:abstractNumId w:val="35"/>
  </w:num>
  <w:num w:numId="32">
    <w:abstractNumId w:val="28"/>
  </w:num>
  <w:num w:numId="33">
    <w:abstractNumId w:val="6"/>
  </w:num>
  <w:num w:numId="34">
    <w:abstractNumId w:val="7"/>
  </w:num>
  <w:num w:numId="35">
    <w:abstractNumId w:val="30"/>
  </w:num>
  <w:num w:numId="3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01099"/>
    <w:rsid w:val="00023E37"/>
    <w:rsid w:val="000261C0"/>
    <w:rsid w:val="00030352"/>
    <w:rsid w:val="00031D1E"/>
    <w:rsid w:val="00037F60"/>
    <w:rsid w:val="0005207E"/>
    <w:rsid w:val="00054DE1"/>
    <w:rsid w:val="000551EE"/>
    <w:rsid w:val="00066624"/>
    <w:rsid w:val="00084CE4"/>
    <w:rsid w:val="000A1C55"/>
    <w:rsid w:val="000A71BA"/>
    <w:rsid w:val="000B0A7F"/>
    <w:rsid w:val="000B359E"/>
    <w:rsid w:val="000D5DA0"/>
    <w:rsid w:val="000F274B"/>
    <w:rsid w:val="000F29AC"/>
    <w:rsid w:val="000F6071"/>
    <w:rsid w:val="00102BA1"/>
    <w:rsid w:val="00103AC5"/>
    <w:rsid w:val="00104179"/>
    <w:rsid w:val="0010458D"/>
    <w:rsid w:val="00104C06"/>
    <w:rsid w:val="001072B4"/>
    <w:rsid w:val="00112CCB"/>
    <w:rsid w:val="00112DBF"/>
    <w:rsid w:val="00131281"/>
    <w:rsid w:val="00134032"/>
    <w:rsid w:val="00144B3B"/>
    <w:rsid w:val="001575A7"/>
    <w:rsid w:val="001641A6"/>
    <w:rsid w:val="00165861"/>
    <w:rsid w:val="00167E3E"/>
    <w:rsid w:val="001766FB"/>
    <w:rsid w:val="001867B9"/>
    <w:rsid w:val="00186D8B"/>
    <w:rsid w:val="001B7F3F"/>
    <w:rsid w:val="001C4993"/>
    <w:rsid w:val="001C4B5C"/>
    <w:rsid w:val="001D1D38"/>
    <w:rsid w:val="001D3067"/>
    <w:rsid w:val="001D5EE7"/>
    <w:rsid w:val="001E6629"/>
    <w:rsid w:val="001F1ECE"/>
    <w:rsid w:val="0020008D"/>
    <w:rsid w:val="002033AE"/>
    <w:rsid w:val="00226235"/>
    <w:rsid w:val="00226A24"/>
    <w:rsid w:val="00226B15"/>
    <w:rsid w:val="00227B07"/>
    <w:rsid w:val="0023686E"/>
    <w:rsid w:val="0024004B"/>
    <w:rsid w:val="0024242C"/>
    <w:rsid w:val="0026371C"/>
    <w:rsid w:val="00275972"/>
    <w:rsid w:val="00281BD6"/>
    <w:rsid w:val="00283C8A"/>
    <w:rsid w:val="00290EB5"/>
    <w:rsid w:val="00291E51"/>
    <w:rsid w:val="0029314E"/>
    <w:rsid w:val="00295519"/>
    <w:rsid w:val="00297A0D"/>
    <w:rsid w:val="002A050E"/>
    <w:rsid w:val="002A21D3"/>
    <w:rsid w:val="002A47A7"/>
    <w:rsid w:val="002A660A"/>
    <w:rsid w:val="002B078E"/>
    <w:rsid w:val="002B567A"/>
    <w:rsid w:val="002B7DC4"/>
    <w:rsid w:val="002C5CF0"/>
    <w:rsid w:val="002D6842"/>
    <w:rsid w:val="002D76CB"/>
    <w:rsid w:val="002D7E65"/>
    <w:rsid w:val="00301127"/>
    <w:rsid w:val="003105C9"/>
    <w:rsid w:val="00311342"/>
    <w:rsid w:val="00312F45"/>
    <w:rsid w:val="003150AF"/>
    <w:rsid w:val="00315D04"/>
    <w:rsid w:val="0031751B"/>
    <w:rsid w:val="0032499A"/>
    <w:rsid w:val="00326648"/>
    <w:rsid w:val="0033499A"/>
    <w:rsid w:val="0034407D"/>
    <w:rsid w:val="00345B42"/>
    <w:rsid w:val="00351BDC"/>
    <w:rsid w:val="00356332"/>
    <w:rsid w:val="00356B53"/>
    <w:rsid w:val="003628F6"/>
    <w:rsid w:val="00363CA0"/>
    <w:rsid w:val="00373946"/>
    <w:rsid w:val="00383762"/>
    <w:rsid w:val="003847F5"/>
    <w:rsid w:val="00386649"/>
    <w:rsid w:val="003924C9"/>
    <w:rsid w:val="0039450A"/>
    <w:rsid w:val="003B450B"/>
    <w:rsid w:val="003B6E26"/>
    <w:rsid w:val="003D2A83"/>
    <w:rsid w:val="003D3C03"/>
    <w:rsid w:val="003D4E84"/>
    <w:rsid w:val="003E6B08"/>
    <w:rsid w:val="00402985"/>
    <w:rsid w:val="00411F29"/>
    <w:rsid w:val="00413E9C"/>
    <w:rsid w:val="00414B67"/>
    <w:rsid w:val="00416BFF"/>
    <w:rsid w:val="00420554"/>
    <w:rsid w:val="004264D6"/>
    <w:rsid w:val="004353F3"/>
    <w:rsid w:val="00445D1F"/>
    <w:rsid w:val="0046574A"/>
    <w:rsid w:val="004677D5"/>
    <w:rsid w:val="00472040"/>
    <w:rsid w:val="004829CD"/>
    <w:rsid w:val="00485C73"/>
    <w:rsid w:val="00490B16"/>
    <w:rsid w:val="00491692"/>
    <w:rsid w:val="00494A2F"/>
    <w:rsid w:val="004A13CB"/>
    <w:rsid w:val="004A6401"/>
    <w:rsid w:val="004B19DE"/>
    <w:rsid w:val="004B3658"/>
    <w:rsid w:val="004C0A19"/>
    <w:rsid w:val="004D3C32"/>
    <w:rsid w:val="004E2042"/>
    <w:rsid w:val="004F0001"/>
    <w:rsid w:val="004F0983"/>
    <w:rsid w:val="004F4D60"/>
    <w:rsid w:val="004F6740"/>
    <w:rsid w:val="00502B22"/>
    <w:rsid w:val="00504936"/>
    <w:rsid w:val="005210B8"/>
    <w:rsid w:val="00532972"/>
    <w:rsid w:val="00540480"/>
    <w:rsid w:val="00541767"/>
    <w:rsid w:val="005458DE"/>
    <w:rsid w:val="00554631"/>
    <w:rsid w:val="00562183"/>
    <w:rsid w:val="00576020"/>
    <w:rsid w:val="00580A83"/>
    <w:rsid w:val="00581415"/>
    <w:rsid w:val="00590256"/>
    <w:rsid w:val="00590C36"/>
    <w:rsid w:val="0059426B"/>
    <w:rsid w:val="00597AF6"/>
    <w:rsid w:val="005A19A5"/>
    <w:rsid w:val="005A1AD9"/>
    <w:rsid w:val="005A64AF"/>
    <w:rsid w:val="005B050B"/>
    <w:rsid w:val="005C11FC"/>
    <w:rsid w:val="005C524F"/>
    <w:rsid w:val="005D09D1"/>
    <w:rsid w:val="005E23D5"/>
    <w:rsid w:val="005E3760"/>
    <w:rsid w:val="005E693A"/>
    <w:rsid w:val="005F7CEC"/>
    <w:rsid w:val="006103C1"/>
    <w:rsid w:val="0061518E"/>
    <w:rsid w:val="00620E1F"/>
    <w:rsid w:val="006342FC"/>
    <w:rsid w:val="0063477B"/>
    <w:rsid w:val="00635750"/>
    <w:rsid w:val="00642DF4"/>
    <w:rsid w:val="00646F67"/>
    <w:rsid w:val="00653D2D"/>
    <w:rsid w:val="00655F80"/>
    <w:rsid w:val="00663093"/>
    <w:rsid w:val="00664A83"/>
    <w:rsid w:val="0067293B"/>
    <w:rsid w:val="0067538A"/>
    <w:rsid w:val="006753D0"/>
    <w:rsid w:val="0067745D"/>
    <w:rsid w:val="00686F9F"/>
    <w:rsid w:val="0069001D"/>
    <w:rsid w:val="00691D66"/>
    <w:rsid w:val="00692422"/>
    <w:rsid w:val="006A137F"/>
    <w:rsid w:val="006B6192"/>
    <w:rsid w:val="006D0028"/>
    <w:rsid w:val="006D29ED"/>
    <w:rsid w:val="006D4204"/>
    <w:rsid w:val="006F7CC2"/>
    <w:rsid w:val="0070225D"/>
    <w:rsid w:val="00707C87"/>
    <w:rsid w:val="007118F2"/>
    <w:rsid w:val="007161EF"/>
    <w:rsid w:val="007214D1"/>
    <w:rsid w:val="007273AE"/>
    <w:rsid w:val="0073017A"/>
    <w:rsid w:val="0074360E"/>
    <w:rsid w:val="0074518D"/>
    <w:rsid w:val="00745EAB"/>
    <w:rsid w:val="00755B8E"/>
    <w:rsid w:val="00757433"/>
    <w:rsid w:val="007612F1"/>
    <w:rsid w:val="00764050"/>
    <w:rsid w:val="00771880"/>
    <w:rsid w:val="007723DB"/>
    <w:rsid w:val="00773952"/>
    <w:rsid w:val="00776884"/>
    <w:rsid w:val="00790343"/>
    <w:rsid w:val="007A2BD4"/>
    <w:rsid w:val="007A353F"/>
    <w:rsid w:val="007A535E"/>
    <w:rsid w:val="007D3CAA"/>
    <w:rsid w:val="007D52F9"/>
    <w:rsid w:val="007E2203"/>
    <w:rsid w:val="007E4E27"/>
    <w:rsid w:val="00800D2C"/>
    <w:rsid w:val="0081070E"/>
    <w:rsid w:val="00811A6F"/>
    <w:rsid w:val="008173B1"/>
    <w:rsid w:val="00817421"/>
    <w:rsid w:val="00824F07"/>
    <w:rsid w:val="00825FD9"/>
    <w:rsid w:val="0083012E"/>
    <w:rsid w:val="008301D0"/>
    <w:rsid w:val="00831A88"/>
    <w:rsid w:val="0083625F"/>
    <w:rsid w:val="0084154D"/>
    <w:rsid w:val="008512B8"/>
    <w:rsid w:val="00851F7B"/>
    <w:rsid w:val="00861ABD"/>
    <w:rsid w:val="0087113C"/>
    <w:rsid w:val="00874988"/>
    <w:rsid w:val="00876702"/>
    <w:rsid w:val="0088344E"/>
    <w:rsid w:val="0089449E"/>
    <w:rsid w:val="008A058F"/>
    <w:rsid w:val="008A1F14"/>
    <w:rsid w:val="008A3353"/>
    <w:rsid w:val="008A685F"/>
    <w:rsid w:val="008B4D54"/>
    <w:rsid w:val="008B7A0C"/>
    <w:rsid w:val="008E6DEF"/>
    <w:rsid w:val="008F5A22"/>
    <w:rsid w:val="00905B0C"/>
    <w:rsid w:val="00907435"/>
    <w:rsid w:val="0091163E"/>
    <w:rsid w:val="00935284"/>
    <w:rsid w:val="009361C3"/>
    <w:rsid w:val="00941CC3"/>
    <w:rsid w:val="0094564D"/>
    <w:rsid w:val="0096411F"/>
    <w:rsid w:val="009663B6"/>
    <w:rsid w:val="0097099E"/>
    <w:rsid w:val="00981955"/>
    <w:rsid w:val="00982461"/>
    <w:rsid w:val="0099141B"/>
    <w:rsid w:val="009962A4"/>
    <w:rsid w:val="00997DBB"/>
    <w:rsid w:val="009A5D16"/>
    <w:rsid w:val="009B0904"/>
    <w:rsid w:val="009B223B"/>
    <w:rsid w:val="009D1CEF"/>
    <w:rsid w:val="009D3BFC"/>
    <w:rsid w:val="009E3DB8"/>
    <w:rsid w:val="009E4318"/>
    <w:rsid w:val="009F701B"/>
    <w:rsid w:val="00A04E17"/>
    <w:rsid w:val="00A122DA"/>
    <w:rsid w:val="00A2178B"/>
    <w:rsid w:val="00A30B17"/>
    <w:rsid w:val="00A322EB"/>
    <w:rsid w:val="00A332F9"/>
    <w:rsid w:val="00A33B74"/>
    <w:rsid w:val="00A36B18"/>
    <w:rsid w:val="00A3726F"/>
    <w:rsid w:val="00A37942"/>
    <w:rsid w:val="00A40F8E"/>
    <w:rsid w:val="00A43167"/>
    <w:rsid w:val="00A441C3"/>
    <w:rsid w:val="00A47A09"/>
    <w:rsid w:val="00A53534"/>
    <w:rsid w:val="00A57EC6"/>
    <w:rsid w:val="00A6213E"/>
    <w:rsid w:val="00A72014"/>
    <w:rsid w:val="00A8159A"/>
    <w:rsid w:val="00A84EFA"/>
    <w:rsid w:val="00A90002"/>
    <w:rsid w:val="00A9356A"/>
    <w:rsid w:val="00A95BB7"/>
    <w:rsid w:val="00AA1CCB"/>
    <w:rsid w:val="00AA54D9"/>
    <w:rsid w:val="00AC146F"/>
    <w:rsid w:val="00AD0502"/>
    <w:rsid w:val="00AD0CDF"/>
    <w:rsid w:val="00AD0D67"/>
    <w:rsid w:val="00AF02B6"/>
    <w:rsid w:val="00AF2B92"/>
    <w:rsid w:val="00AF7FD6"/>
    <w:rsid w:val="00B0145D"/>
    <w:rsid w:val="00B074BD"/>
    <w:rsid w:val="00B12596"/>
    <w:rsid w:val="00B40A81"/>
    <w:rsid w:val="00B437C8"/>
    <w:rsid w:val="00B43C0F"/>
    <w:rsid w:val="00B4511E"/>
    <w:rsid w:val="00B4768B"/>
    <w:rsid w:val="00B47775"/>
    <w:rsid w:val="00B50281"/>
    <w:rsid w:val="00B52BA6"/>
    <w:rsid w:val="00B56CDC"/>
    <w:rsid w:val="00B65EFA"/>
    <w:rsid w:val="00B65F30"/>
    <w:rsid w:val="00B705B3"/>
    <w:rsid w:val="00B71D3A"/>
    <w:rsid w:val="00B71E7C"/>
    <w:rsid w:val="00B720A8"/>
    <w:rsid w:val="00B76551"/>
    <w:rsid w:val="00B84929"/>
    <w:rsid w:val="00B961F3"/>
    <w:rsid w:val="00B9658E"/>
    <w:rsid w:val="00BA5464"/>
    <w:rsid w:val="00BB028D"/>
    <w:rsid w:val="00BB237D"/>
    <w:rsid w:val="00BB271A"/>
    <w:rsid w:val="00BB4A08"/>
    <w:rsid w:val="00BD07BA"/>
    <w:rsid w:val="00BD357C"/>
    <w:rsid w:val="00BD6973"/>
    <w:rsid w:val="00BE7950"/>
    <w:rsid w:val="00BE7C73"/>
    <w:rsid w:val="00BF6128"/>
    <w:rsid w:val="00C029AC"/>
    <w:rsid w:val="00C06C9A"/>
    <w:rsid w:val="00C17981"/>
    <w:rsid w:val="00C22F15"/>
    <w:rsid w:val="00C22F42"/>
    <w:rsid w:val="00C23166"/>
    <w:rsid w:val="00C234B4"/>
    <w:rsid w:val="00C343AE"/>
    <w:rsid w:val="00C4097D"/>
    <w:rsid w:val="00C43EA6"/>
    <w:rsid w:val="00C443BA"/>
    <w:rsid w:val="00C51396"/>
    <w:rsid w:val="00C51930"/>
    <w:rsid w:val="00C52643"/>
    <w:rsid w:val="00C533AA"/>
    <w:rsid w:val="00C6544A"/>
    <w:rsid w:val="00C65D64"/>
    <w:rsid w:val="00C72956"/>
    <w:rsid w:val="00C73DE0"/>
    <w:rsid w:val="00C75BFB"/>
    <w:rsid w:val="00C8005D"/>
    <w:rsid w:val="00C97A35"/>
    <w:rsid w:val="00CA48CC"/>
    <w:rsid w:val="00CA5E5B"/>
    <w:rsid w:val="00CD28C3"/>
    <w:rsid w:val="00CD4E51"/>
    <w:rsid w:val="00CD6ED7"/>
    <w:rsid w:val="00CE1288"/>
    <w:rsid w:val="00CE3569"/>
    <w:rsid w:val="00CE375E"/>
    <w:rsid w:val="00CE3849"/>
    <w:rsid w:val="00CE4010"/>
    <w:rsid w:val="00CE4D7F"/>
    <w:rsid w:val="00CF10FD"/>
    <w:rsid w:val="00CF250B"/>
    <w:rsid w:val="00D07AED"/>
    <w:rsid w:val="00D15130"/>
    <w:rsid w:val="00D1679A"/>
    <w:rsid w:val="00D35C5C"/>
    <w:rsid w:val="00D36049"/>
    <w:rsid w:val="00D54220"/>
    <w:rsid w:val="00D57CDF"/>
    <w:rsid w:val="00D658D1"/>
    <w:rsid w:val="00D70784"/>
    <w:rsid w:val="00D72885"/>
    <w:rsid w:val="00D72D2F"/>
    <w:rsid w:val="00D76EA7"/>
    <w:rsid w:val="00D842DB"/>
    <w:rsid w:val="00D91DC8"/>
    <w:rsid w:val="00D92939"/>
    <w:rsid w:val="00DA76B5"/>
    <w:rsid w:val="00DB3601"/>
    <w:rsid w:val="00DD646D"/>
    <w:rsid w:val="00DD6E3A"/>
    <w:rsid w:val="00DE1E6C"/>
    <w:rsid w:val="00DE3803"/>
    <w:rsid w:val="00DE5F32"/>
    <w:rsid w:val="00DE7C73"/>
    <w:rsid w:val="00DF5B00"/>
    <w:rsid w:val="00E2541B"/>
    <w:rsid w:val="00E25517"/>
    <w:rsid w:val="00E25D85"/>
    <w:rsid w:val="00E27197"/>
    <w:rsid w:val="00E345B1"/>
    <w:rsid w:val="00E36F6C"/>
    <w:rsid w:val="00E41E4E"/>
    <w:rsid w:val="00E61416"/>
    <w:rsid w:val="00E7529E"/>
    <w:rsid w:val="00E77AE9"/>
    <w:rsid w:val="00E812AE"/>
    <w:rsid w:val="00E82BE9"/>
    <w:rsid w:val="00EA48CA"/>
    <w:rsid w:val="00EA70C6"/>
    <w:rsid w:val="00EB47AD"/>
    <w:rsid w:val="00EC25B8"/>
    <w:rsid w:val="00EC455A"/>
    <w:rsid w:val="00EE3F35"/>
    <w:rsid w:val="00EE431A"/>
    <w:rsid w:val="00EE6C0C"/>
    <w:rsid w:val="00EF519D"/>
    <w:rsid w:val="00F036A4"/>
    <w:rsid w:val="00F067E4"/>
    <w:rsid w:val="00F070CF"/>
    <w:rsid w:val="00F12AD6"/>
    <w:rsid w:val="00F13F0F"/>
    <w:rsid w:val="00F2002B"/>
    <w:rsid w:val="00F20F41"/>
    <w:rsid w:val="00F222EC"/>
    <w:rsid w:val="00F22C6B"/>
    <w:rsid w:val="00F23CFB"/>
    <w:rsid w:val="00F32670"/>
    <w:rsid w:val="00F41E17"/>
    <w:rsid w:val="00F47321"/>
    <w:rsid w:val="00F60F83"/>
    <w:rsid w:val="00F66E63"/>
    <w:rsid w:val="00F778E4"/>
    <w:rsid w:val="00F77C28"/>
    <w:rsid w:val="00FA053D"/>
    <w:rsid w:val="00FA5BC7"/>
    <w:rsid w:val="00FA7E93"/>
    <w:rsid w:val="00FB11B3"/>
    <w:rsid w:val="00FB7E98"/>
    <w:rsid w:val="00FD3F7E"/>
    <w:rsid w:val="00FE4D79"/>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CE4"/>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paragraph" w:styleId="Heading8">
    <w:name w:val="heading 8"/>
    <w:basedOn w:val="Normal"/>
    <w:next w:val="Normal"/>
    <w:link w:val="Heading8Char"/>
    <w:uiPriority w:val="9"/>
    <w:unhideWhenUsed/>
    <w:qFormat/>
    <w:rsid w:val="00A30B1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0B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679A"/>
    <w:rPr>
      <w:rFonts w:asciiTheme="minorHAnsi" w:eastAsiaTheme="minorHAnsi" w:hAnsiTheme="minorHAnsi" w:cstheme="minorBidi"/>
      <w:sz w:val="24"/>
      <w:szCs w:val="24"/>
      <w:lang w:eastAsia="en-US"/>
    </w:rPr>
  </w:style>
  <w:style w:type="paragraph" w:styleId="NormalWeb">
    <w:name w:val="Normal (Web)"/>
    <w:basedOn w:val="Normal"/>
    <w:uiPriority w:val="99"/>
    <w:unhideWhenUsed/>
    <w:rsid w:val="00CA5E5B"/>
    <w:pPr>
      <w:spacing w:before="100" w:beforeAutospacing="1" w:after="100" w:afterAutospacing="1"/>
    </w:pPr>
    <w:rPr>
      <w:rFonts w:eastAsia="Calibri"/>
      <w:szCs w:val="24"/>
    </w:rPr>
  </w:style>
  <w:style w:type="character" w:styleId="CommentReference">
    <w:name w:val="annotation reference"/>
    <w:basedOn w:val="DefaultParagraphFont"/>
    <w:uiPriority w:val="99"/>
    <w:semiHidden/>
    <w:unhideWhenUsed/>
    <w:rsid w:val="00874988"/>
    <w:rPr>
      <w:sz w:val="16"/>
      <w:szCs w:val="16"/>
    </w:rPr>
  </w:style>
  <w:style w:type="paragraph" w:styleId="CommentText">
    <w:name w:val="annotation text"/>
    <w:basedOn w:val="Normal"/>
    <w:link w:val="CommentTextChar"/>
    <w:uiPriority w:val="99"/>
    <w:semiHidden/>
    <w:unhideWhenUsed/>
    <w:rsid w:val="00874988"/>
    <w:rPr>
      <w:sz w:val="20"/>
    </w:rPr>
  </w:style>
  <w:style w:type="character" w:customStyle="1" w:styleId="CommentTextChar">
    <w:name w:val="Comment Text Char"/>
    <w:basedOn w:val="DefaultParagraphFont"/>
    <w:link w:val="CommentText"/>
    <w:uiPriority w:val="99"/>
    <w:semiHidden/>
    <w:rsid w:val="00874988"/>
  </w:style>
  <w:style w:type="paragraph" w:styleId="CommentSubject">
    <w:name w:val="annotation subject"/>
    <w:basedOn w:val="CommentText"/>
    <w:next w:val="CommentText"/>
    <w:link w:val="CommentSubjectChar"/>
    <w:uiPriority w:val="99"/>
    <w:semiHidden/>
    <w:unhideWhenUsed/>
    <w:rsid w:val="00874988"/>
    <w:rPr>
      <w:b/>
      <w:bCs/>
    </w:rPr>
  </w:style>
  <w:style w:type="character" w:customStyle="1" w:styleId="CommentSubjectChar">
    <w:name w:val="Comment Subject Char"/>
    <w:basedOn w:val="CommentTextChar"/>
    <w:link w:val="CommentSubject"/>
    <w:uiPriority w:val="99"/>
    <w:semiHidden/>
    <w:rsid w:val="00874988"/>
    <w:rPr>
      <w:b/>
      <w:bCs/>
    </w:rPr>
  </w:style>
  <w:style w:type="character" w:customStyle="1" w:styleId="Heading8Char">
    <w:name w:val="Heading 8 Char"/>
    <w:basedOn w:val="DefaultParagraphFont"/>
    <w:link w:val="Heading8"/>
    <w:uiPriority w:val="9"/>
    <w:rsid w:val="00A30B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30B1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CE4"/>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paragraph" w:styleId="Heading8">
    <w:name w:val="heading 8"/>
    <w:basedOn w:val="Normal"/>
    <w:next w:val="Normal"/>
    <w:link w:val="Heading8Char"/>
    <w:uiPriority w:val="9"/>
    <w:unhideWhenUsed/>
    <w:qFormat/>
    <w:rsid w:val="00A30B1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0B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679A"/>
    <w:rPr>
      <w:rFonts w:asciiTheme="minorHAnsi" w:eastAsiaTheme="minorHAnsi" w:hAnsiTheme="minorHAnsi" w:cstheme="minorBidi"/>
      <w:sz w:val="24"/>
      <w:szCs w:val="24"/>
      <w:lang w:eastAsia="en-US"/>
    </w:rPr>
  </w:style>
  <w:style w:type="paragraph" w:styleId="NormalWeb">
    <w:name w:val="Normal (Web)"/>
    <w:basedOn w:val="Normal"/>
    <w:uiPriority w:val="99"/>
    <w:unhideWhenUsed/>
    <w:rsid w:val="00CA5E5B"/>
    <w:pPr>
      <w:spacing w:before="100" w:beforeAutospacing="1" w:after="100" w:afterAutospacing="1"/>
    </w:pPr>
    <w:rPr>
      <w:rFonts w:eastAsia="Calibri"/>
      <w:szCs w:val="24"/>
    </w:rPr>
  </w:style>
  <w:style w:type="character" w:styleId="CommentReference">
    <w:name w:val="annotation reference"/>
    <w:basedOn w:val="DefaultParagraphFont"/>
    <w:uiPriority w:val="99"/>
    <w:semiHidden/>
    <w:unhideWhenUsed/>
    <w:rsid w:val="00874988"/>
    <w:rPr>
      <w:sz w:val="16"/>
      <w:szCs w:val="16"/>
    </w:rPr>
  </w:style>
  <w:style w:type="paragraph" w:styleId="CommentText">
    <w:name w:val="annotation text"/>
    <w:basedOn w:val="Normal"/>
    <w:link w:val="CommentTextChar"/>
    <w:uiPriority w:val="99"/>
    <w:semiHidden/>
    <w:unhideWhenUsed/>
    <w:rsid w:val="00874988"/>
    <w:rPr>
      <w:sz w:val="20"/>
    </w:rPr>
  </w:style>
  <w:style w:type="character" w:customStyle="1" w:styleId="CommentTextChar">
    <w:name w:val="Comment Text Char"/>
    <w:basedOn w:val="DefaultParagraphFont"/>
    <w:link w:val="CommentText"/>
    <w:uiPriority w:val="99"/>
    <w:semiHidden/>
    <w:rsid w:val="00874988"/>
  </w:style>
  <w:style w:type="paragraph" w:styleId="CommentSubject">
    <w:name w:val="annotation subject"/>
    <w:basedOn w:val="CommentText"/>
    <w:next w:val="CommentText"/>
    <w:link w:val="CommentSubjectChar"/>
    <w:uiPriority w:val="99"/>
    <w:semiHidden/>
    <w:unhideWhenUsed/>
    <w:rsid w:val="00874988"/>
    <w:rPr>
      <w:b/>
      <w:bCs/>
    </w:rPr>
  </w:style>
  <w:style w:type="character" w:customStyle="1" w:styleId="CommentSubjectChar">
    <w:name w:val="Comment Subject Char"/>
    <w:basedOn w:val="CommentTextChar"/>
    <w:link w:val="CommentSubject"/>
    <w:uiPriority w:val="99"/>
    <w:semiHidden/>
    <w:rsid w:val="00874988"/>
    <w:rPr>
      <w:b/>
      <w:bCs/>
    </w:rPr>
  </w:style>
  <w:style w:type="character" w:customStyle="1" w:styleId="Heading8Char">
    <w:name w:val="Heading 8 Char"/>
    <w:basedOn w:val="DefaultParagraphFont"/>
    <w:link w:val="Heading8"/>
    <w:uiPriority w:val="9"/>
    <w:rsid w:val="00A30B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30B1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195">
      <w:bodyDiv w:val="1"/>
      <w:marLeft w:val="0"/>
      <w:marRight w:val="0"/>
      <w:marTop w:val="0"/>
      <w:marBottom w:val="0"/>
      <w:divBdr>
        <w:top w:val="none" w:sz="0" w:space="0" w:color="auto"/>
        <w:left w:val="none" w:sz="0" w:space="0" w:color="auto"/>
        <w:bottom w:val="none" w:sz="0" w:space="0" w:color="auto"/>
        <w:right w:val="none" w:sz="0" w:space="0" w:color="auto"/>
      </w:divBdr>
    </w:div>
    <w:div w:id="51926783">
      <w:bodyDiv w:val="1"/>
      <w:marLeft w:val="0"/>
      <w:marRight w:val="0"/>
      <w:marTop w:val="0"/>
      <w:marBottom w:val="0"/>
      <w:divBdr>
        <w:top w:val="none" w:sz="0" w:space="0" w:color="auto"/>
        <w:left w:val="none" w:sz="0" w:space="0" w:color="auto"/>
        <w:bottom w:val="none" w:sz="0" w:space="0" w:color="auto"/>
        <w:right w:val="none" w:sz="0" w:space="0" w:color="auto"/>
      </w:divBdr>
    </w:div>
    <w:div w:id="128672429">
      <w:bodyDiv w:val="1"/>
      <w:marLeft w:val="0"/>
      <w:marRight w:val="0"/>
      <w:marTop w:val="0"/>
      <w:marBottom w:val="0"/>
      <w:divBdr>
        <w:top w:val="none" w:sz="0" w:space="0" w:color="auto"/>
        <w:left w:val="none" w:sz="0" w:space="0" w:color="auto"/>
        <w:bottom w:val="none" w:sz="0" w:space="0" w:color="auto"/>
        <w:right w:val="none" w:sz="0" w:space="0" w:color="auto"/>
      </w:divBdr>
    </w:div>
    <w:div w:id="134878962">
      <w:bodyDiv w:val="1"/>
      <w:marLeft w:val="0"/>
      <w:marRight w:val="0"/>
      <w:marTop w:val="0"/>
      <w:marBottom w:val="0"/>
      <w:divBdr>
        <w:top w:val="none" w:sz="0" w:space="0" w:color="auto"/>
        <w:left w:val="none" w:sz="0" w:space="0" w:color="auto"/>
        <w:bottom w:val="none" w:sz="0" w:space="0" w:color="auto"/>
        <w:right w:val="none" w:sz="0" w:space="0" w:color="auto"/>
      </w:divBdr>
    </w:div>
    <w:div w:id="138888276">
      <w:bodyDiv w:val="1"/>
      <w:marLeft w:val="0"/>
      <w:marRight w:val="0"/>
      <w:marTop w:val="0"/>
      <w:marBottom w:val="0"/>
      <w:divBdr>
        <w:top w:val="none" w:sz="0" w:space="0" w:color="auto"/>
        <w:left w:val="none" w:sz="0" w:space="0" w:color="auto"/>
        <w:bottom w:val="none" w:sz="0" w:space="0" w:color="auto"/>
        <w:right w:val="none" w:sz="0" w:space="0" w:color="auto"/>
      </w:divBdr>
    </w:div>
    <w:div w:id="159203626">
      <w:bodyDiv w:val="1"/>
      <w:marLeft w:val="0"/>
      <w:marRight w:val="0"/>
      <w:marTop w:val="0"/>
      <w:marBottom w:val="0"/>
      <w:divBdr>
        <w:top w:val="none" w:sz="0" w:space="0" w:color="auto"/>
        <w:left w:val="none" w:sz="0" w:space="0" w:color="auto"/>
        <w:bottom w:val="none" w:sz="0" w:space="0" w:color="auto"/>
        <w:right w:val="none" w:sz="0" w:space="0" w:color="auto"/>
      </w:divBdr>
    </w:div>
    <w:div w:id="167986271">
      <w:bodyDiv w:val="1"/>
      <w:marLeft w:val="0"/>
      <w:marRight w:val="0"/>
      <w:marTop w:val="0"/>
      <w:marBottom w:val="0"/>
      <w:divBdr>
        <w:top w:val="none" w:sz="0" w:space="0" w:color="auto"/>
        <w:left w:val="none" w:sz="0" w:space="0" w:color="auto"/>
        <w:bottom w:val="none" w:sz="0" w:space="0" w:color="auto"/>
        <w:right w:val="none" w:sz="0" w:space="0" w:color="auto"/>
      </w:divBdr>
    </w:div>
    <w:div w:id="201943978">
      <w:bodyDiv w:val="1"/>
      <w:marLeft w:val="0"/>
      <w:marRight w:val="0"/>
      <w:marTop w:val="0"/>
      <w:marBottom w:val="0"/>
      <w:divBdr>
        <w:top w:val="none" w:sz="0" w:space="0" w:color="auto"/>
        <w:left w:val="none" w:sz="0" w:space="0" w:color="auto"/>
        <w:bottom w:val="none" w:sz="0" w:space="0" w:color="auto"/>
        <w:right w:val="none" w:sz="0" w:space="0" w:color="auto"/>
      </w:divBdr>
    </w:div>
    <w:div w:id="202905148">
      <w:bodyDiv w:val="1"/>
      <w:marLeft w:val="0"/>
      <w:marRight w:val="0"/>
      <w:marTop w:val="0"/>
      <w:marBottom w:val="0"/>
      <w:divBdr>
        <w:top w:val="none" w:sz="0" w:space="0" w:color="auto"/>
        <w:left w:val="none" w:sz="0" w:space="0" w:color="auto"/>
        <w:bottom w:val="none" w:sz="0" w:space="0" w:color="auto"/>
        <w:right w:val="none" w:sz="0" w:space="0" w:color="auto"/>
      </w:divBdr>
    </w:div>
    <w:div w:id="231086354">
      <w:bodyDiv w:val="1"/>
      <w:marLeft w:val="0"/>
      <w:marRight w:val="0"/>
      <w:marTop w:val="0"/>
      <w:marBottom w:val="0"/>
      <w:divBdr>
        <w:top w:val="none" w:sz="0" w:space="0" w:color="auto"/>
        <w:left w:val="none" w:sz="0" w:space="0" w:color="auto"/>
        <w:bottom w:val="none" w:sz="0" w:space="0" w:color="auto"/>
        <w:right w:val="none" w:sz="0" w:space="0" w:color="auto"/>
      </w:divBdr>
    </w:div>
    <w:div w:id="263348074">
      <w:bodyDiv w:val="1"/>
      <w:marLeft w:val="0"/>
      <w:marRight w:val="0"/>
      <w:marTop w:val="0"/>
      <w:marBottom w:val="0"/>
      <w:divBdr>
        <w:top w:val="none" w:sz="0" w:space="0" w:color="auto"/>
        <w:left w:val="none" w:sz="0" w:space="0" w:color="auto"/>
        <w:bottom w:val="none" w:sz="0" w:space="0" w:color="auto"/>
        <w:right w:val="none" w:sz="0" w:space="0" w:color="auto"/>
      </w:divBdr>
    </w:div>
    <w:div w:id="269631470">
      <w:bodyDiv w:val="1"/>
      <w:marLeft w:val="0"/>
      <w:marRight w:val="0"/>
      <w:marTop w:val="0"/>
      <w:marBottom w:val="0"/>
      <w:divBdr>
        <w:top w:val="none" w:sz="0" w:space="0" w:color="auto"/>
        <w:left w:val="none" w:sz="0" w:space="0" w:color="auto"/>
        <w:bottom w:val="none" w:sz="0" w:space="0" w:color="auto"/>
        <w:right w:val="none" w:sz="0" w:space="0" w:color="auto"/>
      </w:divBdr>
    </w:div>
    <w:div w:id="282925118">
      <w:bodyDiv w:val="1"/>
      <w:marLeft w:val="0"/>
      <w:marRight w:val="0"/>
      <w:marTop w:val="0"/>
      <w:marBottom w:val="0"/>
      <w:divBdr>
        <w:top w:val="none" w:sz="0" w:space="0" w:color="auto"/>
        <w:left w:val="none" w:sz="0" w:space="0" w:color="auto"/>
        <w:bottom w:val="none" w:sz="0" w:space="0" w:color="auto"/>
        <w:right w:val="none" w:sz="0" w:space="0" w:color="auto"/>
      </w:divBdr>
    </w:div>
    <w:div w:id="284820748">
      <w:bodyDiv w:val="1"/>
      <w:marLeft w:val="0"/>
      <w:marRight w:val="0"/>
      <w:marTop w:val="0"/>
      <w:marBottom w:val="0"/>
      <w:divBdr>
        <w:top w:val="none" w:sz="0" w:space="0" w:color="auto"/>
        <w:left w:val="none" w:sz="0" w:space="0" w:color="auto"/>
        <w:bottom w:val="none" w:sz="0" w:space="0" w:color="auto"/>
        <w:right w:val="none" w:sz="0" w:space="0" w:color="auto"/>
      </w:divBdr>
    </w:div>
    <w:div w:id="298073383">
      <w:bodyDiv w:val="1"/>
      <w:marLeft w:val="0"/>
      <w:marRight w:val="0"/>
      <w:marTop w:val="0"/>
      <w:marBottom w:val="0"/>
      <w:divBdr>
        <w:top w:val="none" w:sz="0" w:space="0" w:color="auto"/>
        <w:left w:val="none" w:sz="0" w:space="0" w:color="auto"/>
        <w:bottom w:val="none" w:sz="0" w:space="0" w:color="auto"/>
        <w:right w:val="none" w:sz="0" w:space="0" w:color="auto"/>
      </w:divBdr>
    </w:div>
    <w:div w:id="354112203">
      <w:bodyDiv w:val="1"/>
      <w:marLeft w:val="0"/>
      <w:marRight w:val="0"/>
      <w:marTop w:val="0"/>
      <w:marBottom w:val="0"/>
      <w:divBdr>
        <w:top w:val="none" w:sz="0" w:space="0" w:color="auto"/>
        <w:left w:val="none" w:sz="0" w:space="0" w:color="auto"/>
        <w:bottom w:val="none" w:sz="0" w:space="0" w:color="auto"/>
        <w:right w:val="none" w:sz="0" w:space="0" w:color="auto"/>
      </w:divBdr>
    </w:div>
    <w:div w:id="389503959">
      <w:bodyDiv w:val="1"/>
      <w:marLeft w:val="0"/>
      <w:marRight w:val="0"/>
      <w:marTop w:val="0"/>
      <w:marBottom w:val="0"/>
      <w:divBdr>
        <w:top w:val="none" w:sz="0" w:space="0" w:color="auto"/>
        <w:left w:val="none" w:sz="0" w:space="0" w:color="auto"/>
        <w:bottom w:val="none" w:sz="0" w:space="0" w:color="auto"/>
        <w:right w:val="none" w:sz="0" w:space="0" w:color="auto"/>
      </w:divBdr>
    </w:div>
    <w:div w:id="400713386">
      <w:bodyDiv w:val="1"/>
      <w:marLeft w:val="0"/>
      <w:marRight w:val="0"/>
      <w:marTop w:val="0"/>
      <w:marBottom w:val="0"/>
      <w:divBdr>
        <w:top w:val="none" w:sz="0" w:space="0" w:color="auto"/>
        <w:left w:val="none" w:sz="0" w:space="0" w:color="auto"/>
        <w:bottom w:val="none" w:sz="0" w:space="0" w:color="auto"/>
        <w:right w:val="none" w:sz="0" w:space="0" w:color="auto"/>
      </w:divBdr>
    </w:div>
    <w:div w:id="428551397">
      <w:bodyDiv w:val="1"/>
      <w:marLeft w:val="0"/>
      <w:marRight w:val="0"/>
      <w:marTop w:val="0"/>
      <w:marBottom w:val="0"/>
      <w:divBdr>
        <w:top w:val="none" w:sz="0" w:space="0" w:color="auto"/>
        <w:left w:val="none" w:sz="0" w:space="0" w:color="auto"/>
        <w:bottom w:val="none" w:sz="0" w:space="0" w:color="auto"/>
        <w:right w:val="none" w:sz="0" w:space="0" w:color="auto"/>
      </w:divBdr>
    </w:div>
    <w:div w:id="442581055">
      <w:bodyDiv w:val="1"/>
      <w:marLeft w:val="0"/>
      <w:marRight w:val="0"/>
      <w:marTop w:val="0"/>
      <w:marBottom w:val="0"/>
      <w:divBdr>
        <w:top w:val="none" w:sz="0" w:space="0" w:color="auto"/>
        <w:left w:val="none" w:sz="0" w:space="0" w:color="auto"/>
        <w:bottom w:val="none" w:sz="0" w:space="0" w:color="auto"/>
        <w:right w:val="none" w:sz="0" w:space="0" w:color="auto"/>
      </w:divBdr>
    </w:div>
    <w:div w:id="482163713">
      <w:bodyDiv w:val="1"/>
      <w:marLeft w:val="0"/>
      <w:marRight w:val="0"/>
      <w:marTop w:val="0"/>
      <w:marBottom w:val="0"/>
      <w:divBdr>
        <w:top w:val="none" w:sz="0" w:space="0" w:color="auto"/>
        <w:left w:val="none" w:sz="0" w:space="0" w:color="auto"/>
        <w:bottom w:val="none" w:sz="0" w:space="0" w:color="auto"/>
        <w:right w:val="none" w:sz="0" w:space="0" w:color="auto"/>
      </w:divBdr>
    </w:div>
    <w:div w:id="487212207">
      <w:bodyDiv w:val="1"/>
      <w:marLeft w:val="0"/>
      <w:marRight w:val="0"/>
      <w:marTop w:val="0"/>
      <w:marBottom w:val="0"/>
      <w:divBdr>
        <w:top w:val="none" w:sz="0" w:space="0" w:color="auto"/>
        <w:left w:val="none" w:sz="0" w:space="0" w:color="auto"/>
        <w:bottom w:val="none" w:sz="0" w:space="0" w:color="auto"/>
        <w:right w:val="none" w:sz="0" w:space="0" w:color="auto"/>
      </w:divBdr>
    </w:div>
    <w:div w:id="495415842">
      <w:bodyDiv w:val="1"/>
      <w:marLeft w:val="0"/>
      <w:marRight w:val="0"/>
      <w:marTop w:val="0"/>
      <w:marBottom w:val="0"/>
      <w:divBdr>
        <w:top w:val="none" w:sz="0" w:space="0" w:color="auto"/>
        <w:left w:val="none" w:sz="0" w:space="0" w:color="auto"/>
        <w:bottom w:val="none" w:sz="0" w:space="0" w:color="auto"/>
        <w:right w:val="none" w:sz="0" w:space="0" w:color="auto"/>
      </w:divBdr>
    </w:div>
    <w:div w:id="500051774">
      <w:bodyDiv w:val="1"/>
      <w:marLeft w:val="0"/>
      <w:marRight w:val="0"/>
      <w:marTop w:val="0"/>
      <w:marBottom w:val="0"/>
      <w:divBdr>
        <w:top w:val="none" w:sz="0" w:space="0" w:color="auto"/>
        <w:left w:val="none" w:sz="0" w:space="0" w:color="auto"/>
        <w:bottom w:val="none" w:sz="0" w:space="0" w:color="auto"/>
        <w:right w:val="none" w:sz="0" w:space="0" w:color="auto"/>
      </w:divBdr>
    </w:div>
    <w:div w:id="503474071">
      <w:bodyDiv w:val="1"/>
      <w:marLeft w:val="0"/>
      <w:marRight w:val="0"/>
      <w:marTop w:val="0"/>
      <w:marBottom w:val="0"/>
      <w:divBdr>
        <w:top w:val="none" w:sz="0" w:space="0" w:color="auto"/>
        <w:left w:val="none" w:sz="0" w:space="0" w:color="auto"/>
        <w:bottom w:val="none" w:sz="0" w:space="0" w:color="auto"/>
        <w:right w:val="none" w:sz="0" w:space="0" w:color="auto"/>
      </w:divBdr>
    </w:div>
    <w:div w:id="509024157">
      <w:bodyDiv w:val="1"/>
      <w:marLeft w:val="0"/>
      <w:marRight w:val="0"/>
      <w:marTop w:val="0"/>
      <w:marBottom w:val="0"/>
      <w:divBdr>
        <w:top w:val="none" w:sz="0" w:space="0" w:color="auto"/>
        <w:left w:val="none" w:sz="0" w:space="0" w:color="auto"/>
        <w:bottom w:val="none" w:sz="0" w:space="0" w:color="auto"/>
        <w:right w:val="none" w:sz="0" w:space="0" w:color="auto"/>
      </w:divBdr>
    </w:div>
    <w:div w:id="552429831">
      <w:bodyDiv w:val="1"/>
      <w:marLeft w:val="0"/>
      <w:marRight w:val="0"/>
      <w:marTop w:val="0"/>
      <w:marBottom w:val="0"/>
      <w:divBdr>
        <w:top w:val="none" w:sz="0" w:space="0" w:color="auto"/>
        <w:left w:val="none" w:sz="0" w:space="0" w:color="auto"/>
        <w:bottom w:val="none" w:sz="0" w:space="0" w:color="auto"/>
        <w:right w:val="none" w:sz="0" w:space="0" w:color="auto"/>
      </w:divBdr>
    </w:div>
    <w:div w:id="564024582">
      <w:bodyDiv w:val="1"/>
      <w:marLeft w:val="0"/>
      <w:marRight w:val="0"/>
      <w:marTop w:val="0"/>
      <w:marBottom w:val="0"/>
      <w:divBdr>
        <w:top w:val="none" w:sz="0" w:space="0" w:color="auto"/>
        <w:left w:val="none" w:sz="0" w:space="0" w:color="auto"/>
        <w:bottom w:val="none" w:sz="0" w:space="0" w:color="auto"/>
        <w:right w:val="none" w:sz="0" w:space="0" w:color="auto"/>
      </w:divBdr>
    </w:div>
    <w:div w:id="578565495">
      <w:bodyDiv w:val="1"/>
      <w:marLeft w:val="0"/>
      <w:marRight w:val="0"/>
      <w:marTop w:val="0"/>
      <w:marBottom w:val="0"/>
      <w:divBdr>
        <w:top w:val="none" w:sz="0" w:space="0" w:color="auto"/>
        <w:left w:val="none" w:sz="0" w:space="0" w:color="auto"/>
        <w:bottom w:val="none" w:sz="0" w:space="0" w:color="auto"/>
        <w:right w:val="none" w:sz="0" w:space="0" w:color="auto"/>
      </w:divBdr>
    </w:div>
    <w:div w:id="586352200">
      <w:bodyDiv w:val="1"/>
      <w:marLeft w:val="0"/>
      <w:marRight w:val="0"/>
      <w:marTop w:val="0"/>
      <w:marBottom w:val="0"/>
      <w:divBdr>
        <w:top w:val="none" w:sz="0" w:space="0" w:color="auto"/>
        <w:left w:val="none" w:sz="0" w:space="0" w:color="auto"/>
        <w:bottom w:val="none" w:sz="0" w:space="0" w:color="auto"/>
        <w:right w:val="none" w:sz="0" w:space="0" w:color="auto"/>
      </w:divBdr>
    </w:div>
    <w:div w:id="641891343">
      <w:bodyDiv w:val="1"/>
      <w:marLeft w:val="0"/>
      <w:marRight w:val="0"/>
      <w:marTop w:val="0"/>
      <w:marBottom w:val="0"/>
      <w:divBdr>
        <w:top w:val="none" w:sz="0" w:space="0" w:color="auto"/>
        <w:left w:val="none" w:sz="0" w:space="0" w:color="auto"/>
        <w:bottom w:val="none" w:sz="0" w:space="0" w:color="auto"/>
        <w:right w:val="none" w:sz="0" w:space="0" w:color="auto"/>
      </w:divBdr>
    </w:div>
    <w:div w:id="675034500">
      <w:bodyDiv w:val="1"/>
      <w:marLeft w:val="0"/>
      <w:marRight w:val="0"/>
      <w:marTop w:val="0"/>
      <w:marBottom w:val="0"/>
      <w:divBdr>
        <w:top w:val="none" w:sz="0" w:space="0" w:color="auto"/>
        <w:left w:val="none" w:sz="0" w:space="0" w:color="auto"/>
        <w:bottom w:val="none" w:sz="0" w:space="0" w:color="auto"/>
        <w:right w:val="none" w:sz="0" w:space="0" w:color="auto"/>
      </w:divBdr>
    </w:div>
    <w:div w:id="707023867">
      <w:bodyDiv w:val="1"/>
      <w:marLeft w:val="0"/>
      <w:marRight w:val="0"/>
      <w:marTop w:val="0"/>
      <w:marBottom w:val="0"/>
      <w:divBdr>
        <w:top w:val="none" w:sz="0" w:space="0" w:color="auto"/>
        <w:left w:val="none" w:sz="0" w:space="0" w:color="auto"/>
        <w:bottom w:val="none" w:sz="0" w:space="0" w:color="auto"/>
        <w:right w:val="none" w:sz="0" w:space="0" w:color="auto"/>
      </w:divBdr>
    </w:div>
    <w:div w:id="714280137">
      <w:bodyDiv w:val="1"/>
      <w:marLeft w:val="0"/>
      <w:marRight w:val="0"/>
      <w:marTop w:val="0"/>
      <w:marBottom w:val="0"/>
      <w:divBdr>
        <w:top w:val="none" w:sz="0" w:space="0" w:color="auto"/>
        <w:left w:val="none" w:sz="0" w:space="0" w:color="auto"/>
        <w:bottom w:val="none" w:sz="0" w:space="0" w:color="auto"/>
        <w:right w:val="none" w:sz="0" w:space="0" w:color="auto"/>
      </w:divBdr>
    </w:div>
    <w:div w:id="736629043">
      <w:bodyDiv w:val="1"/>
      <w:marLeft w:val="0"/>
      <w:marRight w:val="0"/>
      <w:marTop w:val="0"/>
      <w:marBottom w:val="0"/>
      <w:divBdr>
        <w:top w:val="none" w:sz="0" w:space="0" w:color="auto"/>
        <w:left w:val="none" w:sz="0" w:space="0" w:color="auto"/>
        <w:bottom w:val="none" w:sz="0" w:space="0" w:color="auto"/>
        <w:right w:val="none" w:sz="0" w:space="0" w:color="auto"/>
      </w:divBdr>
    </w:div>
    <w:div w:id="761296691">
      <w:bodyDiv w:val="1"/>
      <w:marLeft w:val="0"/>
      <w:marRight w:val="0"/>
      <w:marTop w:val="0"/>
      <w:marBottom w:val="0"/>
      <w:divBdr>
        <w:top w:val="none" w:sz="0" w:space="0" w:color="auto"/>
        <w:left w:val="none" w:sz="0" w:space="0" w:color="auto"/>
        <w:bottom w:val="none" w:sz="0" w:space="0" w:color="auto"/>
        <w:right w:val="none" w:sz="0" w:space="0" w:color="auto"/>
      </w:divBdr>
    </w:div>
    <w:div w:id="764113712">
      <w:bodyDiv w:val="1"/>
      <w:marLeft w:val="0"/>
      <w:marRight w:val="0"/>
      <w:marTop w:val="0"/>
      <w:marBottom w:val="0"/>
      <w:divBdr>
        <w:top w:val="none" w:sz="0" w:space="0" w:color="auto"/>
        <w:left w:val="none" w:sz="0" w:space="0" w:color="auto"/>
        <w:bottom w:val="none" w:sz="0" w:space="0" w:color="auto"/>
        <w:right w:val="none" w:sz="0" w:space="0" w:color="auto"/>
      </w:divBdr>
    </w:div>
    <w:div w:id="766120305">
      <w:bodyDiv w:val="1"/>
      <w:marLeft w:val="0"/>
      <w:marRight w:val="0"/>
      <w:marTop w:val="0"/>
      <w:marBottom w:val="0"/>
      <w:divBdr>
        <w:top w:val="none" w:sz="0" w:space="0" w:color="auto"/>
        <w:left w:val="none" w:sz="0" w:space="0" w:color="auto"/>
        <w:bottom w:val="none" w:sz="0" w:space="0" w:color="auto"/>
        <w:right w:val="none" w:sz="0" w:space="0" w:color="auto"/>
      </w:divBdr>
    </w:div>
    <w:div w:id="773792705">
      <w:bodyDiv w:val="1"/>
      <w:marLeft w:val="0"/>
      <w:marRight w:val="0"/>
      <w:marTop w:val="0"/>
      <w:marBottom w:val="0"/>
      <w:divBdr>
        <w:top w:val="none" w:sz="0" w:space="0" w:color="auto"/>
        <w:left w:val="none" w:sz="0" w:space="0" w:color="auto"/>
        <w:bottom w:val="none" w:sz="0" w:space="0" w:color="auto"/>
        <w:right w:val="none" w:sz="0" w:space="0" w:color="auto"/>
      </w:divBdr>
    </w:div>
    <w:div w:id="782461193">
      <w:bodyDiv w:val="1"/>
      <w:marLeft w:val="0"/>
      <w:marRight w:val="0"/>
      <w:marTop w:val="0"/>
      <w:marBottom w:val="0"/>
      <w:divBdr>
        <w:top w:val="none" w:sz="0" w:space="0" w:color="auto"/>
        <w:left w:val="none" w:sz="0" w:space="0" w:color="auto"/>
        <w:bottom w:val="none" w:sz="0" w:space="0" w:color="auto"/>
        <w:right w:val="none" w:sz="0" w:space="0" w:color="auto"/>
      </w:divBdr>
    </w:div>
    <w:div w:id="800146640">
      <w:bodyDiv w:val="1"/>
      <w:marLeft w:val="0"/>
      <w:marRight w:val="0"/>
      <w:marTop w:val="0"/>
      <w:marBottom w:val="0"/>
      <w:divBdr>
        <w:top w:val="none" w:sz="0" w:space="0" w:color="auto"/>
        <w:left w:val="none" w:sz="0" w:space="0" w:color="auto"/>
        <w:bottom w:val="none" w:sz="0" w:space="0" w:color="auto"/>
        <w:right w:val="none" w:sz="0" w:space="0" w:color="auto"/>
      </w:divBdr>
    </w:div>
    <w:div w:id="807094713">
      <w:bodyDiv w:val="1"/>
      <w:marLeft w:val="0"/>
      <w:marRight w:val="0"/>
      <w:marTop w:val="0"/>
      <w:marBottom w:val="0"/>
      <w:divBdr>
        <w:top w:val="none" w:sz="0" w:space="0" w:color="auto"/>
        <w:left w:val="none" w:sz="0" w:space="0" w:color="auto"/>
        <w:bottom w:val="none" w:sz="0" w:space="0" w:color="auto"/>
        <w:right w:val="none" w:sz="0" w:space="0" w:color="auto"/>
      </w:divBdr>
    </w:div>
    <w:div w:id="807238523">
      <w:bodyDiv w:val="1"/>
      <w:marLeft w:val="0"/>
      <w:marRight w:val="0"/>
      <w:marTop w:val="0"/>
      <w:marBottom w:val="0"/>
      <w:divBdr>
        <w:top w:val="none" w:sz="0" w:space="0" w:color="auto"/>
        <w:left w:val="none" w:sz="0" w:space="0" w:color="auto"/>
        <w:bottom w:val="none" w:sz="0" w:space="0" w:color="auto"/>
        <w:right w:val="none" w:sz="0" w:space="0" w:color="auto"/>
      </w:divBdr>
    </w:div>
    <w:div w:id="864095465">
      <w:bodyDiv w:val="1"/>
      <w:marLeft w:val="0"/>
      <w:marRight w:val="0"/>
      <w:marTop w:val="0"/>
      <w:marBottom w:val="0"/>
      <w:divBdr>
        <w:top w:val="none" w:sz="0" w:space="0" w:color="auto"/>
        <w:left w:val="none" w:sz="0" w:space="0" w:color="auto"/>
        <w:bottom w:val="none" w:sz="0" w:space="0" w:color="auto"/>
        <w:right w:val="none" w:sz="0" w:space="0" w:color="auto"/>
      </w:divBdr>
    </w:div>
    <w:div w:id="883712576">
      <w:bodyDiv w:val="1"/>
      <w:marLeft w:val="0"/>
      <w:marRight w:val="0"/>
      <w:marTop w:val="0"/>
      <w:marBottom w:val="0"/>
      <w:divBdr>
        <w:top w:val="none" w:sz="0" w:space="0" w:color="auto"/>
        <w:left w:val="none" w:sz="0" w:space="0" w:color="auto"/>
        <w:bottom w:val="none" w:sz="0" w:space="0" w:color="auto"/>
        <w:right w:val="none" w:sz="0" w:space="0" w:color="auto"/>
      </w:divBdr>
    </w:div>
    <w:div w:id="918978295">
      <w:bodyDiv w:val="1"/>
      <w:marLeft w:val="0"/>
      <w:marRight w:val="0"/>
      <w:marTop w:val="0"/>
      <w:marBottom w:val="0"/>
      <w:divBdr>
        <w:top w:val="none" w:sz="0" w:space="0" w:color="auto"/>
        <w:left w:val="none" w:sz="0" w:space="0" w:color="auto"/>
        <w:bottom w:val="none" w:sz="0" w:space="0" w:color="auto"/>
        <w:right w:val="none" w:sz="0" w:space="0" w:color="auto"/>
      </w:divBdr>
    </w:div>
    <w:div w:id="923345867">
      <w:bodyDiv w:val="1"/>
      <w:marLeft w:val="0"/>
      <w:marRight w:val="0"/>
      <w:marTop w:val="0"/>
      <w:marBottom w:val="0"/>
      <w:divBdr>
        <w:top w:val="none" w:sz="0" w:space="0" w:color="auto"/>
        <w:left w:val="none" w:sz="0" w:space="0" w:color="auto"/>
        <w:bottom w:val="none" w:sz="0" w:space="0" w:color="auto"/>
        <w:right w:val="none" w:sz="0" w:space="0" w:color="auto"/>
      </w:divBdr>
    </w:div>
    <w:div w:id="943076195">
      <w:bodyDiv w:val="1"/>
      <w:marLeft w:val="0"/>
      <w:marRight w:val="0"/>
      <w:marTop w:val="0"/>
      <w:marBottom w:val="0"/>
      <w:divBdr>
        <w:top w:val="none" w:sz="0" w:space="0" w:color="auto"/>
        <w:left w:val="none" w:sz="0" w:space="0" w:color="auto"/>
        <w:bottom w:val="none" w:sz="0" w:space="0" w:color="auto"/>
        <w:right w:val="none" w:sz="0" w:space="0" w:color="auto"/>
      </w:divBdr>
    </w:div>
    <w:div w:id="950169828">
      <w:bodyDiv w:val="1"/>
      <w:marLeft w:val="0"/>
      <w:marRight w:val="0"/>
      <w:marTop w:val="0"/>
      <w:marBottom w:val="0"/>
      <w:divBdr>
        <w:top w:val="none" w:sz="0" w:space="0" w:color="auto"/>
        <w:left w:val="none" w:sz="0" w:space="0" w:color="auto"/>
        <w:bottom w:val="none" w:sz="0" w:space="0" w:color="auto"/>
        <w:right w:val="none" w:sz="0" w:space="0" w:color="auto"/>
      </w:divBdr>
    </w:div>
    <w:div w:id="967510151">
      <w:bodyDiv w:val="1"/>
      <w:marLeft w:val="0"/>
      <w:marRight w:val="0"/>
      <w:marTop w:val="0"/>
      <w:marBottom w:val="0"/>
      <w:divBdr>
        <w:top w:val="none" w:sz="0" w:space="0" w:color="auto"/>
        <w:left w:val="none" w:sz="0" w:space="0" w:color="auto"/>
        <w:bottom w:val="none" w:sz="0" w:space="0" w:color="auto"/>
        <w:right w:val="none" w:sz="0" w:space="0" w:color="auto"/>
      </w:divBdr>
    </w:div>
    <w:div w:id="979647480">
      <w:bodyDiv w:val="1"/>
      <w:marLeft w:val="0"/>
      <w:marRight w:val="0"/>
      <w:marTop w:val="0"/>
      <w:marBottom w:val="0"/>
      <w:divBdr>
        <w:top w:val="none" w:sz="0" w:space="0" w:color="auto"/>
        <w:left w:val="none" w:sz="0" w:space="0" w:color="auto"/>
        <w:bottom w:val="none" w:sz="0" w:space="0" w:color="auto"/>
        <w:right w:val="none" w:sz="0" w:space="0" w:color="auto"/>
      </w:divBdr>
    </w:div>
    <w:div w:id="998387695">
      <w:bodyDiv w:val="1"/>
      <w:marLeft w:val="0"/>
      <w:marRight w:val="0"/>
      <w:marTop w:val="0"/>
      <w:marBottom w:val="0"/>
      <w:divBdr>
        <w:top w:val="none" w:sz="0" w:space="0" w:color="auto"/>
        <w:left w:val="none" w:sz="0" w:space="0" w:color="auto"/>
        <w:bottom w:val="none" w:sz="0" w:space="0" w:color="auto"/>
        <w:right w:val="none" w:sz="0" w:space="0" w:color="auto"/>
      </w:divBdr>
    </w:div>
    <w:div w:id="1005786341">
      <w:bodyDiv w:val="1"/>
      <w:marLeft w:val="0"/>
      <w:marRight w:val="0"/>
      <w:marTop w:val="0"/>
      <w:marBottom w:val="0"/>
      <w:divBdr>
        <w:top w:val="none" w:sz="0" w:space="0" w:color="auto"/>
        <w:left w:val="none" w:sz="0" w:space="0" w:color="auto"/>
        <w:bottom w:val="none" w:sz="0" w:space="0" w:color="auto"/>
        <w:right w:val="none" w:sz="0" w:space="0" w:color="auto"/>
      </w:divBdr>
    </w:div>
    <w:div w:id="1030493468">
      <w:bodyDiv w:val="1"/>
      <w:marLeft w:val="0"/>
      <w:marRight w:val="0"/>
      <w:marTop w:val="0"/>
      <w:marBottom w:val="0"/>
      <w:divBdr>
        <w:top w:val="none" w:sz="0" w:space="0" w:color="auto"/>
        <w:left w:val="none" w:sz="0" w:space="0" w:color="auto"/>
        <w:bottom w:val="none" w:sz="0" w:space="0" w:color="auto"/>
        <w:right w:val="none" w:sz="0" w:space="0" w:color="auto"/>
      </w:divBdr>
    </w:div>
    <w:div w:id="1046221852">
      <w:bodyDiv w:val="1"/>
      <w:marLeft w:val="0"/>
      <w:marRight w:val="0"/>
      <w:marTop w:val="0"/>
      <w:marBottom w:val="0"/>
      <w:divBdr>
        <w:top w:val="none" w:sz="0" w:space="0" w:color="auto"/>
        <w:left w:val="none" w:sz="0" w:space="0" w:color="auto"/>
        <w:bottom w:val="none" w:sz="0" w:space="0" w:color="auto"/>
        <w:right w:val="none" w:sz="0" w:space="0" w:color="auto"/>
      </w:divBdr>
    </w:div>
    <w:div w:id="1070229875">
      <w:bodyDiv w:val="1"/>
      <w:marLeft w:val="0"/>
      <w:marRight w:val="0"/>
      <w:marTop w:val="0"/>
      <w:marBottom w:val="0"/>
      <w:divBdr>
        <w:top w:val="none" w:sz="0" w:space="0" w:color="auto"/>
        <w:left w:val="none" w:sz="0" w:space="0" w:color="auto"/>
        <w:bottom w:val="none" w:sz="0" w:space="0" w:color="auto"/>
        <w:right w:val="none" w:sz="0" w:space="0" w:color="auto"/>
      </w:divBdr>
    </w:div>
    <w:div w:id="1101218852">
      <w:bodyDiv w:val="1"/>
      <w:marLeft w:val="0"/>
      <w:marRight w:val="0"/>
      <w:marTop w:val="0"/>
      <w:marBottom w:val="0"/>
      <w:divBdr>
        <w:top w:val="none" w:sz="0" w:space="0" w:color="auto"/>
        <w:left w:val="none" w:sz="0" w:space="0" w:color="auto"/>
        <w:bottom w:val="none" w:sz="0" w:space="0" w:color="auto"/>
        <w:right w:val="none" w:sz="0" w:space="0" w:color="auto"/>
      </w:divBdr>
    </w:div>
    <w:div w:id="1130199687">
      <w:bodyDiv w:val="1"/>
      <w:marLeft w:val="0"/>
      <w:marRight w:val="0"/>
      <w:marTop w:val="0"/>
      <w:marBottom w:val="0"/>
      <w:divBdr>
        <w:top w:val="none" w:sz="0" w:space="0" w:color="auto"/>
        <w:left w:val="none" w:sz="0" w:space="0" w:color="auto"/>
        <w:bottom w:val="none" w:sz="0" w:space="0" w:color="auto"/>
        <w:right w:val="none" w:sz="0" w:space="0" w:color="auto"/>
      </w:divBdr>
    </w:div>
    <w:div w:id="1154642365">
      <w:bodyDiv w:val="1"/>
      <w:marLeft w:val="0"/>
      <w:marRight w:val="0"/>
      <w:marTop w:val="0"/>
      <w:marBottom w:val="0"/>
      <w:divBdr>
        <w:top w:val="none" w:sz="0" w:space="0" w:color="auto"/>
        <w:left w:val="none" w:sz="0" w:space="0" w:color="auto"/>
        <w:bottom w:val="none" w:sz="0" w:space="0" w:color="auto"/>
        <w:right w:val="none" w:sz="0" w:space="0" w:color="auto"/>
      </w:divBdr>
    </w:div>
    <w:div w:id="1162501373">
      <w:bodyDiv w:val="1"/>
      <w:marLeft w:val="0"/>
      <w:marRight w:val="0"/>
      <w:marTop w:val="0"/>
      <w:marBottom w:val="0"/>
      <w:divBdr>
        <w:top w:val="none" w:sz="0" w:space="0" w:color="auto"/>
        <w:left w:val="none" w:sz="0" w:space="0" w:color="auto"/>
        <w:bottom w:val="none" w:sz="0" w:space="0" w:color="auto"/>
        <w:right w:val="none" w:sz="0" w:space="0" w:color="auto"/>
      </w:divBdr>
    </w:div>
    <w:div w:id="1176843517">
      <w:bodyDiv w:val="1"/>
      <w:marLeft w:val="0"/>
      <w:marRight w:val="0"/>
      <w:marTop w:val="0"/>
      <w:marBottom w:val="0"/>
      <w:divBdr>
        <w:top w:val="none" w:sz="0" w:space="0" w:color="auto"/>
        <w:left w:val="none" w:sz="0" w:space="0" w:color="auto"/>
        <w:bottom w:val="none" w:sz="0" w:space="0" w:color="auto"/>
        <w:right w:val="none" w:sz="0" w:space="0" w:color="auto"/>
      </w:divBdr>
    </w:div>
    <w:div w:id="1190609557">
      <w:bodyDiv w:val="1"/>
      <w:marLeft w:val="0"/>
      <w:marRight w:val="0"/>
      <w:marTop w:val="0"/>
      <w:marBottom w:val="0"/>
      <w:divBdr>
        <w:top w:val="none" w:sz="0" w:space="0" w:color="auto"/>
        <w:left w:val="none" w:sz="0" w:space="0" w:color="auto"/>
        <w:bottom w:val="none" w:sz="0" w:space="0" w:color="auto"/>
        <w:right w:val="none" w:sz="0" w:space="0" w:color="auto"/>
      </w:divBdr>
    </w:div>
    <w:div w:id="1206941258">
      <w:bodyDiv w:val="1"/>
      <w:marLeft w:val="0"/>
      <w:marRight w:val="0"/>
      <w:marTop w:val="0"/>
      <w:marBottom w:val="0"/>
      <w:divBdr>
        <w:top w:val="none" w:sz="0" w:space="0" w:color="auto"/>
        <w:left w:val="none" w:sz="0" w:space="0" w:color="auto"/>
        <w:bottom w:val="none" w:sz="0" w:space="0" w:color="auto"/>
        <w:right w:val="none" w:sz="0" w:space="0" w:color="auto"/>
      </w:divBdr>
    </w:div>
    <w:div w:id="1232159575">
      <w:bodyDiv w:val="1"/>
      <w:marLeft w:val="0"/>
      <w:marRight w:val="0"/>
      <w:marTop w:val="0"/>
      <w:marBottom w:val="0"/>
      <w:divBdr>
        <w:top w:val="none" w:sz="0" w:space="0" w:color="auto"/>
        <w:left w:val="none" w:sz="0" w:space="0" w:color="auto"/>
        <w:bottom w:val="none" w:sz="0" w:space="0" w:color="auto"/>
        <w:right w:val="none" w:sz="0" w:space="0" w:color="auto"/>
      </w:divBdr>
    </w:div>
    <w:div w:id="1251349403">
      <w:bodyDiv w:val="1"/>
      <w:marLeft w:val="0"/>
      <w:marRight w:val="0"/>
      <w:marTop w:val="0"/>
      <w:marBottom w:val="0"/>
      <w:divBdr>
        <w:top w:val="none" w:sz="0" w:space="0" w:color="auto"/>
        <w:left w:val="none" w:sz="0" w:space="0" w:color="auto"/>
        <w:bottom w:val="none" w:sz="0" w:space="0" w:color="auto"/>
        <w:right w:val="none" w:sz="0" w:space="0" w:color="auto"/>
      </w:divBdr>
    </w:div>
    <w:div w:id="1255821888">
      <w:bodyDiv w:val="1"/>
      <w:marLeft w:val="0"/>
      <w:marRight w:val="0"/>
      <w:marTop w:val="0"/>
      <w:marBottom w:val="0"/>
      <w:divBdr>
        <w:top w:val="none" w:sz="0" w:space="0" w:color="auto"/>
        <w:left w:val="none" w:sz="0" w:space="0" w:color="auto"/>
        <w:bottom w:val="none" w:sz="0" w:space="0" w:color="auto"/>
        <w:right w:val="none" w:sz="0" w:space="0" w:color="auto"/>
      </w:divBdr>
    </w:div>
    <w:div w:id="1290428521">
      <w:bodyDiv w:val="1"/>
      <w:marLeft w:val="0"/>
      <w:marRight w:val="0"/>
      <w:marTop w:val="0"/>
      <w:marBottom w:val="0"/>
      <w:divBdr>
        <w:top w:val="none" w:sz="0" w:space="0" w:color="auto"/>
        <w:left w:val="none" w:sz="0" w:space="0" w:color="auto"/>
        <w:bottom w:val="none" w:sz="0" w:space="0" w:color="auto"/>
        <w:right w:val="none" w:sz="0" w:space="0" w:color="auto"/>
      </w:divBdr>
    </w:div>
    <w:div w:id="1298027070">
      <w:bodyDiv w:val="1"/>
      <w:marLeft w:val="0"/>
      <w:marRight w:val="0"/>
      <w:marTop w:val="0"/>
      <w:marBottom w:val="0"/>
      <w:divBdr>
        <w:top w:val="none" w:sz="0" w:space="0" w:color="auto"/>
        <w:left w:val="none" w:sz="0" w:space="0" w:color="auto"/>
        <w:bottom w:val="none" w:sz="0" w:space="0" w:color="auto"/>
        <w:right w:val="none" w:sz="0" w:space="0" w:color="auto"/>
      </w:divBdr>
    </w:div>
    <w:div w:id="1304964254">
      <w:bodyDiv w:val="1"/>
      <w:marLeft w:val="0"/>
      <w:marRight w:val="0"/>
      <w:marTop w:val="0"/>
      <w:marBottom w:val="0"/>
      <w:divBdr>
        <w:top w:val="none" w:sz="0" w:space="0" w:color="auto"/>
        <w:left w:val="none" w:sz="0" w:space="0" w:color="auto"/>
        <w:bottom w:val="none" w:sz="0" w:space="0" w:color="auto"/>
        <w:right w:val="none" w:sz="0" w:space="0" w:color="auto"/>
      </w:divBdr>
    </w:div>
    <w:div w:id="1306423505">
      <w:bodyDiv w:val="1"/>
      <w:marLeft w:val="0"/>
      <w:marRight w:val="0"/>
      <w:marTop w:val="0"/>
      <w:marBottom w:val="0"/>
      <w:divBdr>
        <w:top w:val="none" w:sz="0" w:space="0" w:color="auto"/>
        <w:left w:val="none" w:sz="0" w:space="0" w:color="auto"/>
        <w:bottom w:val="none" w:sz="0" w:space="0" w:color="auto"/>
        <w:right w:val="none" w:sz="0" w:space="0" w:color="auto"/>
      </w:divBdr>
    </w:div>
    <w:div w:id="1322739362">
      <w:bodyDiv w:val="1"/>
      <w:marLeft w:val="0"/>
      <w:marRight w:val="0"/>
      <w:marTop w:val="0"/>
      <w:marBottom w:val="0"/>
      <w:divBdr>
        <w:top w:val="none" w:sz="0" w:space="0" w:color="auto"/>
        <w:left w:val="none" w:sz="0" w:space="0" w:color="auto"/>
        <w:bottom w:val="none" w:sz="0" w:space="0" w:color="auto"/>
        <w:right w:val="none" w:sz="0" w:space="0" w:color="auto"/>
      </w:divBdr>
    </w:div>
    <w:div w:id="1341195795">
      <w:bodyDiv w:val="1"/>
      <w:marLeft w:val="0"/>
      <w:marRight w:val="0"/>
      <w:marTop w:val="0"/>
      <w:marBottom w:val="0"/>
      <w:divBdr>
        <w:top w:val="none" w:sz="0" w:space="0" w:color="auto"/>
        <w:left w:val="none" w:sz="0" w:space="0" w:color="auto"/>
        <w:bottom w:val="none" w:sz="0" w:space="0" w:color="auto"/>
        <w:right w:val="none" w:sz="0" w:space="0" w:color="auto"/>
      </w:divBdr>
    </w:div>
    <w:div w:id="1353142184">
      <w:bodyDiv w:val="1"/>
      <w:marLeft w:val="0"/>
      <w:marRight w:val="0"/>
      <w:marTop w:val="0"/>
      <w:marBottom w:val="0"/>
      <w:divBdr>
        <w:top w:val="none" w:sz="0" w:space="0" w:color="auto"/>
        <w:left w:val="none" w:sz="0" w:space="0" w:color="auto"/>
        <w:bottom w:val="none" w:sz="0" w:space="0" w:color="auto"/>
        <w:right w:val="none" w:sz="0" w:space="0" w:color="auto"/>
      </w:divBdr>
    </w:div>
    <w:div w:id="1364596383">
      <w:bodyDiv w:val="1"/>
      <w:marLeft w:val="0"/>
      <w:marRight w:val="0"/>
      <w:marTop w:val="0"/>
      <w:marBottom w:val="0"/>
      <w:divBdr>
        <w:top w:val="none" w:sz="0" w:space="0" w:color="auto"/>
        <w:left w:val="none" w:sz="0" w:space="0" w:color="auto"/>
        <w:bottom w:val="none" w:sz="0" w:space="0" w:color="auto"/>
        <w:right w:val="none" w:sz="0" w:space="0" w:color="auto"/>
      </w:divBdr>
    </w:div>
    <w:div w:id="1370372115">
      <w:bodyDiv w:val="1"/>
      <w:marLeft w:val="0"/>
      <w:marRight w:val="0"/>
      <w:marTop w:val="0"/>
      <w:marBottom w:val="0"/>
      <w:divBdr>
        <w:top w:val="none" w:sz="0" w:space="0" w:color="auto"/>
        <w:left w:val="none" w:sz="0" w:space="0" w:color="auto"/>
        <w:bottom w:val="none" w:sz="0" w:space="0" w:color="auto"/>
        <w:right w:val="none" w:sz="0" w:space="0" w:color="auto"/>
      </w:divBdr>
    </w:div>
    <w:div w:id="1428424124">
      <w:bodyDiv w:val="1"/>
      <w:marLeft w:val="0"/>
      <w:marRight w:val="0"/>
      <w:marTop w:val="0"/>
      <w:marBottom w:val="0"/>
      <w:divBdr>
        <w:top w:val="none" w:sz="0" w:space="0" w:color="auto"/>
        <w:left w:val="none" w:sz="0" w:space="0" w:color="auto"/>
        <w:bottom w:val="none" w:sz="0" w:space="0" w:color="auto"/>
        <w:right w:val="none" w:sz="0" w:space="0" w:color="auto"/>
      </w:divBdr>
    </w:div>
    <w:div w:id="1443301173">
      <w:bodyDiv w:val="1"/>
      <w:marLeft w:val="0"/>
      <w:marRight w:val="0"/>
      <w:marTop w:val="0"/>
      <w:marBottom w:val="0"/>
      <w:divBdr>
        <w:top w:val="none" w:sz="0" w:space="0" w:color="auto"/>
        <w:left w:val="none" w:sz="0" w:space="0" w:color="auto"/>
        <w:bottom w:val="none" w:sz="0" w:space="0" w:color="auto"/>
        <w:right w:val="none" w:sz="0" w:space="0" w:color="auto"/>
      </w:divBdr>
    </w:div>
    <w:div w:id="1463696571">
      <w:bodyDiv w:val="1"/>
      <w:marLeft w:val="0"/>
      <w:marRight w:val="0"/>
      <w:marTop w:val="0"/>
      <w:marBottom w:val="0"/>
      <w:divBdr>
        <w:top w:val="none" w:sz="0" w:space="0" w:color="auto"/>
        <w:left w:val="none" w:sz="0" w:space="0" w:color="auto"/>
        <w:bottom w:val="none" w:sz="0" w:space="0" w:color="auto"/>
        <w:right w:val="none" w:sz="0" w:space="0" w:color="auto"/>
      </w:divBdr>
    </w:div>
    <w:div w:id="1470827875">
      <w:bodyDiv w:val="1"/>
      <w:marLeft w:val="0"/>
      <w:marRight w:val="0"/>
      <w:marTop w:val="0"/>
      <w:marBottom w:val="0"/>
      <w:divBdr>
        <w:top w:val="none" w:sz="0" w:space="0" w:color="auto"/>
        <w:left w:val="none" w:sz="0" w:space="0" w:color="auto"/>
        <w:bottom w:val="none" w:sz="0" w:space="0" w:color="auto"/>
        <w:right w:val="none" w:sz="0" w:space="0" w:color="auto"/>
      </w:divBdr>
    </w:div>
    <w:div w:id="1472135189">
      <w:bodyDiv w:val="1"/>
      <w:marLeft w:val="0"/>
      <w:marRight w:val="0"/>
      <w:marTop w:val="0"/>
      <w:marBottom w:val="0"/>
      <w:divBdr>
        <w:top w:val="none" w:sz="0" w:space="0" w:color="auto"/>
        <w:left w:val="none" w:sz="0" w:space="0" w:color="auto"/>
        <w:bottom w:val="none" w:sz="0" w:space="0" w:color="auto"/>
        <w:right w:val="none" w:sz="0" w:space="0" w:color="auto"/>
      </w:divBdr>
    </w:div>
    <w:div w:id="1473404444">
      <w:bodyDiv w:val="1"/>
      <w:marLeft w:val="0"/>
      <w:marRight w:val="0"/>
      <w:marTop w:val="0"/>
      <w:marBottom w:val="0"/>
      <w:divBdr>
        <w:top w:val="none" w:sz="0" w:space="0" w:color="auto"/>
        <w:left w:val="none" w:sz="0" w:space="0" w:color="auto"/>
        <w:bottom w:val="none" w:sz="0" w:space="0" w:color="auto"/>
        <w:right w:val="none" w:sz="0" w:space="0" w:color="auto"/>
      </w:divBdr>
    </w:div>
    <w:div w:id="1473450702">
      <w:bodyDiv w:val="1"/>
      <w:marLeft w:val="0"/>
      <w:marRight w:val="0"/>
      <w:marTop w:val="0"/>
      <w:marBottom w:val="0"/>
      <w:divBdr>
        <w:top w:val="none" w:sz="0" w:space="0" w:color="auto"/>
        <w:left w:val="none" w:sz="0" w:space="0" w:color="auto"/>
        <w:bottom w:val="none" w:sz="0" w:space="0" w:color="auto"/>
        <w:right w:val="none" w:sz="0" w:space="0" w:color="auto"/>
      </w:divBdr>
    </w:div>
    <w:div w:id="1495339360">
      <w:bodyDiv w:val="1"/>
      <w:marLeft w:val="0"/>
      <w:marRight w:val="0"/>
      <w:marTop w:val="0"/>
      <w:marBottom w:val="0"/>
      <w:divBdr>
        <w:top w:val="none" w:sz="0" w:space="0" w:color="auto"/>
        <w:left w:val="none" w:sz="0" w:space="0" w:color="auto"/>
        <w:bottom w:val="none" w:sz="0" w:space="0" w:color="auto"/>
        <w:right w:val="none" w:sz="0" w:space="0" w:color="auto"/>
      </w:divBdr>
    </w:div>
    <w:div w:id="1505508745">
      <w:bodyDiv w:val="1"/>
      <w:marLeft w:val="0"/>
      <w:marRight w:val="0"/>
      <w:marTop w:val="0"/>
      <w:marBottom w:val="0"/>
      <w:divBdr>
        <w:top w:val="none" w:sz="0" w:space="0" w:color="auto"/>
        <w:left w:val="none" w:sz="0" w:space="0" w:color="auto"/>
        <w:bottom w:val="none" w:sz="0" w:space="0" w:color="auto"/>
        <w:right w:val="none" w:sz="0" w:space="0" w:color="auto"/>
      </w:divBdr>
    </w:div>
    <w:div w:id="1519931014">
      <w:bodyDiv w:val="1"/>
      <w:marLeft w:val="0"/>
      <w:marRight w:val="0"/>
      <w:marTop w:val="0"/>
      <w:marBottom w:val="0"/>
      <w:divBdr>
        <w:top w:val="none" w:sz="0" w:space="0" w:color="auto"/>
        <w:left w:val="none" w:sz="0" w:space="0" w:color="auto"/>
        <w:bottom w:val="none" w:sz="0" w:space="0" w:color="auto"/>
        <w:right w:val="none" w:sz="0" w:space="0" w:color="auto"/>
      </w:divBdr>
    </w:div>
    <w:div w:id="1568567730">
      <w:bodyDiv w:val="1"/>
      <w:marLeft w:val="0"/>
      <w:marRight w:val="0"/>
      <w:marTop w:val="0"/>
      <w:marBottom w:val="0"/>
      <w:divBdr>
        <w:top w:val="none" w:sz="0" w:space="0" w:color="auto"/>
        <w:left w:val="none" w:sz="0" w:space="0" w:color="auto"/>
        <w:bottom w:val="none" w:sz="0" w:space="0" w:color="auto"/>
        <w:right w:val="none" w:sz="0" w:space="0" w:color="auto"/>
      </w:divBdr>
    </w:div>
    <w:div w:id="1579749295">
      <w:bodyDiv w:val="1"/>
      <w:marLeft w:val="0"/>
      <w:marRight w:val="0"/>
      <w:marTop w:val="0"/>
      <w:marBottom w:val="0"/>
      <w:divBdr>
        <w:top w:val="none" w:sz="0" w:space="0" w:color="auto"/>
        <w:left w:val="none" w:sz="0" w:space="0" w:color="auto"/>
        <w:bottom w:val="none" w:sz="0" w:space="0" w:color="auto"/>
        <w:right w:val="none" w:sz="0" w:space="0" w:color="auto"/>
      </w:divBdr>
    </w:div>
    <w:div w:id="1580283553">
      <w:bodyDiv w:val="1"/>
      <w:marLeft w:val="0"/>
      <w:marRight w:val="0"/>
      <w:marTop w:val="0"/>
      <w:marBottom w:val="0"/>
      <w:divBdr>
        <w:top w:val="none" w:sz="0" w:space="0" w:color="auto"/>
        <w:left w:val="none" w:sz="0" w:space="0" w:color="auto"/>
        <w:bottom w:val="none" w:sz="0" w:space="0" w:color="auto"/>
        <w:right w:val="none" w:sz="0" w:space="0" w:color="auto"/>
      </w:divBdr>
    </w:div>
    <w:div w:id="1583446785">
      <w:bodyDiv w:val="1"/>
      <w:marLeft w:val="0"/>
      <w:marRight w:val="0"/>
      <w:marTop w:val="0"/>
      <w:marBottom w:val="0"/>
      <w:divBdr>
        <w:top w:val="none" w:sz="0" w:space="0" w:color="auto"/>
        <w:left w:val="none" w:sz="0" w:space="0" w:color="auto"/>
        <w:bottom w:val="none" w:sz="0" w:space="0" w:color="auto"/>
        <w:right w:val="none" w:sz="0" w:space="0" w:color="auto"/>
      </w:divBdr>
    </w:div>
    <w:div w:id="1587762108">
      <w:bodyDiv w:val="1"/>
      <w:marLeft w:val="0"/>
      <w:marRight w:val="0"/>
      <w:marTop w:val="0"/>
      <w:marBottom w:val="0"/>
      <w:divBdr>
        <w:top w:val="none" w:sz="0" w:space="0" w:color="auto"/>
        <w:left w:val="none" w:sz="0" w:space="0" w:color="auto"/>
        <w:bottom w:val="none" w:sz="0" w:space="0" w:color="auto"/>
        <w:right w:val="none" w:sz="0" w:space="0" w:color="auto"/>
      </w:divBdr>
    </w:div>
    <w:div w:id="1598442845">
      <w:bodyDiv w:val="1"/>
      <w:marLeft w:val="0"/>
      <w:marRight w:val="0"/>
      <w:marTop w:val="0"/>
      <w:marBottom w:val="0"/>
      <w:divBdr>
        <w:top w:val="none" w:sz="0" w:space="0" w:color="auto"/>
        <w:left w:val="none" w:sz="0" w:space="0" w:color="auto"/>
        <w:bottom w:val="none" w:sz="0" w:space="0" w:color="auto"/>
        <w:right w:val="none" w:sz="0" w:space="0" w:color="auto"/>
      </w:divBdr>
    </w:div>
    <w:div w:id="1609117166">
      <w:bodyDiv w:val="1"/>
      <w:marLeft w:val="0"/>
      <w:marRight w:val="0"/>
      <w:marTop w:val="0"/>
      <w:marBottom w:val="0"/>
      <w:divBdr>
        <w:top w:val="none" w:sz="0" w:space="0" w:color="auto"/>
        <w:left w:val="none" w:sz="0" w:space="0" w:color="auto"/>
        <w:bottom w:val="none" w:sz="0" w:space="0" w:color="auto"/>
        <w:right w:val="none" w:sz="0" w:space="0" w:color="auto"/>
      </w:divBdr>
    </w:div>
    <w:div w:id="1610820606">
      <w:bodyDiv w:val="1"/>
      <w:marLeft w:val="0"/>
      <w:marRight w:val="0"/>
      <w:marTop w:val="0"/>
      <w:marBottom w:val="0"/>
      <w:divBdr>
        <w:top w:val="none" w:sz="0" w:space="0" w:color="auto"/>
        <w:left w:val="none" w:sz="0" w:space="0" w:color="auto"/>
        <w:bottom w:val="none" w:sz="0" w:space="0" w:color="auto"/>
        <w:right w:val="none" w:sz="0" w:space="0" w:color="auto"/>
      </w:divBdr>
    </w:div>
    <w:div w:id="1618180144">
      <w:bodyDiv w:val="1"/>
      <w:marLeft w:val="0"/>
      <w:marRight w:val="0"/>
      <w:marTop w:val="0"/>
      <w:marBottom w:val="0"/>
      <w:divBdr>
        <w:top w:val="none" w:sz="0" w:space="0" w:color="auto"/>
        <w:left w:val="none" w:sz="0" w:space="0" w:color="auto"/>
        <w:bottom w:val="none" w:sz="0" w:space="0" w:color="auto"/>
        <w:right w:val="none" w:sz="0" w:space="0" w:color="auto"/>
      </w:divBdr>
    </w:div>
    <w:div w:id="1630818448">
      <w:bodyDiv w:val="1"/>
      <w:marLeft w:val="0"/>
      <w:marRight w:val="0"/>
      <w:marTop w:val="0"/>
      <w:marBottom w:val="0"/>
      <w:divBdr>
        <w:top w:val="none" w:sz="0" w:space="0" w:color="auto"/>
        <w:left w:val="none" w:sz="0" w:space="0" w:color="auto"/>
        <w:bottom w:val="none" w:sz="0" w:space="0" w:color="auto"/>
        <w:right w:val="none" w:sz="0" w:space="0" w:color="auto"/>
      </w:divBdr>
    </w:div>
    <w:div w:id="1652632645">
      <w:bodyDiv w:val="1"/>
      <w:marLeft w:val="0"/>
      <w:marRight w:val="0"/>
      <w:marTop w:val="0"/>
      <w:marBottom w:val="0"/>
      <w:divBdr>
        <w:top w:val="none" w:sz="0" w:space="0" w:color="auto"/>
        <w:left w:val="none" w:sz="0" w:space="0" w:color="auto"/>
        <w:bottom w:val="none" w:sz="0" w:space="0" w:color="auto"/>
        <w:right w:val="none" w:sz="0" w:space="0" w:color="auto"/>
      </w:divBdr>
    </w:div>
    <w:div w:id="1666544647">
      <w:bodyDiv w:val="1"/>
      <w:marLeft w:val="0"/>
      <w:marRight w:val="0"/>
      <w:marTop w:val="0"/>
      <w:marBottom w:val="0"/>
      <w:divBdr>
        <w:top w:val="none" w:sz="0" w:space="0" w:color="auto"/>
        <w:left w:val="none" w:sz="0" w:space="0" w:color="auto"/>
        <w:bottom w:val="none" w:sz="0" w:space="0" w:color="auto"/>
        <w:right w:val="none" w:sz="0" w:space="0" w:color="auto"/>
      </w:divBdr>
    </w:div>
    <w:div w:id="1729257465">
      <w:bodyDiv w:val="1"/>
      <w:marLeft w:val="0"/>
      <w:marRight w:val="0"/>
      <w:marTop w:val="0"/>
      <w:marBottom w:val="0"/>
      <w:divBdr>
        <w:top w:val="none" w:sz="0" w:space="0" w:color="auto"/>
        <w:left w:val="none" w:sz="0" w:space="0" w:color="auto"/>
        <w:bottom w:val="none" w:sz="0" w:space="0" w:color="auto"/>
        <w:right w:val="none" w:sz="0" w:space="0" w:color="auto"/>
      </w:divBdr>
    </w:div>
    <w:div w:id="1734818060">
      <w:bodyDiv w:val="1"/>
      <w:marLeft w:val="0"/>
      <w:marRight w:val="0"/>
      <w:marTop w:val="0"/>
      <w:marBottom w:val="0"/>
      <w:divBdr>
        <w:top w:val="none" w:sz="0" w:space="0" w:color="auto"/>
        <w:left w:val="none" w:sz="0" w:space="0" w:color="auto"/>
        <w:bottom w:val="none" w:sz="0" w:space="0" w:color="auto"/>
        <w:right w:val="none" w:sz="0" w:space="0" w:color="auto"/>
      </w:divBdr>
    </w:div>
    <w:div w:id="1750879732">
      <w:bodyDiv w:val="1"/>
      <w:marLeft w:val="0"/>
      <w:marRight w:val="0"/>
      <w:marTop w:val="0"/>
      <w:marBottom w:val="0"/>
      <w:divBdr>
        <w:top w:val="none" w:sz="0" w:space="0" w:color="auto"/>
        <w:left w:val="none" w:sz="0" w:space="0" w:color="auto"/>
        <w:bottom w:val="none" w:sz="0" w:space="0" w:color="auto"/>
        <w:right w:val="none" w:sz="0" w:space="0" w:color="auto"/>
      </w:divBdr>
    </w:div>
    <w:div w:id="1785610919">
      <w:bodyDiv w:val="1"/>
      <w:marLeft w:val="0"/>
      <w:marRight w:val="0"/>
      <w:marTop w:val="0"/>
      <w:marBottom w:val="0"/>
      <w:divBdr>
        <w:top w:val="none" w:sz="0" w:space="0" w:color="auto"/>
        <w:left w:val="none" w:sz="0" w:space="0" w:color="auto"/>
        <w:bottom w:val="none" w:sz="0" w:space="0" w:color="auto"/>
        <w:right w:val="none" w:sz="0" w:space="0" w:color="auto"/>
      </w:divBdr>
    </w:div>
    <w:div w:id="1794129751">
      <w:bodyDiv w:val="1"/>
      <w:marLeft w:val="0"/>
      <w:marRight w:val="0"/>
      <w:marTop w:val="0"/>
      <w:marBottom w:val="0"/>
      <w:divBdr>
        <w:top w:val="none" w:sz="0" w:space="0" w:color="auto"/>
        <w:left w:val="none" w:sz="0" w:space="0" w:color="auto"/>
        <w:bottom w:val="none" w:sz="0" w:space="0" w:color="auto"/>
        <w:right w:val="none" w:sz="0" w:space="0" w:color="auto"/>
      </w:divBdr>
    </w:div>
    <w:div w:id="1837920863">
      <w:bodyDiv w:val="1"/>
      <w:marLeft w:val="0"/>
      <w:marRight w:val="0"/>
      <w:marTop w:val="0"/>
      <w:marBottom w:val="0"/>
      <w:divBdr>
        <w:top w:val="none" w:sz="0" w:space="0" w:color="auto"/>
        <w:left w:val="none" w:sz="0" w:space="0" w:color="auto"/>
        <w:bottom w:val="none" w:sz="0" w:space="0" w:color="auto"/>
        <w:right w:val="none" w:sz="0" w:space="0" w:color="auto"/>
      </w:divBdr>
    </w:div>
    <w:div w:id="1847666899">
      <w:bodyDiv w:val="1"/>
      <w:marLeft w:val="0"/>
      <w:marRight w:val="0"/>
      <w:marTop w:val="0"/>
      <w:marBottom w:val="0"/>
      <w:divBdr>
        <w:top w:val="none" w:sz="0" w:space="0" w:color="auto"/>
        <w:left w:val="none" w:sz="0" w:space="0" w:color="auto"/>
        <w:bottom w:val="none" w:sz="0" w:space="0" w:color="auto"/>
        <w:right w:val="none" w:sz="0" w:space="0" w:color="auto"/>
      </w:divBdr>
    </w:div>
    <w:div w:id="1879511883">
      <w:bodyDiv w:val="1"/>
      <w:marLeft w:val="0"/>
      <w:marRight w:val="0"/>
      <w:marTop w:val="0"/>
      <w:marBottom w:val="0"/>
      <w:divBdr>
        <w:top w:val="none" w:sz="0" w:space="0" w:color="auto"/>
        <w:left w:val="none" w:sz="0" w:space="0" w:color="auto"/>
        <w:bottom w:val="none" w:sz="0" w:space="0" w:color="auto"/>
        <w:right w:val="none" w:sz="0" w:space="0" w:color="auto"/>
      </w:divBdr>
    </w:div>
    <w:div w:id="1885091538">
      <w:bodyDiv w:val="1"/>
      <w:marLeft w:val="0"/>
      <w:marRight w:val="0"/>
      <w:marTop w:val="0"/>
      <w:marBottom w:val="0"/>
      <w:divBdr>
        <w:top w:val="none" w:sz="0" w:space="0" w:color="auto"/>
        <w:left w:val="none" w:sz="0" w:space="0" w:color="auto"/>
        <w:bottom w:val="none" w:sz="0" w:space="0" w:color="auto"/>
        <w:right w:val="none" w:sz="0" w:space="0" w:color="auto"/>
      </w:divBdr>
    </w:div>
    <w:div w:id="1895892260">
      <w:bodyDiv w:val="1"/>
      <w:marLeft w:val="0"/>
      <w:marRight w:val="0"/>
      <w:marTop w:val="0"/>
      <w:marBottom w:val="0"/>
      <w:divBdr>
        <w:top w:val="none" w:sz="0" w:space="0" w:color="auto"/>
        <w:left w:val="none" w:sz="0" w:space="0" w:color="auto"/>
        <w:bottom w:val="none" w:sz="0" w:space="0" w:color="auto"/>
        <w:right w:val="none" w:sz="0" w:space="0" w:color="auto"/>
      </w:divBdr>
    </w:div>
    <w:div w:id="1940066952">
      <w:bodyDiv w:val="1"/>
      <w:marLeft w:val="0"/>
      <w:marRight w:val="0"/>
      <w:marTop w:val="0"/>
      <w:marBottom w:val="0"/>
      <w:divBdr>
        <w:top w:val="none" w:sz="0" w:space="0" w:color="auto"/>
        <w:left w:val="none" w:sz="0" w:space="0" w:color="auto"/>
        <w:bottom w:val="none" w:sz="0" w:space="0" w:color="auto"/>
        <w:right w:val="none" w:sz="0" w:space="0" w:color="auto"/>
      </w:divBdr>
    </w:div>
    <w:div w:id="1940483819">
      <w:bodyDiv w:val="1"/>
      <w:marLeft w:val="0"/>
      <w:marRight w:val="0"/>
      <w:marTop w:val="0"/>
      <w:marBottom w:val="0"/>
      <w:divBdr>
        <w:top w:val="none" w:sz="0" w:space="0" w:color="auto"/>
        <w:left w:val="none" w:sz="0" w:space="0" w:color="auto"/>
        <w:bottom w:val="none" w:sz="0" w:space="0" w:color="auto"/>
        <w:right w:val="none" w:sz="0" w:space="0" w:color="auto"/>
      </w:divBdr>
    </w:div>
    <w:div w:id="1942256925">
      <w:bodyDiv w:val="1"/>
      <w:marLeft w:val="0"/>
      <w:marRight w:val="0"/>
      <w:marTop w:val="0"/>
      <w:marBottom w:val="0"/>
      <w:divBdr>
        <w:top w:val="none" w:sz="0" w:space="0" w:color="auto"/>
        <w:left w:val="none" w:sz="0" w:space="0" w:color="auto"/>
        <w:bottom w:val="none" w:sz="0" w:space="0" w:color="auto"/>
        <w:right w:val="none" w:sz="0" w:space="0" w:color="auto"/>
      </w:divBdr>
    </w:div>
    <w:div w:id="1959944131">
      <w:bodyDiv w:val="1"/>
      <w:marLeft w:val="0"/>
      <w:marRight w:val="0"/>
      <w:marTop w:val="0"/>
      <w:marBottom w:val="0"/>
      <w:divBdr>
        <w:top w:val="none" w:sz="0" w:space="0" w:color="auto"/>
        <w:left w:val="none" w:sz="0" w:space="0" w:color="auto"/>
        <w:bottom w:val="none" w:sz="0" w:space="0" w:color="auto"/>
        <w:right w:val="none" w:sz="0" w:space="0" w:color="auto"/>
      </w:divBdr>
    </w:div>
    <w:div w:id="1985741486">
      <w:bodyDiv w:val="1"/>
      <w:marLeft w:val="0"/>
      <w:marRight w:val="0"/>
      <w:marTop w:val="0"/>
      <w:marBottom w:val="0"/>
      <w:divBdr>
        <w:top w:val="none" w:sz="0" w:space="0" w:color="auto"/>
        <w:left w:val="none" w:sz="0" w:space="0" w:color="auto"/>
        <w:bottom w:val="none" w:sz="0" w:space="0" w:color="auto"/>
        <w:right w:val="none" w:sz="0" w:space="0" w:color="auto"/>
      </w:divBdr>
    </w:div>
    <w:div w:id="1986548490">
      <w:bodyDiv w:val="1"/>
      <w:marLeft w:val="0"/>
      <w:marRight w:val="0"/>
      <w:marTop w:val="0"/>
      <w:marBottom w:val="0"/>
      <w:divBdr>
        <w:top w:val="none" w:sz="0" w:space="0" w:color="auto"/>
        <w:left w:val="none" w:sz="0" w:space="0" w:color="auto"/>
        <w:bottom w:val="none" w:sz="0" w:space="0" w:color="auto"/>
        <w:right w:val="none" w:sz="0" w:space="0" w:color="auto"/>
      </w:divBdr>
    </w:div>
    <w:div w:id="2010058490">
      <w:bodyDiv w:val="1"/>
      <w:marLeft w:val="0"/>
      <w:marRight w:val="0"/>
      <w:marTop w:val="0"/>
      <w:marBottom w:val="0"/>
      <w:divBdr>
        <w:top w:val="none" w:sz="0" w:space="0" w:color="auto"/>
        <w:left w:val="none" w:sz="0" w:space="0" w:color="auto"/>
        <w:bottom w:val="none" w:sz="0" w:space="0" w:color="auto"/>
        <w:right w:val="none" w:sz="0" w:space="0" w:color="auto"/>
      </w:divBdr>
    </w:div>
    <w:div w:id="2024891342">
      <w:bodyDiv w:val="1"/>
      <w:marLeft w:val="0"/>
      <w:marRight w:val="0"/>
      <w:marTop w:val="0"/>
      <w:marBottom w:val="0"/>
      <w:divBdr>
        <w:top w:val="none" w:sz="0" w:space="0" w:color="auto"/>
        <w:left w:val="none" w:sz="0" w:space="0" w:color="auto"/>
        <w:bottom w:val="none" w:sz="0" w:space="0" w:color="auto"/>
        <w:right w:val="none" w:sz="0" w:space="0" w:color="auto"/>
      </w:divBdr>
    </w:div>
    <w:div w:id="2035955888">
      <w:bodyDiv w:val="1"/>
      <w:marLeft w:val="0"/>
      <w:marRight w:val="0"/>
      <w:marTop w:val="0"/>
      <w:marBottom w:val="0"/>
      <w:divBdr>
        <w:top w:val="none" w:sz="0" w:space="0" w:color="auto"/>
        <w:left w:val="none" w:sz="0" w:space="0" w:color="auto"/>
        <w:bottom w:val="none" w:sz="0" w:space="0" w:color="auto"/>
        <w:right w:val="none" w:sz="0" w:space="0" w:color="auto"/>
      </w:divBdr>
    </w:div>
    <w:div w:id="2051294742">
      <w:bodyDiv w:val="1"/>
      <w:marLeft w:val="0"/>
      <w:marRight w:val="0"/>
      <w:marTop w:val="0"/>
      <w:marBottom w:val="0"/>
      <w:divBdr>
        <w:top w:val="none" w:sz="0" w:space="0" w:color="auto"/>
        <w:left w:val="none" w:sz="0" w:space="0" w:color="auto"/>
        <w:bottom w:val="none" w:sz="0" w:space="0" w:color="auto"/>
        <w:right w:val="none" w:sz="0" w:space="0" w:color="auto"/>
      </w:divBdr>
    </w:div>
    <w:div w:id="2104910772">
      <w:bodyDiv w:val="1"/>
      <w:marLeft w:val="0"/>
      <w:marRight w:val="0"/>
      <w:marTop w:val="0"/>
      <w:marBottom w:val="0"/>
      <w:divBdr>
        <w:top w:val="none" w:sz="0" w:space="0" w:color="auto"/>
        <w:left w:val="none" w:sz="0" w:space="0" w:color="auto"/>
        <w:bottom w:val="none" w:sz="0" w:space="0" w:color="auto"/>
        <w:right w:val="none" w:sz="0" w:space="0" w:color="auto"/>
      </w:divBdr>
    </w:div>
    <w:div w:id="214284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611C8-6364-40DB-85A0-74FEE593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13</Pages>
  <Words>2654</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Jane Maclennan</cp:lastModifiedBy>
  <cp:revision>41</cp:revision>
  <cp:lastPrinted>2016-12-01T14:51:00Z</cp:lastPrinted>
  <dcterms:created xsi:type="dcterms:W3CDTF">2016-12-05T10:24:00Z</dcterms:created>
  <dcterms:modified xsi:type="dcterms:W3CDTF">2018-03-13T15:44:00Z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1532443951</vt:i4>
  </property>
  <property fmtid="{D5CDD505-2E9C-101B-9397-08002B2CF9AE}" pid="3" name="_NewReviewCycle">
    <vt:lpwstr/>
  </property>
  <property fmtid="{D5CDD505-2E9C-101B-9397-08002B2CF9AE}" pid="4" name="_EmailSubject">
    <vt:lpwstr>HLH BOARD - AGENDA AND PAPERS FOR WEBSITES</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ies>
</file>