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bookmarkStart w:id="0" w:name="_GoBack"/>
            <w:bookmarkEnd w:id="0"/>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A3006B" w:rsidP="002B7DC4">
            <w:pPr>
              <w:pStyle w:val="BodyText"/>
              <w:jc w:val="left"/>
              <w:rPr>
                <w:rFonts w:ascii="Arial" w:hAnsi="Arial" w:cs="Arial"/>
                <w:szCs w:val="24"/>
              </w:rPr>
            </w:pPr>
            <w:r>
              <w:rPr>
                <w:rFonts w:ascii="Arial" w:hAnsi="Arial" w:cs="Arial"/>
                <w:szCs w:val="24"/>
              </w:rPr>
              <w:t>22 August</w:t>
            </w:r>
            <w:r w:rsidR="00017D2E">
              <w:rPr>
                <w:rFonts w:ascii="Arial" w:hAnsi="Arial" w:cs="Arial"/>
                <w:szCs w:val="24"/>
              </w:rPr>
              <w:t xml:space="preserve"> 201</w:t>
            </w:r>
            <w:r w:rsidR="00705B99">
              <w:rPr>
                <w:rFonts w:ascii="Arial" w:hAnsi="Arial" w:cs="Arial"/>
                <w:szCs w:val="24"/>
              </w:rPr>
              <w:t>7</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4D02E4">
            <w:pPr>
              <w:rPr>
                <w:rFonts w:ascii="Arial" w:hAnsi="Arial" w:cs="Arial"/>
                <w:szCs w:val="24"/>
              </w:rPr>
            </w:pPr>
            <w:r>
              <w:rPr>
                <w:rFonts w:ascii="Arial" w:hAnsi="Arial" w:cs="Arial"/>
                <w:szCs w:val="24"/>
              </w:rPr>
              <w:t xml:space="preserve">AGENDA ITEM </w:t>
            </w:r>
            <w:r w:rsidR="00B84929">
              <w:rPr>
                <w:rFonts w:ascii="Arial" w:hAnsi="Arial" w:cs="Arial"/>
                <w:szCs w:val="24"/>
              </w:rPr>
              <w:t xml:space="preserve"> REPORT No HLH</w:t>
            </w:r>
            <w:r>
              <w:rPr>
                <w:rFonts w:ascii="Arial" w:hAnsi="Arial" w:cs="Arial"/>
                <w:szCs w:val="24"/>
              </w:rPr>
              <w:t xml:space="preserve"> </w:t>
            </w:r>
            <w:r w:rsidR="00FC1D3E">
              <w:rPr>
                <w:rFonts w:ascii="Arial" w:hAnsi="Arial" w:cs="Arial"/>
                <w:szCs w:val="24"/>
              </w:rPr>
              <w:t xml:space="preserve">  </w:t>
            </w:r>
            <w:r w:rsidR="0042698E">
              <w:rPr>
                <w:rFonts w:ascii="Arial" w:hAnsi="Arial" w:cs="Arial"/>
                <w:szCs w:val="24"/>
              </w:rPr>
              <w:t>/1</w:t>
            </w:r>
            <w:r w:rsidR="004D02E4">
              <w:rPr>
                <w:rFonts w:ascii="Arial" w:hAnsi="Arial" w:cs="Arial"/>
                <w:szCs w:val="24"/>
              </w:rPr>
              <w:t>7</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2B7DC4" w:rsidRDefault="002B7DC4" w:rsidP="002B7DC4"/>
          <w:p w:rsidR="00460DE4" w:rsidRDefault="00460DE4" w:rsidP="00AC5BBD">
            <w:pPr>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E74E2C">
              <w:rPr>
                <w:rFonts w:ascii="Arial" w:hAnsi="Arial" w:cs="Arial"/>
              </w:rPr>
              <w:t>April to June</w:t>
            </w:r>
            <w:r w:rsidR="005D6F6C">
              <w:rPr>
                <w:rFonts w:ascii="Arial" w:hAnsi="Arial" w:cs="Arial"/>
              </w:rPr>
              <w:t xml:space="preserve"> 201</w:t>
            </w:r>
            <w:r w:rsidR="00705B99">
              <w:rPr>
                <w:rFonts w:ascii="Arial" w:hAnsi="Arial" w:cs="Arial"/>
              </w:rPr>
              <w:t>7</w:t>
            </w:r>
            <w:r>
              <w:rPr>
                <w:rFonts w:ascii="Arial" w:hAnsi="Arial" w:cs="Arial"/>
              </w:rPr>
              <w:t xml:space="preserve"> including a quarterly report on absence, disciplinary and grievance issues.  </w:t>
            </w:r>
          </w:p>
          <w:p w:rsidR="001C41BF" w:rsidRDefault="001C41BF" w:rsidP="00AC5BBD">
            <w:pPr>
              <w:jc w:val="both"/>
              <w:rPr>
                <w:rFonts w:ascii="Arial" w:hAnsi="Arial" w:cs="Arial"/>
              </w:rPr>
            </w:pPr>
          </w:p>
          <w:p w:rsidR="00717E7E" w:rsidRDefault="00460DE4" w:rsidP="00347734">
            <w:pPr>
              <w:jc w:val="both"/>
              <w:rPr>
                <w:rFonts w:ascii="Arial" w:hAnsi="Arial" w:cs="Arial"/>
                <w:szCs w:val="24"/>
              </w:rPr>
            </w:pPr>
            <w:r>
              <w:rPr>
                <w:rFonts w:ascii="Arial" w:hAnsi="Arial" w:cs="Arial"/>
              </w:rPr>
              <w:t>It is recommen</w:t>
            </w:r>
            <w:r w:rsidRPr="007D45D7">
              <w:rPr>
                <w:rFonts w:ascii="Arial" w:hAnsi="Arial" w:cs="Arial"/>
                <w:szCs w:val="24"/>
              </w:rPr>
              <w:t>ded that Directors</w:t>
            </w:r>
            <w:r w:rsidR="00754394">
              <w:rPr>
                <w:rFonts w:ascii="Arial" w:hAnsi="Arial" w:cs="Arial"/>
                <w:szCs w:val="24"/>
              </w:rPr>
              <w:t>:</w:t>
            </w:r>
          </w:p>
          <w:p w:rsidR="00754394" w:rsidRDefault="00754394" w:rsidP="00347734">
            <w:pPr>
              <w:jc w:val="both"/>
              <w:rPr>
                <w:rFonts w:ascii="Arial" w:hAnsi="Arial" w:cs="Arial"/>
                <w:szCs w:val="24"/>
              </w:rPr>
            </w:pPr>
          </w:p>
          <w:p w:rsidR="00717E7E" w:rsidRPr="008F41D8" w:rsidRDefault="00460DE4" w:rsidP="00754394">
            <w:pPr>
              <w:pStyle w:val="ListParagraph"/>
              <w:numPr>
                <w:ilvl w:val="0"/>
                <w:numId w:val="4"/>
              </w:numPr>
              <w:jc w:val="both"/>
              <w:rPr>
                <w:rFonts w:ascii="Arial" w:hAnsi="Arial" w:cs="Arial"/>
                <w:sz w:val="24"/>
                <w:szCs w:val="24"/>
              </w:rPr>
            </w:pPr>
            <w:r w:rsidRPr="008F41D8">
              <w:rPr>
                <w:rFonts w:ascii="Arial" w:hAnsi="Arial" w:cs="Arial"/>
                <w:sz w:val="24"/>
                <w:szCs w:val="24"/>
              </w:rPr>
              <w:t xml:space="preserve">note </w:t>
            </w:r>
            <w:r w:rsidR="00E45F94" w:rsidRPr="008F41D8">
              <w:rPr>
                <w:rFonts w:ascii="Arial" w:hAnsi="Arial" w:cs="Arial"/>
                <w:sz w:val="24"/>
                <w:szCs w:val="24"/>
              </w:rPr>
              <w:t xml:space="preserve">and comment on </w:t>
            </w:r>
            <w:r w:rsidRPr="008F41D8">
              <w:rPr>
                <w:rFonts w:ascii="Arial" w:hAnsi="Arial" w:cs="Arial"/>
                <w:sz w:val="24"/>
                <w:szCs w:val="24"/>
              </w:rPr>
              <w:t xml:space="preserve">the content of the quarterly </w:t>
            </w:r>
            <w:r w:rsidR="008F41D8">
              <w:rPr>
                <w:rFonts w:ascii="Arial" w:hAnsi="Arial" w:cs="Arial"/>
                <w:sz w:val="24"/>
                <w:szCs w:val="24"/>
              </w:rPr>
              <w:t xml:space="preserve">HR </w:t>
            </w:r>
            <w:r w:rsidRPr="008F41D8">
              <w:rPr>
                <w:rFonts w:ascii="Arial" w:hAnsi="Arial" w:cs="Arial"/>
                <w:sz w:val="24"/>
                <w:szCs w:val="24"/>
              </w:rPr>
              <w:t>report including the update on the staffing establishment</w:t>
            </w:r>
            <w:r w:rsidR="00754394">
              <w:rPr>
                <w:rFonts w:ascii="Arial" w:hAnsi="Arial" w:cs="Arial"/>
                <w:sz w:val="24"/>
                <w:szCs w:val="24"/>
              </w:rPr>
              <w:t>;</w:t>
            </w:r>
            <w:r w:rsidR="00717E7E" w:rsidRPr="008F41D8">
              <w:rPr>
                <w:rFonts w:ascii="Arial" w:hAnsi="Arial" w:cs="Arial"/>
                <w:sz w:val="24"/>
                <w:szCs w:val="24"/>
              </w:rPr>
              <w:t xml:space="preserve"> and</w:t>
            </w:r>
          </w:p>
          <w:p w:rsidR="0039450A" w:rsidRPr="00BA0979" w:rsidRDefault="00711367" w:rsidP="00BA0979">
            <w:pPr>
              <w:pStyle w:val="ListParagraph"/>
              <w:numPr>
                <w:ilvl w:val="0"/>
                <w:numId w:val="4"/>
              </w:numPr>
              <w:jc w:val="both"/>
              <w:rPr>
                <w:rFonts w:ascii="Arial" w:hAnsi="Arial" w:cs="Arial"/>
                <w:sz w:val="24"/>
                <w:szCs w:val="24"/>
              </w:rPr>
            </w:pPr>
            <w:proofErr w:type="gramStart"/>
            <w:r>
              <w:rPr>
                <w:rFonts w:ascii="Arial" w:hAnsi="Arial" w:cs="Arial"/>
                <w:sz w:val="24"/>
                <w:szCs w:val="24"/>
              </w:rPr>
              <w:t>note</w:t>
            </w:r>
            <w:proofErr w:type="gramEnd"/>
            <w:r>
              <w:rPr>
                <w:rFonts w:ascii="Arial" w:hAnsi="Arial" w:cs="Arial"/>
                <w:sz w:val="24"/>
                <w:szCs w:val="24"/>
              </w:rPr>
              <w:t xml:space="preserve"> the Gender Pay Gap Report and approve its submission to the UK Government and </w:t>
            </w:r>
            <w:r w:rsidRPr="00BA0979">
              <w:rPr>
                <w:rFonts w:ascii="Arial" w:hAnsi="Arial" w:cs="Arial"/>
                <w:sz w:val="24"/>
                <w:szCs w:val="24"/>
              </w:rPr>
              <w:t>publicati</w:t>
            </w:r>
            <w:r>
              <w:rPr>
                <w:rFonts w:ascii="Arial" w:hAnsi="Arial" w:cs="Arial"/>
                <w:sz w:val="24"/>
                <w:szCs w:val="24"/>
              </w:rPr>
              <w:t xml:space="preserve">on </w:t>
            </w:r>
            <w:r w:rsidRPr="00BA0979">
              <w:rPr>
                <w:rFonts w:ascii="Arial" w:hAnsi="Arial" w:cs="Arial"/>
                <w:sz w:val="24"/>
                <w:szCs w:val="24"/>
              </w:rPr>
              <w:t>on the HLH</w:t>
            </w:r>
            <w:r>
              <w:rPr>
                <w:rFonts w:ascii="Arial" w:hAnsi="Arial" w:cs="Arial"/>
                <w:sz w:val="24"/>
                <w:szCs w:val="24"/>
              </w:rPr>
              <w:t xml:space="preserve"> website</w:t>
            </w:r>
            <w:r w:rsidRPr="00BA0979">
              <w:rPr>
                <w:rFonts w:ascii="Arial" w:hAnsi="Arial" w:cs="Arial"/>
                <w:sz w:val="24"/>
                <w:szCs w:val="24"/>
              </w:rPr>
              <w:t>.</w:t>
            </w:r>
            <w:r w:rsidR="0039450A" w:rsidRPr="00BA0979">
              <w:rPr>
                <w:rFonts w:ascii="Arial" w:hAnsi="Arial" w:cs="Arial"/>
                <w:sz w:val="24"/>
                <w:szCs w:val="24"/>
              </w:rPr>
              <w:fldChar w:fldCharType="begin"/>
            </w:r>
            <w:r w:rsidR="0039450A" w:rsidRPr="00BA0979">
              <w:rPr>
                <w:rFonts w:ascii="Arial" w:hAnsi="Arial" w:cs="Arial"/>
                <w:sz w:val="24"/>
                <w:szCs w:val="24"/>
              </w:rPr>
              <w:instrText xml:space="preserve">  </w:instrText>
            </w:r>
            <w:r w:rsidR="0039450A" w:rsidRPr="00BA0979">
              <w:rPr>
                <w:rFonts w:ascii="Arial" w:hAnsi="Arial" w:cs="Arial"/>
                <w:sz w:val="24"/>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BA0979">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A45F54">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BA097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r>
              <w:rPr>
                <w:rFonts w:ascii="Arial" w:hAnsi="Arial" w:cs="Arial"/>
                <w:szCs w:val="24"/>
              </w:rPr>
              <w:t>2.2</w:t>
            </w:r>
          </w:p>
          <w:p w:rsidR="00742B9E" w:rsidRPr="00E66429" w:rsidRDefault="00742B9E" w:rsidP="00416BFF">
            <w:pPr>
              <w:rPr>
                <w:rFonts w:ascii="Arial" w:hAnsi="Arial" w:cs="Arial"/>
                <w:szCs w:val="24"/>
              </w:rPr>
            </w:pPr>
          </w:p>
        </w:tc>
        <w:tc>
          <w:tcPr>
            <w:tcW w:w="8647" w:type="dxa"/>
          </w:tcPr>
          <w:p w:rsidR="003C4EA9" w:rsidRDefault="006F5801" w:rsidP="00141185">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from previous reports.  There is also a</w:t>
            </w:r>
            <w:r w:rsidR="00141185">
              <w:rPr>
                <w:rFonts w:ascii="Arial" w:hAnsi="Arial" w:cs="Arial"/>
                <w:szCs w:val="24"/>
              </w:rPr>
              <w:t>n outline of the absence levels;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rsidR="00782718" w:rsidRDefault="00782718" w:rsidP="00141185">
            <w:pPr>
              <w:jc w:val="both"/>
              <w:rPr>
                <w:rFonts w:ascii="Arial" w:hAnsi="Arial" w:cs="Arial"/>
                <w:szCs w:val="24"/>
              </w:rPr>
            </w:pPr>
          </w:p>
          <w:p w:rsidR="00782718" w:rsidRDefault="00782718" w:rsidP="00782718">
            <w:pPr>
              <w:jc w:val="both"/>
              <w:rPr>
                <w:rFonts w:ascii="Arial" w:hAnsi="Arial" w:cs="Arial"/>
                <w:szCs w:val="24"/>
              </w:rPr>
            </w:pPr>
            <w:r>
              <w:rPr>
                <w:rFonts w:ascii="Arial" w:hAnsi="Arial" w:cs="Arial"/>
                <w:szCs w:val="24"/>
              </w:rPr>
              <w:t xml:space="preserve">From 1 April 2017, </w:t>
            </w:r>
            <w:r w:rsidR="00A3006B">
              <w:rPr>
                <w:rFonts w:ascii="Arial" w:hAnsi="Arial" w:cs="Arial"/>
                <w:szCs w:val="24"/>
              </w:rPr>
              <w:t>total e</w:t>
            </w:r>
            <w:r>
              <w:rPr>
                <w:rFonts w:ascii="Arial" w:hAnsi="Arial" w:cs="Arial"/>
                <w:szCs w:val="24"/>
              </w:rPr>
              <w:t xml:space="preserve">stablishment </w:t>
            </w:r>
            <w:r w:rsidR="00A3006B">
              <w:rPr>
                <w:rFonts w:ascii="Arial" w:hAnsi="Arial" w:cs="Arial"/>
                <w:szCs w:val="24"/>
              </w:rPr>
              <w:t>and a</w:t>
            </w:r>
            <w:r>
              <w:rPr>
                <w:rFonts w:ascii="Arial" w:hAnsi="Arial" w:cs="Arial"/>
                <w:szCs w:val="24"/>
              </w:rPr>
              <w:t xml:space="preserve">bsence </w:t>
            </w:r>
            <w:r w:rsidR="00A3006B">
              <w:rPr>
                <w:rFonts w:ascii="Arial" w:hAnsi="Arial" w:cs="Arial"/>
                <w:szCs w:val="24"/>
              </w:rPr>
              <w:t>figures include Inverness Leisure</w:t>
            </w:r>
            <w:r>
              <w:rPr>
                <w:rFonts w:ascii="Arial" w:hAnsi="Arial" w:cs="Arial"/>
                <w:szCs w:val="24"/>
              </w:rPr>
              <w:t>.</w:t>
            </w:r>
          </w:p>
          <w:p w:rsidR="00782718" w:rsidRPr="007214D1" w:rsidRDefault="00782718" w:rsidP="00782718">
            <w:pPr>
              <w:jc w:val="both"/>
              <w:rPr>
                <w:rFonts w:ascii="Arial" w:hAnsi="Arial" w:cs="Arial"/>
                <w:szCs w:val="24"/>
              </w:rPr>
            </w:pPr>
          </w:p>
        </w:tc>
      </w:tr>
      <w:tr w:rsidR="006F5801" w:rsidRPr="007214D1" w:rsidTr="00BA0979">
        <w:tc>
          <w:tcPr>
            <w:tcW w:w="817"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45618C" w:rsidRPr="007214D1" w:rsidRDefault="0045618C" w:rsidP="00416BFF">
            <w:pPr>
              <w:rPr>
                <w:rFonts w:ascii="Arial" w:hAnsi="Arial" w:cs="Arial"/>
                <w:b/>
                <w:szCs w:val="24"/>
              </w:rPr>
            </w:pPr>
            <w:r w:rsidRPr="0045618C">
              <w:rPr>
                <w:rFonts w:ascii="Arial" w:hAnsi="Arial" w:cs="Arial"/>
                <w:szCs w:val="24"/>
              </w:rPr>
              <w:lastRenderedPageBreak/>
              <w:t>3.1.2</w:t>
            </w:r>
          </w:p>
        </w:tc>
        <w:tc>
          <w:tcPr>
            <w:tcW w:w="8647"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782718">
              <w:rPr>
                <w:rFonts w:ascii="Arial" w:hAnsi="Arial" w:cs="Arial"/>
                <w:b/>
                <w:szCs w:val="24"/>
              </w:rPr>
              <w:t>April to June</w:t>
            </w:r>
            <w:r w:rsidR="004E08EF">
              <w:rPr>
                <w:rFonts w:ascii="Arial" w:hAnsi="Arial" w:cs="Arial"/>
                <w:b/>
                <w:szCs w:val="24"/>
              </w:rPr>
              <w:t xml:space="preserve"> 201</w:t>
            </w:r>
            <w:r w:rsidR="00705B99">
              <w:rPr>
                <w:rFonts w:ascii="Arial" w:hAnsi="Arial" w:cs="Arial"/>
                <w:b/>
                <w:szCs w:val="24"/>
              </w:rPr>
              <w:t>7</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45618C" w:rsidRDefault="0045618C" w:rsidP="0045618C">
            <w:pPr>
              <w:jc w:val="both"/>
              <w:rPr>
                <w:rFonts w:ascii="Arial" w:hAnsi="Arial" w:cs="Arial"/>
                <w:color w:val="000000"/>
                <w:szCs w:val="24"/>
              </w:rPr>
            </w:pPr>
            <w:r w:rsidRPr="003253D5">
              <w:rPr>
                <w:rFonts w:ascii="Arial" w:hAnsi="Arial" w:cs="Arial"/>
                <w:szCs w:val="24"/>
              </w:rPr>
              <w:t xml:space="preserve">The report to Directors covering the </w:t>
            </w:r>
            <w:r w:rsidR="0099723B">
              <w:rPr>
                <w:rFonts w:ascii="Arial" w:hAnsi="Arial" w:cs="Arial"/>
                <w:szCs w:val="24"/>
              </w:rPr>
              <w:t>previous</w:t>
            </w:r>
            <w:r w:rsidR="0099723B" w:rsidRPr="003253D5">
              <w:rPr>
                <w:rFonts w:ascii="Arial" w:hAnsi="Arial" w:cs="Arial"/>
                <w:szCs w:val="24"/>
              </w:rPr>
              <w:t xml:space="preserve"> </w:t>
            </w:r>
            <w:r w:rsidRPr="003253D5">
              <w:rPr>
                <w:rFonts w:ascii="Arial" w:hAnsi="Arial" w:cs="Arial"/>
                <w:szCs w:val="24"/>
              </w:rPr>
              <w:t>quarter</w:t>
            </w:r>
            <w:r w:rsidR="0099723B">
              <w:rPr>
                <w:rFonts w:ascii="Arial" w:hAnsi="Arial" w:cs="Arial"/>
                <w:szCs w:val="24"/>
              </w:rPr>
              <w:t xml:space="preserve"> (</w:t>
            </w:r>
            <w:r w:rsidR="00E74E2C">
              <w:rPr>
                <w:rFonts w:ascii="Arial" w:hAnsi="Arial" w:cs="Arial"/>
                <w:szCs w:val="24"/>
              </w:rPr>
              <w:t>Jan - Mar</w:t>
            </w:r>
            <w:r w:rsidR="0099723B">
              <w:rPr>
                <w:rFonts w:ascii="Arial" w:hAnsi="Arial" w:cs="Arial"/>
                <w:szCs w:val="24"/>
              </w:rPr>
              <w:t>)</w:t>
            </w:r>
            <w:r w:rsidRPr="003253D5">
              <w:rPr>
                <w:rFonts w:ascii="Arial" w:hAnsi="Arial" w:cs="Arial"/>
                <w:szCs w:val="24"/>
              </w:rPr>
              <w:t xml:space="preserve"> gave a total establishment figure of </w:t>
            </w:r>
            <w:r w:rsidR="00E74E2C">
              <w:rPr>
                <w:rFonts w:ascii="Arial" w:hAnsi="Arial" w:cs="Arial"/>
                <w:color w:val="000000" w:themeColor="text1"/>
                <w:szCs w:val="24"/>
              </w:rPr>
              <w:t>599.6</w:t>
            </w:r>
            <w:r>
              <w:rPr>
                <w:rFonts w:ascii="Arial" w:hAnsi="Arial" w:cs="Arial"/>
                <w:color w:val="000000"/>
                <w:szCs w:val="24"/>
              </w:rPr>
              <w:t xml:space="preserve"> FTE</w:t>
            </w:r>
          </w:p>
          <w:p w:rsidR="0045618C" w:rsidRDefault="0045618C" w:rsidP="0045618C">
            <w:pPr>
              <w:jc w:val="both"/>
              <w:rPr>
                <w:rFonts w:ascii="Arial" w:hAnsi="Arial" w:cs="Arial"/>
                <w:color w:val="000000"/>
                <w:szCs w:val="24"/>
              </w:rPr>
            </w:pPr>
          </w:p>
          <w:p w:rsidR="0045618C" w:rsidRPr="007214D1" w:rsidRDefault="0045618C" w:rsidP="009E7291">
            <w:pPr>
              <w:jc w:val="both"/>
              <w:rPr>
                <w:rFonts w:ascii="Arial" w:hAnsi="Arial" w:cs="Arial"/>
                <w:szCs w:val="24"/>
              </w:rPr>
            </w:pPr>
            <w:r w:rsidRPr="003253D5">
              <w:rPr>
                <w:rFonts w:ascii="Arial" w:hAnsi="Arial" w:cs="Arial"/>
                <w:szCs w:val="24"/>
              </w:rPr>
              <w:lastRenderedPageBreak/>
              <w:t xml:space="preserve">The change to the establishment </w:t>
            </w:r>
            <w:r>
              <w:rPr>
                <w:rFonts w:ascii="Arial" w:hAnsi="Arial" w:cs="Arial"/>
                <w:szCs w:val="24"/>
              </w:rPr>
              <w:t>during</w:t>
            </w:r>
            <w:r w:rsidRPr="003253D5">
              <w:rPr>
                <w:rFonts w:ascii="Arial" w:hAnsi="Arial" w:cs="Arial"/>
                <w:szCs w:val="24"/>
              </w:rPr>
              <w:t xml:space="preserve"> Quarter </w:t>
            </w:r>
            <w:r w:rsidR="00E74E2C">
              <w:rPr>
                <w:rFonts w:ascii="Arial" w:hAnsi="Arial" w:cs="Arial"/>
                <w:szCs w:val="24"/>
              </w:rPr>
              <w:t>1</w:t>
            </w:r>
            <w:r w:rsidRPr="003253D5">
              <w:rPr>
                <w:rFonts w:ascii="Arial" w:hAnsi="Arial" w:cs="Arial"/>
                <w:szCs w:val="24"/>
              </w:rPr>
              <w:t> (</w:t>
            </w:r>
            <w:r w:rsidR="00E74E2C">
              <w:rPr>
                <w:rFonts w:ascii="Arial" w:hAnsi="Arial" w:cs="Arial"/>
                <w:szCs w:val="24"/>
              </w:rPr>
              <w:t>April to June</w:t>
            </w:r>
            <w:r w:rsidR="00347734">
              <w:rPr>
                <w:rFonts w:ascii="Arial" w:hAnsi="Arial" w:cs="Arial"/>
                <w:szCs w:val="24"/>
              </w:rPr>
              <w:t xml:space="preserve"> 201</w:t>
            </w:r>
            <w:r w:rsidR="00705B99">
              <w:rPr>
                <w:rFonts w:ascii="Arial" w:hAnsi="Arial" w:cs="Arial"/>
                <w:szCs w:val="24"/>
              </w:rPr>
              <w:t>7</w:t>
            </w:r>
            <w:r w:rsidRPr="003253D5">
              <w:rPr>
                <w:rFonts w:ascii="Arial" w:hAnsi="Arial" w:cs="Arial"/>
                <w:szCs w:val="24"/>
              </w:rPr>
              <w:t xml:space="preserve">) has been an </w:t>
            </w:r>
            <w:r w:rsidRPr="00B35E26">
              <w:rPr>
                <w:rFonts w:ascii="Arial" w:hAnsi="Arial" w:cs="Arial"/>
                <w:szCs w:val="24"/>
              </w:rPr>
              <w:t xml:space="preserve">overall </w:t>
            </w:r>
            <w:r w:rsidR="009E7291">
              <w:rPr>
                <w:rFonts w:ascii="Arial" w:hAnsi="Arial" w:cs="Arial"/>
                <w:szCs w:val="24"/>
              </w:rPr>
              <w:t>increase</w:t>
            </w:r>
            <w:r w:rsidRPr="00B35E26">
              <w:rPr>
                <w:rFonts w:ascii="Arial" w:hAnsi="Arial" w:cs="Arial"/>
                <w:szCs w:val="24"/>
              </w:rPr>
              <w:t xml:space="preserve"> of </w:t>
            </w:r>
            <w:r w:rsidR="00E74E2C">
              <w:rPr>
                <w:rFonts w:ascii="Arial" w:hAnsi="Arial" w:cs="Arial"/>
                <w:szCs w:val="24"/>
              </w:rPr>
              <w:t>3.8</w:t>
            </w:r>
            <w:r w:rsidR="009E7291">
              <w:rPr>
                <w:rFonts w:ascii="Arial" w:hAnsi="Arial" w:cs="Arial"/>
                <w:szCs w:val="24"/>
              </w:rPr>
              <w:t>8</w:t>
            </w:r>
            <w:r>
              <w:rPr>
                <w:rFonts w:ascii="Arial" w:hAnsi="Arial" w:cs="Arial"/>
                <w:szCs w:val="24"/>
              </w:rPr>
              <w:t xml:space="preserve"> FTE.  The changes </w:t>
            </w:r>
            <w:r w:rsidRPr="00B35E26">
              <w:rPr>
                <w:rFonts w:ascii="Arial" w:hAnsi="Arial" w:cs="Arial"/>
                <w:szCs w:val="24"/>
              </w:rPr>
              <w:t>can be summarised as:-</w:t>
            </w:r>
          </w:p>
        </w:tc>
      </w:tr>
      <w:tr w:rsidR="006F5801" w:rsidRPr="007214D1" w:rsidTr="00BA0979">
        <w:trPr>
          <w:trHeight w:val="5115"/>
        </w:trPr>
        <w:tc>
          <w:tcPr>
            <w:tcW w:w="817" w:type="dxa"/>
          </w:tcPr>
          <w:p w:rsidR="006F5801" w:rsidRDefault="006F5801" w:rsidP="0045618C">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Pr="0045618C" w:rsidRDefault="005540B4" w:rsidP="00416BFF">
            <w:pPr>
              <w:rPr>
                <w:rFonts w:ascii="Arial" w:hAnsi="Arial" w:cs="Arial"/>
                <w:szCs w:val="24"/>
              </w:rPr>
            </w:pPr>
          </w:p>
          <w:p w:rsidR="00120225" w:rsidRDefault="00120225" w:rsidP="009E7E1D">
            <w:pPr>
              <w:rPr>
                <w:rFonts w:ascii="Arial" w:hAnsi="Arial" w:cs="Arial"/>
                <w:szCs w:val="24"/>
              </w:rPr>
            </w:pPr>
          </w:p>
          <w:p w:rsidR="00120225" w:rsidRDefault="00120225"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347734" w:rsidRDefault="00347734" w:rsidP="009E7E1D">
            <w:pPr>
              <w:rPr>
                <w:rFonts w:ascii="Arial" w:hAnsi="Arial" w:cs="Arial"/>
                <w:szCs w:val="24"/>
              </w:rPr>
            </w:pPr>
          </w:p>
          <w:p w:rsidR="0084209E" w:rsidRPr="007214D1" w:rsidRDefault="0084209E" w:rsidP="00823029">
            <w:pPr>
              <w:rPr>
                <w:rFonts w:ascii="Arial" w:hAnsi="Arial" w:cs="Arial"/>
                <w:szCs w:val="24"/>
              </w:rPr>
            </w:pPr>
          </w:p>
        </w:tc>
        <w:tc>
          <w:tcPr>
            <w:tcW w:w="8647" w:type="dxa"/>
          </w:tcPr>
          <w:tbl>
            <w:tblPr>
              <w:tblW w:w="10240" w:type="dxa"/>
              <w:tblLayout w:type="fixed"/>
              <w:tblLook w:val="04A0" w:firstRow="1" w:lastRow="0" w:firstColumn="1" w:lastColumn="0" w:noHBand="0" w:noVBand="1"/>
            </w:tblPr>
            <w:tblGrid>
              <w:gridCol w:w="8397"/>
              <w:gridCol w:w="1843"/>
            </w:tblGrid>
            <w:tr w:rsidR="008C3C98" w:rsidRPr="00B35E26" w:rsidTr="00823029">
              <w:tc>
                <w:tcPr>
                  <w:tcW w:w="8397" w:type="dxa"/>
                  <w:shd w:val="clear" w:color="auto" w:fill="auto"/>
                </w:tcPr>
                <w:p w:rsidR="008C3C98" w:rsidRPr="00B35E26" w:rsidRDefault="008C3C98" w:rsidP="00AE3455">
                  <w:pPr>
                    <w:jc w:val="both"/>
                    <w:rPr>
                      <w:rFonts w:ascii="Arial" w:hAnsi="Arial" w:cs="Arial"/>
                      <w:b/>
                      <w:szCs w:val="24"/>
                    </w:rPr>
                  </w:pPr>
                </w:p>
              </w:tc>
              <w:tc>
                <w:tcPr>
                  <w:tcW w:w="1843" w:type="dxa"/>
                  <w:shd w:val="clear" w:color="auto" w:fill="auto"/>
                </w:tcPr>
                <w:p w:rsidR="008C3C98" w:rsidRPr="00B35E26" w:rsidRDefault="00F25E7E" w:rsidP="00665BD4">
                  <w:pPr>
                    <w:jc w:val="right"/>
                    <w:rPr>
                      <w:rFonts w:ascii="Arial" w:hAnsi="Arial" w:cs="Arial"/>
                      <w:b/>
                      <w:szCs w:val="24"/>
                    </w:rPr>
                  </w:pPr>
                  <w:r w:rsidRPr="00B35E26">
                    <w:rPr>
                      <w:rFonts w:ascii="Arial" w:hAnsi="Arial" w:cs="Arial"/>
                      <w:b/>
                      <w:szCs w:val="24"/>
                    </w:rPr>
                    <w:t xml:space="preserve">     </w:t>
                  </w:r>
                </w:p>
              </w:tc>
            </w:tr>
            <w:tr w:rsidR="008C1B47" w:rsidRPr="00B35E26" w:rsidTr="00823029">
              <w:tc>
                <w:tcPr>
                  <w:tcW w:w="8397" w:type="dxa"/>
                  <w:shd w:val="clear" w:color="auto" w:fill="auto"/>
                </w:tcPr>
                <w:tbl>
                  <w:tblPr>
                    <w:tblW w:w="8289" w:type="dxa"/>
                    <w:tblLayout w:type="fixed"/>
                    <w:tblLook w:val="04A0" w:firstRow="1" w:lastRow="0" w:firstColumn="1" w:lastColumn="0" w:noHBand="0" w:noVBand="1"/>
                  </w:tblPr>
                  <w:tblGrid>
                    <w:gridCol w:w="6536"/>
                    <w:gridCol w:w="1753"/>
                  </w:tblGrid>
                  <w:tr w:rsidR="009E7291" w:rsidRPr="009E7291" w:rsidTr="0048062D">
                    <w:trPr>
                      <w:trHeight w:val="312"/>
                    </w:trPr>
                    <w:tc>
                      <w:tcPr>
                        <w:tcW w:w="6536" w:type="dxa"/>
                        <w:tcBorders>
                          <w:top w:val="nil"/>
                          <w:left w:val="nil"/>
                          <w:bottom w:val="nil"/>
                          <w:right w:val="nil"/>
                        </w:tcBorders>
                        <w:shd w:val="clear" w:color="auto" w:fill="auto"/>
                        <w:noWrap/>
                        <w:vAlign w:val="bottom"/>
                        <w:hideMark/>
                      </w:tcPr>
                      <w:p w:rsidR="009E7291" w:rsidRPr="009E7291" w:rsidRDefault="009E7291" w:rsidP="009E7291">
                        <w:pPr>
                          <w:rPr>
                            <w:rFonts w:ascii="Arial" w:hAnsi="Arial" w:cs="Arial"/>
                            <w:b/>
                            <w:bCs/>
                            <w:color w:val="000000"/>
                            <w:szCs w:val="24"/>
                          </w:rPr>
                        </w:pPr>
                        <w:r w:rsidRPr="009E7291">
                          <w:rPr>
                            <w:rFonts w:ascii="Arial" w:hAnsi="Arial" w:cs="Arial"/>
                            <w:b/>
                            <w:bCs/>
                            <w:color w:val="000000"/>
                            <w:szCs w:val="24"/>
                          </w:rPr>
                          <w:t>Change</w:t>
                        </w:r>
                      </w:p>
                    </w:tc>
                    <w:tc>
                      <w:tcPr>
                        <w:tcW w:w="1753" w:type="dxa"/>
                        <w:tcBorders>
                          <w:top w:val="nil"/>
                          <w:left w:val="nil"/>
                          <w:bottom w:val="nil"/>
                          <w:right w:val="nil"/>
                        </w:tcBorders>
                        <w:shd w:val="clear" w:color="auto" w:fill="auto"/>
                        <w:noWrap/>
                        <w:vAlign w:val="bottom"/>
                        <w:hideMark/>
                      </w:tcPr>
                      <w:p w:rsidR="009E7291" w:rsidRPr="009E7291" w:rsidRDefault="009E7291" w:rsidP="000125A3">
                        <w:pPr>
                          <w:jc w:val="right"/>
                          <w:rPr>
                            <w:rFonts w:ascii="Arial" w:hAnsi="Arial" w:cs="Arial"/>
                            <w:b/>
                            <w:bCs/>
                            <w:color w:val="000000"/>
                            <w:szCs w:val="24"/>
                          </w:rPr>
                        </w:pPr>
                        <w:r w:rsidRPr="009E7291">
                          <w:rPr>
                            <w:rFonts w:ascii="Arial" w:hAnsi="Arial" w:cs="Arial"/>
                            <w:b/>
                            <w:bCs/>
                            <w:color w:val="000000"/>
                            <w:szCs w:val="24"/>
                          </w:rPr>
                          <w:t>FTE</w:t>
                        </w:r>
                      </w:p>
                    </w:tc>
                  </w:tr>
                  <w:tr w:rsidR="009E7291" w:rsidRPr="009E7291" w:rsidTr="0048062D">
                    <w:trPr>
                      <w:trHeight w:val="312"/>
                    </w:trPr>
                    <w:tc>
                      <w:tcPr>
                        <w:tcW w:w="6536" w:type="dxa"/>
                        <w:tcBorders>
                          <w:top w:val="nil"/>
                          <w:left w:val="nil"/>
                          <w:bottom w:val="nil"/>
                          <w:right w:val="nil"/>
                        </w:tcBorders>
                        <w:shd w:val="clear" w:color="auto" w:fill="auto"/>
                        <w:noWrap/>
                        <w:vAlign w:val="bottom"/>
                        <w:hideMark/>
                      </w:tcPr>
                      <w:p w:rsidR="009E7291" w:rsidRPr="009E7291" w:rsidRDefault="009E7291" w:rsidP="00A44C7B">
                        <w:pPr>
                          <w:ind w:left="-182"/>
                          <w:rPr>
                            <w:rFonts w:ascii="Arial" w:hAnsi="Arial" w:cs="Arial"/>
                            <w:b/>
                            <w:bCs/>
                            <w:color w:val="000000"/>
                            <w:szCs w:val="24"/>
                          </w:rPr>
                        </w:pPr>
                      </w:p>
                    </w:tc>
                    <w:tc>
                      <w:tcPr>
                        <w:tcW w:w="1753" w:type="dxa"/>
                        <w:tcBorders>
                          <w:top w:val="nil"/>
                          <w:left w:val="nil"/>
                          <w:bottom w:val="nil"/>
                          <w:right w:val="nil"/>
                        </w:tcBorders>
                        <w:shd w:val="clear" w:color="auto" w:fill="auto"/>
                        <w:noWrap/>
                        <w:vAlign w:val="bottom"/>
                        <w:hideMark/>
                      </w:tcPr>
                      <w:p w:rsidR="009E7291" w:rsidRPr="009E7291" w:rsidRDefault="009E7291" w:rsidP="000125A3">
                        <w:pPr>
                          <w:jc w:val="right"/>
                          <w:rPr>
                            <w:rFonts w:ascii="Arial" w:hAnsi="Arial" w:cs="Arial"/>
                            <w:b/>
                            <w:bCs/>
                            <w:color w:val="000000"/>
                            <w:szCs w:val="24"/>
                          </w:rPr>
                        </w:pP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Caretaker,  Strathpeffer Pavilion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 xml:space="preserve"> +</w:t>
                        </w:r>
                        <w:r w:rsidR="009E7291" w:rsidRPr="009E7291">
                          <w:rPr>
                            <w:rFonts w:ascii="Arial" w:hAnsi="Arial" w:cs="Arial"/>
                            <w:color w:val="000000"/>
                            <w:szCs w:val="24"/>
                          </w:rPr>
                          <w:t>0.85</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Assistant Manager (Events), Strathpeffer Pavilion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0.57</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Assistant Manager North Coast Leisure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1</w:t>
                        </w:r>
                        <w:r>
                          <w:rPr>
                            <w:rFonts w:ascii="Arial" w:hAnsi="Arial" w:cs="Arial"/>
                            <w:color w:val="000000"/>
                            <w:szCs w:val="24"/>
                          </w:rPr>
                          <w:t xml:space="preserve">.00 </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Leisure Supervisor, Poolewe Swimming Pool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0.59</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Leisure Supervisor, Poolewe Swimming Pool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0.59</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Leisure Assistant, Poolewe Swimming Pool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0.55</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Leisure Assistant, Poolewe Swimming Pool (TUPE)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0.35</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 xml:space="preserve">Cashier/Receptionist, Lochbroom Leisure Centre  </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-0.2</w:t>
                        </w:r>
                        <w:r w:rsidR="000125A3">
                          <w:rPr>
                            <w:rFonts w:ascii="Arial" w:hAnsi="Arial" w:cs="Arial"/>
                            <w:color w:val="000000"/>
                            <w:szCs w:val="24"/>
                          </w:rPr>
                          <w:t>0</w:t>
                        </w:r>
                      </w:p>
                    </w:tc>
                  </w:tr>
                  <w:tr w:rsidR="009E7291" w:rsidRPr="009E7291" w:rsidTr="0048062D">
                    <w:trPr>
                      <w:trHeight w:val="312"/>
                    </w:trPr>
                    <w:tc>
                      <w:tcPr>
                        <w:tcW w:w="6536" w:type="dxa"/>
                        <w:tcBorders>
                          <w:top w:val="nil"/>
                          <w:left w:val="nil"/>
                          <w:bottom w:val="nil"/>
                          <w:right w:val="nil"/>
                        </w:tcBorders>
                        <w:shd w:val="clear" w:color="auto" w:fill="auto"/>
                        <w:noWrap/>
                        <w:vAlign w:val="bottom"/>
                        <w:hideMark/>
                      </w:tcPr>
                      <w:p w:rsidR="009E7291" w:rsidRPr="009E7291" w:rsidRDefault="009E7291" w:rsidP="00445A72">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w:t>
                        </w:r>
                        <w:r w:rsidRPr="009E7291">
                          <w:rPr>
                            <w:rFonts w:ascii="Arial" w:hAnsi="Arial" w:cs="Arial"/>
                            <w:color w:val="000000"/>
                            <w:szCs w:val="24"/>
                          </w:rPr>
                          <w:t xml:space="preserve"> Averon Leisure Centre </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0.03</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445A72" w:rsidP="00445A72">
                        <w:pPr>
                          <w:rPr>
                            <w:rFonts w:ascii="Arial" w:hAnsi="Arial" w:cs="Arial"/>
                            <w:color w:val="000000"/>
                            <w:szCs w:val="24"/>
                          </w:rPr>
                        </w:pPr>
                        <w:r>
                          <w:rPr>
                            <w:rFonts w:ascii="Arial" w:hAnsi="Arial" w:cs="Arial"/>
                            <w:color w:val="000000"/>
                            <w:szCs w:val="24"/>
                          </w:rPr>
                          <w:t>Re-organisation -</w:t>
                        </w:r>
                        <w:r w:rsidR="009E7291" w:rsidRPr="009E7291">
                          <w:rPr>
                            <w:rFonts w:ascii="Arial" w:hAnsi="Arial" w:cs="Arial"/>
                            <w:color w:val="000000"/>
                            <w:szCs w:val="24"/>
                          </w:rPr>
                          <w:t xml:space="preserve"> Gairloch Library</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0.07</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445A72">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w:t>
                        </w:r>
                        <w:r w:rsidRPr="009E7291">
                          <w:rPr>
                            <w:rFonts w:ascii="Arial" w:hAnsi="Arial" w:cs="Arial"/>
                            <w:color w:val="000000"/>
                            <w:szCs w:val="24"/>
                          </w:rPr>
                          <w:t xml:space="preserve"> Kinlochleven Library</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-0.27</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445A72">
                        <w:pPr>
                          <w:rPr>
                            <w:rFonts w:ascii="Arial" w:hAnsi="Arial" w:cs="Arial"/>
                            <w:color w:val="000000"/>
                            <w:szCs w:val="24"/>
                          </w:rPr>
                        </w:pPr>
                        <w:r w:rsidRPr="009E7291">
                          <w:rPr>
                            <w:rFonts w:ascii="Arial" w:hAnsi="Arial" w:cs="Arial"/>
                            <w:color w:val="000000"/>
                            <w:szCs w:val="24"/>
                          </w:rPr>
                          <w:t>Re-orga</w:t>
                        </w:r>
                        <w:r w:rsidR="00445A72">
                          <w:rPr>
                            <w:rFonts w:ascii="Arial" w:hAnsi="Arial" w:cs="Arial"/>
                            <w:color w:val="000000"/>
                            <w:szCs w:val="24"/>
                          </w:rPr>
                          <w:t>n</w:t>
                        </w:r>
                        <w:r w:rsidRPr="009E7291">
                          <w:rPr>
                            <w:rFonts w:ascii="Arial" w:hAnsi="Arial" w:cs="Arial"/>
                            <w:color w:val="000000"/>
                            <w:szCs w:val="24"/>
                          </w:rPr>
                          <w:t xml:space="preserve">isation </w:t>
                        </w:r>
                        <w:r w:rsidR="00445A72">
                          <w:rPr>
                            <w:rFonts w:ascii="Arial" w:hAnsi="Arial" w:cs="Arial"/>
                            <w:color w:val="000000"/>
                            <w:szCs w:val="24"/>
                          </w:rPr>
                          <w:t>-</w:t>
                        </w:r>
                        <w:r w:rsidRPr="009E7291">
                          <w:rPr>
                            <w:rFonts w:ascii="Arial" w:hAnsi="Arial" w:cs="Arial"/>
                            <w:color w:val="000000"/>
                            <w:szCs w:val="24"/>
                          </w:rPr>
                          <w:t xml:space="preserve"> Ardnamurchan Library</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-0.19</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445A72">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w:t>
                        </w:r>
                        <w:r w:rsidRPr="009E7291">
                          <w:rPr>
                            <w:rFonts w:ascii="Arial" w:hAnsi="Arial" w:cs="Arial"/>
                            <w:color w:val="000000"/>
                            <w:szCs w:val="24"/>
                          </w:rPr>
                          <w:t xml:space="preserve"> Invergordon Library</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-0.06</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445A72">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w:t>
                        </w:r>
                        <w:r w:rsidRPr="009E7291">
                          <w:rPr>
                            <w:rFonts w:ascii="Arial" w:hAnsi="Arial" w:cs="Arial"/>
                            <w:color w:val="000000"/>
                            <w:szCs w:val="24"/>
                          </w:rPr>
                          <w:t xml:space="preserve"> Glenurquhart Library</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-0.94</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 xml:space="preserve">- </w:t>
                        </w:r>
                        <w:r w:rsidRPr="009E7291">
                          <w:rPr>
                            <w:rFonts w:ascii="Arial" w:hAnsi="Arial" w:cs="Arial"/>
                            <w:color w:val="000000"/>
                            <w:szCs w:val="24"/>
                          </w:rPr>
                          <w:t>Culloden Library</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-0.14</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 xml:space="preserve">- </w:t>
                        </w:r>
                        <w:r w:rsidRPr="009E7291">
                          <w:rPr>
                            <w:rFonts w:ascii="Arial" w:hAnsi="Arial" w:cs="Arial"/>
                            <w:color w:val="000000"/>
                            <w:szCs w:val="24"/>
                          </w:rPr>
                          <w:t>Craig MacLean Leisure Centre</w:t>
                        </w:r>
                      </w:p>
                    </w:tc>
                    <w:tc>
                      <w:tcPr>
                        <w:tcW w:w="1753" w:type="dxa"/>
                        <w:tcBorders>
                          <w:top w:val="nil"/>
                          <w:left w:val="nil"/>
                          <w:bottom w:val="nil"/>
                          <w:right w:val="nil"/>
                        </w:tcBorders>
                        <w:shd w:val="clear" w:color="auto" w:fill="auto"/>
                        <w:noWrap/>
                        <w:vAlign w:val="center"/>
                        <w:hideMark/>
                      </w:tcPr>
                      <w:p w:rsidR="009E7291" w:rsidRPr="009E7291" w:rsidRDefault="009E7291" w:rsidP="000125A3">
                        <w:pPr>
                          <w:jc w:val="right"/>
                          <w:rPr>
                            <w:rFonts w:ascii="Arial" w:hAnsi="Arial" w:cs="Arial"/>
                            <w:color w:val="000000"/>
                            <w:szCs w:val="24"/>
                          </w:rPr>
                        </w:pPr>
                        <w:r w:rsidRPr="009E7291">
                          <w:rPr>
                            <w:rFonts w:ascii="Arial" w:hAnsi="Arial" w:cs="Arial"/>
                            <w:color w:val="000000"/>
                            <w:szCs w:val="24"/>
                          </w:rPr>
                          <w:t>-1.59</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r w:rsidRPr="009E7291">
                          <w:rPr>
                            <w:rFonts w:ascii="Arial" w:hAnsi="Arial" w:cs="Arial"/>
                            <w:color w:val="000000"/>
                            <w:szCs w:val="24"/>
                          </w:rPr>
                          <w:t xml:space="preserve">Re-organisation </w:t>
                        </w:r>
                        <w:r w:rsidR="00445A72">
                          <w:rPr>
                            <w:rFonts w:ascii="Arial" w:hAnsi="Arial" w:cs="Arial"/>
                            <w:color w:val="000000"/>
                            <w:szCs w:val="24"/>
                          </w:rPr>
                          <w:t xml:space="preserve">- </w:t>
                        </w:r>
                        <w:r w:rsidRPr="009E7291">
                          <w:rPr>
                            <w:rFonts w:ascii="Arial" w:hAnsi="Arial" w:cs="Arial"/>
                            <w:color w:val="000000"/>
                            <w:szCs w:val="24"/>
                          </w:rPr>
                          <w:t>Lochaber Leisure Centre</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right"/>
                          <w:rPr>
                            <w:rFonts w:ascii="Arial" w:hAnsi="Arial" w:cs="Arial"/>
                            <w:color w:val="000000"/>
                            <w:szCs w:val="24"/>
                          </w:rPr>
                        </w:pPr>
                        <w:r>
                          <w:rPr>
                            <w:rFonts w:ascii="Arial" w:hAnsi="Arial" w:cs="Arial"/>
                            <w:color w:val="000000"/>
                            <w:szCs w:val="24"/>
                          </w:rPr>
                          <w:t>+</w:t>
                        </w:r>
                        <w:r w:rsidR="009E7291" w:rsidRPr="009E7291">
                          <w:rPr>
                            <w:rFonts w:ascii="Arial" w:hAnsi="Arial" w:cs="Arial"/>
                            <w:color w:val="000000"/>
                            <w:szCs w:val="24"/>
                          </w:rPr>
                          <w:t>2.67</w:t>
                        </w:r>
                      </w:p>
                    </w:tc>
                  </w:tr>
                  <w:tr w:rsidR="009E7291" w:rsidRPr="009E7291" w:rsidTr="0048062D">
                    <w:trPr>
                      <w:trHeight w:val="300"/>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color w:val="000000"/>
                            <w:szCs w:val="24"/>
                          </w:rPr>
                        </w:pPr>
                      </w:p>
                    </w:tc>
                    <w:tc>
                      <w:tcPr>
                        <w:tcW w:w="1753" w:type="dxa"/>
                        <w:tcBorders>
                          <w:top w:val="nil"/>
                          <w:left w:val="nil"/>
                          <w:bottom w:val="nil"/>
                          <w:right w:val="nil"/>
                        </w:tcBorders>
                        <w:shd w:val="clear" w:color="auto" w:fill="auto"/>
                        <w:noWrap/>
                        <w:vAlign w:val="bottom"/>
                        <w:hideMark/>
                      </w:tcPr>
                      <w:p w:rsidR="009E7291" w:rsidRPr="009E7291" w:rsidRDefault="009E7291" w:rsidP="009E7291">
                        <w:pPr>
                          <w:rPr>
                            <w:rFonts w:ascii="Calibri" w:hAnsi="Calibri"/>
                            <w:color w:val="000000"/>
                            <w:sz w:val="22"/>
                            <w:szCs w:val="22"/>
                          </w:rPr>
                        </w:pPr>
                      </w:p>
                    </w:tc>
                  </w:tr>
                  <w:tr w:rsidR="009E7291" w:rsidRPr="009E7291" w:rsidTr="0048062D">
                    <w:trPr>
                      <w:trHeight w:val="312"/>
                    </w:trPr>
                    <w:tc>
                      <w:tcPr>
                        <w:tcW w:w="6536" w:type="dxa"/>
                        <w:tcBorders>
                          <w:top w:val="nil"/>
                          <w:left w:val="nil"/>
                          <w:bottom w:val="nil"/>
                          <w:right w:val="nil"/>
                        </w:tcBorders>
                        <w:shd w:val="clear" w:color="auto" w:fill="auto"/>
                        <w:noWrap/>
                        <w:vAlign w:val="center"/>
                        <w:hideMark/>
                      </w:tcPr>
                      <w:p w:rsidR="009E7291" w:rsidRPr="009E7291" w:rsidRDefault="009E7291" w:rsidP="009E7291">
                        <w:pPr>
                          <w:rPr>
                            <w:rFonts w:ascii="Arial" w:hAnsi="Arial" w:cs="Arial"/>
                            <w:b/>
                            <w:bCs/>
                            <w:color w:val="000000"/>
                            <w:szCs w:val="24"/>
                          </w:rPr>
                        </w:pPr>
                        <w:r w:rsidRPr="009E7291">
                          <w:rPr>
                            <w:rFonts w:ascii="Arial" w:hAnsi="Arial" w:cs="Arial"/>
                            <w:b/>
                            <w:bCs/>
                            <w:color w:val="000000"/>
                            <w:szCs w:val="24"/>
                          </w:rPr>
                          <w:t>Total Change over Quarter 1</w:t>
                        </w:r>
                      </w:p>
                    </w:tc>
                    <w:tc>
                      <w:tcPr>
                        <w:tcW w:w="1753" w:type="dxa"/>
                        <w:tcBorders>
                          <w:top w:val="nil"/>
                          <w:left w:val="nil"/>
                          <w:bottom w:val="nil"/>
                          <w:right w:val="nil"/>
                        </w:tcBorders>
                        <w:shd w:val="clear" w:color="auto" w:fill="auto"/>
                        <w:noWrap/>
                        <w:vAlign w:val="center"/>
                        <w:hideMark/>
                      </w:tcPr>
                      <w:p w:rsidR="009E7291" w:rsidRPr="009E7291" w:rsidRDefault="000125A3" w:rsidP="000125A3">
                        <w:pPr>
                          <w:jc w:val="center"/>
                          <w:rPr>
                            <w:rFonts w:ascii="Arial" w:hAnsi="Arial" w:cs="Arial"/>
                            <w:b/>
                            <w:bCs/>
                            <w:color w:val="000000"/>
                            <w:szCs w:val="24"/>
                          </w:rPr>
                        </w:pPr>
                        <w:r>
                          <w:rPr>
                            <w:rFonts w:ascii="Arial" w:hAnsi="Arial" w:cs="Arial"/>
                            <w:b/>
                            <w:bCs/>
                            <w:color w:val="000000"/>
                            <w:szCs w:val="24"/>
                          </w:rPr>
                          <w:t xml:space="preserve">  </w:t>
                        </w:r>
                        <w:r w:rsidR="00A44C7B">
                          <w:rPr>
                            <w:rFonts w:ascii="Arial" w:hAnsi="Arial" w:cs="Arial"/>
                            <w:b/>
                            <w:bCs/>
                            <w:color w:val="000000"/>
                            <w:szCs w:val="24"/>
                          </w:rPr>
                          <w:t xml:space="preserve">         </w:t>
                        </w:r>
                        <w:r>
                          <w:rPr>
                            <w:rFonts w:ascii="Arial" w:hAnsi="Arial" w:cs="Arial"/>
                            <w:b/>
                            <w:bCs/>
                            <w:color w:val="000000"/>
                            <w:szCs w:val="24"/>
                          </w:rPr>
                          <w:t xml:space="preserve"> +</w:t>
                        </w:r>
                        <w:r w:rsidR="009E7291" w:rsidRPr="009E7291">
                          <w:rPr>
                            <w:rFonts w:ascii="Arial" w:hAnsi="Arial" w:cs="Arial"/>
                            <w:b/>
                            <w:bCs/>
                            <w:color w:val="000000"/>
                            <w:szCs w:val="24"/>
                          </w:rPr>
                          <w:t>3.88</w:t>
                        </w:r>
                      </w:p>
                    </w:tc>
                  </w:tr>
                  <w:tr w:rsidR="000125A3" w:rsidRPr="009E7291" w:rsidTr="0048062D">
                    <w:trPr>
                      <w:trHeight w:val="312"/>
                    </w:trPr>
                    <w:tc>
                      <w:tcPr>
                        <w:tcW w:w="6536" w:type="dxa"/>
                        <w:tcBorders>
                          <w:top w:val="nil"/>
                          <w:left w:val="nil"/>
                          <w:bottom w:val="nil"/>
                          <w:right w:val="nil"/>
                        </w:tcBorders>
                        <w:shd w:val="clear" w:color="auto" w:fill="auto"/>
                        <w:noWrap/>
                        <w:vAlign w:val="center"/>
                      </w:tcPr>
                      <w:p w:rsidR="000125A3" w:rsidRPr="009E7291" w:rsidRDefault="000125A3" w:rsidP="009E7291">
                        <w:pPr>
                          <w:rPr>
                            <w:rFonts w:ascii="Arial" w:hAnsi="Arial" w:cs="Arial"/>
                            <w:b/>
                            <w:bCs/>
                            <w:color w:val="000000"/>
                            <w:szCs w:val="24"/>
                          </w:rPr>
                        </w:pPr>
                      </w:p>
                    </w:tc>
                    <w:tc>
                      <w:tcPr>
                        <w:tcW w:w="1753" w:type="dxa"/>
                        <w:tcBorders>
                          <w:top w:val="nil"/>
                          <w:left w:val="nil"/>
                          <w:bottom w:val="nil"/>
                          <w:right w:val="nil"/>
                        </w:tcBorders>
                        <w:shd w:val="clear" w:color="auto" w:fill="auto"/>
                        <w:noWrap/>
                        <w:vAlign w:val="center"/>
                      </w:tcPr>
                      <w:p w:rsidR="000125A3" w:rsidRPr="009E7291" w:rsidRDefault="000125A3" w:rsidP="009E7291">
                        <w:pPr>
                          <w:jc w:val="center"/>
                          <w:rPr>
                            <w:rFonts w:ascii="Arial" w:hAnsi="Arial" w:cs="Arial"/>
                            <w:b/>
                            <w:bCs/>
                            <w:color w:val="000000"/>
                            <w:szCs w:val="24"/>
                          </w:rPr>
                        </w:pPr>
                      </w:p>
                    </w:tc>
                  </w:tr>
                </w:tbl>
                <w:p w:rsidR="008C1B47" w:rsidRPr="00B35E26" w:rsidRDefault="008C1B47" w:rsidP="00A1733F">
                  <w:pPr>
                    <w:jc w:val="both"/>
                    <w:rPr>
                      <w:rFonts w:ascii="Arial" w:hAnsi="Arial" w:cs="Arial"/>
                      <w:b/>
                      <w:szCs w:val="24"/>
                    </w:rPr>
                  </w:pPr>
                </w:p>
              </w:tc>
              <w:tc>
                <w:tcPr>
                  <w:tcW w:w="1843" w:type="dxa"/>
                  <w:shd w:val="clear" w:color="auto" w:fill="auto"/>
                </w:tcPr>
                <w:p w:rsidR="008C1B47" w:rsidRPr="008C1B47" w:rsidRDefault="008C1B47" w:rsidP="00F20271">
                  <w:pPr>
                    <w:jc w:val="right"/>
                    <w:rPr>
                      <w:rFonts w:ascii="Arial" w:hAnsi="Arial" w:cs="Arial"/>
                      <w:szCs w:val="24"/>
                    </w:rPr>
                  </w:pPr>
                </w:p>
              </w:tc>
            </w:tr>
          </w:tbl>
          <w:p w:rsidR="006F5801" w:rsidRDefault="006F5801" w:rsidP="00C3461A">
            <w:pPr>
              <w:jc w:val="both"/>
              <w:rPr>
                <w:rFonts w:ascii="Arial" w:hAnsi="Arial" w:cs="Arial"/>
                <w:szCs w:val="24"/>
              </w:rPr>
            </w:pPr>
            <w:r w:rsidRPr="00B35E26">
              <w:rPr>
                <w:rFonts w:ascii="Arial" w:hAnsi="Arial" w:cs="Arial"/>
                <w:szCs w:val="24"/>
              </w:rPr>
              <w:t xml:space="preserve">The staffing establishment as at the end of Quarter </w:t>
            </w:r>
            <w:r w:rsidR="000125A3">
              <w:rPr>
                <w:rFonts w:ascii="Arial" w:hAnsi="Arial" w:cs="Arial"/>
                <w:szCs w:val="24"/>
              </w:rPr>
              <w:t xml:space="preserve">1 </w:t>
            </w:r>
            <w:r w:rsidRPr="00B35E26">
              <w:rPr>
                <w:rFonts w:ascii="Arial" w:hAnsi="Arial" w:cs="Arial"/>
                <w:szCs w:val="24"/>
              </w:rPr>
              <w:t>is therefore</w:t>
            </w:r>
            <w:r w:rsidR="00FB0F87" w:rsidRPr="00B35E26">
              <w:rPr>
                <w:rFonts w:ascii="Arial" w:hAnsi="Arial" w:cs="Arial"/>
                <w:szCs w:val="24"/>
              </w:rPr>
              <w:t xml:space="preserve"> </w:t>
            </w:r>
            <w:r w:rsidR="000125A3">
              <w:rPr>
                <w:rFonts w:ascii="Arial" w:hAnsi="Arial" w:cs="Arial"/>
                <w:color w:val="000000" w:themeColor="text1"/>
                <w:szCs w:val="24"/>
              </w:rPr>
              <w:t>603.5</w:t>
            </w:r>
            <w:r w:rsidR="00053FE4">
              <w:rPr>
                <w:rFonts w:ascii="Arial" w:hAnsi="Arial" w:cs="Arial"/>
                <w:szCs w:val="24"/>
              </w:rPr>
              <w:t xml:space="preserve"> </w:t>
            </w:r>
            <w:r w:rsidR="00AD33D1" w:rsidRPr="00B35E26">
              <w:rPr>
                <w:rFonts w:ascii="Arial" w:hAnsi="Arial" w:cs="Arial"/>
                <w:szCs w:val="24"/>
              </w:rPr>
              <w:t>FTE</w:t>
            </w:r>
            <w:r w:rsidR="000125A3">
              <w:rPr>
                <w:rFonts w:ascii="Arial" w:hAnsi="Arial" w:cs="Arial"/>
                <w:szCs w:val="24"/>
              </w:rPr>
              <w:t>.</w:t>
            </w:r>
          </w:p>
          <w:p w:rsidR="0045618C" w:rsidRPr="007214D1" w:rsidRDefault="0045618C" w:rsidP="00823029">
            <w:pPr>
              <w:jc w:val="both"/>
              <w:rPr>
                <w:rFonts w:ascii="Arial" w:hAnsi="Arial" w:cs="Arial"/>
                <w:szCs w:val="24"/>
              </w:rPr>
            </w:pPr>
          </w:p>
        </w:tc>
      </w:tr>
      <w:tr w:rsidR="006F5801" w:rsidRPr="007214D1" w:rsidTr="00BA0979">
        <w:trPr>
          <w:trHeight w:val="2551"/>
        </w:trPr>
        <w:tc>
          <w:tcPr>
            <w:tcW w:w="817" w:type="dxa"/>
          </w:tcPr>
          <w:p w:rsidR="006F5801" w:rsidRDefault="006F5801" w:rsidP="00416BFF">
            <w:pPr>
              <w:rPr>
                <w:rFonts w:ascii="Arial" w:hAnsi="Arial" w:cs="Arial"/>
                <w:szCs w:val="24"/>
              </w:rPr>
            </w:pPr>
            <w:r>
              <w:rPr>
                <w:rFonts w:ascii="Arial" w:hAnsi="Arial" w:cs="Arial"/>
                <w:szCs w:val="24"/>
              </w:rPr>
              <w:t>3.2</w:t>
            </w:r>
          </w:p>
          <w:p w:rsidR="006F5801" w:rsidRDefault="006F5801"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3.2.1</w:t>
            </w: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E442C" w:rsidRDefault="005E442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823029" w:rsidRDefault="00823029"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7E7860" w:rsidRDefault="007E7860"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2245D8" w:rsidRDefault="002245D8" w:rsidP="00416BFF">
            <w:pPr>
              <w:rPr>
                <w:rFonts w:ascii="Arial" w:hAnsi="Arial" w:cs="Arial"/>
                <w:szCs w:val="24"/>
              </w:rPr>
            </w:pPr>
          </w:p>
          <w:p w:rsidR="0048062D" w:rsidRDefault="0048062D"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9C6DDB" w:rsidRDefault="009C6DDB"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C15B6B" w:rsidRDefault="00C15B6B" w:rsidP="00D46356">
            <w:pPr>
              <w:rPr>
                <w:rFonts w:ascii="Arial" w:hAnsi="Arial" w:cs="Arial"/>
                <w:szCs w:val="24"/>
              </w:rPr>
            </w:pPr>
          </w:p>
          <w:p w:rsidR="00465229" w:rsidRDefault="00465229" w:rsidP="00D46356">
            <w:pPr>
              <w:rPr>
                <w:rFonts w:ascii="Arial" w:hAnsi="Arial" w:cs="Arial"/>
                <w:szCs w:val="24"/>
              </w:rPr>
            </w:pPr>
            <w:r>
              <w:rPr>
                <w:rFonts w:ascii="Arial" w:hAnsi="Arial" w:cs="Arial"/>
                <w:szCs w:val="24"/>
              </w:rPr>
              <w:t>3.5</w:t>
            </w:r>
          </w:p>
          <w:p w:rsidR="00465229" w:rsidRDefault="00465229" w:rsidP="00D46356">
            <w:pPr>
              <w:rPr>
                <w:rFonts w:ascii="Arial" w:hAnsi="Arial" w:cs="Arial"/>
                <w:szCs w:val="24"/>
              </w:rPr>
            </w:pPr>
          </w:p>
          <w:p w:rsidR="00465229" w:rsidRPr="007214D1" w:rsidRDefault="00F858E0" w:rsidP="00D46356">
            <w:pPr>
              <w:rPr>
                <w:rFonts w:ascii="Arial" w:hAnsi="Arial" w:cs="Arial"/>
                <w:szCs w:val="24"/>
              </w:rPr>
            </w:pPr>
            <w:r>
              <w:rPr>
                <w:rFonts w:ascii="Arial" w:hAnsi="Arial" w:cs="Arial"/>
                <w:szCs w:val="24"/>
              </w:rPr>
              <w:t>3.5.1</w:t>
            </w:r>
          </w:p>
        </w:tc>
        <w:tc>
          <w:tcPr>
            <w:tcW w:w="8647" w:type="dxa"/>
          </w:tcPr>
          <w:p w:rsidR="006F5801" w:rsidRPr="00265F13" w:rsidRDefault="006F5801" w:rsidP="00474274">
            <w:pPr>
              <w:jc w:val="both"/>
              <w:rPr>
                <w:rFonts w:ascii="Arial" w:hAnsi="Arial" w:cs="Arial"/>
                <w:u w:val="single"/>
              </w:rPr>
            </w:pPr>
            <w:r w:rsidRPr="00265F13">
              <w:rPr>
                <w:rFonts w:ascii="Arial" w:hAnsi="Arial" w:cs="Arial"/>
                <w:u w:val="single"/>
              </w:rPr>
              <w:lastRenderedPageBreak/>
              <w:t xml:space="preserve">Absence Levels </w:t>
            </w:r>
          </w:p>
          <w:p w:rsidR="006F5801" w:rsidRDefault="006F5801" w:rsidP="00474274">
            <w:pPr>
              <w:jc w:val="both"/>
              <w:rPr>
                <w:rFonts w:ascii="Arial" w:hAnsi="Arial" w:cs="Arial"/>
              </w:rPr>
            </w:pPr>
          </w:p>
          <w:p w:rsidR="006F5801" w:rsidRDefault="00600CE7" w:rsidP="007B3DC7">
            <w:pPr>
              <w:jc w:val="both"/>
              <w:rPr>
                <w:rFonts w:ascii="Arial" w:eastAsia="Calibri" w:hAnsi="Arial" w:cs="Arial"/>
                <w:szCs w:val="24"/>
                <w:lang w:eastAsia="en-US"/>
              </w:rPr>
            </w:pPr>
            <w:r>
              <w:rPr>
                <w:rFonts w:ascii="Arial" w:eastAsia="Calibri" w:hAnsi="Arial" w:cs="Arial"/>
                <w:szCs w:val="24"/>
                <w:lang w:eastAsia="en-US"/>
              </w:rPr>
              <w:t>The absence figures for Q</w:t>
            </w:r>
            <w:r w:rsidR="006F5801" w:rsidRPr="007B3DC7">
              <w:rPr>
                <w:rFonts w:ascii="Arial" w:eastAsia="Calibri" w:hAnsi="Arial" w:cs="Arial"/>
                <w:szCs w:val="24"/>
                <w:lang w:eastAsia="en-US"/>
              </w:rPr>
              <w:t xml:space="preserve">uarter </w:t>
            </w:r>
            <w:r w:rsidR="00782718">
              <w:rPr>
                <w:rFonts w:ascii="Arial" w:eastAsia="Calibri" w:hAnsi="Arial" w:cs="Arial"/>
                <w:szCs w:val="24"/>
                <w:lang w:eastAsia="en-US"/>
              </w:rPr>
              <w:t>1</w:t>
            </w:r>
            <w:r w:rsidR="006F5801" w:rsidRPr="007B3DC7">
              <w:rPr>
                <w:rFonts w:ascii="Arial" w:eastAsia="Calibri" w:hAnsi="Arial" w:cs="Arial"/>
                <w:szCs w:val="24"/>
                <w:lang w:eastAsia="en-US"/>
              </w:rPr>
              <w:t xml:space="preserve"> (</w:t>
            </w:r>
            <w:r w:rsidR="00782718">
              <w:rPr>
                <w:rFonts w:ascii="Arial" w:eastAsia="Calibri" w:hAnsi="Arial" w:cs="Arial"/>
                <w:szCs w:val="24"/>
                <w:lang w:eastAsia="en-US"/>
              </w:rPr>
              <w:t>April to June</w:t>
            </w:r>
            <w:r w:rsidR="006F5801" w:rsidRPr="007B3DC7">
              <w:rPr>
                <w:rFonts w:ascii="Arial" w:hAnsi="Arial" w:cs="Arial"/>
                <w:szCs w:val="24"/>
              </w:rPr>
              <w:t xml:space="preserve"> 201</w:t>
            </w:r>
            <w:r w:rsidR="00823029">
              <w:rPr>
                <w:rFonts w:ascii="Arial" w:hAnsi="Arial" w:cs="Arial"/>
                <w:szCs w:val="24"/>
              </w:rPr>
              <w:t>7</w:t>
            </w:r>
            <w:r w:rsidR="006F5801" w:rsidRPr="007B3DC7">
              <w:rPr>
                <w:rFonts w:ascii="Arial" w:eastAsia="Calibri" w:hAnsi="Arial" w:cs="Arial"/>
                <w:szCs w:val="24"/>
                <w:lang w:eastAsia="en-US"/>
              </w:rPr>
              <w:t>) were as follows:</w:t>
            </w:r>
          </w:p>
          <w:p w:rsidR="00823029" w:rsidRDefault="00823029" w:rsidP="007B3DC7">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823029" w:rsidTr="00782718">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 Absence Rates</w:t>
                  </w:r>
                </w:p>
                <w:p w:rsidR="00823029" w:rsidRDefault="00823029">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1</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Apr - Jun</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2</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Jul - Sep</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3</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Oct - Dec</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3029" w:rsidRDefault="00823029">
                  <w:pPr>
                    <w:spacing w:line="276" w:lineRule="auto"/>
                    <w:jc w:val="center"/>
                    <w:rPr>
                      <w:rFonts w:ascii="Arial" w:eastAsia="Calibri" w:hAnsi="Arial" w:cs="Arial"/>
                      <w:b/>
                      <w:bCs/>
                      <w:szCs w:val="24"/>
                    </w:rPr>
                  </w:pP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Quarter 4</w:t>
                  </w:r>
                </w:p>
                <w:p w:rsidR="00823029" w:rsidRDefault="00823029">
                  <w:pPr>
                    <w:spacing w:line="276" w:lineRule="auto"/>
                    <w:jc w:val="center"/>
                    <w:rPr>
                      <w:rFonts w:ascii="Arial" w:eastAsia="Calibri" w:hAnsi="Arial" w:cs="Arial"/>
                      <w:b/>
                      <w:bCs/>
                      <w:szCs w:val="24"/>
                    </w:rPr>
                  </w:pPr>
                  <w:r>
                    <w:rPr>
                      <w:rFonts w:ascii="Arial" w:eastAsia="Calibri" w:hAnsi="Arial" w:cs="Arial"/>
                      <w:b/>
                      <w:bCs/>
                      <w:szCs w:val="24"/>
                    </w:rPr>
                    <w:t>Jan - Mar</w:t>
                  </w:r>
                </w:p>
              </w:tc>
            </w:tr>
            <w:tr w:rsidR="00782718" w:rsidTr="00581032">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b/>
                      <w:bCs/>
                      <w:szCs w:val="24"/>
                    </w:rPr>
                  </w:pPr>
                  <w:r>
                    <w:rPr>
                      <w:rFonts w:ascii="Arial" w:eastAsia="Calibri" w:hAnsi="Arial" w:cs="Arial"/>
                      <w:b/>
                      <w:bCs/>
                      <w:szCs w:val="24"/>
                    </w:rPr>
                    <w:t>2015/16</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2.48%</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(1.51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2.78%</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(1.83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3.4%</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(2.1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3.82%</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(2.48 days/FTE)</w:t>
                  </w:r>
                </w:p>
              </w:tc>
            </w:tr>
            <w:tr w:rsidR="00782718" w:rsidTr="00581032">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Pr="00A3006B" w:rsidRDefault="00A3006B" w:rsidP="00581032">
                  <w:pPr>
                    <w:spacing w:line="276" w:lineRule="auto"/>
                    <w:jc w:val="center"/>
                    <w:rPr>
                      <w:rFonts w:ascii="Arial" w:eastAsia="Calibri" w:hAnsi="Arial" w:cs="Arial"/>
                      <w:b/>
                      <w:bCs/>
                      <w:szCs w:val="24"/>
                    </w:rPr>
                  </w:pPr>
                  <w:r w:rsidRPr="00A3006B">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i/>
                      <w:szCs w:val="24"/>
                    </w:rPr>
                  </w:pPr>
                  <w:r>
                    <w:rPr>
                      <w:rFonts w:ascii="Arial" w:eastAsia="Calibri" w:hAnsi="Arial" w:cs="Arial"/>
                      <w:i/>
                      <w:szCs w:val="24"/>
                    </w:rPr>
                    <w:t>3.59%</w:t>
                  </w:r>
                </w:p>
                <w:p w:rsidR="00782718" w:rsidRPr="00581032" w:rsidRDefault="00782718" w:rsidP="00581032">
                  <w:pPr>
                    <w:spacing w:line="276" w:lineRule="auto"/>
                    <w:jc w:val="center"/>
                    <w:rPr>
                      <w:rFonts w:ascii="Arial" w:eastAsia="Calibri" w:hAnsi="Arial" w:cs="Arial"/>
                      <w:i/>
                      <w:szCs w:val="24"/>
                    </w:rPr>
                  </w:pPr>
                  <w:r>
                    <w:rPr>
                      <w:rFonts w:ascii="Arial" w:eastAsia="Calibri" w:hAnsi="Arial" w:cs="Arial"/>
                      <w:i/>
                      <w:szCs w:val="24"/>
                    </w:rPr>
                    <w:t>(2.30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3.09%</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(2.04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3.02%</w:t>
                  </w:r>
                </w:p>
                <w:p w:rsidR="00782718" w:rsidRPr="00581032" w:rsidRDefault="00782718" w:rsidP="00581032">
                  <w:pPr>
                    <w:spacing w:line="276" w:lineRule="auto"/>
                    <w:jc w:val="center"/>
                    <w:rPr>
                      <w:rFonts w:ascii="Arial" w:eastAsia="Calibri" w:hAnsi="Arial" w:cs="Arial"/>
                      <w:color w:val="000000" w:themeColor="text1"/>
                      <w:szCs w:val="24"/>
                    </w:rPr>
                  </w:pPr>
                  <w:r>
                    <w:rPr>
                      <w:rFonts w:ascii="Arial" w:eastAsia="Calibri" w:hAnsi="Arial" w:cs="Arial"/>
                      <w:color w:val="000000" w:themeColor="text1"/>
                      <w:szCs w:val="24"/>
                    </w:rPr>
                    <w:t>(1.96 days/FTE)</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3.83%</w:t>
                  </w:r>
                </w:p>
                <w:p w:rsidR="00782718" w:rsidRDefault="00782718" w:rsidP="00581032">
                  <w:pPr>
                    <w:spacing w:line="276" w:lineRule="auto"/>
                    <w:jc w:val="center"/>
                    <w:rPr>
                      <w:rFonts w:ascii="Arial" w:eastAsia="Calibri" w:hAnsi="Arial" w:cs="Arial"/>
                      <w:szCs w:val="24"/>
                    </w:rPr>
                  </w:pPr>
                  <w:r>
                    <w:rPr>
                      <w:rFonts w:ascii="Arial" w:eastAsia="Calibri" w:hAnsi="Arial" w:cs="Arial"/>
                      <w:szCs w:val="24"/>
                    </w:rPr>
                    <w:t>(2.49 days/FTE)</w:t>
                  </w:r>
                </w:p>
              </w:tc>
            </w:tr>
            <w:tr w:rsidR="00782718" w:rsidTr="00581032">
              <w:tc>
                <w:tcPr>
                  <w:tcW w:w="8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718" w:rsidRPr="00782718" w:rsidRDefault="00782718" w:rsidP="00581032">
                  <w:pPr>
                    <w:spacing w:line="276" w:lineRule="auto"/>
                    <w:jc w:val="center"/>
                    <w:rPr>
                      <w:rFonts w:ascii="Arial" w:eastAsia="Calibri" w:hAnsi="Arial" w:cs="Arial"/>
                      <w:b/>
                      <w:bCs/>
                      <w:szCs w:val="24"/>
                    </w:rPr>
                  </w:pPr>
                  <w:r w:rsidRPr="00782718">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48062D" w:rsidP="00581032">
                  <w:pPr>
                    <w:spacing w:line="276" w:lineRule="auto"/>
                    <w:jc w:val="center"/>
                    <w:rPr>
                      <w:rFonts w:ascii="Arial" w:eastAsia="Calibri" w:hAnsi="Arial" w:cs="Arial"/>
                      <w:szCs w:val="24"/>
                    </w:rPr>
                  </w:pPr>
                  <w:r>
                    <w:rPr>
                      <w:rFonts w:ascii="Arial" w:eastAsia="Calibri" w:hAnsi="Arial" w:cs="Arial"/>
                      <w:szCs w:val="24"/>
                    </w:rPr>
                    <w:t>3.60%</w:t>
                  </w:r>
                </w:p>
                <w:p w:rsidR="0048062D" w:rsidRDefault="0048062D" w:rsidP="00581032">
                  <w:pPr>
                    <w:spacing w:line="276" w:lineRule="auto"/>
                    <w:jc w:val="center"/>
                    <w:rPr>
                      <w:rFonts w:ascii="Arial" w:eastAsia="Calibri" w:hAnsi="Arial" w:cs="Arial"/>
                      <w:szCs w:val="24"/>
                    </w:rPr>
                  </w:pPr>
                  <w:r>
                    <w:rPr>
                      <w:rFonts w:ascii="Arial" w:eastAsia="Calibri" w:hAnsi="Arial" w:cs="Arial"/>
                      <w:szCs w:val="24"/>
                    </w:rPr>
                    <w:t>(2.30 days/FTE)</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color w:val="000000" w:themeColor="text1"/>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718" w:rsidRDefault="00782718" w:rsidP="00581032">
                  <w:pPr>
                    <w:spacing w:line="276" w:lineRule="auto"/>
                    <w:jc w:val="center"/>
                    <w:rPr>
                      <w:rFonts w:ascii="Arial" w:eastAsia="Calibri" w:hAnsi="Arial" w:cs="Arial"/>
                      <w:szCs w:val="24"/>
                    </w:rPr>
                  </w:pPr>
                </w:p>
              </w:tc>
            </w:tr>
          </w:tbl>
          <w:p w:rsidR="0045618C" w:rsidRDefault="0045618C" w:rsidP="007B3DC7">
            <w:pPr>
              <w:jc w:val="both"/>
              <w:rPr>
                <w:rFonts w:ascii="Arial" w:eastAsia="Calibri" w:hAnsi="Arial" w:cs="Arial"/>
                <w:szCs w:val="24"/>
                <w:lang w:eastAsia="en-US"/>
              </w:rPr>
            </w:pPr>
          </w:p>
          <w:p w:rsidR="00E45F94" w:rsidRDefault="00D23435" w:rsidP="00E75F39">
            <w:pPr>
              <w:jc w:val="both"/>
              <w:rPr>
                <w:rFonts w:ascii="Arial" w:eastAsia="Calibri" w:hAnsi="Arial" w:cs="Arial"/>
                <w:szCs w:val="24"/>
                <w:lang w:eastAsia="en-US"/>
              </w:rPr>
            </w:pPr>
            <w:r w:rsidRPr="00920271">
              <w:rPr>
                <w:rFonts w:ascii="Arial" w:eastAsia="Calibri" w:hAnsi="Arial" w:cs="Arial"/>
                <w:szCs w:val="24"/>
                <w:lang w:eastAsia="en-US"/>
              </w:rPr>
              <w:t xml:space="preserve">Quarter </w:t>
            </w:r>
            <w:r w:rsidR="000125A3">
              <w:rPr>
                <w:rFonts w:ascii="Arial" w:eastAsia="Calibri" w:hAnsi="Arial" w:cs="Arial"/>
                <w:szCs w:val="24"/>
                <w:lang w:eastAsia="en-US"/>
              </w:rPr>
              <w:t>1</w:t>
            </w:r>
            <w:r w:rsidRPr="00920271">
              <w:rPr>
                <w:rFonts w:ascii="Arial" w:eastAsia="Calibri" w:hAnsi="Arial" w:cs="Arial"/>
                <w:szCs w:val="24"/>
                <w:lang w:eastAsia="en-US"/>
              </w:rPr>
              <w:t xml:space="preserve"> has shown </w:t>
            </w:r>
            <w:r w:rsidR="00445A72">
              <w:rPr>
                <w:rFonts w:ascii="Arial" w:eastAsia="Calibri" w:hAnsi="Arial" w:cs="Arial"/>
                <w:szCs w:val="24"/>
                <w:lang w:eastAsia="en-US"/>
              </w:rPr>
              <w:t xml:space="preserve">a </w:t>
            </w:r>
            <w:r w:rsidR="0048062D" w:rsidRPr="0048062D">
              <w:rPr>
                <w:rFonts w:ascii="Arial" w:eastAsia="Calibri" w:hAnsi="Arial" w:cs="Arial"/>
                <w:szCs w:val="24"/>
                <w:lang w:eastAsia="en-US"/>
              </w:rPr>
              <w:t>decrease</w:t>
            </w:r>
            <w:r w:rsidR="00CE68AE">
              <w:rPr>
                <w:rFonts w:ascii="Arial" w:eastAsia="Calibri" w:hAnsi="Arial" w:cs="Arial"/>
                <w:szCs w:val="24"/>
                <w:lang w:eastAsia="en-US"/>
              </w:rPr>
              <w:t xml:space="preserve"> of 0.23%</w:t>
            </w:r>
            <w:r w:rsidRPr="0048062D">
              <w:rPr>
                <w:rFonts w:ascii="Arial" w:eastAsia="Calibri" w:hAnsi="Arial" w:cs="Arial"/>
                <w:szCs w:val="24"/>
                <w:lang w:eastAsia="en-US"/>
              </w:rPr>
              <w:t xml:space="preserve"> in the absence rate </w:t>
            </w:r>
            <w:r w:rsidR="0042698E" w:rsidRPr="0048062D">
              <w:rPr>
                <w:rFonts w:ascii="Arial" w:eastAsia="Calibri" w:hAnsi="Arial" w:cs="Arial"/>
                <w:szCs w:val="24"/>
                <w:lang w:eastAsia="en-US"/>
              </w:rPr>
              <w:t xml:space="preserve">from the previous </w:t>
            </w:r>
            <w:r w:rsidR="0042698E" w:rsidRPr="0048062D">
              <w:rPr>
                <w:rFonts w:ascii="Arial" w:eastAsia="Calibri" w:hAnsi="Arial" w:cs="Arial"/>
                <w:color w:val="000000" w:themeColor="text1"/>
                <w:szCs w:val="24"/>
                <w:lang w:eastAsia="en-US"/>
              </w:rPr>
              <w:t>quarter</w:t>
            </w:r>
            <w:r w:rsidRPr="0048062D">
              <w:rPr>
                <w:rFonts w:ascii="Arial" w:eastAsia="Calibri" w:hAnsi="Arial" w:cs="Arial"/>
                <w:color w:val="000000" w:themeColor="text1"/>
                <w:szCs w:val="24"/>
                <w:lang w:eastAsia="en-US"/>
              </w:rPr>
              <w:t>.</w:t>
            </w:r>
            <w:r w:rsidR="007E7860" w:rsidRPr="00920271">
              <w:rPr>
                <w:rFonts w:ascii="Arial" w:eastAsia="Calibri" w:hAnsi="Arial" w:cs="Arial"/>
                <w:szCs w:val="24"/>
                <w:lang w:eastAsia="en-US"/>
              </w:rPr>
              <w:t xml:space="preserve"> </w:t>
            </w:r>
          </w:p>
          <w:p w:rsidR="007B3C3E" w:rsidRDefault="007B3C3E" w:rsidP="00E75F39">
            <w:pPr>
              <w:jc w:val="both"/>
              <w:rPr>
                <w:rFonts w:ascii="Arial" w:eastAsia="Calibri" w:hAnsi="Arial" w:cs="Arial"/>
                <w:szCs w:val="24"/>
                <w:lang w:eastAsia="en-US"/>
              </w:rPr>
            </w:pPr>
          </w:p>
          <w:p w:rsidR="00581032" w:rsidRDefault="00581032" w:rsidP="00186DF3">
            <w:pPr>
              <w:jc w:val="both"/>
              <w:rPr>
                <w:rFonts w:ascii="Arial" w:eastAsia="Calibri" w:hAnsi="Arial" w:cs="Arial"/>
                <w:szCs w:val="24"/>
                <w:lang w:eastAsia="en-US"/>
              </w:rPr>
            </w:pPr>
          </w:p>
          <w:p w:rsidR="00581032" w:rsidRDefault="00581032" w:rsidP="00186DF3">
            <w:pPr>
              <w:jc w:val="both"/>
              <w:rPr>
                <w:rFonts w:ascii="Arial" w:eastAsia="Calibri" w:hAnsi="Arial" w:cs="Arial"/>
                <w:szCs w:val="24"/>
                <w:lang w:eastAsia="en-US"/>
              </w:rPr>
            </w:pPr>
          </w:p>
          <w:p w:rsidR="00186DF3" w:rsidRPr="00503FD6" w:rsidRDefault="00E45F94" w:rsidP="00186DF3">
            <w:pPr>
              <w:jc w:val="both"/>
              <w:rPr>
                <w:rFonts w:ascii="Arial" w:eastAsia="Calibri" w:hAnsi="Arial" w:cs="Arial"/>
                <w:szCs w:val="24"/>
                <w:lang w:eastAsia="en-US"/>
              </w:rPr>
            </w:pPr>
            <w:r w:rsidRPr="0048062D">
              <w:rPr>
                <w:rFonts w:ascii="Arial" w:eastAsia="Calibri" w:hAnsi="Arial" w:cs="Arial"/>
                <w:szCs w:val="24"/>
                <w:lang w:eastAsia="en-US"/>
              </w:rPr>
              <w:t>O</w:t>
            </w:r>
            <w:r w:rsidR="002245D8" w:rsidRPr="0048062D">
              <w:rPr>
                <w:rFonts w:ascii="Arial" w:eastAsia="Calibri" w:hAnsi="Arial" w:cs="Arial"/>
                <w:szCs w:val="24"/>
                <w:lang w:eastAsia="en-US"/>
              </w:rPr>
              <w:t xml:space="preserve">f the </w:t>
            </w:r>
            <w:r w:rsidR="0048062D" w:rsidRPr="0048062D">
              <w:rPr>
                <w:rFonts w:ascii="Arial" w:eastAsia="Calibri" w:hAnsi="Arial" w:cs="Arial"/>
                <w:szCs w:val="24"/>
                <w:lang w:eastAsia="en-US"/>
              </w:rPr>
              <w:t>3.60</w:t>
            </w:r>
            <w:r w:rsidR="002245D8" w:rsidRPr="0048062D">
              <w:rPr>
                <w:rFonts w:ascii="Arial" w:eastAsia="Calibri" w:hAnsi="Arial" w:cs="Arial"/>
                <w:szCs w:val="24"/>
                <w:lang w:eastAsia="en-US"/>
              </w:rPr>
              <w:t xml:space="preserve">% headline figure, </w:t>
            </w:r>
            <w:r w:rsidR="00503FD6">
              <w:rPr>
                <w:rFonts w:ascii="Arial" w:eastAsia="Calibri" w:hAnsi="Arial" w:cs="Arial"/>
                <w:szCs w:val="24"/>
                <w:lang w:eastAsia="en-US"/>
              </w:rPr>
              <w:t>2.62</w:t>
            </w:r>
            <w:r w:rsidR="002245D8" w:rsidRPr="00503FD6">
              <w:rPr>
                <w:rFonts w:ascii="Arial" w:eastAsia="Calibri" w:hAnsi="Arial" w:cs="Arial"/>
                <w:szCs w:val="24"/>
                <w:lang w:eastAsia="en-US"/>
              </w:rPr>
              <w:t xml:space="preserve">% was due to long term absence (10 consecutive work days </w:t>
            </w:r>
            <w:r w:rsidR="005F4B50" w:rsidRPr="00503FD6">
              <w:rPr>
                <w:rFonts w:ascii="Arial" w:eastAsia="Calibri" w:hAnsi="Arial" w:cs="Arial"/>
                <w:szCs w:val="24"/>
                <w:lang w:eastAsia="en-US"/>
              </w:rPr>
              <w:t>or more)</w:t>
            </w:r>
            <w:r w:rsidR="00E25B8B" w:rsidRPr="00503FD6">
              <w:rPr>
                <w:rFonts w:ascii="Arial" w:eastAsia="Calibri" w:hAnsi="Arial" w:cs="Arial"/>
                <w:szCs w:val="24"/>
                <w:lang w:eastAsia="en-US"/>
              </w:rPr>
              <w:t>.</w:t>
            </w:r>
            <w:r w:rsidR="00186DF3" w:rsidRPr="00503FD6">
              <w:rPr>
                <w:rFonts w:ascii="Arial" w:eastAsia="Calibri" w:hAnsi="Arial" w:cs="Arial"/>
                <w:szCs w:val="24"/>
                <w:lang w:eastAsia="en-US"/>
              </w:rPr>
              <w:t xml:space="preserve"> </w:t>
            </w:r>
          </w:p>
          <w:p w:rsidR="00186DF3" w:rsidRPr="000125A3" w:rsidRDefault="00186DF3" w:rsidP="00E75F39">
            <w:pPr>
              <w:jc w:val="both"/>
              <w:rPr>
                <w:rFonts w:ascii="Arial" w:eastAsia="Calibri" w:hAnsi="Arial" w:cs="Arial"/>
                <w:szCs w:val="24"/>
                <w:highlight w:val="yellow"/>
                <w:lang w:eastAsia="en-US"/>
              </w:rPr>
            </w:pPr>
          </w:p>
          <w:p w:rsidR="00E45F94" w:rsidRDefault="00D230BF" w:rsidP="00E75F39">
            <w:pPr>
              <w:jc w:val="both"/>
              <w:rPr>
                <w:rFonts w:ascii="Arial" w:eastAsia="Calibri" w:hAnsi="Arial" w:cs="Arial"/>
                <w:szCs w:val="24"/>
                <w:lang w:eastAsia="en-US"/>
              </w:rPr>
            </w:pPr>
            <w:r>
              <w:rPr>
                <w:rFonts w:ascii="Arial" w:eastAsia="Calibri" w:hAnsi="Arial" w:cs="Arial"/>
                <w:szCs w:val="24"/>
                <w:lang w:eastAsia="en-US"/>
              </w:rPr>
              <w:t>With the s</w:t>
            </w:r>
            <w:r w:rsidR="00CE68AE">
              <w:rPr>
                <w:rFonts w:ascii="Arial" w:eastAsia="Calibri" w:hAnsi="Arial" w:cs="Arial"/>
                <w:szCs w:val="24"/>
                <w:lang w:eastAsia="en-US"/>
              </w:rPr>
              <w:t xml:space="preserve">upport of HR, </w:t>
            </w:r>
            <w:r>
              <w:rPr>
                <w:rFonts w:ascii="Arial" w:eastAsia="Calibri" w:hAnsi="Arial" w:cs="Arial"/>
                <w:szCs w:val="24"/>
                <w:lang w:eastAsia="en-US"/>
              </w:rPr>
              <w:t>i</w:t>
            </w:r>
            <w:r w:rsidR="009C7634" w:rsidRPr="00B21BA2">
              <w:rPr>
                <w:rFonts w:ascii="Arial" w:eastAsia="Calibri" w:hAnsi="Arial" w:cs="Arial"/>
                <w:szCs w:val="24"/>
                <w:lang w:eastAsia="en-US"/>
              </w:rPr>
              <w:t>ndividual</w:t>
            </w:r>
            <w:r w:rsidR="00CE68AE">
              <w:rPr>
                <w:rFonts w:ascii="Arial" w:eastAsia="Calibri" w:hAnsi="Arial" w:cs="Arial"/>
                <w:szCs w:val="24"/>
                <w:lang w:eastAsia="en-US"/>
              </w:rPr>
              <w:t xml:space="preserve"> line managers</w:t>
            </w:r>
            <w:r w:rsidR="000E0C6D" w:rsidRPr="00B21BA2">
              <w:rPr>
                <w:rFonts w:ascii="Arial" w:eastAsia="Calibri" w:hAnsi="Arial" w:cs="Arial"/>
                <w:szCs w:val="24"/>
                <w:lang w:eastAsia="en-US"/>
              </w:rPr>
              <w:t xml:space="preserve"> identify </w:t>
            </w:r>
            <w:r w:rsidR="00141185" w:rsidRPr="00B21BA2">
              <w:rPr>
                <w:rFonts w:ascii="Arial" w:eastAsia="Calibri" w:hAnsi="Arial" w:cs="Arial"/>
                <w:szCs w:val="24"/>
                <w:lang w:eastAsia="en-US"/>
              </w:rPr>
              <w:t>which cases</w:t>
            </w:r>
            <w:r w:rsidR="00E45F94" w:rsidRPr="00B21BA2">
              <w:rPr>
                <w:rFonts w:ascii="Arial" w:eastAsia="Calibri" w:hAnsi="Arial" w:cs="Arial"/>
                <w:szCs w:val="24"/>
                <w:lang w:eastAsia="en-US"/>
              </w:rPr>
              <w:t xml:space="preserve"> require support and assistance and which require measures such as referral to occupational health</w:t>
            </w:r>
            <w:r w:rsidR="000E0C6D" w:rsidRPr="00B21BA2">
              <w:rPr>
                <w:rFonts w:ascii="Arial" w:eastAsia="Calibri" w:hAnsi="Arial" w:cs="Arial"/>
                <w:szCs w:val="24"/>
                <w:lang w:eastAsia="en-US"/>
              </w:rPr>
              <w:t xml:space="preserve"> or counselling.</w:t>
            </w:r>
            <w:r w:rsidR="00E45F94">
              <w:rPr>
                <w:rFonts w:ascii="Arial" w:eastAsia="Calibri" w:hAnsi="Arial" w:cs="Arial"/>
                <w:szCs w:val="24"/>
                <w:lang w:eastAsia="en-US"/>
              </w:rPr>
              <w:t xml:space="preserve"> </w:t>
            </w:r>
          </w:p>
          <w:p w:rsidR="000E0C6D" w:rsidRDefault="000E0C6D" w:rsidP="00E75F39">
            <w:pPr>
              <w:jc w:val="both"/>
              <w:rPr>
                <w:rFonts w:ascii="Arial" w:eastAsia="Calibri" w:hAnsi="Arial" w:cs="Arial"/>
                <w:szCs w:val="24"/>
                <w:lang w:eastAsia="en-US"/>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Discipline</w:t>
            </w:r>
          </w:p>
          <w:p w:rsidR="006F5801" w:rsidRPr="009E7E1D" w:rsidRDefault="006F5801" w:rsidP="00474274">
            <w:pPr>
              <w:jc w:val="both"/>
              <w:rPr>
                <w:rFonts w:ascii="Arial" w:hAnsi="Arial" w:cs="Arial"/>
                <w:szCs w:val="24"/>
              </w:rPr>
            </w:pPr>
          </w:p>
          <w:p w:rsidR="00791D36" w:rsidRDefault="00A067FA" w:rsidP="00474274">
            <w:pPr>
              <w:jc w:val="both"/>
              <w:rPr>
                <w:rFonts w:ascii="Arial" w:hAnsi="Arial" w:cs="Arial"/>
                <w:szCs w:val="24"/>
              </w:rPr>
            </w:pPr>
            <w:r w:rsidRPr="00A067FA">
              <w:rPr>
                <w:rFonts w:ascii="Arial" w:hAnsi="Arial" w:cs="Arial"/>
              </w:rPr>
              <w:t xml:space="preserve">There were </w:t>
            </w:r>
            <w:r w:rsidR="00A44C7B">
              <w:rPr>
                <w:rFonts w:ascii="Arial" w:hAnsi="Arial" w:cs="Arial"/>
              </w:rPr>
              <w:t>3</w:t>
            </w:r>
            <w:r w:rsidRPr="00A067FA">
              <w:rPr>
                <w:rFonts w:ascii="Arial" w:hAnsi="Arial" w:cs="Arial"/>
              </w:rPr>
              <w:t xml:space="preserve"> issues considered under the charity’s disciplinary processes in Q</w:t>
            </w:r>
            <w:r w:rsidR="00A44C7B">
              <w:rPr>
                <w:rFonts w:ascii="Arial" w:hAnsi="Arial" w:cs="Arial"/>
              </w:rPr>
              <w:t>1</w:t>
            </w:r>
            <w:r w:rsidRPr="00A067FA">
              <w:rPr>
                <w:rFonts w:ascii="Arial" w:hAnsi="Arial" w:cs="Arial"/>
              </w:rPr>
              <w:t xml:space="preserve"> 201</w:t>
            </w:r>
            <w:r w:rsidR="00A44C7B">
              <w:rPr>
                <w:rFonts w:ascii="Arial" w:hAnsi="Arial" w:cs="Arial"/>
              </w:rPr>
              <w:t>7</w:t>
            </w:r>
            <w:r w:rsidRPr="00A067FA">
              <w:rPr>
                <w:rFonts w:ascii="Arial" w:hAnsi="Arial" w:cs="Arial"/>
              </w:rPr>
              <w:t>/1</w:t>
            </w:r>
            <w:r w:rsidR="00A44C7B">
              <w:rPr>
                <w:rFonts w:ascii="Arial" w:hAnsi="Arial" w:cs="Arial"/>
              </w:rPr>
              <w:t>8 all of which are now closed.</w:t>
            </w:r>
            <w:r w:rsidRPr="00A067FA">
              <w:rPr>
                <w:rFonts w:ascii="Arial" w:hAnsi="Arial" w:cs="Arial"/>
              </w:rPr>
              <w:t xml:space="preserve"> </w:t>
            </w:r>
          </w:p>
          <w:p w:rsidR="00141185" w:rsidRDefault="00141185" w:rsidP="00474274">
            <w:pPr>
              <w:jc w:val="both"/>
              <w:rPr>
                <w:rFonts w:ascii="Arial" w:hAnsi="Arial" w:cs="Arial"/>
                <w:szCs w:val="24"/>
                <w:u w:val="single"/>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Grievance</w:t>
            </w:r>
          </w:p>
          <w:p w:rsidR="00600CE7" w:rsidRPr="009E7E1D" w:rsidRDefault="00600CE7" w:rsidP="00474274">
            <w:pPr>
              <w:jc w:val="both"/>
              <w:rPr>
                <w:rFonts w:ascii="Arial" w:hAnsi="Arial" w:cs="Arial"/>
                <w:szCs w:val="24"/>
              </w:rPr>
            </w:pPr>
          </w:p>
          <w:p w:rsidR="00F858E0" w:rsidRPr="00F858E0" w:rsidRDefault="00F858E0" w:rsidP="00A45F54">
            <w:pPr>
              <w:pStyle w:val="CommentText"/>
              <w:jc w:val="both"/>
              <w:rPr>
                <w:rFonts w:ascii="Arial" w:hAnsi="Arial" w:cs="Arial"/>
                <w:sz w:val="24"/>
                <w:szCs w:val="24"/>
              </w:rPr>
            </w:pPr>
            <w:r w:rsidRPr="00F858E0">
              <w:rPr>
                <w:rFonts w:ascii="Arial" w:hAnsi="Arial" w:cs="Arial"/>
                <w:sz w:val="24"/>
                <w:szCs w:val="24"/>
              </w:rPr>
              <w:t xml:space="preserve">There </w:t>
            </w:r>
            <w:r w:rsidR="00A44C7B">
              <w:rPr>
                <w:rFonts w:ascii="Arial" w:hAnsi="Arial" w:cs="Arial"/>
                <w:sz w:val="24"/>
                <w:szCs w:val="24"/>
              </w:rPr>
              <w:t>was one grievance</w:t>
            </w:r>
            <w:r w:rsidRPr="00F858E0">
              <w:rPr>
                <w:rFonts w:ascii="Arial" w:hAnsi="Arial" w:cs="Arial"/>
                <w:sz w:val="24"/>
                <w:szCs w:val="24"/>
              </w:rPr>
              <w:t xml:space="preserve"> raised </w:t>
            </w:r>
            <w:r w:rsidR="00A44C7B">
              <w:rPr>
                <w:rFonts w:ascii="Arial" w:hAnsi="Arial" w:cs="Arial"/>
                <w:sz w:val="24"/>
                <w:szCs w:val="24"/>
              </w:rPr>
              <w:t xml:space="preserve">and concluded </w:t>
            </w:r>
            <w:r w:rsidRPr="00F858E0">
              <w:rPr>
                <w:rFonts w:ascii="Arial" w:hAnsi="Arial" w:cs="Arial"/>
                <w:sz w:val="24"/>
                <w:szCs w:val="24"/>
              </w:rPr>
              <w:t>during Q</w:t>
            </w:r>
            <w:r w:rsidR="00A44C7B">
              <w:rPr>
                <w:rFonts w:ascii="Arial" w:hAnsi="Arial" w:cs="Arial"/>
                <w:sz w:val="24"/>
                <w:szCs w:val="24"/>
              </w:rPr>
              <w:t>1</w:t>
            </w:r>
            <w:r w:rsidRPr="00F858E0">
              <w:rPr>
                <w:rFonts w:ascii="Arial" w:hAnsi="Arial" w:cs="Arial"/>
                <w:sz w:val="24"/>
                <w:szCs w:val="24"/>
              </w:rPr>
              <w:t xml:space="preserve"> 201</w:t>
            </w:r>
            <w:r w:rsidR="00A44C7B">
              <w:rPr>
                <w:rFonts w:ascii="Arial" w:hAnsi="Arial" w:cs="Arial"/>
                <w:sz w:val="24"/>
                <w:szCs w:val="24"/>
              </w:rPr>
              <w:t>7</w:t>
            </w:r>
            <w:r w:rsidRPr="00F858E0">
              <w:rPr>
                <w:rFonts w:ascii="Arial" w:hAnsi="Arial" w:cs="Arial"/>
                <w:sz w:val="24"/>
                <w:szCs w:val="24"/>
              </w:rPr>
              <w:t>/1</w:t>
            </w:r>
            <w:r w:rsidR="00A44C7B">
              <w:rPr>
                <w:rFonts w:ascii="Arial" w:hAnsi="Arial" w:cs="Arial"/>
                <w:sz w:val="24"/>
                <w:szCs w:val="24"/>
              </w:rPr>
              <w:t>8.</w:t>
            </w:r>
            <w:r w:rsidRPr="00F858E0">
              <w:rPr>
                <w:rFonts w:ascii="Arial" w:hAnsi="Arial" w:cs="Arial"/>
                <w:sz w:val="24"/>
                <w:szCs w:val="24"/>
              </w:rPr>
              <w:t xml:space="preserve"> </w:t>
            </w:r>
          </w:p>
          <w:p w:rsidR="005E442C" w:rsidRDefault="005E442C" w:rsidP="005E442C">
            <w:pPr>
              <w:jc w:val="both"/>
              <w:rPr>
                <w:rFonts w:ascii="Arial" w:hAnsi="Arial" w:cs="Arial"/>
                <w:szCs w:val="24"/>
                <w:u w:val="single"/>
              </w:rPr>
            </w:pPr>
          </w:p>
          <w:p w:rsidR="005E442C" w:rsidRPr="00265F13" w:rsidRDefault="005E442C" w:rsidP="005E442C">
            <w:pPr>
              <w:jc w:val="both"/>
              <w:rPr>
                <w:rFonts w:ascii="Arial" w:hAnsi="Arial" w:cs="Arial"/>
                <w:szCs w:val="24"/>
                <w:u w:val="single"/>
              </w:rPr>
            </w:pPr>
            <w:r w:rsidRPr="00265F13">
              <w:rPr>
                <w:rFonts w:ascii="Arial" w:hAnsi="Arial" w:cs="Arial"/>
                <w:szCs w:val="24"/>
                <w:u w:val="single"/>
              </w:rPr>
              <w:t>Harassment</w:t>
            </w:r>
          </w:p>
          <w:p w:rsidR="005E442C" w:rsidRDefault="005E442C" w:rsidP="005E442C">
            <w:pPr>
              <w:jc w:val="both"/>
              <w:rPr>
                <w:rFonts w:ascii="Arial" w:hAnsi="Arial" w:cs="Arial"/>
                <w:szCs w:val="24"/>
              </w:rPr>
            </w:pPr>
          </w:p>
          <w:p w:rsidR="005E442C" w:rsidRPr="00791D36" w:rsidRDefault="005E442C" w:rsidP="005E442C">
            <w:pPr>
              <w:jc w:val="both"/>
              <w:rPr>
                <w:rFonts w:ascii="Arial" w:hAnsi="Arial" w:cs="Arial"/>
                <w:szCs w:val="24"/>
              </w:rPr>
            </w:pPr>
            <w:r w:rsidRPr="00791D36">
              <w:rPr>
                <w:rFonts w:ascii="Arial" w:hAnsi="Arial" w:cs="Arial"/>
                <w:szCs w:val="24"/>
              </w:rPr>
              <w:t xml:space="preserve">There were no harassment issues raised during </w:t>
            </w:r>
            <w:r w:rsidR="00A44C7B">
              <w:rPr>
                <w:rFonts w:ascii="Arial" w:hAnsi="Arial" w:cs="Arial"/>
                <w:szCs w:val="24"/>
              </w:rPr>
              <w:t>Q1</w:t>
            </w:r>
            <w:r w:rsidRPr="00791D36">
              <w:rPr>
                <w:rFonts w:ascii="Arial" w:hAnsi="Arial" w:cs="Arial"/>
                <w:szCs w:val="24"/>
              </w:rPr>
              <w:t xml:space="preserve"> in </w:t>
            </w:r>
            <w:r w:rsidR="003964ED">
              <w:rPr>
                <w:rFonts w:ascii="Arial" w:hAnsi="Arial" w:cs="Arial"/>
                <w:szCs w:val="24"/>
              </w:rPr>
              <w:t>201</w:t>
            </w:r>
            <w:r w:rsidR="00A44C7B">
              <w:rPr>
                <w:rFonts w:ascii="Arial" w:hAnsi="Arial" w:cs="Arial"/>
                <w:szCs w:val="24"/>
              </w:rPr>
              <w:t>7</w:t>
            </w:r>
            <w:r w:rsidR="003964ED">
              <w:rPr>
                <w:rFonts w:ascii="Arial" w:hAnsi="Arial" w:cs="Arial"/>
                <w:szCs w:val="24"/>
              </w:rPr>
              <w:t>/1</w:t>
            </w:r>
            <w:r w:rsidR="00A44C7B">
              <w:rPr>
                <w:rFonts w:ascii="Arial" w:hAnsi="Arial" w:cs="Arial"/>
                <w:szCs w:val="24"/>
              </w:rPr>
              <w:t>8</w:t>
            </w:r>
            <w:r w:rsidRPr="00791D36">
              <w:rPr>
                <w:rFonts w:ascii="Arial" w:hAnsi="Arial" w:cs="Arial"/>
                <w:szCs w:val="24"/>
              </w:rPr>
              <w:t>.</w:t>
            </w:r>
          </w:p>
          <w:p w:rsidR="00465229" w:rsidRPr="007214D1" w:rsidRDefault="00465229" w:rsidP="006C09E9">
            <w:pPr>
              <w:jc w:val="both"/>
              <w:rPr>
                <w:rFonts w:ascii="Arial" w:hAnsi="Arial" w:cs="Arial"/>
                <w:szCs w:val="24"/>
              </w:rPr>
            </w:pPr>
          </w:p>
        </w:tc>
      </w:tr>
      <w:tr w:rsidR="009D691A" w:rsidRPr="007214D1" w:rsidTr="00BA0979">
        <w:tc>
          <w:tcPr>
            <w:tcW w:w="817" w:type="dxa"/>
          </w:tcPr>
          <w:p w:rsidR="009D691A" w:rsidRDefault="00465229" w:rsidP="009D691A">
            <w:pPr>
              <w:rPr>
                <w:rFonts w:ascii="Arial" w:hAnsi="Arial" w:cs="Arial"/>
                <w:szCs w:val="24"/>
              </w:rPr>
            </w:pPr>
            <w:r>
              <w:rPr>
                <w:rFonts w:ascii="Arial" w:hAnsi="Arial" w:cs="Arial"/>
                <w:szCs w:val="24"/>
              </w:rPr>
              <w:lastRenderedPageBreak/>
              <w:t>3.6</w:t>
            </w:r>
          </w:p>
          <w:p w:rsidR="009D691A" w:rsidRDefault="009D691A" w:rsidP="00416BFF">
            <w:pPr>
              <w:rPr>
                <w:rFonts w:ascii="Arial" w:hAnsi="Arial" w:cs="Arial"/>
                <w:szCs w:val="24"/>
              </w:rPr>
            </w:pPr>
          </w:p>
          <w:p w:rsidR="00465229" w:rsidRDefault="00465229" w:rsidP="00416BFF">
            <w:pPr>
              <w:rPr>
                <w:rFonts w:ascii="Arial" w:hAnsi="Arial" w:cs="Arial"/>
                <w:szCs w:val="24"/>
              </w:rPr>
            </w:pPr>
            <w:r>
              <w:rPr>
                <w:rFonts w:ascii="Arial" w:hAnsi="Arial" w:cs="Arial"/>
                <w:szCs w:val="24"/>
              </w:rPr>
              <w:t>3.6.1</w:t>
            </w: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r>
              <w:rPr>
                <w:rFonts w:ascii="Arial" w:hAnsi="Arial" w:cs="Arial"/>
                <w:szCs w:val="24"/>
              </w:rPr>
              <w:t>3.6.</w:t>
            </w:r>
            <w:r w:rsidR="009A2020">
              <w:rPr>
                <w:rFonts w:ascii="Arial" w:hAnsi="Arial" w:cs="Arial"/>
                <w:szCs w:val="24"/>
              </w:rPr>
              <w:t>2</w:t>
            </w: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r>
              <w:rPr>
                <w:rFonts w:ascii="Arial" w:hAnsi="Arial" w:cs="Arial"/>
                <w:szCs w:val="24"/>
              </w:rPr>
              <w:t>3.6.3</w:t>
            </w:r>
          </w:p>
          <w:p w:rsidR="004F64EA" w:rsidRDefault="004F64EA" w:rsidP="00416BFF">
            <w:pPr>
              <w:rPr>
                <w:rFonts w:ascii="Arial" w:hAnsi="Arial" w:cs="Arial"/>
                <w:szCs w:val="24"/>
              </w:rPr>
            </w:pPr>
          </w:p>
          <w:p w:rsidR="004F64EA" w:rsidRDefault="004F64EA" w:rsidP="00416BFF">
            <w:pPr>
              <w:rPr>
                <w:rFonts w:ascii="Arial" w:hAnsi="Arial" w:cs="Arial"/>
                <w:szCs w:val="24"/>
              </w:rPr>
            </w:pPr>
          </w:p>
          <w:p w:rsidR="004F64EA" w:rsidRDefault="004F64EA" w:rsidP="00416BFF">
            <w:pPr>
              <w:rPr>
                <w:rFonts w:ascii="Arial" w:hAnsi="Arial" w:cs="Arial"/>
                <w:szCs w:val="24"/>
              </w:rPr>
            </w:pPr>
            <w:r>
              <w:rPr>
                <w:rFonts w:ascii="Arial" w:hAnsi="Arial" w:cs="Arial"/>
                <w:szCs w:val="24"/>
              </w:rPr>
              <w:t>3.6.4</w:t>
            </w:r>
          </w:p>
        </w:tc>
        <w:tc>
          <w:tcPr>
            <w:tcW w:w="8647" w:type="dxa"/>
          </w:tcPr>
          <w:p w:rsidR="005E442C" w:rsidRPr="00265F13" w:rsidRDefault="005E442C" w:rsidP="005E442C">
            <w:pPr>
              <w:jc w:val="both"/>
              <w:rPr>
                <w:rFonts w:ascii="Arial" w:hAnsi="Arial" w:cs="Arial"/>
                <w:szCs w:val="24"/>
                <w:u w:val="single"/>
              </w:rPr>
            </w:pPr>
            <w:r w:rsidRPr="00265F13">
              <w:rPr>
                <w:rFonts w:ascii="Arial" w:hAnsi="Arial" w:cs="Arial"/>
                <w:szCs w:val="24"/>
                <w:u w:val="single"/>
              </w:rPr>
              <w:t xml:space="preserve">Employee relations </w:t>
            </w:r>
          </w:p>
          <w:p w:rsidR="005E442C" w:rsidRDefault="005E442C" w:rsidP="005E442C">
            <w:pPr>
              <w:jc w:val="both"/>
              <w:rPr>
                <w:rFonts w:ascii="Arial" w:hAnsi="Arial" w:cs="Arial"/>
                <w:szCs w:val="24"/>
              </w:rPr>
            </w:pPr>
          </w:p>
          <w:p w:rsidR="009C77CF" w:rsidRDefault="005E442C" w:rsidP="00380CDF">
            <w:pPr>
              <w:jc w:val="both"/>
              <w:rPr>
                <w:rFonts w:ascii="Arial" w:hAnsi="Arial" w:cs="Arial"/>
                <w:szCs w:val="24"/>
              </w:rPr>
            </w:pPr>
            <w:r>
              <w:rPr>
                <w:rFonts w:ascii="Arial" w:hAnsi="Arial" w:cs="Arial"/>
                <w:szCs w:val="24"/>
              </w:rPr>
              <w:t xml:space="preserve">The Company has engaged with the </w:t>
            </w:r>
            <w:r w:rsidR="00F55F2F">
              <w:rPr>
                <w:rFonts w:ascii="Arial" w:hAnsi="Arial" w:cs="Arial"/>
                <w:szCs w:val="24"/>
              </w:rPr>
              <w:t>three</w:t>
            </w:r>
            <w:r>
              <w:rPr>
                <w:rFonts w:ascii="Arial" w:hAnsi="Arial" w:cs="Arial"/>
                <w:szCs w:val="24"/>
              </w:rPr>
              <w:t xml:space="preserve"> Trade Unions that have members within the organisation, namely Unison, Unite and GMB.  The Company deals with the TUs formally through the Joint Consultation Forum (JCF) which meets quarterly, the last meeting was held on </w:t>
            </w:r>
            <w:r w:rsidR="00A44C7B">
              <w:rPr>
                <w:rFonts w:ascii="Arial" w:hAnsi="Arial" w:cs="Arial"/>
                <w:szCs w:val="24"/>
              </w:rPr>
              <w:t>8 June</w:t>
            </w:r>
            <w:r>
              <w:rPr>
                <w:rFonts w:ascii="Arial" w:hAnsi="Arial" w:cs="Arial"/>
                <w:szCs w:val="24"/>
              </w:rPr>
              <w:t xml:space="preserve"> 201</w:t>
            </w:r>
            <w:r w:rsidR="00C55881">
              <w:rPr>
                <w:rFonts w:ascii="Arial" w:hAnsi="Arial" w:cs="Arial"/>
                <w:szCs w:val="24"/>
              </w:rPr>
              <w:t>7</w:t>
            </w:r>
            <w:r>
              <w:rPr>
                <w:rFonts w:ascii="Arial" w:hAnsi="Arial" w:cs="Arial"/>
                <w:szCs w:val="24"/>
              </w:rPr>
              <w:t xml:space="preserve">.  </w:t>
            </w:r>
          </w:p>
          <w:p w:rsidR="009C77CF" w:rsidRDefault="009C77CF" w:rsidP="00380CDF">
            <w:pPr>
              <w:jc w:val="both"/>
              <w:rPr>
                <w:rFonts w:ascii="Arial" w:hAnsi="Arial" w:cs="Arial"/>
                <w:szCs w:val="24"/>
              </w:rPr>
            </w:pPr>
          </w:p>
          <w:p w:rsidR="009C77CF" w:rsidRDefault="009C77CF" w:rsidP="00380CDF">
            <w:pPr>
              <w:jc w:val="both"/>
              <w:rPr>
                <w:rFonts w:ascii="Arial" w:hAnsi="Arial" w:cs="Arial"/>
                <w:szCs w:val="24"/>
              </w:rPr>
            </w:pPr>
            <w:r>
              <w:rPr>
                <w:rFonts w:ascii="Arial" w:hAnsi="Arial" w:cs="Arial"/>
                <w:szCs w:val="24"/>
              </w:rPr>
              <w:t>The main discussion areas at this meeting were</w:t>
            </w:r>
            <w:r w:rsidR="009A2020">
              <w:rPr>
                <w:rFonts w:ascii="Arial" w:hAnsi="Arial" w:cs="Arial"/>
                <w:szCs w:val="24"/>
              </w:rPr>
              <w:t xml:space="preserve"> – </w:t>
            </w:r>
            <w:r w:rsidR="00C55881">
              <w:rPr>
                <w:rFonts w:ascii="Arial" w:hAnsi="Arial" w:cs="Arial"/>
                <w:szCs w:val="24"/>
              </w:rPr>
              <w:t>company developments and potential transfer of new businesses;</w:t>
            </w:r>
            <w:r w:rsidR="009A2020">
              <w:rPr>
                <w:rFonts w:ascii="Arial" w:hAnsi="Arial" w:cs="Arial"/>
                <w:szCs w:val="24"/>
              </w:rPr>
              <w:t xml:space="preserve"> </w:t>
            </w:r>
            <w:r w:rsidR="00503FD6">
              <w:rPr>
                <w:rFonts w:ascii="Arial" w:hAnsi="Arial" w:cs="Arial"/>
                <w:szCs w:val="24"/>
              </w:rPr>
              <w:t>Violence &amp; Aggression in the workplace and changes to Staff Code of Conduct and Special Leave Guidance.</w:t>
            </w:r>
          </w:p>
          <w:p w:rsidR="009C77CF" w:rsidRDefault="009C77CF" w:rsidP="00380CDF">
            <w:pPr>
              <w:jc w:val="both"/>
              <w:rPr>
                <w:rFonts w:ascii="Arial" w:hAnsi="Arial" w:cs="Arial"/>
                <w:szCs w:val="24"/>
              </w:rPr>
            </w:pPr>
          </w:p>
          <w:p w:rsidR="004F64EA" w:rsidRDefault="005E442C" w:rsidP="00380CDF">
            <w:pPr>
              <w:jc w:val="both"/>
              <w:rPr>
                <w:rFonts w:ascii="Arial" w:hAnsi="Arial" w:cs="Arial"/>
                <w:szCs w:val="24"/>
              </w:rPr>
            </w:pPr>
            <w:r w:rsidRPr="004438C9">
              <w:rPr>
                <w:rFonts w:ascii="Arial" w:hAnsi="Arial" w:cs="Arial"/>
                <w:szCs w:val="24"/>
              </w:rPr>
              <w:t xml:space="preserve">In addition, the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 represented on the staff Health and Safety Committee.</w:t>
            </w:r>
            <w:r>
              <w:rPr>
                <w:rFonts w:ascii="Arial" w:hAnsi="Arial" w:cs="Arial"/>
                <w:szCs w:val="24"/>
              </w:rPr>
              <w:t xml:space="preserve">  </w:t>
            </w:r>
          </w:p>
          <w:p w:rsidR="004F64EA" w:rsidRDefault="004F64EA" w:rsidP="00380CDF">
            <w:pPr>
              <w:jc w:val="both"/>
              <w:rPr>
                <w:rFonts w:ascii="Arial" w:hAnsi="Arial" w:cs="Arial"/>
                <w:szCs w:val="24"/>
              </w:rPr>
            </w:pPr>
          </w:p>
          <w:p w:rsidR="00F1364E" w:rsidRDefault="005E442C" w:rsidP="00380CDF">
            <w:pPr>
              <w:jc w:val="both"/>
              <w:rPr>
                <w:rFonts w:ascii="Arial" w:hAnsi="Arial" w:cs="Arial"/>
                <w:szCs w:val="24"/>
              </w:rPr>
            </w:pPr>
            <w:r>
              <w:rPr>
                <w:rFonts w:ascii="Arial" w:hAnsi="Arial" w:cs="Arial"/>
                <w:szCs w:val="24"/>
              </w:rPr>
              <w:t xml:space="preserve">Management also meet with the TUs to discuss </w:t>
            </w:r>
            <w:r w:rsidR="006B6421">
              <w:rPr>
                <w:rFonts w:ascii="Arial" w:hAnsi="Arial" w:cs="Arial"/>
                <w:szCs w:val="24"/>
              </w:rPr>
              <w:t>individual</w:t>
            </w:r>
            <w:r>
              <w:rPr>
                <w:rFonts w:ascii="Arial" w:hAnsi="Arial" w:cs="Arial"/>
                <w:szCs w:val="24"/>
              </w:rPr>
              <w:t xml:space="preserve"> issues </w:t>
            </w:r>
            <w:r w:rsidR="006B6421">
              <w:rPr>
                <w:rFonts w:ascii="Arial" w:hAnsi="Arial" w:cs="Arial"/>
                <w:szCs w:val="24"/>
              </w:rPr>
              <w:t>as and when required.</w:t>
            </w:r>
          </w:p>
          <w:p w:rsidR="009D691A" w:rsidRPr="00F1364E" w:rsidRDefault="009D691A" w:rsidP="00380CDF">
            <w:pPr>
              <w:jc w:val="both"/>
              <w:rPr>
                <w:rFonts w:ascii="Arial" w:hAnsi="Arial" w:cs="Arial"/>
                <w:color w:val="00B050"/>
                <w:u w:val="single"/>
              </w:rPr>
            </w:pPr>
          </w:p>
        </w:tc>
      </w:tr>
      <w:tr w:rsidR="0048062D" w:rsidRPr="00717E7E" w:rsidTr="00BA0979">
        <w:trPr>
          <w:trHeight w:val="80"/>
        </w:trPr>
        <w:tc>
          <w:tcPr>
            <w:tcW w:w="817" w:type="dxa"/>
          </w:tcPr>
          <w:p w:rsidR="0048062D" w:rsidRDefault="00711367" w:rsidP="0048062D">
            <w:pPr>
              <w:rPr>
                <w:rFonts w:ascii="Arial" w:hAnsi="Arial" w:cs="Arial"/>
                <w:b/>
                <w:szCs w:val="24"/>
              </w:rPr>
            </w:pPr>
            <w:r>
              <w:rPr>
                <w:rFonts w:ascii="Arial" w:hAnsi="Arial" w:cs="Arial"/>
                <w:b/>
                <w:szCs w:val="24"/>
              </w:rPr>
              <w:t>4</w:t>
            </w:r>
          </w:p>
        </w:tc>
        <w:tc>
          <w:tcPr>
            <w:tcW w:w="8647" w:type="dxa"/>
          </w:tcPr>
          <w:p w:rsidR="0048062D" w:rsidRDefault="0048062D" w:rsidP="00902F31">
            <w:pPr>
              <w:autoSpaceDE w:val="0"/>
              <w:autoSpaceDN w:val="0"/>
              <w:adjustRightInd w:val="0"/>
              <w:rPr>
                <w:rFonts w:ascii="Arial" w:hAnsi="Arial" w:cs="Arial"/>
                <w:b/>
              </w:rPr>
            </w:pPr>
            <w:r>
              <w:rPr>
                <w:rFonts w:ascii="Arial" w:hAnsi="Arial" w:cs="Arial"/>
                <w:b/>
              </w:rPr>
              <w:t>Gender Pay Gap Report</w:t>
            </w:r>
          </w:p>
          <w:p w:rsidR="0048062D" w:rsidRDefault="0048062D" w:rsidP="00902F31">
            <w:pPr>
              <w:autoSpaceDE w:val="0"/>
              <w:autoSpaceDN w:val="0"/>
              <w:adjustRightInd w:val="0"/>
              <w:rPr>
                <w:rFonts w:ascii="Arial" w:hAnsi="Arial" w:cs="Arial"/>
                <w:b/>
              </w:rPr>
            </w:pPr>
          </w:p>
        </w:tc>
      </w:tr>
      <w:tr w:rsidR="0048062D" w:rsidRPr="007214D1" w:rsidTr="00BA0979">
        <w:trPr>
          <w:trHeight w:val="80"/>
        </w:trPr>
        <w:tc>
          <w:tcPr>
            <w:tcW w:w="817" w:type="dxa"/>
          </w:tcPr>
          <w:p w:rsidR="0048062D" w:rsidRDefault="00711367" w:rsidP="00902F31">
            <w:pPr>
              <w:rPr>
                <w:rFonts w:ascii="Arial" w:hAnsi="Arial" w:cs="Arial"/>
                <w:szCs w:val="24"/>
              </w:rPr>
            </w:pPr>
            <w:r>
              <w:rPr>
                <w:rFonts w:ascii="Arial" w:hAnsi="Arial" w:cs="Arial"/>
                <w:szCs w:val="24"/>
              </w:rPr>
              <w:t>4</w:t>
            </w:r>
            <w:r w:rsidR="0048062D" w:rsidRPr="00372950">
              <w:rPr>
                <w:rFonts w:ascii="Arial" w:hAnsi="Arial" w:cs="Arial"/>
                <w:szCs w:val="24"/>
              </w:rPr>
              <w:t>.1</w:t>
            </w: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711367" w:rsidP="00902F31">
            <w:pPr>
              <w:rPr>
                <w:rFonts w:ascii="Arial" w:hAnsi="Arial" w:cs="Arial"/>
                <w:szCs w:val="24"/>
              </w:rPr>
            </w:pPr>
            <w:r>
              <w:rPr>
                <w:rFonts w:ascii="Arial" w:hAnsi="Arial" w:cs="Arial"/>
                <w:szCs w:val="24"/>
              </w:rPr>
              <w:t>4</w:t>
            </w:r>
            <w:r w:rsidR="0048062D">
              <w:rPr>
                <w:rFonts w:ascii="Arial" w:hAnsi="Arial" w:cs="Arial"/>
                <w:szCs w:val="24"/>
              </w:rPr>
              <w:t>.2</w:t>
            </w: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CE68AE" w:rsidRDefault="00CE68AE" w:rsidP="00902F31">
            <w:pPr>
              <w:rPr>
                <w:rFonts w:ascii="Arial" w:hAnsi="Arial" w:cs="Arial"/>
                <w:szCs w:val="24"/>
              </w:rPr>
            </w:pPr>
          </w:p>
          <w:p w:rsidR="0048062D" w:rsidRDefault="00711367" w:rsidP="00902F31">
            <w:pPr>
              <w:rPr>
                <w:rFonts w:ascii="Arial" w:hAnsi="Arial" w:cs="Arial"/>
                <w:szCs w:val="24"/>
              </w:rPr>
            </w:pPr>
            <w:r>
              <w:rPr>
                <w:rFonts w:ascii="Arial" w:hAnsi="Arial" w:cs="Arial"/>
                <w:szCs w:val="24"/>
              </w:rPr>
              <w:t>4</w:t>
            </w:r>
            <w:r w:rsidR="0048062D">
              <w:rPr>
                <w:rFonts w:ascii="Arial" w:hAnsi="Arial" w:cs="Arial"/>
                <w:szCs w:val="24"/>
              </w:rPr>
              <w:t>.3</w:t>
            </w: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711367" w:rsidRDefault="00711367" w:rsidP="00902F31">
            <w:pPr>
              <w:rPr>
                <w:rFonts w:ascii="Arial" w:hAnsi="Arial" w:cs="Arial"/>
                <w:szCs w:val="24"/>
              </w:rPr>
            </w:pPr>
          </w:p>
          <w:p w:rsidR="0048062D" w:rsidRDefault="00711367" w:rsidP="00902F31">
            <w:pPr>
              <w:rPr>
                <w:rFonts w:ascii="Arial" w:hAnsi="Arial" w:cs="Arial"/>
                <w:szCs w:val="24"/>
              </w:rPr>
            </w:pPr>
            <w:r>
              <w:rPr>
                <w:rFonts w:ascii="Arial" w:hAnsi="Arial" w:cs="Arial"/>
                <w:szCs w:val="24"/>
              </w:rPr>
              <w:lastRenderedPageBreak/>
              <w:t>4</w:t>
            </w:r>
            <w:r w:rsidR="0048062D">
              <w:rPr>
                <w:rFonts w:ascii="Arial" w:hAnsi="Arial" w:cs="Arial"/>
                <w:szCs w:val="24"/>
              </w:rPr>
              <w:t>.4</w:t>
            </w: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48062D" w:rsidRDefault="0048062D" w:rsidP="00902F31">
            <w:pPr>
              <w:rPr>
                <w:rFonts w:ascii="Arial" w:hAnsi="Arial" w:cs="Arial"/>
                <w:szCs w:val="24"/>
              </w:rPr>
            </w:pPr>
          </w:p>
          <w:p w:rsidR="00BA0979" w:rsidRDefault="00711367" w:rsidP="00902F31">
            <w:pPr>
              <w:rPr>
                <w:rFonts w:ascii="Arial" w:hAnsi="Arial" w:cs="Arial"/>
                <w:szCs w:val="24"/>
              </w:rPr>
            </w:pPr>
            <w:r>
              <w:rPr>
                <w:rFonts w:ascii="Arial" w:hAnsi="Arial" w:cs="Arial"/>
                <w:szCs w:val="24"/>
              </w:rPr>
              <w:t>4</w:t>
            </w:r>
            <w:r w:rsidR="00BA0979">
              <w:rPr>
                <w:rFonts w:ascii="Arial" w:hAnsi="Arial" w:cs="Arial"/>
                <w:szCs w:val="24"/>
              </w:rPr>
              <w:t>.5</w:t>
            </w: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711367" w:rsidP="00902F31">
            <w:pPr>
              <w:rPr>
                <w:rFonts w:ascii="Arial" w:hAnsi="Arial" w:cs="Arial"/>
                <w:szCs w:val="24"/>
              </w:rPr>
            </w:pPr>
            <w:r>
              <w:rPr>
                <w:rFonts w:ascii="Arial" w:hAnsi="Arial" w:cs="Arial"/>
                <w:szCs w:val="24"/>
              </w:rPr>
              <w:t>4</w:t>
            </w:r>
            <w:r w:rsidR="00BA0979">
              <w:rPr>
                <w:rFonts w:ascii="Arial" w:hAnsi="Arial" w:cs="Arial"/>
                <w:szCs w:val="24"/>
              </w:rPr>
              <w:t>.6</w:t>
            </w: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Default="00711367" w:rsidP="00902F31">
            <w:pPr>
              <w:rPr>
                <w:rFonts w:ascii="Arial" w:hAnsi="Arial" w:cs="Arial"/>
                <w:szCs w:val="24"/>
              </w:rPr>
            </w:pPr>
            <w:r>
              <w:rPr>
                <w:rFonts w:ascii="Arial" w:hAnsi="Arial" w:cs="Arial"/>
                <w:szCs w:val="24"/>
              </w:rPr>
              <w:t>4</w:t>
            </w:r>
            <w:r w:rsidR="00BA0979">
              <w:rPr>
                <w:rFonts w:ascii="Arial" w:hAnsi="Arial" w:cs="Arial"/>
                <w:szCs w:val="24"/>
              </w:rPr>
              <w:t>.7</w:t>
            </w:r>
          </w:p>
          <w:p w:rsidR="00BA0979" w:rsidRDefault="00BA0979" w:rsidP="00902F31">
            <w:pPr>
              <w:rPr>
                <w:rFonts w:ascii="Arial" w:hAnsi="Arial" w:cs="Arial"/>
                <w:szCs w:val="24"/>
              </w:rPr>
            </w:pPr>
          </w:p>
          <w:p w:rsidR="00BA0979" w:rsidRDefault="00BA0979" w:rsidP="00902F31">
            <w:pPr>
              <w:rPr>
                <w:rFonts w:ascii="Arial" w:hAnsi="Arial" w:cs="Arial"/>
                <w:szCs w:val="24"/>
              </w:rPr>
            </w:pPr>
          </w:p>
          <w:p w:rsidR="00BA0979" w:rsidRPr="00104560" w:rsidRDefault="00711367" w:rsidP="00902F31">
            <w:pPr>
              <w:rPr>
                <w:rFonts w:ascii="Arial" w:hAnsi="Arial" w:cs="Arial"/>
                <w:szCs w:val="24"/>
              </w:rPr>
            </w:pPr>
            <w:r>
              <w:rPr>
                <w:rFonts w:ascii="Arial" w:hAnsi="Arial" w:cs="Arial"/>
                <w:szCs w:val="24"/>
              </w:rPr>
              <w:t>4</w:t>
            </w:r>
            <w:r w:rsidR="00BA0979">
              <w:rPr>
                <w:rFonts w:ascii="Arial" w:hAnsi="Arial" w:cs="Arial"/>
                <w:szCs w:val="24"/>
              </w:rPr>
              <w:t>.8</w:t>
            </w:r>
          </w:p>
        </w:tc>
        <w:tc>
          <w:tcPr>
            <w:tcW w:w="8647" w:type="dxa"/>
          </w:tcPr>
          <w:p w:rsidR="0048062D" w:rsidRPr="00766194" w:rsidRDefault="0048062D" w:rsidP="00902F31">
            <w:pPr>
              <w:spacing w:after="100" w:afterAutospacing="1"/>
              <w:jc w:val="both"/>
              <w:outlineLvl w:val="1"/>
              <w:rPr>
                <w:rFonts w:ascii="Arial" w:hAnsi="Arial" w:cs="Arial"/>
                <w:b/>
                <w:bCs/>
                <w:szCs w:val="24"/>
                <w:lang w:val="en"/>
              </w:rPr>
            </w:pPr>
            <w:r w:rsidRPr="00FA4126">
              <w:rPr>
                <w:rFonts w:ascii="Arial" w:hAnsi="Arial" w:cs="Arial"/>
                <w:szCs w:val="24"/>
                <w:lang w:val="en"/>
              </w:rPr>
              <w:lastRenderedPageBreak/>
              <w:t xml:space="preserve">Under The Equality Act 2010 (Gender Pay Gap Information) Regulations 2017 it is </w:t>
            </w:r>
            <w:r>
              <w:rPr>
                <w:rFonts w:ascii="Arial" w:hAnsi="Arial" w:cs="Arial"/>
                <w:szCs w:val="24"/>
                <w:lang w:val="en"/>
              </w:rPr>
              <w:t xml:space="preserve">now </w:t>
            </w:r>
            <w:r w:rsidRPr="00FA4126">
              <w:rPr>
                <w:rFonts w:ascii="Arial" w:hAnsi="Arial" w:cs="Arial"/>
                <w:szCs w:val="24"/>
                <w:lang w:val="en"/>
              </w:rPr>
              <w:t xml:space="preserve">a legal requirement for </w:t>
            </w:r>
            <w:r w:rsidRPr="00766194">
              <w:rPr>
                <w:rFonts w:ascii="Arial" w:hAnsi="Arial" w:cs="Arial"/>
                <w:szCs w:val="24"/>
                <w:lang w:val="en"/>
              </w:rPr>
              <w:t xml:space="preserve">any organisation </w:t>
            </w:r>
            <w:r>
              <w:rPr>
                <w:rFonts w:ascii="Arial" w:hAnsi="Arial" w:cs="Arial"/>
                <w:szCs w:val="24"/>
                <w:lang w:val="en"/>
              </w:rPr>
              <w:t>with</w:t>
            </w:r>
            <w:r w:rsidRPr="00766194">
              <w:rPr>
                <w:rFonts w:ascii="Arial" w:hAnsi="Arial" w:cs="Arial"/>
                <w:szCs w:val="24"/>
                <w:lang w:val="en"/>
              </w:rPr>
              <w:t xml:space="preserve"> 250 or more employees </w:t>
            </w:r>
            <w:r w:rsidRPr="00FA4126">
              <w:rPr>
                <w:rFonts w:ascii="Arial" w:hAnsi="Arial" w:cs="Arial"/>
                <w:szCs w:val="24"/>
                <w:lang w:val="en"/>
              </w:rPr>
              <w:t xml:space="preserve">to </w:t>
            </w:r>
            <w:r w:rsidRPr="00766194">
              <w:rPr>
                <w:rFonts w:ascii="Arial" w:hAnsi="Arial" w:cs="Arial"/>
                <w:szCs w:val="24"/>
                <w:lang w:val="en"/>
              </w:rPr>
              <w:t>publish and report specific figures about their gender pay gap</w:t>
            </w:r>
            <w:r>
              <w:rPr>
                <w:rFonts w:ascii="Arial" w:hAnsi="Arial" w:cs="Arial"/>
                <w:szCs w:val="24"/>
                <w:lang w:val="en"/>
              </w:rPr>
              <w:t>, by April 2018 and annually thereafter</w:t>
            </w:r>
            <w:r w:rsidRPr="00766194">
              <w:rPr>
                <w:rFonts w:ascii="Arial" w:hAnsi="Arial" w:cs="Arial"/>
                <w:szCs w:val="24"/>
                <w:lang w:val="en"/>
              </w:rPr>
              <w:t>.</w:t>
            </w:r>
          </w:p>
          <w:p w:rsidR="0048062D" w:rsidRPr="00CE68AE" w:rsidRDefault="0048062D" w:rsidP="00902F31">
            <w:pPr>
              <w:spacing w:after="100" w:afterAutospacing="1"/>
              <w:jc w:val="both"/>
              <w:rPr>
                <w:rFonts w:ascii="Arial" w:hAnsi="Arial" w:cs="Arial"/>
                <w:szCs w:val="24"/>
                <w:lang w:val="en"/>
              </w:rPr>
            </w:pPr>
            <w:r w:rsidRPr="00766194">
              <w:rPr>
                <w:rFonts w:ascii="Arial" w:hAnsi="Arial" w:cs="Arial"/>
                <w:szCs w:val="24"/>
                <w:lang w:val="en"/>
              </w:rPr>
              <w:t xml:space="preserve">The gender pay gap is the difference between the average earnings of men and women, expressed relative to men’s earnings. </w:t>
            </w:r>
            <w:r w:rsidR="00CE68AE">
              <w:rPr>
                <w:rFonts w:ascii="Arial" w:hAnsi="Arial" w:cs="Arial"/>
                <w:szCs w:val="24"/>
                <w:lang w:val="en"/>
              </w:rPr>
              <w:t xml:space="preserve">(Directors should note that the gender pay gap is </w:t>
            </w:r>
            <w:r w:rsidR="00CE68AE" w:rsidRPr="004115FF">
              <w:rPr>
                <w:rFonts w:ascii="Arial" w:hAnsi="Arial" w:cs="Arial"/>
                <w:szCs w:val="24"/>
                <w:lang w:val="en"/>
              </w:rPr>
              <w:t xml:space="preserve">not </w:t>
            </w:r>
            <w:r w:rsidR="00CE68AE">
              <w:rPr>
                <w:rFonts w:ascii="Arial" w:hAnsi="Arial" w:cs="Arial"/>
                <w:szCs w:val="24"/>
                <w:lang w:val="en"/>
              </w:rPr>
              <w:t>the same as pay equality for males and females.)</w:t>
            </w:r>
          </w:p>
          <w:p w:rsidR="0048062D" w:rsidRPr="00766194" w:rsidRDefault="0048062D" w:rsidP="00902F31">
            <w:pPr>
              <w:spacing w:after="100" w:afterAutospacing="1"/>
              <w:jc w:val="both"/>
              <w:rPr>
                <w:rFonts w:ascii="Arial" w:hAnsi="Arial" w:cs="Arial"/>
                <w:szCs w:val="24"/>
                <w:lang w:val="en"/>
              </w:rPr>
            </w:pPr>
            <w:r w:rsidRPr="00766194">
              <w:rPr>
                <w:rFonts w:ascii="Arial" w:hAnsi="Arial" w:cs="Arial"/>
                <w:szCs w:val="24"/>
                <w:lang w:val="en"/>
              </w:rPr>
              <w:t xml:space="preserve">Employers must publish their </w:t>
            </w:r>
            <w:hyperlink r:id="rId9" w:history="1">
              <w:r w:rsidRPr="00FA4126">
                <w:rPr>
                  <w:rFonts w:ascii="Arial" w:hAnsi="Arial" w:cs="Arial"/>
                  <w:szCs w:val="24"/>
                  <w:lang w:val="en"/>
                </w:rPr>
                <w:t>gender pay gap data and a written statement</w:t>
              </w:r>
            </w:hyperlink>
            <w:r w:rsidRPr="00766194">
              <w:rPr>
                <w:rFonts w:ascii="Arial" w:hAnsi="Arial" w:cs="Arial"/>
                <w:szCs w:val="24"/>
                <w:lang w:val="en"/>
              </w:rPr>
              <w:t xml:space="preserve"> on their public-facing website</w:t>
            </w:r>
            <w:r>
              <w:rPr>
                <w:rFonts w:ascii="Arial" w:hAnsi="Arial" w:cs="Arial"/>
                <w:szCs w:val="24"/>
                <w:lang w:val="en"/>
              </w:rPr>
              <w:t xml:space="preserve"> and </w:t>
            </w:r>
            <w:r w:rsidRPr="00766194">
              <w:rPr>
                <w:rFonts w:ascii="Arial" w:hAnsi="Arial" w:cs="Arial"/>
                <w:szCs w:val="24"/>
                <w:lang w:val="en"/>
              </w:rPr>
              <w:t xml:space="preserve">report their data </w:t>
            </w:r>
            <w:r w:rsidR="00711367">
              <w:rPr>
                <w:rFonts w:ascii="Arial" w:hAnsi="Arial" w:cs="Arial"/>
                <w:szCs w:val="24"/>
                <w:lang w:val="en"/>
              </w:rPr>
              <w:t>on the UK</w:t>
            </w:r>
            <w:r w:rsidRPr="00766194">
              <w:rPr>
                <w:rFonts w:ascii="Arial" w:hAnsi="Arial" w:cs="Arial"/>
                <w:szCs w:val="24"/>
                <w:lang w:val="en"/>
              </w:rPr>
              <w:t xml:space="preserve"> </w:t>
            </w:r>
            <w:r w:rsidR="00711367">
              <w:rPr>
                <w:rFonts w:ascii="Arial" w:hAnsi="Arial" w:cs="Arial"/>
                <w:szCs w:val="24"/>
                <w:lang w:val="en"/>
              </w:rPr>
              <w:t>G</w:t>
            </w:r>
            <w:r w:rsidRPr="00766194">
              <w:rPr>
                <w:rFonts w:ascii="Arial" w:hAnsi="Arial" w:cs="Arial"/>
                <w:szCs w:val="24"/>
                <w:lang w:val="en"/>
              </w:rPr>
              <w:t xml:space="preserve">overnment </w:t>
            </w:r>
            <w:r w:rsidR="00711367">
              <w:rPr>
                <w:rFonts w:ascii="Arial" w:hAnsi="Arial" w:cs="Arial"/>
                <w:szCs w:val="24"/>
                <w:lang w:val="en"/>
              </w:rPr>
              <w:t>website</w:t>
            </w:r>
            <w:r>
              <w:rPr>
                <w:rFonts w:ascii="Arial" w:hAnsi="Arial" w:cs="Arial"/>
                <w:szCs w:val="24"/>
                <w:lang w:val="en"/>
              </w:rPr>
              <w:t>.</w:t>
            </w:r>
            <w:r w:rsidRPr="00766194">
              <w:rPr>
                <w:rFonts w:ascii="Arial" w:hAnsi="Arial" w:cs="Arial"/>
                <w:szCs w:val="24"/>
                <w:lang w:val="en"/>
              </w:rPr>
              <w:t xml:space="preserve"> </w:t>
            </w:r>
          </w:p>
          <w:p w:rsidR="0048062D" w:rsidRPr="00FA4126" w:rsidRDefault="0048062D" w:rsidP="00902F31">
            <w:pPr>
              <w:pStyle w:val="Heading2"/>
              <w:rPr>
                <w:rFonts w:ascii="Arial" w:hAnsi="Arial" w:cs="Arial"/>
                <w:szCs w:val="24"/>
                <w:u w:val="none"/>
                <w:lang w:val="en"/>
              </w:rPr>
            </w:pPr>
            <w:r>
              <w:rPr>
                <w:rFonts w:ascii="Arial" w:hAnsi="Arial" w:cs="Arial"/>
                <w:szCs w:val="24"/>
                <w:u w:val="none"/>
                <w:lang w:val="en"/>
              </w:rPr>
              <w:lastRenderedPageBreak/>
              <w:t>The data required is:</w:t>
            </w:r>
          </w:p>
          <w:p w:rsidR="0048062D" w:rsidRPr="00FA4126"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 xml:space="preserve">mean </w:t>
            </w:r>
            <w:r>
              <w:rPr>
                <w:rFonts w:ascii="Arial" w:hAnsi="Arial" w:cs="Arial"/>
                <w:szCs w:val="24"/>
                <w:lang w:val="en"/>
              </w:rPr>
              <w:t xml:space="preserve">(average) </w:t>
            </w:r>
            <w:r w:rsidRPr="00FA4126">
              <w:rPr>
                <w:rFonts w:ascii="Arial" w:hAnsi="Arial" w:cs="Arial"/>
                <w:szCs w:val="24"/>
                <w:lang w:val="en"/>
              </w:rPr>
              <w:t>gender pay gap in hourly pay</w:t>
            </w:r>
            <w:r>
              <w:rPr>
                <w:rFonts w:ascii="Arial" w:hAnsi="Arial" w:cs="Arial"/>
                <w:szCs w:val="24"/>
                <w:lang w:val="en"/>
              </w:rPr>
              <w:t>;</w:t>
            </w:r>
          </w:p>
          <w:p w:rsidR="0048062D" w:rsidRPr="00FA4126"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median</w:t>
            </w:r>
            <w:r>
              <w:rPr>
                <w:rFonts w:ascii="Arial" w:hAnsi="Arial" w:cs="Arial"/>
                <w:szCs w:val="24"/>
                <w:lang w:val="en"/>
              </w:rPr>
              <w:t xml:space="preserve"> (midpoint)</w:t>
            </w:r>
            <w:r w:rsidRPr="00FA4126">
              <w:rPr>
                <w:rFonts w:ascii="Arial" w:hAnsi="Arial" w:cs="Arial"/>
                <w:szCs w:val="24"/>
                <w:lang w:val="en"/>
              </w:rPr>
              <w:t xml:space="preserve"> gender pay gap in hourly pay</w:t>
            </w:r>
            <w:r>
              <w:rPr>
                <w:rFonts w:ascii="Arial" w:hAnsi="Arial" w:cs="Arial"/>
                <w:szCs w:val="24"/>
                <w:lang w:val="en"/>
              </w:rPr>
              <w:t>;</w:t>
            </w:r>
          </w:p>
          <w:p w:rsidR="0048062D" w:rsidRPr="00FA4126"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mean bonus gender pay gap</w:t>
            </w:r>
            <w:r>
              <w:rPr>
                <w:rFonts w:ascii="Arial" w:hAnsi="Arial" w:cs="Arial"/>
                <w:szCs w:val="24"/>
                <w:lang w:val="en"/>
              </w:rPr>
              <w:t>;</w:t>
            </w:r>
          </w:p>
          <w:p w:rsidR="0048062D" w:rsidRPr="00FA4126"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median bonus gender pay gap</w:t>
            </w:r>
            <w:r>
              <w:rPr>
                <w:rFonts w:ascii="Arial" w:hAnsi="Arial" w:cs="Arial"/>
                <w:szCs w:val="24"/>
                <w:lang w:val="en"/>
              </w:rPr>
              <w:t>;</w:t>
            </w:r>
          </w:p>
          <w:p w:rsidR="0048062D" w:rsidRPr="00FA4126"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proportion of males and females receiving a bonus payment</w:t>
            </w:r>
            <w:r>
              <w:rPr>
                <w:rFonts w:ascii="Arial" w:hAnsi="Arial" w:cs="Arial"/>
                <w:szCs w:val="24"/>
                <w:lang w:val="en"/>
              </w:rPr>
              <w:t>; and</w:t>
            </w:r>
          </w:p>
          <w:p w:rsidR="0048062D" w:rsidRDefault="0048062D" w:rsidP="0048062D">
            <w:pPr>
              <w:numPr>
                <w:ilvl w:val="0"/>
                <w:numId w:val="7"/>
              </w:numPr>
              <w:spacing w:before="100" w:beforeAutospacing="1" w:after="100" w:afterAutospacing="1"/>
              <w:rPr>
                <w:rFonts w:ascii="Arial" w:hAnsi="Arial" w:cs="Arial"/>
                <w:szCs w:val="24"/>
                <w:lang w:val="en"/>
              </w:rPr>
            </w:pPr>
            <w:r w:rsidRPr="00FA4126">
              <w:rPr>
                <w:rFonts w:ascii="Arial" w:hAnsi="Arial" w:cs="Arial"/>
                <w:szCs w:val="24"/>
                <w:lang w:val="en"/>
              </w:rPr>
              <w:t>proportion of males and females in each pay quartile</w:t>
            </w:r>
          </w:p>
          <w:p w:rsidR="00BA0979" w:rsidRDefault="00BA0979" w:rsidP="00BA0979">
            <w:pPr>
              <w:jc w:val="both"/>
              <w:rPr>
                <w:rFonts w:ascii="Arial" w:hAnsi="Arial" w:cs="Arial"/>
                <w:b/>
                <w:szCs w:val="24"/>
              </w:rPr>
            </w:pPr>
            <w:r>
              <w:rPr>
                <w:rFonts w:ascii="Arial" w:hAnsi="Arial" w:cs="Arial"/>
                <w:szCs w:val="24"/>
              </w:rPr>
              <w:t>HLH’s detailed results</w:t>
            </w:r>
            <w:r w:rsidRPr="004466A5">
              <w:rPr>
                <w:rFonts w:ascii="Arial" w:hAnsi="Arial" w:cs="Arial"/>
                <w:szCs w:val="24"/>
              </w:rPr>
              <w:t xml:space="preserve"> </w:t>
            </w:r>
            <w:r>
              <w:rPr>
                <w:rFonts w:ascii="Arial" w:hAnsi="Arial" w:cs="Arial"/>
                <w:szCs w:val="24"/>
              </w:rPr>
              <w:t>are provided in the draft Gender Pay Gap Report</w:t>
            </w:r>
            <w:r w:rsidRPr="004466A5">
              <w:rPr>
                <w:rFonts w:ascii="Arial" w:hAnsi="Arial" w:cs="Arial"/>
                <w:szCs w:val="24"/>
              </w:rPr>
              <w:t xml:space="preserve"> at </w:t>
            </w:r>
            <w:r w:rsidRPr="004466A5">
              <w:rPr>
                <w:rFonts w:ascii="Arial" w:hAnsi="Arial" w:cs="Arial"/>
                <w:b/>
                <w:szCs w:val="24"/>
              </w:rPr>
              <w:t>Appendix A</w:t>
            </w:r>
            <w:r>
              <w:rPr>
                <w:rFonts w:ascii="Arial" w:hAnsi="Arial" w:cs="Arial"/>
                <w:b/>
                <w:szCs w:val="24"/>
              </w:rPr>
              <w:t>.</w:t>
            </w:r>
          </w:p>
          <w:p w:rsidR="00BA0979" w:rsidRDefault="00BA0979" w:rsidP="00277B5F">
            <w:pPr>
              <w:spacing w:before="100" w:beforeAutospacing="1" w:after="100" w:afterAutospacing="1"/>
              <w:ind w:left="34"/>
              <w:jc w:val="both"/>
              <w:rPr>
                <w:rFonts w:ascii="Arial" w:eastAsiaTheme="minorHAnsi" w:hAnsi="Arial" w:cs="Arial"/>
                <w:szCs w:val="24"/>
                <w:lang w:eastAsia="en-US"/>
              </w:rPr>
            </w:pPr>
            <w:r>
              <w:rPr>
                <w:rFonts w:ascii="Arial" w:eastAsiaTheme="minorHAnsi" w:hAnsi="Arial" w:cs="Arial"/>
                <w:szCs w:val="24"/>
              </w:rPr>
              <w:t>HLH</w:t>
            </w:r>
            <w:r w:rsidRPr="00A65BBE">
              <w:rPr>
                <w:rFonts w:ascii="Arial" w:eastAsiaTheme="minorHAnsi" w:hAnsi="Arial" w:cs="Arial"/>
                <w:szCs w:val="24"/>
                <w:lang w:eastAsia="en-US"/>
              </w:rPr>
              <w:t xml:space="preserve"> is committed to the promotion of equality of opportunity in its employment practices.  The Company’s Equal Opportunities policy states that it intends that no job applicant or employee shall receive less favourable treatment because of sex, marital or family status, age, ethnic origin, disability, race, colour, nationality, religion, belief, sexual orientation, gende</w:t>
            </w:r>
            <w:r w:rsidR="00CE68AE">
              <w:rPr>
                <w:rFonts w:ascii="Arial" w:eastAsiaTheme="minorHAnsi" w:hAnsi="Arial" w:cs="Arial"/>
                <w:szCs w:val="24"/>
                <w:lang w:eastAsia="en-US"/>
              </w:rPr>
              <w:t>r reassignment or any other non-</w:t>
            </w:r>
            <w:r w:rsidRPr="00A65BBE">
              <w:rPr>
                <w:rFonts w:ascii="Arial" w:eastAsiaTheme="minorHAnsi" w:hAnsi="Arial" w:cs="Arial"/>
                <w:szCs w:val="24"/>
                <w:lang w:eastAsia="en-US"/>
              </w:rPr>
              <w:t>job related factor.</w:t>
            </w:r>
          </w:p>
          <w:p w:rsidR="00BA0979" w:rsidRDefault="00BA0979" w:rsidP="00277B5F">
            <w:pPr>
              <w:spacing w:before="100" w:beforeAutospacing="1" w:after="100" w:afterAutospacing="1"/>
              <w:ind w:left="34"/>
              <w:jc w:val="both"/>
              <w:rPr>
                <w:rFonts w:ascii="Arial" w:eastAsiaTheme="minorHAnsi" w:hAnsi="Arial" w:cs="Arial"/>
                <w:szCs w:val="24"/>
                <w:lang w:eastAsia="en-US"/>
              </w:rPr>
            </w:pPr>
            <w:r w:rsidRPr="00316E2E">
              <w:rPr>
                <w:rFonts w:ascii="Arial" w:hAnsi="Arial" w:cs="Arial"/>
                <w:szCs w:val="24"/>
              </w:rPr>
              <w:t>The level of Gender Pay Gap reported relates to the number of males versus females in positions</w:t>
            </w:r>
            <w:r>
              <w:rPr>
                <w:rFonts w:ascii="Arial" w:hAnsi="Arial" w:cs="Arial"/>
                <w:szCs w:val="24"/>
              </w:rPr>
              <w:t xml:space="preserve"> ranked, according to hourly pay rate, above Grade HC07.</w:t>
            </w:r>
          </w:p>
          <w:p w:rsidR="00277B5F" w:rsidRPr="00BA0979" w:rsidRDefault="004115FF" w:rsidP="00277B5F">
            <w:pPr>
              <w:ind w:left="34"/>
              <w:jc w:val="both"/>
              <w:rPr>
                <w:rFonts w:ascii="Arial" w:eastAsiaTheme="minorHAnsi" w:hAnsi="Arial" w:cs="Arial"/>
                <w:szCs w:val="24"/>
                <w:lang w:eastAsia="en-US"/>
              </w:rPr>
            </w:pPr>
            <w:r>
              <w:rPr>
                <w:rFonts w:ascii="Arial" w:hAnsi="Arial" w:cs="Arial"/>
                <w:szCs w:val="24"/>
              </w:rPr>
              <w:t xml:space="preserve">Separately, </w:t>
            </w:r>
            <w:r w:rsidR="00BA0979">
              <w:rPr>
                <w:rFonts w:ascii="Arial" w:hAnsi="Arial" w:cs="Arial"/>
                <w:szCs w:val="24"/>
              </w:rPr>
              <w:t>HLH</w:t>
            </w:r>
            <w:r w:rsidR="00BA0979" w:rsidRPr="00316E2E">
              <w:rPr>
                <w:rFonts w:ascii="Arial" w:hAnsi="Arial" w:cs="Arial"/>
                <w:szCs w:val="24"/>
              </w:rPr>
              <w:t xml:space="preserve"> is also confident to report that males and females are paid the same rate for the job regardless of gender (or any other difference).  Employees are remunerated according to set pay scales and terms and conditions which are negotiated nationally, through The Highland Council, by the Scottish Joint Council for Local Government Employees.</w:t>
            </w:r>
          </w:p>
        </w:tc>
      </w:tr>
      <w:tr w:rsidR="00BA0979" w:rsidRPr="00232563" w:rsidTr="00B02888">
        <w:trPr>
          <w:trHeight w:val="80"/>
        </w:trPr>
        <w:tc>
          <w:tcPr>
            <w:tcW w:w="817" w:type="dxa"/>
          </w:tcPr>
          <w:p w:rsidR="00277B5F" w:rsidRDefault="00277B5F" w:rsidP="00B02888">
            <w:pPr>
              <w:rPr>
                <w:rFonts w:ascii="Arial" w:hAnsi="Arial" w:cs="Arial"/>
                <w:b/>
                <w:szCs w:val="24"/>
              </w:rPr>
            </w:pPr>
          </w:p>
          <w:p w:rsidR="00BA0979" w:rsidRDefault="00097529" w:rsidP="00B02888">
            <w:pPr>
              <w:rPr>
                <w:rFonts w:ascii="Arial" w:hAnsi="Arial" w:cs="Arial"/>
                <w:b/>
                <w:szCs w:val="24"/>
              </w:rPr>
            </w:pPr>
            <w:r>
              <w:rPr>
                <w:rFonts w:ascii="Arial" w:hAnsi="Arial" w:cs="Arial"/>
                <w:b/>
                <w:szCs w:val="24"/>
              </w:rPr>
              <w:t>5</w:t>
            </w:r>
          </w:p>
          <w:p w:rsidR="00BA0979" w:rsidRPr="007F57B7" w:rsidRDefault="00BA0979" w:rsidP="00B02888">
            <w:pPr>
              <w:rPr>
                <w:rFonts w:ascii="Arial" w:hAnsi="Arial" w:cs="Arial"/>
                <w:b/>
                <w:szCs w:val="24"/>
              </w:rPr>
            </w:pPr>
          </w:p>
          <w:p w:rsidR="00BA0979" w:rsidRDefault="00097529" w:rsidP="00B02888">
            <w:pPr>
              <w:rPr>
                <w:rFonts w:ascii="Arial" w:hAnsi="Arial" w:cs="Arial"/>
                <w:szCs w:val="24"/>
              </w:rPr>
            </w:pPr>
            <w:r>
              <w:rPr>
                <w:rFonts w:ascii="Arial" w:hAnsi="Arial" w:cs="Arial"/>
                <w:szCs w:val="24"/>
              </w:rPr>
              <w:t>5</w:t>
            </w:r>
            <w:r w:rsidR="00BA0979">
              <w:rPr>
                <w:rFonts w:ascii="Arial" w:hAnsi="Arial" w:cs="Arial"/>
                <w:szCs w:val="24"/>
              </w:rPr>
              <w:t>.1</w:t>
            </w:r>
          </w:p>
          <w:p w:rsidR="00BA0979" w:rsidRDefault="00BA0979" w:rsidP="00B02888">
            <w:pPr>
              <w:rPr>
                <w:rFonts w:ascii="Arial" w:hAnsi="Arial" w:cs="Arial"/>
                <w:szCs w:val="24"/>
              </w:rPr>
            </w:pPr>
          </w:p>
          <w:p w:rsidR="00BA0979" w:rsidRDefault="00BA0979" w:rsidP="00B02888">
            <w:pPr>
              <w:rPr>
                <w:rFonts w:ascii="Arial" w:hAnsi="Arial" w:cs="Arial"/>
                <w:szCs w:val="24"/>
              </w:rPr>
            </w:pPr>
          </w:p>
          <w:p w:rsidR="00BA0979" w:rsidRDefault="00097529" w:rsidP="00B02888">
            <w:pPr>
              <w:rPr>
                <w:rFonts w:ascii="Arial" w:hAnsi="Arial" w:cs="Arial"/>
                <w:szCs w:val="24"/>
              </w:rPr>
            </w:pPr>
            <w:r>
              <w:rPr>
                <w:rFonts w:ascii="Arial" w:hAnsi="Arial" w:cs="Arial"/>
                <w:szCs w:val="24"/>
              </w:rPr>
              <w:t>5</w:t>
            </w:r>
            <w:r w:rsidR="00BA0979">
              <w:rPr>
                <w:rFonts w:ascii="Arial" w:hAnsi="Arial" w:cs="Arial"/>
                <w:szCs w:val="24"/>
              </w:rPr>
              <w:t>.2</w:t>
            </w:r>
          </w:p>
          <w:p w:rsidR="00BA0979" w:rsidRDefault="00BA0979" w:rsidP="00B02888">
            <w:pPr>
              <w:rPr>
                <w:rFonts w:ascii="Arial" w:hAnsi="Arial" w:cs="Arial"/>
                <w:szCs w:val="24"/>
              </w:rPr>
            </w:pPr>
          </w:p>
          <w:p w:rsidR="00BA0979" w:rsidRDefault="00BA0979" w:rsidP="00B02888">
            <w:pPr>
              <w:rPr>
                <w:rFonts w:ascii="Arial" w:hAnsi="Arial" w:cs="Arial"/>
                <w:szCs w:val="24"/>
              </w:rPr>
            </w:pPr>
          </w:p>
          <w:p w:rsidR="00BA0979" w:rsidRDefault="00097529" w:rsidP="00B02888">
            <w:pPr>
              <w:rPr>
                <w:rFonts w:ascii="Arial" w:hAnsi="Arial" w:cs="Arial"/>
                <w:szCs w:val="24"/>
              </w:rPr>
            </w:pPr>
            <w:r>
              <w:rPr>
                <w:rFonts w:ascii="Arial" w:hAnsi="Arial" w:cs="Arial"/>
                <w:szCs w:val="24"/>
              </w:rPr>
              <w:t>5</w:t>
            </w:r>
            <w:r w:rsidR="00BA0979">
              <w:rPr>
                <w:rFonts w:ascii="Arial" w:hAnsi="Arial" w:cs="Arial"/>
                <w:szCs w:val="24"/>
              </w:rPr>
              <w:t>.3</w:t>
            </w:r>
          </w:p>
          <w:p w:rsidR="00BA0979" w:rsidRDefault="00BA0979" w:rsidP="00B02888">
            <w:pPr>
              <w:rPr>
                <w:rFonts w:ascii="Arial" w:hAnsi="Arial" w:cs="Arial"/>
                <w:szCs w:val="24"/>
              </w:rPr>
            </w:pPr>
          </w:p>
          <w:p w:rsidR="00BA0979" w:rsidRPr="00380CDF" w:rsidRDefault="00BA0979" w:rsidP="00B02888">
            <w:pPr>
              <w:rPr>
                <w:rFonts w:ascii="Arial" w:hAnsi="Arial" w:cs="Arial"/>
                <w:szCs w:val="24"/>
              </w:rPr>
            </w:pPr>
          </w:p>
        </w:tc>
        <w:tc>
          <w:tcPr>
            <w:tcW w:w="8647" w:type="dxa"/>
          </w:tcPr>
          <w:p w:rsidR="00277B5F" w:rsidRDefault="00277B5F" w:rsidP="00B02888">
            <w:pPr>
              <w:autoSpaceDE w:val="0"/>
              <w:autoSpaceDN w:val="0"/>
              <w:adjustRightInd w:val="0"/>
              <w:jc w:val="both"/>
              <w:rPr>
                <w:rFonts w:ascii="Arial" w:hAnsi="Arial" w:cs="Arial"/>
                <w:b/>
              </w:rPr>
            </w:pPr>
          </w:p>
          <w:p w:rsidR="00BA0979" w:rsidRDefault="00BA0979" w:rsidP="00B02888">
            <w:pPr>
              <w:autoSpaceDE w:val="0"/>
              <w:autoSpaceDN w:val="0"/>
              <w:adjustRightInd w:val="0"/>
              <w:jc w:val="both"/>
              <w:rPr>
                <w:rFonts w:ascii="Arial" w:hAnsi="Arial" w:cs="Arial"/>
                <w:b/>
              </w:rPr>
            </w:pPr>
            <w:r w:rsidRPr="00751A5C">
              <w:rPr>
                <w:rFonts w:ascii="Arial" w:hAnsi="Arial" w:cs="Arial"/>
                <w:b/>
              </w:rPr>
              <w:t>Implications</w:t>
            </w:r>
          </w:p>
          <w:p w:rsidR="00BA0979" w:rsidRDefault="00BA0979" w:rsidP="00B02888">
            <w:pPr>
              <w:autoSpaceDE w:val="0"/>
              <w:autoSpaceDN w:val="0"/>
              <w:adjustRightInd w:val="0"/>
              <w:jc w:val="both"/>
              <w:rPr>
                <w:rFonts w:ascii="Arial" w:hAnsi="Arial" w:cs="Arial"/>
                <w:b/>
              </w:rPr>
            </w:pPr>
          </w:p>
          <w:p w:rsidR="00BA0979" w:rsidRDefault="00BA0979" w:rsidP="00B02888">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BA0979" w:rsidRDefault="00BA0979" w:rsidP="00B02888">
            <w:pPr>
              <w:autoSpaceDE w:val="0"/>
              <w:autoSpaceDN w:val="0"/>
              <w:adjustRightInd w:val="0"/>
              <w:jc w:val="both"/>
              <w:rPr>
                <w:rFonts w:ascii="Arial" w:hAnsi="Arial" w:cs="Arial"/>
              </w:rPr>
            </w:pPr>
          </w:p>
          <w:p w:rsidR="00BA0979" w:rsidRDefault="00BA0979" w:rsidP="00B02888">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BA0979" w:rsidRDefault="00BA0979" w:rsidP="00B02888">
            <w:pPr>
              <w:autoSpaceDE w:val="0"/>
              <w:autoSpaceDN w:val="0"/>
              <w:adjustRightInd w:val="0"/>
              <w:jc w:val="both"/>
              <w:rPr>
                <w:rFonts w:ascii="Arial" w:hAnsi="Arial" w:cs="Arial"/>
              </w:rPr>
            </w:pPr>
          </w:p>
          <w:p w:rsidR="00BA0979" w:rsidRPr="00232563" w:rsidRDefault="00BA0979" w:rsidP="00B02888">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BA0979" w:rsidRPr="007214D1" w:rsidTr="00B02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BA0979" w:rsidRDefault="00BA0979" w:rsidP="00B02888">
            <w:pPr>
              <w:autoSpaceDE w:val="0"/>
              <w:autoSpaceDN w:val="0"/>
              <w:adjustRightInd w:val="0"/>
              <w:jc w:val="both"/>
              <w:rPr>
                <w:rFonts w:ascii="Arial" w:hAnsi="Arial" w:cs="Arial"/>
                <w:b/>
                <w:szCs w:val="24"/>
              </w:rPr>
            </w:pPr>
            <w:r w:rsidRPr="009C18DA">
              <w:rPr>
                <w:rFonts w:ascii="Arial" w:hAnsi="Arial" w:cs="Arial"/>
                <w:b/>
                <w:szCs w:val="24"/>
              </w:rPr>
              <w:t>Recommendation</w:t>
            </w:r>
          </w:p>
          <w:p w:rsidR="00BA0979" w:rsidRPr="009C18DA" w:rsidRDefault="00BA0979" w:rsidP="00B02888">
            <w:pPr>
              <w:autoSpaceDE w:val="0"/>
              <w:autoSpaceDN w:val="0"/>
              <w:adjustRightInd w:val="0"/>
              <w:jc w:val="both"/>
              <w:rPr>
                <w:rFonts w:ascii="Arial" w:hAnsi="Arial" w:cs="Arial"/>
                <w:b/>
                <w:szCs w:val="24"/>
              </w:rPr>
            </w:pPr>
          </w:p>
          <w:p w:rsidR="00BA0979" w:rsidRDefault="00BA0979" w:rsidP="00B02888">
            <w:pPr>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BA0979" w:rsidRDefault="00BA0979" w:rsidP="00B02888">
            <w:pPr>
              <w:jc w:val="both"/>
              <w:rPr>
                <w:rFonts w:ascii="Arial" w:hAnsi="Arial" w:cs="Arial"/>
                <w:szCs w:val="24"/>
              </w:rPr>
            </w:pPr>
          </w:p>
          <w:p w:rsidR="00BA0979" w:rsidRPr="00754394" w:rsidRDefault="00BA0979" w:rsidP="00B02888">
            <w:pPr>
              <w:pStyle w:val="ListParagraph"/>
              <w:numPr>
                <w:ilvl w:val="0"/>
                <w:numId w:val="6"/>
              </w:numPr>
              <w:jc w:val="both"/>
              <w:rPr>
                <w:rFonts w:ascii="Arial" w:hAnsi="Arial" w:cs="Arial"/>
                <w:szCs w:val="24"/>
              </w:rPr>
            </w:pPr>
            <w:r w:rsidRPr="008F41D8">
              <w:rPr>
                <w:rFonts w:ascii="Arial" w:hAnsi="Arial" w:cs="Arial"/>
                <w:sz w:val="24"/>
                <w:szCs w:val="24"/>
              </w:rPr>
              <w:t xml:space="preserve">note and comment on the content of the quarterly </w:t>
            </w:r>
            <w:r>
              <w:rPr>
                <w:rFonts w:ascii="Arial" w:hAnsi="Arial" w:cs="Arial"/>
                <w:sz w:val="24"/>
                <w:szCs w:val="24"/>
              </w:rPr>
              <w:t xml:space="preserve">HR </w:t>
            </w:r>
            <w:r w:rsidRPr="008F41D8">
              <w:rPr>
                <w:rFonts w:ascii="Arial" w:hAnsi="Arial" w:cs="Arial"/>
                <w:sz w:val="24"/>
                <w:szCs w:val="24"/>
              </w:rPr>
              <w:t>report including the update on the staffing establishment</w:t>
            </w:r>
            <w:r>
              <w:rPr>
                <w:rFonts w:ascii="Arial" w:hAnsi="Arial" w:cs="Arial"/>
                <w:sz w:val="24"/>
                <w:szCs w:val="24"/>
              </w:rPr>
              <w:t>;</w:t>
            </w:r>
            <w:r w:rsidRPr="008F41D8">
              <w:rPr>
                <w:rFonts w:ascii="Arial" w:hAnsi="Arial" w:cs="Arial"/>
                <w:sz w:val="24"/>
                <w:szCs w:val="24"/>
              </w:rPr>
              <w:t xml:space="preserve"> and</w:t>
            </w:r>
          </w:p>
          <w:p w:rsidR="00BA0979" w:rsidRPr="007214D1" w:rsidRDefault="0003553F" w:rsidP="00711367">
            <w:pPr>
              <w:pStyle w:val="ListParagraph"/>
              <w:numPr>
                <w:ilvl w:val="0"/>
                <w:numId w:val="6"/>
              </w:numPr>
              <w:jc w:val="both"/>
              <w:rPr>
                <w:rFonts w:ascii="Arial" w:hAnsi="Arial" w:cs="Arial"/>
                <w:szCs w:val="24"/>
              </w:rPr>
            </w:pPr>
            <w:proofErr w:type="gramStart"/>
            <w:r>
              <w:rPr>
                <w:rFonts w:ascii="Arial" w:hAnsi="Arial" w:cs="Arial"/>
                <w:sz w:val="24"/>
                <w:szCs w:val="24"/>
              </w:rPr>
              <w:t>note</w:t>
            </w:r>
            <w:proofErr w:type="gramEnd"/>
            <w:r>
              <w:rPr>
                <w:rFonts w:ascii="Arial" w:hAnsi="Arial" w:cs="Arial"/>
                <w:sz w:val="24"/>
                <w:szCs w:val="24"/>
              </w:rPr>
              <w:t xml:space="preserve"> the Gender Pay Gap</w:t>
            </w:r>
            <w:r w:rsidR="00BA0979">
              <w:rPr>
                <w:rFonts w:ascii="Arial" w:hAnsi="Arial" w:cs="Arial"/>
                <w:sz w:val="24"/>
                <w:szCs w:val="24"/>
              </w:rPr>
              <w:t xml:space="preserve"> </w:t>
            </w:r>
            <w:r>
              <w:rPr>
                <w:rFonts w:ascii="Arial" w:hAnsi="Arial" w:cs="Arial"/>
                <w:sz w:val="24"/>
                <w:szCs w:val="24"/>
              </w:rPr>
              <w:t xml:space="preserve">Report and approve its submission to the </w:t>
            </w:r>
            <w:r w:rsidR="00711367">
              <w:rPr>
                <w:rFonts w:ascii="Arial" w:hAnsi="Arial" w:cs="Arial"/>
                <w:sz w:val="24"/>
                <w:szCs w:val="24"/>
              </w:rPr>
              <w:t>UK</w:t>
            </w:r>
            <w:r>
              <w:rPr>
                <w:rFonts w:ascii="Arial" w:hAnsi="Arial" w:cs="Arial"/>
                <w:sz w:val="24"/>
                <w:szCs w:val="24"/>
              </w:rPr>
              <w:t xml:space="preserve"> Government and </w:t>
            </w:r>
            <w:r w:rsidR="00BA0979" w:rsidRPr="00BA0979">
              <w:rPr>
                <w:rFonts w:ascii="Arial" w:hAnsi="Arial" w:cs="Arial"/>
                <w:sz w:val="24"/>
                <w:szCs w:val="24"/>
              </w:rPr>
              <w:t>publicati</w:t>
            </w:r>
            <w:r>
              <w:rPr>
                <w:rFonts w:ascii="Arial" w:hAnsi="Arial" w:cs="Arial"/>
                <w:sz w:val="24"/>
                <w:szCs w:val="24"/>
              </w:rPr>
              <w:t xml:space="preserve">on </w:t>
            </w:r>
            <w:r w:rsidR="00BA0979" w:rsidRPr="00BA0979">
              <w:rPr>
                <w:rFonts w:ascii="Arial" w:hAnsi="Arial" w:cs="Arial"/>
                <w:sz w:val="24"/>
                <w:szCs w:val="24"/>
              </w:rPr>
              <w:t>on the HLH</w:t>
            </w:r>
            <w:r>
              <w:rPr>
                <w:rFonts w:ascii="Arial" w:hAnsi="Arial" w:cs="Arial"/>
                <w:sz w:val="24"/>
                <w:szCs w:val="24"/>
              </w:rPr>
              <w:t xml:space="preserve"> website</w:t>
            </w:r>
            <w:r w:rsidR="00BA0979" w:rsidRPr="00BA0979">
              <w:rPr>
                <w:rFonts w:ascii="Arial" w:hAnsi="Arial" w:cs="Arial"/>
                <w:sz w:val="24"/>
                <w:szCs w:val="24"/>
              </w:rPr>
              <w:t>.</w:t>
            </w:r>
          </w:p>
        </w:tc>
      </w:tr>
    </w:tbl>
    <w:p w:rsidR="00794A0C" w:rsidRDefault="00794A0C"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277B5F">
        <w:rPr>
          <w:rFonts w:ascii="Arial" w:hAnsi="Arial" w:cs="Arial"/>
          <w:szCs w:val="24"/>
        </w:rPr>
        <w:t>7</w:t>
      </w:r>
      <w:r w:rsidR="00BA0979">
        <w:rPr>
          <w:rFonts w:ascii="Arial" w:hAnsi="Arial" w:cs="Arial"/>
          <w:szCs w:val="24"/>
        </w:rPr>
        <w:t xml:space="preserve"> August</w:t>
      </w:r>
      <w:r w:rsidR="00A45F54">
        <w:rPr>
          <w:rFonts w:ascii="Arial" w:hAnsi="Arial" w:cs="Arial"/>
          <w:szCs w:val="24"/>
        </w:rPr>
        <w:t xml:space="preserve"> 2017</w:t>
      </w:r>
    </w:p>
    <w:p w:rsidR="00503FD6" w:rsidRDefault="00503FD6" w:rsidP="00380CDF">
      <w:pPr>
        <w:rPr>
          <w:rFonts w:ascii="Arial" w:hAnsi="Arial" w:cs="Arial"/>
          <w:szCs w:val="24"/>
        </w:rPr>
      </w:pPr>
    </w:p>
    <w:p w:rsidR="009C6666" w:rsidRDefault="009C6666" w:rsidP="00277B5F">
      <w:pPr>
        <w:spacing w:after="200" w:line="276" w:lineRule="auto"/>
        <w:jc w:val="right"/>
        <w:rPr>
          <w:rFonts w:ascii="Arial" w:eastAsiaTheme="minorHAnsi" w:hAnsi="Arial" w:cs="Arial"/>
          <w:b/>
          <w:szCs w:val="24"/>
          <w:lang w:eastAsia="en-US"/>
        </w:rPr>
      </w:pPr>
      <w:r>
        <w:rPr>
          <w:rFonts w:ascii="Arial" w:eastAsiaTheme="minorHAnsi" w:hAnsi="Arial" w:cs="Arial"/>
          <w:b/>
          <w:szCs w:val="24"/>
          <w:lang w:eastAsia="en-US"/>
        </w:rPr>
        <w:t>Appendix A</w:t>
      </w:r>
    </w:p>
    <w:p w:rsidR="00503FD6" w:rsidRPr="00503FD6" w:rsidRDefault="00503FD6" w:rsidP="00503FD6">
      <w:pPr>
        <w:spacing w:after="200" w:line="276" w:lineRule="auto"/>
        <w:rPr>
          <w:rFonts w:ascii="Arial" w:eastAsiaTheme="minorHAnsi" w:hAnsi="Arial" w:cs="Arial"/>
          <w:b/>
          <w:szCs w:val="24"/>
          <w:lang w:eastAsia="en-US"/>
        </w:rPr>
      </w:pPr>
      <w:r w:rsidRPr="00503FD6">
        <w:rPr>
          <w:rFonts w:ascii="Arial" w:eastAsiaTheme="minorHAnsi" w:hAnsi="Arial" w:cs="Arial"/>
          <w:b/>
          <w:szCs w:val="24"/>
          <w:lang w:eastAsia="en-US"/>
        </w:rPr>
        <w:t>High Life Highland 2017 Gender Pay Gap Report</w:t>
      </w:r>
    </w:p>
    <w:p w:rsidR="00503FD6" w:rsidRPr="00503FD6" w:rsidRDefault="00503FD6" w:rsidP="00503FD6">
      <w:pPr>
        <w:spacing w:after="200" w:line="276" w:lineRule="auto"/>
        <w:jc w:val="both"/>
        <w:rPr>
          <w:rFonts w:ascii="Arial" w:eastAsiaTheme="minorHAnsi" w:hAnsi="Arial" w:cs="Arial"/>
          <w:b/>
          <w:szCs w:val="24"/>
          <w:lang w:eastAsia="en-US"/>
        </w:rPr>
      </w:pPr>
      <w:r w:rsidRPr="00503FD6">
        <w:rPr>
          <w:rFonts w:ascii="Arial" w:eastAsiaTheme="minorHAnsi" w:hAnsi="Arial" w:cs="Arial"/>
          <w:szCs w:val="24"/>
          <w:lang w:eastAsia="en-US"/>
        </w:rPr>
        <w:t>High Life Highland (HLH) is a charity registered in Scotland, formed on the 1st October 2011 by The Highland Council to develop and promote opportunities in culture, learning, sport, leisure, health and wellbeing across 9 services throughout the whole of the Highlands, for both residents and visitors.</w:t>
      </w: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r w:rsidRPr="00503FD6">
        <w:rPr>
          <w:rFonts w:ascii="Arial" w:eastAsiaTheme="minorHAnsi" w:hAnsi="Arial" w:cs="Arial"/>
          <w:szCs w:val="24"/>
          <w:lang w:eastAsia="en-US"/>
        </w:rPr>
        <w:t xml:space="preserve">The Gender Pay Gap data supplied is correct for all employees in post with HLH on 31 March 2017. </w:t>
      </w: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r w:rsidRPr="00503FD6">
        <w:rPr>
          <w:rFonts w:ascii="Arial" w:eastAsiaTheme="minorHAnsi" w:hAnsi="Arial" w:cs="Arial"/>
          <w:szCs w:val="24"/>
          <w:lang w:eastAsia="en-US"/>
        </w:rPr>
        <w:t>On that date there were 892 relevant and full-pay relevant employees, 325 (36.5%) males and 567 females (63.5%).</w:t>
      </w: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r w:rsidRPr="00503FD6">
        <w:rPr>
          <w:rFonts w:ascii="Arial" w:eastAsiaTheme="minorHAnsi" w:hAnsi="Arial" w:cs="Arial"/>
          <w:szCs w:val="24"/>
          <w:lang w:eastAsia="en-US"/>
        </w:rPr>
        <w:t xml:space="preserve"> </w:t>
      </w:r>
    </w:p>
    <w:p w:rsidR="00503FD6" w:rsidRPr="00503FD6" w:rsidRDefault="00503FD6" w:rsidP="00503FD6">
      <w:pPr>
        <w:spacing w:line="276" w:lineRule="auto"/>
        <w:jc w:val="both"/>
        <w:rPr>
          <w:rFonts w:ascii="Arial" w:eastAsiaTheme="minorHAnsi" w:hAnsi="Arial" w:cs="Arial"/>
          <w:szCs w:val="24"/>
          <w:lang w:eastAsia="en-US"/>
        </w:rPr>
      </w:pPr>
      <w:r w:rsidRPr="00503FD6">
        <w:rPr>
          <w:rFonts w:ascii="Arial" w:eastAsiaTheme="minorHAnsi" w:hAnsi="Arial" w:cs="Arial"/>
          <w:szCs w:val="24"/>
          <w:lang w:eastAsia="en-US"/>
        </w:rPr>
        <w:t xml:space="preserve">HLH is committed to the promotion of equality of opportunity in its employment practices.  The Company’s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w:t>
      </w:r>
      <w:proofErr w:type="spellStart"/>
      <w:r w:rsidRPr="00503FD6">
        <w:rPr>
          <w:rFonts w:ascii="Arial" w:eastAsiaTheme="minorHAnsi" w:hAnsi="Arial" w:cs="Arial"/>
          <w:szCs w:val="24"/>
          <w:lang w:eastAsia="en-US"/>
        </w:rPr>
        <w:t>non job</w:t>
      </w:r>
      <w:proofErr w:type="spellEnd"/>
      <w:r w:rsidRPr="00503FD6">
        <w:rPr>
          <w:rFonts w:ascii="Arial" w:eastAsiaTheme="minorHAnsi" w:hAnsi="Arial" w:cs="Arial"/>
          <w:szCs w:val="24"/>
          <w:lang w:eastAsia="en-US"/>
        </w:rPr>
        <w:t xml:space="preserve"> related factor.  </w:t>
      </w:r>
    </w:p>
    <w:p w:rsidR="00503FD6" w:rsidRPr="00503FD6" w:rsidRDefault="00503FD6" w:rsidP="00503FD6">
      <w:pPr>
        <w:spacing w:line="276" w:lineRule="auto"/>
        <w:jc w:val="both"/>
        <w:rPr>
          <w:rFonts w:ascii="Arial" w:eastAsiaTheme="minorHAnsi" w:hAnsi="Arial" w:cs="Arial"/>
          <w:szCs w:val="24"/>
          <w:lang w:eastAsia="en-US"/>
        </w:rPr>
      </w:pPr>
    </w:p>
    <w:p w:rsidR="00503FD6" w:rsidRPr="00503FD6" w:rsidRDefault="00503FD6" w:rsidP="00503FD6">
      <w:pPr>
        <w:spacing w:line="276" w:lineRule="auto"/>
        <w:jc w:val="both"/>
        <w:rPr>
          <w:rFonts w:ascii="Arial" w:eastAsiaTheme="minorHAnsi" w:hAnsi="Arial" w:cs="Arial"/>
          <w:szCs w:val="24"/>
          <w:lang w:val="en" w:eastAsia="en-US"/>
        </w:rPr>
      </w:pPr>
      <w:r w:rsidRPr="00503FD6">
        <w:rPr>
          <w:rFonts w:ascii="Arial" w:eastAsiaTheme="minorHAnsi" w:hAnsi="Arial" w:cs="Arial"/>
          <w:szCs w:val="24"/>
          <w:lang w:eastAsia="en-US"/>
        </w:rPr>
        <w:t xml:space="preserve">HLH is also confident that males and females are paid the same rate </w:t>
      </w:r>
      <w:r w:rsidRPr="00503FD6">
        <w:rPr>
          <w:rFonts w:ascii="Arial" w:eastAsiaTheme="minorHAnsi" w:hAnsi="Arial" w:cs="Arial"/>
          <w:szCs w:val="24"/>
          <w:lang w:val="en" w:eastAsia="en-US"/>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p>
    <w:p w:rsidR="00503FD6" w:rsidRPr="00503FD6" w:rsidRDefault="00503FD6" w:rsidP="00503FD6">
      <w:pPr>
        <w:autoSpaceDE w:val="0"/>
        <w:autoSpaceDN w:val="0"/>
        <w:adjustRightInd w:val="0"/>
        <w:spacing w:line="276" w:lineRule="auto"/>
        <w:jc w:val="both"/>
        <w:rPr>
          <w:rFonts w:ascii="Arial" w:eastAsiaTheme="minorHAnsi" w:hAnsi="Arial" w:cs="Arial"/>
          <w:szCs w:val="24"/>
          <w:lang w:eastAsia="en-US"/>
        </w:rPr>
      </w:pPr>
      <w:r w:rsidRPr="00503FD6">
        <w:rPr>
          <w:rFonts w:ascii="Arial" w:hAnsi="Arial" w:cs="Arial"/>
          <w:color w:val="000000"/>
          <w:szCs w:val="24"/>
        </w:rPr>
        <w:t>The figures set out below have been calculated using the standard calculations used in the Equality Act 2010 (Gender Pay Gap Information) Regulations 2017</w:t>
      </w:r>
    </w:p>
    <w:p w:rsidR="00503FD6" w:rsidRPr="00503FD6" w:rsidRDefault="00503FD6" w:rsidP="00503FD6">
      <w:pPr>
        <w:autoSpaceDE w:val="0"/>
        <w:autoSpaceDN w:val="0"/>
        <w:adjustRightInd w:val="0"/>
        <w:spacing w:line="276" w:lineRule="auto"/>
        <w:rPr>
          <w:rFonts w:ascii="Arial" w:eastAsiaTheme="minorHAnsi" w:hAnsi="Arial" w:cs="Arial"/>
          <w:szCs w:val="24"/>
          <w:lang w:eastAsia="en-US"/>
        </w:rPr>
      </w:pPr>
    </w:p>
    <w:p w:rsidR="00503FD6" w:rsidRPr="00503FD6" w:rsidRDefault="00503FD6" w:rsidP="00503FD6">
      <w:pPr>
        <w:numPr>
          <w:ilvl w:val="0"/>
          <w:numId w:val="10"/>
        </w:numPr>
        <w:autoSpaceDE w:val="0"/>
        <w:autoSpaceDN w:val="0"/>
        <w:adjustRightInd w:val="0"/>
        <w:spacing w:line="276" w:lineRule="auto"/>
        <w:ind w:left="426" w:hanging="426"/>
        <w:rPr>
          <w:rFonts w:ascii="Arial" w:eastAsiaTheme="minorHAnsi" w:hAnsi="Arial" w:cs="Arial"/>
          <w:b/>
          <w:szCs w:val="24"/>
          <w:lang w:eastAsia="en-US"/>
        </w:rPr>
      </w:pPr>
      <w:r w:rsidRPr="00503FD6">
        <w:rPr>
          <w:rFonts w:ascii="Arial" w:eastAsiaTheme="minorHAnsi" w:hAnsi="Arial" w:cs="Arial"/>
          <w:b/>
          <w:szCs w:val="24"/>
          <w:lang w:eastAsia="en-US"/>
        </w:rPr>
        <w:t>High Life Highland Pay and Bonus Gap</w:t>
      </w:r>
    </w:p>
    <w:p w:rsidR="00503FD6" w:rsidRPr="00503FD6" w:rsidRDefault="00503FD6" w:rsidP="00503FD6">
      <w:pPr>
        <w:autoSpaceDE w:val="0"/>
        <w:autoSpaceDN w:val="0"/>
        <w:adjustRightInd w:val="0"/>
        <w:spacing w:line="276" w:lineRule="auto"/>
        <w:rPr>
          <w:rFonts w:ascii="Arial" w:eastAsiaTheme="minorHAnsi" w:hAnsi="Arial" w:cs="Arial"/>
          <w:b/>
          <w:szCs w:val="24"/>
          <w:lang w:eastAsia="en-US"/>
        </w:rPr>
      </w:pPr>
    </w:p>
    <w:tbl>
      <w:tblPr>
        <w:tblStyle w:val="TableGrid11"/>
        <w:tblW w:w="0" w:type="auto"/>
        <w:tblInd w:w="108" w:type="dxa"/>
        <w:tblLook w:val="04A0" w:firstRow="1" w:lastRow="0" w:firstColumn="1" w:lastColumn="0" w:noHBand="0" w:noVBand="1"/>
      </w:tblPr>
      <w:tblGrid>
        <w:gridCol w:w="2972"/>
        <w:gridCol w:w="3081"/>
        <w:gridCol w:w="3081"/>
      </w:tblGrid>
      <w:tr w:rsidR="00503FD6" w:rsidRPr="00503FD6" w:rsidTr="00B02888">
        <w:tc>
          <w:tcPr>
            <w:tcW w:w="9134" w:type="dxa"/>
            <w:gridSpan w:val="3"/>
          </w:tcPr>
          <w:p w:rsidR="00503FD6" w:rsidRPr="00503FD6" w:rsidRDefault="00503FD6" w:rsidP="00503FD6">
            <w:pPr>
              <w:autoSpaceDE w:val="0"/>
              <w:autoSpaceDN w:val="0"/>
              <w:adjustRightInd w:val="0"/>
              <w:spacing w:line="276" w:lineRule="auto"/>
              <w:jc w:val="center"/>
              <w:rPr>
                <w:rFonts w:ascii="Arial" w:hAnsi="Arial" w:cs="Arial"/>
                <w:b/>
                <w:szCs w:val="24"/>
              </w:rPr>
            </w:pPr>
            <w:r w:rsidRPr="00503FD6">
              <w:rPr>
                <w:rFonts w:ascii="Arial" w:hAnsi="Arial" w:cs="Arial"/>
                <w:b/>
                <w:szCs w:val="24"/>
              </w:rPr>
              <w:t>Difference between male and female</w:t>
            </w:r>
          </w:p>
        </w:tc>
      </w:tr>
      <w:tr w:rsidR="00503FD6" w:rsidRPr="00503FD6" w:rsidTr="00B02888">
        <w:tc>
          <w:tcPr>
            <w:tcW w:w="2972" w:type="dxa"/>
          </w:tcPr>
          <w:p w:rsidR="00503FD6" w:rsidRPr="00503FD6" w:rsidRDefault="00503FD6" w:rsidP="00503FD6">
            <w:pPr>
              <w:autoSpaceDE w:val="0"/>
              <w:autoSpaceDN w:val="0"/>
              <w:adjustRightInd w:val="0"/>
              <w:spacing w:line="276" w:lineRule="auto"/>
              <w:rPr>
                <w:rFonts w:ascii="Arial" w:hAnsi="Arial" w:cs="Arial"/>
                <w:szCs w:val="24"/>
              </w:rPr>
            </w:pP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Mean</w:t>
            </w: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Median</w:t>
            </w:r>
          </w:p>
        </w:tc>
      </w:tr>
      <w:tr w:rsidR="00503FD6" w:rsidRPr="00503FD6" w:rsidTr="00B02888">
        <w:tc>
          <w:tcPr>
            <w:tcW w:w="2972"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Hourly fixed pay</w:t>
            </w: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5.4%</w:t>
            </w: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4.3%</w:t>
            </w:r>
          </w:p>
        </w:tc>
      </w:tr>
      <w:tr w:rsidR="00503FD6" w:rsidRPr="00503FD6" w:rsidTr="00B02888">
        <w:tc>
          <w:tcPr>
            <w:tcW w:w="2972"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Bonus paid</w:t>
            </w: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0%</w:t>
            </w:r>
          </w:p>
        </w:tc>
        <w:tc>
          <w:tcPr>
            <w:tcW w:w="3081" w:type="dxa"/>
          </w:tcPr>
          <w:p w:rsidR="00503FD6" w:rsidRPr="00503FD6" w:rsidRDefault="00503FD6" w:rsidP="00503FD6">
            <w:pPr>
              <w:autoSpaceDE w:val="0"/>
              <w:autoSpaceDN w:val="0"/>
              <w:adjustRightInd w:val="0"/>
              <w:spacing w:line="276" w:lineRule="auto"/>
              <w:rPr>
                <w:rFonts w:ascii="Arial" w:hAnsi="Arial" w:cs="Arial"/>
                <w:szCs w:val="24"/>
              </w:rPr>
            </w:pPr>
            <w:r w:rsidRPr="00503FD6">
              <w:rPr>
                <w:rFonts w:ascii="Arial" w:hAnsi="Arial" w:cs="Arial"/>
                <w:szCs w:val="24"/>
              </w:rPr>
              <w:t>0%</w:t>
            </w:r>
          </w:p>
        </w:tc>
      </w:tr>
    </w:tbl>
    <w:p w:rsidR="00503FD6" w:rsidRPr="00503FD6" w:rsidRDefault="00503FD6" w:rsidP="00503FD6">
      <w:pPr>
        <w:numPr>
          <w:ilvl w:val="0"/>
          <w:numId w:val="8"/>
        </w:numPr>
        <w:spacing w:before="192" w:after="192" w:line="276" w:lineRule="auto"/>
        <w:ind w:left="426" w:hanging="426"/>
        <w:rPr>
          <w:rFonts w:ascii="Arial" w:hAnsi="Arial" w:cs="Arial"/>
          <w:szCs w:val="24"/>
          <w:lang w:val="en"/>
        </w:rPr>
      </w:pPr>
      <w:r w:rsidRPr="00503FD6">
        <w:rPr>
          <w:rFonts w:ascii="Arial" w:hAnsi="Arial" w:cs="Arial"/>
          <w:szCs w:val="24"/>
          <w:lang w:val="en"/>
        </w:rPr>
        <w:t xml:space="preserve">The table above shows HLH’s mean (average) and median (midpoint) gender pay gap based on hourly rates of pay.  </w:t>
      </w:r>
    </w:p>
    <w:p w:rsidR="00503FD6" w:rsidRPr="00503FD6" w:rsidRDefault="00503FD6" w:rsidP="00503FD6">
      <w:pPr>
        <w:numPr>
          <w:ilvl w:val="0"/>
          <w:numId w:val="8"/>
        </w:numPr>
        <w:spacing w:before="192" w:after="192" w:line="276" w:lineRule="auto"/>
        <w:ind w:left="426" w:hanging="426"/>
        <w:rPr>
          <w:rFonts w:ascii="Arial" w:hAnsi="Arial" w:cs="Arial"/>
          <w:szCs w:val="24"/>
          <w:lang w:val="en"/>
        </w:rPr>
      </w:pPr>
      <w:r w:rsidRPr="00503FD6">
        <w:rPr>
          <w:rFonts w:ascii="Arial" w:hAnsi="Arial" w:cs="Arial"/>
          <w:szCs w:val="24"/>
          <w:lang w:val="en"/>
        </w:rPr>
        <w:t>There were no bonuses paid to any staff in the year up to 31 March 2017.</w:t>
      </w:r>
    </w:p>
    <w:p w:rsidR="00503FD6" w:rsidRPr="00503FD6" w:rsidRDefault="00503FD6" w:rsidP="00503FD6">
      <w:pPr>
        <w:numPr>
          <w:ilvl w:val="0"/>
          <w:numId w:val="8"/>
        </w:numPr>
        <w:spacing w:before="192" w:after="192" w:line="276" w:lineRule="auto"/>
        <w:ind w:left="426" w:hanging="426"/>
        <w:rPr>
          <w:rFonts w:ascii="Arial" w:hAnsi="Arial" w:cs="Arial"/>
          <w:szCs w:val="24"/>
          <w:lang w:val="en"/>
        </w:rPr>
      </w:pPr>
      <w:r w:rsidRPr="00503FD6">
        <w:rPr>
          <w:rFonts w:ascii="Arial" w:hAnsi="Arial" w:cs="Arial"/>
          <w:szCs w:val="24"/>
          <w:lang w:val="en"/>
        </w:rPr>
        <w:t xml:space="preserve">According to the official statistics available, HLH’s mean pay gap of 5.4% is over 12.6% less than the national average of over 18%, as stated on the UK Government website. </w:t>
      </w:r>
    </w:p>
    <w:p w:rsidR="00277B5F" w:rsidRDefault="00503FD6" w:rsidP="00581032">
      <w:pPr>
        <w:numPr>
          <w:ilvl w:val="0"/>
          <w:numId w:val="8"/>
        </w:numPr>
        <w:spacing w:before="192" w:after="192" w:line="276" w:lineRule="auto"/>
        <w:ind w:left="426" w:hanging="426"/>
        <w:jc w:val="both"/>
        <w:rPr>
          <w:rFonts w:ascii="Arial" w:hAnsi="Arial" w:cs="Arial"/>
          <w:szCs w:val="24"/>
          <w:lang w:val="en"/>
        </w:rPr>
      </w:pPr>
      <w:r w:rsidRPr="00503FD6">
        <w:rPr>
          <w:rFonts w:ascii="Arial" w:hAnsi="Arial" w:cs="Arial"/>
          <w:szCs w:val="24"/>
          <w:lang w:val="en"/>
        </w:rPr>
        <w:lastRenderedPageBreak/>
        <w:t>With a 4.3% median pay gap, HLH is 1.7% below the official Scottish Government figure of 6%, which uses full time gross median hourly earnings as its base.  However the overall pay gap in Scotland, which includes both full and part time workers, shows a figure of 16%, 11.7% higher than the equivalent median pay gap of HLH.</w:t>
      </w:r>
    </w:p>
    <w:p w:rsidR="00581032" w:rsidRPr="00581032" w:rsidRDefault="00581032" w:rsidP="00581032">
      <w:pPr>
        <w:spacing w:before="192" w:after="192" w:line="276" w:lineRule="auto"/>
        <w:ind w:left="426"/>
        <w:jc w:val="both"/>
        <w:rPr>
          <w:rFonts w:ascii="Arial" w:hAnsi="Arial" w:cs="Arial"/>
          <w:szCs w:val="24"/>
          <w:lang w:val="en"/>
        </w:rPr>
      </w:pPr>
    </w:p>
    <w:p w:rsidR="00503FD6" w:rsidRPr="00503FD6" w:rsidRDefault="00503FD6" w:rsidP="00503FD6">
      <w:pPr>
        <w:numPr>
          <w:ilvl w:val="0"/>
          <w:numId w:val="10"/>
        </w:numPr>
        <w:shd w:val="clear" w:color="auto" w:fill="FFFFFF"/>
        <w:spacing w:before="100" w:beforeAutospacing="1" w:after="180" w:line="276" w:lineRule="auto"/>
        <w:ind w:left="426" w:hanging="426"/>
        <w:rPr>
          <w:rFonts w:ascii="Arial" w:hAnsi="Arial" w:cs="Arial"/>
          <w:b/>
          <w:szCs w:val="24"/>
        </w:rPr>
      </w:pPr>
      <w:r w:rsidRPr="00503FD6">
        <w:rPr>
          <w:rFonts w:ascii="Arial" w:hAnsi="Arial" w:cs="Arial"/>
          <w:b/>
          <w:szCs w:val="24"/>
        </w:rPr>
        <w:t>High Life Highland Pay Quartiles by Gender</w:t>
      </w:r>
    </w:p>
    <w:tbl>
      <w:tblPr>
        <w:tblStyle w:val="TableGrid2"/>
        <w:tblW w:w="0" w:type="auto"/>
        <w:tblInd w:w="108" w:type="dxa"/>
        <w:tblLook w:val="04A0" w:firstRow="1" w:lastRow="0" w:firstColumn="1" w:lastColumn="0" w:noHBand="0" w:noVBand="1"/>
      </w:tblPr>
      <w:tblGrid>
        <w:gridCol w:w="1266"/>
        <w:gridCol w:w="845"/>
        <w:gridCol w:w="1261"/>
        <w:gridCol w:w="5762"/>
      </w:tblGrid>
      <w:tr w:rsidR="00503FD6" w:rsidRPr="00503FD6" w:rsidTr="00B02888">
        <w:tc>
          <w:tcPr>
            <w:tcW w:w="1276"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b/>
                <w:szCs w:val="24"/>
              </w:rPr>
              <w:t>Quartile</w:t>
            </w:r>
          </w:p>
        </w:tc>
        <w:tc>
          <w:tcPr>
            <w:tcW w:w="851"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b/>
                <w:szCs w:val="24"/>
              </w:rPr>
              <w:t>Male</w:t>
            </w:r>
          </w:p>
        </w:tc>
        <w:tc>
          <w:tcPr>
            <w:tcW w:w="1275"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b/>
                <w:szCs w:val="24"/>
              </w:rPr>
              <w:t>Female</w:t>
            </w:r>
          </w:p>
        </w:tc>
        <w:tc>
          <w:tcPr>
            <w:tcW w:w="6038"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b/>
                <w:szCs w:val="24"/>
              </w:rPr>
              <w:t>Description</w:t>
            </w:r>
          </w:p>
        </w:tc>
      </w:tr>
      <w:tr w:rsidR="00503FD6" w:rsidRPr="00503FD6" w:rsidTr="00B02888">
        <w:tc>
          <w:tcPr>
            <w:tcW w:w="1276"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1</w:t>
            </w:r>
          </w:p>
        </w:tc>
        <w:tc>
          <w:tcPr>
            <w:tcW w:w="851"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30%</w:t>
            </w:r>
          </w:p>
        </w:tc>
        <w:tc>
          <w:tcPr>
            <w:tcW w:w="1275"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70%</w:t>
            </w:r>
          </w:p>
        </w:tc>
        <w:tc>
          <w:tcPr>
            <w:tcW w:w="6038"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Includes all HLH employees whose standard hourly rate places them in the 1</w:t>
            </w:r>
            <w:r w:rsidRPr="00503FD6">
              <w:rPr>
                <w:rFonts w:ascii="Arial" w:hAnsi="Arial" w:cs="Arial"/>
                <w:szCs w:val="24"/>
                <w:vertAlign w:val="superscript"/>
              </w:rPr>
              <w:t>st</w:t>
            </w:r>
            <w:r w:rsidRPr="00503FD6">
              <w:rPr>
                <w:rFonts w:ascii="Arial" w:hAnsi="Arial" w:cs="Arial"/>
                <w:szCs w:val="24"/>
              </w:rPr>
              <w:t xml:space="preserve"> and lowest pay quartile.</w:t>
            </w:r>
          </w:p>
        </w:tc>
      </w:tr>
      <w:tr w:rsidR="00503FD6" w:rsidRPr="00503FD6" w:rsidTr="00B02888">
        <w:tc>
          <w:tcPr>
            <w:tcW w:w="1276"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2</w:t>
            </w:r>
          </w:p>
        </w:tc>
        <w:tc>
          <w:tcPr>
            <w:tcW w:w="851"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40%</w:t>
            </w:r>
          </w:p>
        </w:tc>
        <w:tc>
          <w:tcPr>
            <w:tcW w:w="1275"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60%</w:t>
            </w:r>
          </w:p>
        </w:tc>
        <w:tc>
          <w:tcPr>
            <w:tcW w:w="6038"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 xml:space="preserve">Includes all HLH employees whose standard hourly rate places them below the median pay in the 2nd pay quartile. </w:t>
            </w:r>
          </w:p>
        </w:tc>
      </w:tr>
      <w:tr w:rsidR="00503FD6" w:rsidRPr="00503FD6" w:rsidTr="00B02888">
        <w:tc>
          <w:tcPr>
            <w:tcW w:w="1276"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3</w:t>
            </w:r>
          </w:p>
        </w:tc>
        <w:tc>
          <w:tcPr>
            <w:tcW w:w="851"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38%</w:t>
            </w:r>
          </w:p>
        </w:tc>
        <w:tc>
          <w:tcPr>
            <w:tcW w:w="1275"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62%</w:t>
            </w:r>
          </w:p>
        </w:tc>
        <w:tc>
          <w:tcPr>
            <w:tcW w:w="6038"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szCs w:val="24"/>
              </w:rPr>
              <w:t>Includes all HLH employees whose standard hourly rate places them above the median pay in the 3</w:t>
            </w:r>
            <w:r w:rsidRPr="00503FD6">
              <w:rPr>
                <w:rFonts w:ascii="Arial" w:hAnsi="Arial" w:cs="Arial"/>
                <w:szCs w:val="24"/>
                <w:vertAlign w:val="superscript"/>
              </w:rPr>
              <w:t>rd</w:t>
            </w:r>
            <w:r w:rsidRPr="00503FD6">
              <w:rPr>
                <w:rFonts w:ascii="Arial" w:hAnsi="Arial" w:cs="Arial"/>
                <w:szCs w:val="24"/>
              </w:rPr>
              <w:t xml:space="preserve"> pay quartile.</w:t>
            </w:r>
          </w:p>
        </w:tc>
      </w:tr>
      <w:tr w:rsidR="00503FD6" w:rsidRPr="00503FD6" w:rsidTr="00B02888">
        <w:tc>
          <w:tcPr>
            <w:tcW w:w="1276"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4</w:t>
            </w:r>
          </w:p>
        </w:tc>
        <w:tc>
          <w:tcPr>
            <w:tcW w:w="851"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38%</w:t>
            </w:r>
          </w:p>
        </w:tc>
        <w:tc>
          <w:tcPr>
            <w:tcW w:w="1275" w:type="dxa"/>
          </w:tcPr>
          <w:p w:rsidR="00503FD6" w:rsidRPr="00503FD6" w:rsidRDefault="00503FD6" w:rsidP="00503FD6">
            <w:pPr>
              <w:spacing w:before="100" w:beforeAutospacing="1" w:after="180" w:line="276" w:lineRule="auto"/>
              <w:rPr>
                <w:rFonts w:ascii="Arial" w:hAnsi="Arial" w:cs="Arial"/>
                <w:szCs w:val="24"/>
              </w:rPr>
            </w:pPr>
            <w:r w:rsidRPr="00503FD6">
              <w:rPr>
                <w:rFonts w:ascii="Arial" w:hAnsi="Arial" w:cs="Arial"/>
                <w:szCs w:val="24"/>
              </w:rPr>
              <w:t>62%</w:t>
            </w:r>
          </w:p>
        </w:tc>
        <w:tc>
          <w:tcPr>
            <w:tcW w:w="6038" w:type="dxa"/>
          </w:tcPr>
          <w:p w:rsidR="00503FD6" w:rsidRPr="00503FD6" w:rsidRDefault="00503FD6" w:rsidP="00503FD6">
            <w:pPr>
              <w:spacing w:before="100" w:beforeAutospacing="1" w:after="180" w:line="276" w:lineRule="auto"/>
              <w:rPr>
                <w:rFonts w:ascii="Arial" w:hAnsi="Arial" w:cs="Arial"/>
                <w:b/>
                <w:szCs w:val="24"/>
              </w:rPr>
            </w:pPr>
            <w:r w:rsidRPr="00503FD6">
              <w:rPr>
                <w:rFonts w:ascii="Arial" w:hAnsi="Arial" w:cs="Arial"/>
                <w:szCs w:val="24"/>
              </w:rPr>
              <w:t>Includes all HLH employees whose standard hourly rate places them in the 4</w:t>
            </w:r>
            <w:r w:rsidRPr="00503FD6">
              <w:rPr>
                <w:rFonts w:ascii="Arial" w:hAnsi="Arial" w:cs="Arial"/>
                <w:szCs w:val="24"/>
                <w:vertAlign w:val="superscript"/>
              </w:rPr>
              <w:t>th</w:t>
            </w:r>
            <w:r w:rsidRPr="00503FD6">
              <w:rPr>
                <w:rFonts w:ascii="Arial" w:hAnsi="Arial" w:cs="Arial"/>
                <w:szCs w:val="24"/>
              </w:rPr>
              <w:t xml:space="preserve"> and therefore highest pay quartile.</w:t>
            </w:r>
          </w:p>
        </w:tc>
      </w:tr>
    </w:tbl>
    <w:p w:rsidR="00503FD6" w:rsidRPr="00503FD6" w:rsidRDefault="00503FD6" w:rsidP="00503FD6">
      <w:pPr>
        <w:numPr>
          <w:ilvl w:val="0"/>
          <w:numId w:val="9"/>
        </w:numPr>
        <w:spacing w:before="192" w:after="192" w:line="276" w:lineRule="auto"/>
        <w:ind w:left="426" w:hanging="426"/>
        <w:jc w:val="both"/>
        <w:rPr>
          <w:rFonts w:ascii="Arial" w:hAnsi="Arial" w:cs="Arial"/>
          <w:szCs w:val="24"/>
          <w:lang w:val="en"/>
        </w:rPr>
      </w:pPr>
      <w:r w:rsidRPr="00503FD6">
        <w:rPr>
          <w:rFonts w:ascii="Arial" w:hAnsi="Arial" w:cs="Arial"/>
          <w:szCs w:val="24"/>
          <w:lang w:val="en"/>
        </w:rPr>
        <w:t>The table above sets out the gender distribution at HLH across four equally sized quartiles, each containing 223 employees.</w:t>
      </w:r>
    </w:p>
    <w:p w:rsidR="00503FD6" w:rsidRPr="00503FD6" w:rsidRDefault="00503FD6" w:rsidP="00503FD6">
      <w:pPr>
        <w:numPr>
          <w:ilvl w:val="0"/>
          <w:numId w:val="9"/>
        </w:numPr>
        <w:spacing w:before="192" w:after="192" w:line="276" w:lineRule="auto"/>
        <w:ind w:left="426" w:hanging="426"/>
        <w:jc w:val="both"/>
        <w:rPr>
          <w:rFonts w:ascii="Arial" w:hAnsi="Arial" w:cs="Arial"/>
          <w:szCs w:val="24"/>
          <w:lang w:val="en"/>
        </w:rPr>
      </w:pPr>
      <w:r w:rsidRPr="00503FD6">
        <w:rPr>
          <w:rFonts w:ascii="Arial" w:hAnsi="Arial" w:cs="Arial"/>
          <w:szCs w:val="24"/>
          <w:lang w:val="en"/>
        </w:rPr>
        <w:t>With an overall split of 36.5% male to 63.5% female within HLH, each quartile shows a gender distribution which very closely matches this overall ratio.</w:t>
      </w:r>
    </w:p>
    <w:p w:rsidR="00503FD6" w:rsidRPr="00503FD6" w:rsidRDefault="00503FD6" w:rsidP="00503FD6">
      <w:pPr>
        <w:shd w:val="clear" w:color="auto" w:fill="FFFFFF"/>
        <w:spacing w:before="100" w:beforeAutospacing="1" w:after="180" w:line="276" w:lineRule="auto"/>
        <w:jc w:val="both"/>
        <w:rPr>
          <w:rFonts w:ascii="Arial" w:hAnsi="Arial" w:cs="Arial"/>
          <w:szCs w:val="24"/>
        </w:rPr>
      </w:pPr>
      <w:r w:rsidRPr="00503FD6">
        <w:rPr>
          <w:rFonts w:ascii="Arial" w:hAnsi="Arial" w:cs="Arial"/>
          <w:szCs w:val="24"/>
        </w:rPr>
        <w:t xml:space="preserve">HLH’s gender pay gap compares favourably to national statistics but it is committed to monitoring and reducing the gap wherever possible, whilst also recognising that it has no direct control over the gender of applicants for particular job types or an individual’s career choices. </w:t>
      </w:r>
    </w:p>
    <w:p w:rsidR="00503FD6" w:rsidRPr="00503FD6" w:rsidRDefault="00503FD6" w:rsidP="00503FD6">
      <w:pPr>
        <w:shd w:val="clear" w:color="auto" w:fill="FFFFFF"/>
        <w:spacing w:before="100" w:beforeAutospacing="1" w:after="180" w:line="276" w:lineRule="auto"/>
        <w:rPr>
          <w:rFonts w:ascii="Arial" w:hAnsi="Arial" w:cs="Arial"/>
          <w:szCs w:val="24"/>
        </w:rPr>
      </w:pPr>
      <w:r w:rsidRPr="00503FD6">
        <w:rPr>
          <w:rFonts w:ascii="Arial" w:hAnsi="Arial" w:cs="Arial"/>
          <w:szCs w:val="24"/>
        </w:rPr>
        <w:t>I confirm the data reported is accurate.</w:t>
      </w: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r w:rsidRPr="00503FD6">
        <w:rPr>
          <w:rFonts w:ascii="Arial" w:hAnsi="Arial" w:cs="Arial"/>
          <w:szCs w:val="24"/>
        </w:rPr>
        <w:t>Ian Murray</w:t>
      </w:r>
    </w:p>
    <w:p w:rsidR="00503FD6" w:rsidRPr="00503FD6" w:rsidRDefault="00503FD6" w:rsidP="00503FD6">
      <w:pPr>
        <w:shd w:val="clear" w:color="auto" w:fill="FFFFFF"/>
        <w:spacing w:line="276" w:lineRule="auto"/>
        <w:rPr>
          <w:rFonts w:ascii="Arial" w:hAnsi="Arial" w:cs="Arial"/>
          <w:szCs w:val="24"/>
        </w:rPr>
      </w:pPr>
      <w:r w:rsidRPr="00503FD6">
        <w:rPr>
          <w:rFonts w:ascii="Arial" w:hAnsi="Arial" w:cs="Arial"/>
          <w:szCs w:val="24"/>
        </w:rPr>
        <w:t>Chief Executive</w:t>
      </w: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p>
    <w:p w:rsidR="00503FD6" w:rsidRPr="00503FD6" w:rsidRDefault="00503FD6" w:rsidP="00503FD6">
      <w:pPr>
        <w:shd w:val="clear" w:color="auto" w:fill="FFFFFF"/>
        <w:spacing w:line="276" w:lineRule="auto"/>
        <w:rPr>
          <w:rFonts w:ascii="Arial" w:hAnsi="Arial" w:cs="Arial"/>
          <w:szCs w:val="24"/>
        </w:rPr>
      </w:pPr>
    </w:p>
    <w:sectPr w:rsidR="00503FD6" w:rsidRPr="00503FD6" w:rsidSect="00754394">
      <w:pgSz w:w="11906" w:h="16838"/>
      <w:pgMar w:top="851" w:right="1440"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E6" w:rsidRDefault="007510E6">
      <w:r>
        <w:separator/>
      </w:r>
    </w:p>
  </w:endnote>
  <w:endnote w:type="continuationSeparator" w:id="0">
    <w:p w:rsidR="007510E6" w:rsidRDefault="0075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E6" w:rsidRDefault="007510E6">
      <w:r>
        <w:separator/>
      </w:r>
    </w:p>
  </w:footnote>
  <w:footnote w:type="continuationSeparator" w:id="0">
    <w:p w:rsidR="007510E6" w:rsidRDefault="0075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399F"/>
    <w:multiLevelType w:val="hybridMultilevel"/>
    <w:tmpl w:val="4C42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AF16B7"/>
    <w:multiLevelType w:val="hybridMultilevel"/>
    <w:tmpl w:val="35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E11B25"/>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866ED6"/>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37394"/>
    <w:multiLevelType w:val="hybridMultilevel"/>
    <w:tmpl w:val="818C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C88638F"/>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2"/>
  </w:num>
  <w:num w:numId="6">
    <w:abstractNumId w:val="3"/>
  </w:num>
  <w:num w:numId="7">
    <w:abstractNumId w:val="6"/>
  </w:num>
  <w:num w:numId="8">
    <w:abstractNumId w:val="4"/>
  </w:num>
  <w:num w:numId="9">
    <w:abstractNumId w:val="9"/>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25A3"/>
    <w:rsid w:val="00015F4F"/>
    <w:rsid w:val="00017D2E"/>
    <w:rsid w:val="00026EA5"/>
    <w:rsid w:val="0003553F"/>
    <w:rsid w:val="00053FE4"/>
    <w:rsid w:val="00054DE1"/>
    <w:rsid w:val="000764B4"/>
    <w:rsid w:val="00077197"/>
    <w:rsid w:val="000817F9"/>
    <w:rsid w:val="0008795E"/>
    <w:rsid w:val="00097529"/>
    <w:rsid w:val="000975F9"/>
    <w:rsid w:val="000B0D29"/>
    <w:rsid w:val="000B744A"/>
    <w:rsid w:val="000D0794"/>
    <w:rsid w:val="000D245B"/>
    <w:rsid w:val="000D620F"/>
    <w:rsid w:val="000E00E2"/>
    <w:rsid w:val="000E0C6D"/>
    <w:rsid w:val="000E5B8A"/>
    <w:rsid w:val="000E6453"/>
    <w:rsid w:val="000F274B"/>
    <w:rsid w:val="000F6071"/>
    <w:rsid w:val="000F6FD8"/>
    <w:rsid w:val="001065FE"/>
    <w:rsid w:val="001072B4"/>
    <w:rsid w:val="0010757C"/>
    <w:rsid w:val="001100A3"/>
    <w:rsid w:val="00116689"/>
    <w:rsid w:val="00120225"/>
    <w:rsid w:val="00124C17"/>
    <w:rsid w:val="00132839"/>
    <w:rsid w:val="00141185"/>
    <w:rsid w:val="00144164"/>
    <w:rsid w:val="001448BE"/>
    <w:rsid w:val="00153171"/>
    <w:rsid w:val="0015326F"/>
    <w:rsid w:val="00177A7B"/>
    <w:rsid w:val="00186DF3"/>
    <w:rsid w:val="00192FBE"/>
    <w:rsid w:val="001A7AF1"/>
    <w:rsid w:val="001B1FC0"/>
    <w:rsid w:val="001C41BF"/>
    <w:rsid w:val="001D1D38"/>
    <w:rsid w:val="001D2FE9"/>
    <w:rsid w:val="001D541F"/>
    <w:rsid w:val="001E41AE"/>
    <w:rsid w:val="002029D7"/>
    <w:rsid w:val="00220164"/>
    <w:rsid w:val="00220978"/>
    <w:rsid w:val="002245D8"/>
    <w:rsid w:val="00227DC9"/>
    <w:rsid w:val="00232563"/>
    <w:rsid w:val="0024033E"/>
    <w:rsid w:val="00241F01"/>
    <w:rsid w:val="00247212"/>
    <w:rsid w:val="00261D72"/>
    <w:rsid w:val="00261E11"/>
    <w:rsid w:val="00262480"/>
    <w:rsid w:val="002654E9"/>
    <w:rsid w:val="00265F13"/>
    <w:rsid w:val="00277B5F"/>
    <w:rsid w:val="002829AC"/>
    <w:rsid w:val="00286A03"/>
    <w:rsid w:val="002A5188"/>
    <w:rsid w:val="002B36C8"/>
    <w:rsid w:val="002B7DC4"/>
    <w:rsid w:val="002D1539"/>
    <w:rsid w:val="002D5EDE"/>
    <w:rsid w:val="002D7DD6"/>
    <w:rsid w:val="002E6C9F"/>
    <w:rsid w:val="002E7918"/>
    <w:rsid w:val="002F215D"/>
    <w:rsid w:val="002F4DC9"/>
    <w:rsid w:val="00303143"/>
    <w:rsid w:val="00304F4D"/>
    <w:rsid w:val="003114C4"/>
    <w:rsid w:val="00313EC9"/>
    <w:rsid w:val="0032786E"/>
    <w:rsid w:val="0034569A"/>
    <w:rsid w:val="00345B42"/>
    <w:rsid w:val="00347734"/>
    <w:rsid w:val="00354C5E"/>
    <w:rsid w:val="003551D4"/>
    <w:rsid w:val="00356B53"/>
    <w:rsid w:val="00360402"/>
    <w:rsid w:val="003649D9"/>
    <w:rsid w:val="00371EFA"/>
    <w:rsid w:val="00372702"/>
    <w:rsid w:val="00373E7E"/>
    <w:rsid w:val="00380A34"/>
    <w:rsid w:val="00380CDF"/>
    <w:rsid w:val="00381B81"/>
    <w:rsid w:val="0038355A"/>
    <w:rsid w:val="003917DC"/>
    <w:rsid w:val="0039450A"/>
    <w:rsid w:val="003964ED"/>
    <w:rsid w:val="003B62D6"/>
    <w:rsid w:val="003C4EA9"/>
    <w:rsid w:val="003C7AFE"/>
    <w:rsid w:val="003D2CBE"/>
    <w:rsid w:val="003D5C03"/>
    <w:rsid w:val="003E0170"/>
    <w:rsid w:val="003F321A"/>
    <w:rsid w:val="00407982"/>
    <w:rsid w:val="004115FF"/>
    <w:rsid w:val="00416BFF"/>
    <w:rsid w:val="0042698E"/>
    <w:rsid w:val="00432FF9"/>
    <w:rsid w:val="004375DD"/>
    <w:rsid w:val="004403F8"/>
    <w:rsid w:val="004438C9"/>
    <w:rsid w:val="00444E77"/>
    <w:rsid w:val="00445A72"/>
    <w:rsid w:val="0045580C"/>
    <w:rsid w:val="0045618C"/>
    <w:rsid w:val="00460DE4"/>
    <w:rsid w:val="00465229"/>
    <w:rsid w:val="00466CDA"/>
    <w:rsid w:val="00474274"/>
    <w:rsid w:val="00477C58"/>
    <w:rsid w:val="0048062D"/>
    <w:rsid w:val="004843C9"/>
    <w:rsid w:val="00484E83"/>
    <w:rsid w:val="004A5372"/>
    <w:rsid w:val="004A5E30"/>
    <w:rsid w:val="004A7F5F"/>
    <w:rsid w:val="004B2287"/>
    <w:rsid w:val="004B7E68"/>
    <w:rsid w:val="004C3A30"/>
    <w:rsid w:val="004D02E4"/>
    <w:rsid w:val="004D6EED"/>
    <w:rsid w:val="004E08EF"/>
    <w:rsid w:val="004E241D"/>
    <w:rsid w:val="004E5019"/>
    <w:rsid w:val="004F08B1"/>
    <w:rsid w:val="004F2C6F"/>
    <w:rsid w:val="004F64EA"/>
    <w:rsid w:val="00501B18"/>
    <w:rsid w:val="00503FD6"/>
    <w:rsid w:val="005047A4"/>
    <w:rsid w:val="005047F6"/>
    <w:rsid w:val="0050754F"/>
    <w:rsid w:val="0051080D"/>
    <w:rsid w:val="0051107E"/>
    <w:rsid w:val="00511496"/>
    <w:rsid w:val="005179D9"/>
    <w:rsid w:val="00521295"/>
    <w:rsid w:val="005258F0"/>
    <w:rsid w:val="00526DF1"/>
    <w:rsid w:val="0053594A"/>
    <w:rsid w:val="005431C4"/>
    <w:rsid w:val="00544A3E"/>
    <w:rsid w:val="005540B4"/>
    <w:rsid w:val="0055493F"/>
    <w:rsid w:val="00555643"/>
    <w:rsid w:val="00563DC7"/>
    <w:rsid w:val="00571965"/>
    <w:rsid w:val="00576B2E"/>
    <w:rsid w:val="00581032"/>
    <w:rsid w:val="00590C36"/>
    <w:rsid w:val="00592F39"/>
    <w:rsid w:val="0059426B"/>
    <w:rsid w:val="005950EE"/>
    <w:rsid w:val="005C565B"/>
    <w:rsid w:val="005C6B41"/>
    <w:rsid w:val="005C76D1"/>
    <w:rsid w:val="005D450E"/>
    <w:rsid w:val="005D4C2B"/>
    <w:rsid w:val="005D58DB"/>
    <w:rsid w:val="005D6F6C"/>
    <w:rsid w:val="005E23D5"/>
    <w:rsid w:val="005E442C"/>
    <w:rsid w:val="005E5FCC"/>
    <w:rsid w:val="005E77BC"/>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65BD4"/>
    <w:rsid w:val="0067538A"/>
    <w:rsid w:val="00682545"/>
    <w:rsid w:val="00690634"/>
    <w:rsid w:val="006925F5"/>
    <w:rsid w:val="00693BFC"/>
    <w:rsid w:val="006A1248"/>
    <w:rsid w:val="006A3AC2"/>
    <w:rsid w:val="006B06E6"/>
    <w:rsid w:val="006B3C26"/>
    <w:rsid w:val="006B6421"/>
    <w:rsid w:val="006C09E9"/>
    <w:rsid w:val="006C0AEA"/>
    <w:rsid w:val="006C2F41"/>
    <w:rsid w:val="006D0028"/>
    <w:rsid w:val="006D3293"/>
    <w:rsid w:val="006D44D7"/>
    <w:rsid w:val="006F4934"/>
    <w:rsid w:val="006F5801"/>
    <w:rsid w:val="006F5F8F"/>
    <w:rsid w:val="00703673"/>
    <w:rsid w:val="007053BE"/>
    <w:rsid w:val="00705B99"/>
    <w:rsid w:val="00707C87"/>
    <w:rsid w:val="00711367"/>
    <w:rsid w:val="00717E7E"/>
    <w:rsid w:val="00720B5B"/>
    <w:rsid w:val="007214D1"/>
    <w:rsid w:val="00726B31"/>
    <w:rsid w:val="00727D67"/>
    <w:rsid w:val="007310D7"/>
    <w:rsid w:val="00731E93"/>
    <w:rsid w:val="00742B9E"/>
    <w:rsid w:val="0074360E"/>
    <w:rsid w:val="007510E6"/>
    <w:rsid w:val="00751A5C"/>
    <w:rsid w:val="00754394"/>
    <w:rsid w:val="00755820"/>
    <w:rsid w:val="00766BAD"/>
    <w:rsid w:val="00766EF9"/>
    <w:rsid w:val="00776348"/>
    <w:rsid w:val="00782718"/>
    <w:rsid w:val="00784401"/>
    <w:rsid w:val="00791D36"/>
    <w:rsid w:val="00794A0C"/>
    <w:rsid w:val="007A2F50"/>
    <w:rsid w:val="007B3C3E"/>
    <w:rsid w:val="007B3DC7"/>
    <w:rsid w:val="007C13C5"/>
    <w:rsid w:val="007C7B5A"/>
    <w:rsid w:val="007D4675"/>
    <w:rsid w:val="007E7860"/>
    <w:rsid w:val="007F17B4"/>
    <w:rsid w:val="007F57B7"/>
    <w:rsid w:val="007F78AE"/>
    <w:rsid w:val="00805D7B"/>
    <w:rsid w:val="00810982"/>
    <w:rsid w:val="00823029"/>
    <w:rsid w:val="00825FD9"/>
    <w:rsid w:val="00826907"/>
    <w:rsid w:val="00834E2D"/>
    <w:rsid w:val="00841643"/>
    <w:rsid w:val="0084209E"/>
    <w:rsid w:val="00847811"/>
    <w:rsid w:val="00896987"/>
    <w:rsid w:val="008A1F14"/>
    <w:rsid w:val="008C03E3"/>
    <w:rsid w:val="008C1B47"/>
    <w:rsid w:val="008C3C98"/>
    <w:rsid w:val="008D61AA"/>
    <w:rsid w:val="008F41D8"/>
    <w:rsid w:val="008F5A22"/>
    <w:rsid w:val="008F66E6"/>
    <w:rsid w:val="008F74CA"/>
    <w:rsid w:val="00912498"/>
    <w:rsid w:val="00920271"/>
    <w:rsid w:val="00920970"/>
    <w:rsid w:val="00924053"/>
    <w:rsid w:val="00941073"/>
    <w:rsid w:val="009430F2"/>
    <w:rsid w:val="00962E81"/>
    <w:rsid w:val="00985181"/>
    <w:rsid w:val="00985DE5"/>
    <w:rsid w:val="00987DFB"/>
    <w:rsid w:val="00990CFB"/>
    <w:rsid w:val="00991247"/>
    <w:rsid w:val="00995C74"/>
    <w:rsid w:val="0099723B"/>
    <w:rsid w:val="009A2020"/>
    <w:rsid w:val="009C0A57"/>
    <w:rsid w:val="009C631C"/>
    <w:rsid w:val="009C6666"/>
    <w:rsid w:val="009C6DDB"/>
    <w:rsid w:val="009C7634"/>
    <w:rsid w:val="009C77CF"/>
    <w:rsid w:val="009D3236"/>
    <w:rsid w:val="009D691A"/>
    <w:rsid w:val="009D6A45"/>
    <w:rsid w:val="009E0A66"/>
    <w:rsid w:val="009E1C50"/>
    <w:rsid w:val="009E7291"/>
    <w:rsid w:val="009E7E1D"/>
    <w:rsid w:val="009F0139"/>
    <w:rsid w:val="009F4896"/>
    <w:rsid w:val="00A01760"/>
    <w:rsid w:val="00A035C1"/>
    <w:rsid w:val="00A03B68"/>
    <w:rsid w:val="00A06051"/>
    <w:rsid w:val="00A067FA"/>
    <w:rsid w:val="00A06F5D"/>
    <w:rsid w:val="00A1003D"/>
    <w:rsid w:val="00A105B9"/>
    <w:rsid w:val="00A1733F"/>
    <w:rsid w:val="00A252F3"/>
    <w:rsid w:val="00A265AA"/>
    <w:rsid w:val="00A27D3B"/>
    <w:rsid w:val="00A3006B"/>
    <w:rsid w:val="00A44B54"/>
    <w:rsid w:val="00A44C7B"/>
    <w:rsid w:val="00A45F54"/>
    <w:rsid w:val="00A47A09"/>
    <w:rsid w:val="00A506DE"/>
    <w:rsid w:val="00A60358"/>
    <w:rsid w:val="00A701E8"/>
    <w:rsid w:val="00A813FC"/>
    <w:rsid w:val="00A8159A"/>
    <w:rsid w:val="00A852FC"/>
    <w:rsid w:val="00A95347"/>
    <w:rsid w:val="00AA15DA"/>
    <w:rsid w:val="00AA6A6A"/>
    <w:rsid w:val="00AB3D83"/>
    <w:rsid w:val="00AC5BBD"/>
    <w:rsid w:val="00AD0D67"/>
    <w:rsid w:val="00AD33D1"/>
    <w:rsid w:val="00AE3455"/>
    <w:rsid w:val="00AE44B9"/>
    <w:rsid w:val="00AF02B6"/>
    <w:rsid w:val="00AF5408"/>
    <w:rsid w:val="00B0019E"/>
    <w:rsid w:val="00B06F13"/>
    <w:rsid w:val="00B15C2E"/>
    <w:rsid w:val="00B21BA2"/>
    <w:rsid w:val="00B26FB4"/>
    <w:rsid w:val="00B32ECC"/>
    <w:rsid w:val="00B356DC"/>
    <w:rsid w:val="00B35E26"/>
    <w:rsid w:val="00B4511E"/>
    <w:rsid w:val="00B50D69"/>
    <w:rsid w:val="00B50E9D"/>
    <w:rsid w:val="00B56CDC"/>
    <w:rsid w:val="00B6149F"/>
    <w:rsid w:val="00B76CAE"/>
    <w:rsid w:val="00B84929"/>
    <w:rsid w:val="00B86838"/>
    <w:rsid w:val="00B87B5D"/>
    <w:rsid w:val="00B90704"/>
    <w:rsid w:val="00BA01AD"/>
    <w:rsid w:val="00BA0979"/>
    <w:rsid w:val="00BA2BC7"/>
    <w:rsid w:val="00BB4A08"/>
    <w:rsid w:val="00BC1EB4"/>
    <w:rsid w:val="00BE6360"/>
    <w:rsid w:val="00C14B28"/>
    <w:rsid w:val="00C15B6B"/>
    <w:rsid w:val="00C214F8"/>
    <w:rsid w:val="00C3461A"/>
    <w:rsid w:val="00C351C8"/>
    <w:rsid w:val="00C360E6"/>
    <w:rsid w:val="00C44DE0"/>
    <w:rsid w:val="00C456FE"/>
    <w:rsid w:val="00C55881"/>
    <w:rsid w:val="00C60663"/>
    <w:rsid w:val="00C61237"/>
    <w:rsid w:val="00C71EF3"/>
    <w:rsid w:val="00C72B73"/>
    <w:rsid w:val="00C8005D"/>
    <w:rsid w:val="00C973BB"/>
    <w:rsid w:val="00C978E0"/>
    <w:rsid w:val="00CA4B02"/>
    <w:rsid w:val="00CB5374"/>
    <w:rsid w:val="00CB56B9"/>
    <w:rsid w:val="00CB7017"/>
    <w:rsid w:val="00CE68AE"/>
    <w:rsid w:val="00D03451"/>
    <w:rsid w:val="00D038C4"/>
    <w:rsid w:val="00D11FA1"/>
    <w:rsid w:val="00D12180"/>
    <w:rsid w:val="00D20EFC"/>
    <w:rsid w:val="00D230BF"/>
    <w:rsid w:val="00D23370"/>
    <w:rsid w:val="00D23435"/>
    <w:rsid w:val="00D30472"/>
    <w:rsid w:val="00D45787"/>
    <w:rsid w:val="00D4627A"/>
    <w:rsid w:val="00D46356"/>
    <w:rsid w:val="00D57CDF"/>
    <w:rsid w:val="00D6031D"/>
    <w:rsid w:val="00D604A7"/>
    <w:rsid w:val="00D658D1"/>
    <w:rsid w:val="00D65A67"/>
    <w:rsid w:val="00D66EB1"/>
    <w:rsid w:val="00D75FE6"/>
    <w:rsid w:val="00D75FFC"/>
    <w:rsid w:val="00D842DB"/>
    <w:rsid w:val="00D906F4"/>
    <w:rsid w:val="00D93D96"/>
    <w:rsid w:val="00DA1988"/>
    <w:rsid w:val="00DB3601"/>
    <w:rsid w:val="00DB3CD6"/>
    <w:rsid w:val="00DC17DA"/>
    <w:rsid w:val="00DC4937"/>
    <w:rsid w:val="00DD0516"/>
    <w:rsid w:val="00DD614F"/>
    <w:rsid w:val="00DE07A3"/>
    <w:rsid w:val="00DE1942"/>
    <w:rsid w:val="00DE1E6C"/>
    <w:rsid w:val="00DE2B44"/>
    <w:rsid w:val="00DE2E0D"/>
    <w:rsid w:val="00DE5F32"/>
    <w:rsid w:val="00DF1F68"/>
    <w:rsid w:val="00DF55D6"/>
    <w:rsid w:val="00DF6E1D"/>
    <w:rsid w:val="00E0196C"/>
    <w:rsid w:val="00E04193"/>
    <w:rsid w:val="00E11B89"/>
    <w:rsid w:val="00E16021"/>
    <w:rsid w:val="00E216D0"/>
    <w:rsid w:val="00E25B8B"/>
    <w:rsid w:val="00E25FDA"/>
    <w:rsid w:val="00E3069B"/>
    <w:rsid w:val="00E345B1"/>
    <w:rsid w:val="00E355EE"/>
    <w:rsid w:val="00E45F94"/>
    <w:rsid w:val="00E523CD"/>
    <w:rsid w:val="00E52B44"/>
    <w:rsid w:val="00E66429"/>
    <w:rsid w:val="00E74E2C"/>
    <w:rsid w:val="00E75F39"/>
    <w:rsid w:val="00E75F6B"/>
    <w:rsid w:val="00E92F59"/>
    <w:rsid w:val="00EA6559"/>
    <w:rsid w:val="00EA6C6E"/>
    <w:rsid w:val="00EB228F"/>
    <w:rsid w:val="00EC095C"/>
    <w:rsid w:val="00EC259F"/>
    <w:rsid w:val="00EC47E3"/>
    <w:rsid w:val="00ED2EFE"/>
    <w:rsid w:val="00EE63AE"/>
    <w:rsid w:val="00EF3BF8"/>
    <w:rsid w:val="00EF4F9D"/>
    <w:rsid w:val="00F06261"/>
    <w:rsid w:val="00F1364E"/>
    <w:rsid w:val="00F20271"/>
    <w:rsid w:val="00F2111F"/>
    <w:rsid w:val="00F25E7E"/>
    <w:rsid w:val="00F32954"/>
    <w:rsid w:val="00F42CF3"/>
    <w:rsid w:val="00F469C4"/>
    <w:rsid w:val="00F503ED"/>
    <w:rsid w:val="00F55F2F"/>
    <w:rsid w:val="00F63E64"/>
    <w:rsid w:val="00F76AA4"/>
    <w:rsid w:val="00F77121"/>
    <w:rsid w:val="00F858E0"/>
    <w:rsid w:val="00FA053D"/>
    <w:rsid w:val="00FA5259"/>
    <w:rsid w:val="00FA5C28"/>
    <w:rsid w:val="00FA7DA7"/>
    <w:rsid w:val="00FB0F87"/>
    <w:rsid w:val="00FB17D4"/>
    <w:rsid w:val="00FC0CB0"/>
    <w:rsid w:val="00FC1D3E"/>
    <w:rsid w:val="00FC2545"/>
    <w:rsid w:val="00FC2B80"/>
    <w:rsid w:val="00FD2BFB"/>
    <w:rsid w:val="00FD3F7E"/>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uidance/gender-pay-gap-reporting-what-employers-must-pub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D982-A932-4D97-A6D2-C81EF8AA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2016-06-06T07:24:00Z</cp:lastPrinted>
  <dcterms:created xsi:type="dcterms:W3CDTF">2017-08-15T08:39:00Z</dcterms:created>
  <dcterms:modified xsi:type="dcterms:W3CDTF">2017-08-15T08:39:00Z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1273806612</vt:i4>
  </property>
  <property fmtid="{D5CDD505-2E9C-101B-9397-08002B2CF9AE}" pid="3" name="_NewReviewCycle">
    <vt:lpwstr/>
  </property>
  <property fmtid="{D5CDD505-2E9C-101B-9397-08002B2CF9AE}" pid="4" name="_EmailSubject">
    <vt:lpwstr>hlh board papers for external web and directors secure pages please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y fmtid="{D5CDD505-2E9C-101B-9397-08002B2CF9AE}" pid="8" name="_ReviewingToolsShownOnce">
    <vt:lpwstr/>
  </property>
</Properties>
</file>