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7214D1" w:rsidTr="00DE1E6C">
        <w:trPr>
          <w:cantSplit/>
          <w:trHeight w:val="993"/>
        </w:trPr>
        <w:tc>
          <w:tcPr>
            <w:tcW w:w="6629" w:type="dxa"/>
          </w:tcPr>
          <w:p w:rsidR="00DE1E6C" w:rsidRDefault="00B84929" w:rsidP="002B7DC4">
            <w:pPr>
              <w:pStyle w:val="BodyText"/>
              <w:jc w:val="left"/>
              <w:rPr>
                <w:rFonts w:ascii="Arial" w:hAnsi="Arial" w:cs="Arial"/>
                <w:szCs w:val="24"/>
              </w:rPr>
            </w:pPr>
            <w:bookmarkStart w:id="0" w:name="_GoBack"/>
            <w:bookmarkEnd w:id="0"/>
            <w:r>
              <w:rPr>
                <w:rFonts w:ascii="Arial" w:hAnsi="Arial" w:cs="Arial"/>
                <w:szCs w:val="24"/>
              </w:rPr>
              <w:t xml:space="preserve">HIGH LIFE HIGHLAND </w:t>
            </w:r>
          </w:p>
          <w:p w:rsidR="002B7DC4" w:rsidRDefault="00DE1E6C" w:rsidP="002B7DC4">
            <w:pPr>
              <w:pStyle w:val="BodyText"/>
              <w:jc w:val="left"/>
              <w:rPr>
                <w:rFonts w:ascii="Arial" w:hAnsi="Arial" w:cs="Arial"/>
                <w:szCs w:val="24"/>
              </w:rPr>
            </w:pPr>
            <w:r>
              <w:rPr>
                <w:rFonts w:ascii="Arial" w:hAnsi="Arial" w:cs="Arial"/>
                <w:szCs w:val="24"/>
              </w:rPr>
              <w:t>REPORT TO BOARD OF DIRECTORS</w:t>
            </w:r>
          </w:p>
          <w:p w:rsidR="00017D2E" w:rsidRDefault="00F2342F" w:rsidP="002B7DC4">
            <w:pPr>
              <w:pStyle w:val="BodyText"/>
              <w:jc w:val="left"/>
              <w:rPr>
                <w:rFonts w:ascii="Arial" w:hAnsi="Arial" w:cs="Arial"/>
                <w:szCs w:val="24"/>
              </w:rPr>
            </w:pPr>
            <w:r>
              <w:rPr>
                <w:rFonts w:ascii="Arial" w:hAnsi="Arial" w:cs="Arial"/>
                <w:szCs w:val="24"/>
              </w:rPr>
              <w:t>14 December 2016</w:t>
            </w:r>
          </w:p>
          <w:p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rsidR="00B84929" w:rsidRPr="007214D1" w:rsidRDefault="004C3A30" w:rsidP="00520DB0">
            <w:pPr>
              <w:rPr>
                <w:rFonts w:ascii="Arial" w:hAnsi="Arial" w:cs="Arial"/>
                <w:szCs w:val="24"/>
              </w:rPr>
            </w:pPr>
            <w:r>
              <w:rPr>
                <w:rFonts w:ascii="Arial" w:hAnsi="Arial" w:cs="Arial"/>
                <w:szCs w:val="24"/>
              </w:rPr>
              <w:t xml:space="preserve">AGENDA ITEM </w:t>
            </w:r>
            <w:r w:rsidR="00520DB0">
              <w:rPr>
                <w:rFonts w:ascii="Arial" w:hAnsi="Arial" w:cs="Arial"/>
                <w:szCs w:val="24"/>
              </w:rPr>
              <w:t>14</w:t>
            </w:r>
            <w:r w:rsidR="00B84929">
              <w:rPr>
                <w:rFonts w:ascii="Arial" w:hAnsi="Arial" w:cs="Arial"/>
                <w:szCs w:val="24"/>
              </w:rPr>
              <w:t xml:space="preserve"> REPORT No HLH</w:t>
            </w:r>
            <w:r w:rsidR="00520DB0">
              <w:rPr>
                <w:rFonts w:ascii="Arial" w:hAnsi="Arial" w:cs="Arial"/>
                <w:szCs w:val="24"/>
              </w:rPr>
              <w:t>32</w:t>
            </w:r>
            <w:r w:rsidR="0042698E">
              <w:rPr>
                <w:rFonts w:ascii="Arial" w:hAnsi="Arial" w:cs="Arial"/>
                <w:szCs w:val="24"/>
              </w:rPr>
              <w:t>/1</w:t>
            </w:r>
            <w:r w:rsidR="0045618C">
              <w:rPr>
                <w:rFonts w:ascii="Arial" w:hAnsi="Arial" w:cs="Arial"/>
                <w:szCs w:val="24"/>
              </w:rPr>
              <w:t>6</w:t>
            </w:r>
          </w:p>
        </w:tc>
      </w:tr>
    </w:tbl>
    <w:p w:rsidR="002A51F9" w:rsidRDefault="002A51F9" w:rsidP="00DE1E6C">
      <w:pPr>
        <w:pStyle w:val="Heading2"/>
        <w:rPr>
          <w:rFonts w:ascii="Arial" w:hAnsi="Arial" w:cs="Arial"/>
          <w:b/>
          <w:szCs w:val="24"/>
          <w:u w:val="none"/>
        </w:rPr>
      </w:pPr>
    </w:p>
    <w:p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trPr>
          <w:cantSplit/>
        </w:trPr>
        <w:tc>
          <w:tcPr>
            <w:tcW w:w="9464" w:type="dxa"/>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r w:rsidR="00720B5B">
              <w:rPr>
                <w:rFonts w:ascii="Arial" w:hAnsi="Arial" w:cs="Arial"/>
                <w:b/>
                <w:szCs w:val="24"/>
                <w:u w:val="none"/>
              </w:rPr>
              <w:t xml:space="preserve"> </w:t>
            </w:r>
          </w:p>
          <w:p w:rsidR="00014F33" w:rsidRDefault="00014F33" w:rsidP="002B7DC4"/>
          <w:p w:rsidR="00460DE4" w:rsidRDefault="00460DE4" w:rsidP="00AC5BBD">
            <w:pPr>
              <w:jc w:val="both"/>
              <w:rPr>
                <w:rFonts w:ascii="Arial" w:hAnsi="Arial" w:cs="Arial"/>
              </w:rPr>
            </w:pPr>
            <w:r>
              <w:rPr>
                <w:rFonts w:ascii="Arial" w:hAnsi="Arial" w:cs="Arial"/>
              </w:rPr>
              <w:t>The purpose of this report is to update Directors on Human Resources activity</w:t>
            </w:r>
            <w:r w:rsidR="00C44DE0">
              <w:rPr>
                <w:rFonts w:ascii="Arial" w:hAnsi="Arial" w:cs="Arial"/>
              </w:rPr>
              <w:t xml:space="preserve"> for </w:t>
            </w:r>
            <w:r w:rsidR="00F2342F">
              <w:rPr>
                <w:rFonts w:ascii="Arial" w:hAnsi="Arial" w:cs="Arial"/>
              </w:rPr>
              <w:t>July</w:t>
            </w:r>
            <w:r w:rsidR="00784401">
              <w:rPr>
                <w:rFonts w:ascii="Arial" w:hAnsi="Arial" w:cs="Arial"/>
              </w:rPr>
              <w:t xml:space="preserve"> to </w:t>
            </w:r>
            <w:r w:rsidR="00F2342F">
              <w:rPr>
                <w:rFonts w:ascii="Arial" w:hAnsi="Arial" w:cs="Arial"/>
              </w:rPr>
              <w:t>September</w:t>
            </w:r>
            <w:r w:rsidR="005D6F6C">
              <w:rPr>
                <w:rFonts w:ascii="Arial" w:hAnsi="Arial" w:cs="Arial"/>
              </w:rPr>
              <w:t xml:space="preserve"> 201</w:t>
            </w:r>
            <w:r w:rsidR="00FC1D3E">
              <w:rPr>
                <w:rFonts w:ascii="Arial" w:hAnsi="Arial" w:cs="Arial"/>
              </w:rPr>
              <w:t>6</w:t>
            </w:r>
            <w:r>
              <w:rPr>
                <w:rFonts w:ascii="Arial" w:hAnsi="Arial" w:cs="Arial"/>
              </w:rPr>
              <w:t xml:space="preserve"> including a quarterly report on absence, disciplinary and grievance issues.  </w:t>
            </w:r>
          </w:p>
          <w:p w:rsidR="00460F18" w:rsidRDefault="00460F18" w:rsidP="00460F18">
            <w:pPr>
              <w:jc w:val="both"/>
              <w:rPr>
                <w:rFonts w:ascii="Arial" w:hAnsi="Arial" w:cs="Arial"/>
                <w:szCs w:val="24"/>
              </w:rPr>
            </w:pPr>
          </w:p>
          <w:p w:rsidR="00DD7EFF" w:rsidRPr="007D45D7" w:rsidRDefault="00DD7EFF" w:rsidP="00DD7EFF">
            <w:pPr>
              <w:jc w:val="both"/>
              <w:rPr>
                <w:rFonts w:ascii="Arial" w:hAnsi="Arial" w:cs="Arial"/>
                <w:szCs w:val="24"/>
              </w:rPr>
            </w:pPr>
            <w:r>
              <w:rPr>
                <w:rFonts w:ascii="Arial" w:hAnsi="Arial" w:cs="Arial"/>
              </w:rPr>
              <w:t>It is recommen</w:t>
            </w:r>
            <w:r w:rsidRPr="007D45D7">
              <w:rPr>
                <w:rFonts w:ascii="Arial" w:hAnsi="Arial" w:cs="Arial"/>
                <w:szCs w:val="24"/>
              </w:rPr>
              <w:t>ded that Directors</w:t>
            </w:r>
            <w:r>
              <w:rPr>
                <w:rFonts w:ascii="Arial" w:hAnsi="Arial" w:cs="Arial"/>
                <w:szCs w:val="24"/>
              </w:rPr>
              <w:t>:</w:t>
            </w:r>
          </w:p>
          <w:p w:rsidR="00DD7EFF" w:rsidRDefault="00DD7EFF" w:rsidP="00DD7EFF">
            <w:pPr>
              <w:jc w:val="both"/>
              <w:rPr>
                <w:rFonts w:ascii="Arial" w:hAnsi="Arial" w:cs="Arial"/>
                <w:szCs w:val="24"/>
              </w:rPr>
            </w:pPr>
          </w:p>
          <w:p w:rsidR="00DD7EFF" w:rsidRPr="00DD7EFF" w:rsidRDefault="00DD7EFF" w:rsidP="00DD7EFF">
            <w:pPr>
              <w:numPr>
                <w:ilvl w:val="0"/>
                <w:numId w:val="2"/>
              </w:numPr>
              <w:autoSpaceDE w:val="0"/>
              <w:autoSpaceDN w:val="0"/>
              <w:adjustRightInd w:val="0"/>
              <w:jc w:val="both"/>
              <w:rPr>
                <w:rFonts w:ascii="Arial" w:hAnsi="Arial" w:cs="Arial"/>
                <w:szCs w:val="24"/>
                <w:u w:val="single"/>
              </w:rPr>
            </w:pPr>
            <w:r w:rsidRPr="00DD7EFF">
              <w:rPr>
                <w:rFonts w:ascii="Arial" w:hAnsi="Arial" w:cs="Arial"/>
              </w:rPr>
              <w:t xml:space="preserve">note the content of the quarterly report including the update on the staffing establishment; and </w:t>
            </w:r>
          </w:p>
          <w:p w:rsidR="00460F18" w:rsidRPr="00DD7EFF" w:rsidRDefault="00DD7EFF" w:rsidP="00DD7EFF">
            <w:pPr>
              <w:numPr>
                <w:ilvl w:val="0"/>
                <w:numId w:val="2"/>
              </w:numPr>
              <w:autoSpaceDE w:val="0"/>
              <w:autoSpaceDN w:val="0"/>
              <w:adjustRightInd w:val="0"/>
              <w:jc w:val="both"/>
              <w:rPr>
                <w:rFonts w:ascii="Arial" w:hAnsi="Arial" w:cs="Arial"/>
                <w:szCs w:val="24"/>
                <w:u w:val="single"/>
              </w:rPr>
            </w:pPr>
            <w:proofErr w:type="gramStart"/>
            <w:r w:rsidRPr="00DD7EFF">
              <w:rPr>
                <w:rFonts w:ascii="Arial" w:hAnsi="Arial" w:cs="Arial"/>
              </w:rPr>
              <w:t>comment</w:t>
            </w:r>
            <w:proofErr w:type="gramEnd"/>
            <w:r w:rsidRPr="00DD7EFF">
              <w:rPr>
                <w:rFonts w:ascii="Arial" w:hAnsi="Arial" w:cs="Arial"/>
              </w:rPr>
              <w:t xml:space="preserve"> on and approve the </w:t>
            </w:r>
            <w:r w:rsidR="00255FC0">
              <w:rPr>
                <w:rFonts w:ascii="Arial" w:hAnsi="Arial" w:cs="Arial"/>
              </w:rPr>
              <w:t>revised</w:t>
            </w:r>
            <w:r w:rsidRPr="00DD7EFF">
              <w:rPr>
                <w:rFonts w:ascii="Arial" w:hAnsi="Arial" w:cs="Arial"/>
              </w:rPr>
              <w:t xml:space="preserve"> Harassment Policy and the minor amendments to </w:t>
            </w:r>
            <w:r w:rsidRPr="00DD7EFF">
              <w:rPr>
                <w:rFonts w:ascii="Arial" w:eastAsia="Arial" w:hAnsi="Arial"/>
                <w:szCs w:val="22"/>
                <w:lang w:eastAsia="en-US"/>
              </w:rPr>
              <w:t xml:space="preserve">the Policy on the Secure Handling, Use, Storage and </w:t>
            </w:r>
            <w:r w:rsidR="00021A73">
              <w:rPr>
                <w:rFonts w:ascii="Arial" w:eastAsia="Arial" w:hAnsi="Arial"/>
                <w:szCs w:val="22"/>
                <w:lang w:eastAsia="en-US"/>
              </w:rPr>
              <w:t>R</w:t>
            </w:r>
            <w:r w:rsidRPr="00DD7EFF">
              <w:rPr>
                <w:rFonts w:ascii="Arial" w:eastAsia="Arial" w:hAnsi="Arial"/>
                <w:szCs w:val="22"/>
                <w:lang w:eastAsia="en-US"/>
              </w:rPr>
              <w:t>etention of Disclosure Information</w:t>
            </w:r>
            <w:r w:rsidRPr="00DD7EFF">
              <w:rPr>
                <w:rFonts w:ascii="Arial" w:hAnsi="Arial" w:cs="Arial"/>
              </w:rPr>
              <w:t>.</w:t>
            </w:r>
          </w:p>
          <w:p w:rsidR="0039450A" w:rsidRPr="005540B4" w:rsidRDefault="0039450A" w:rsidP="009D691A">
            <w:pPr>
              <w:jc w:val="both"/>
              <w:rPr>
                <w:rFonts w:ascii="Arial" w:hAnsi="Arial" w:cs="Arial"/>
              </w:rPr>
            </w:pPr>
            <w:r w:rsidRPr="005540B4">
              <w:rPr>
                <w:rFonts w:ascii="Arial" w:hAnsi="Arial" w:cs="Arial"/>
                <w:szCs w:val="24"/>
              </w:rPr>
              <w:fldChar w:fldCharType="begin"/>
            </w:r>
            <w:r w:rsidRPr="005540B4">
              <w:rPr>
                <w:rFonts w:ascii="Arial" w:hAnsi="Arial" w:cs="Arial"/>
                <w:szCs w:val="24"/>
              </w:rPr>
              <w:instrText xml:space="preserve">  </w:instrText>
            </w:r>
            <w:r w:rsidRPr="005540B4">
              <w:rPr>
                <w:rFonts w:ascii="Arial" w:hAnsi="Arial" w:cs="Arial"/>
                <w:szCs w:val="24"/>
              </w:rPr>
              <w:fldChar w:fldCharType="end"/>
            </w:r>
          </w:p>
        </w:tc>
      </w:tr>
    </w:tbl>
    <w:p w:rsidR="0039450A" w:rsidRPr="007214D1" w:rsidRDefault="0039450A"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6F5801" w:rsidRPr="007214D1">
        <w:tc>
          <w:tcPr>
            <w:tcW w:w="817" w:type="dxa"/>
          </w:tcPr>
          <w:p w:rsidR="006F5801" w:rsidRPr="007214D1" w:rsidRDefault="006F5801" w:rsidP="00416BFF">
            <w:pPr>
              <w:rPr>
                <w:rFonts w:ascii="Arial" w:hAnsi="Arial" w:cs="Arial"/>
                <w:b/>
                <w:szCs w:val="24"/>
              </w:rPr>
            </w:pPr>
            <w:r>
              <w:rPr>
                <w:rFonts w:ascii="Arial" w:hAnsi="Arial" w:cs="Arial"/>
                <w:b/>
                <w:szCs w:val="24"/>
              </w:rPr>
              <w:t>1</w:t>
            </w:r>
          </w:p>
        </w:tc>
        <w:tc>
          <w:tcPr>
            <w:tcW w:w="8647" w:type="dxa"/>
          </w:tcPr>
          <w:p w:rsidR="006F5801" w:rsidRDefault="006F5801" w:rsidP="00952CCE">
            <w:pPr>
              <w:jc w:val="both"/>
              <w:rPr>
                <w:rFonts w:ascii="Arial" w:hAnsi="Arial" w:cs="Arial"/>
                <w:b/>
                <w:szCs w:val="24"/>
              </w:rPr>
            </w:pPr>
            <w:r w:rsidRPr="00E66429">
              <w:rPr>
                <w:rFonts w:ascii="Arial" w:hAnsi="Arial" w:cs="Arial"/>
                <w:b/>
                <w:szCs w:val="24"/>
              </w:rPr>
              <w:t>Business Plan Contribution</w:t>
            </w:r>
          </w:p>
          <w:p w:rsidR="00CF0B36" w:rsidRPr="007214D1" w:rsidRDefault="00CF0B36" w:rsidP="00952CCE">
            <w:pPr>
              <w:jc w:val="both"/>
              <w:rPr>
                <w:rFonts w:ascii="Arial" w:hAnsi="Arial" w:cs="Arial"/>
                <w:b/>
                <w:szCs w:val="24"/>
              </w:rPr>
            </w:pPr>
          </w:p>
        </w:tc>
      </w:tr>
      <w:tr w:rsidR="006F5801" w:rsidRPr="007214D1">
        <w:tc>
          <w:tcPr>
            <w:tcW w:w="817" w:type="dxa"/>
          </w:tcPr>
          <w:p w:rsidR="006F5801" w:rsidRPr="006F5801" w:rsidRDefault="006F5801" w:rsidP="00416BFF">
            <w:pPr>
              <w:rPr>
                <w:rFonts w:ascii="Arial" w:hAnsi="Arial" w:cs="Arial"/>
                <w:szCs w:val="24"/>
              </w:rPr>
            </w:pPr>
            <w:r w:rsidRPr="006F5801">
              <w:rPr>
                <w:rFonts w:ascii="Arial" w:hAnsi="Arial" w:cs="Arial"/>
                <w:szCs w:val="24"/>
              </w:rPr>
              <w:t>1.1</w:t>
            </w:r>
          </w:p>
        </w:tc>
        <w:tc>
          <w:tcPr>
            <w:tcW w:w="8647" w:type="dxa"/>
          </w:tcPr>
          <w:p w:rsidR="009C0A57" w:rsidRPr="008C37C8" w:rsidRDefault="009C0A57" w:rsidP="009C0A57">
            <w:pPr>
              <w:jc w:val="both"/>
              <w:rPr>
                <w:rFonts w:ascii="Arial" w:hAnsi="Arial" w:cs="Arial"/>
              </w:rPr>
            </w:pPr>
            <w:r w:rsidRPr="008C37C8">
              <w:rPr>
                <w:rFonts w:ascii="Arial" w:hAnsi="Arial" w:cs="Arial"/>
              </w:rPr>
              <w:t>This report supports the highlighted Business Outcomes from the High Life Highland (HLH) Business Plan:</w:t>
            </w:r>
          </w:p>
          <w:p w:rsidR="009C0A57" w:rsidRPr="008C37C8" w:rsidRDefault="009C0A57" w:rsidP="009C0A57">
            <w:pPr>
              <w:jc w:val="both"/>
              <w:rPr>
                <w:rFonts w:ascii="Arial" w:hAnsi="Arial" w:cs="Arial"/>
              </w:rPr>
            </w:pPr>
          </w:p>
          <w:p w:rsidR="00C3461A" w:rsidRPr="0068065F" w:rsidRDefault="00C3461A" w:rsidP="00E1614A">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To advance sustainable growth and financial sustainability</w:t>
            </w:r>
          </w:p>
          <w:p w:rsidR="00C3461A" w:rsidRPr="0068065F" w:rsidRDefault="00C3461A" w:rsidP="00E1614A">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Deliver the Service Delivery Contract with THC</w:t>
            </w:r>
          </w:p>
          <w:p w:rsidR="00C3461A" w:rsidRPr="0068065F" w:rsidRDefault="00C3461A" w:rsidP="00E1614A">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staff satisfaction</w:t>
            </w:r>
          </w:p>
          <w:p w:rsidR="00C3461A" w:rsidRPr="0068065F" w:rsidRDefault="00C3461A" w:rsidP="00E1614A">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customer satisfaction</w:t>
            </w:r>
          </w:p>
          <w:p w:rsidR="00C3461A" w:rsidRPr="005A67CE" w:rsidRDefault="00C3461A" w:rsidP="00E1614A">
            <w:pPr>
              <w:pStyle w:val="ListParagraph"/>
              <w:numPr>
                <w:ilvl w:val="0"/>
                <w:numId w:val="1"/>
              </w:numPr>
              <w:spacing w:after="0" w:line="240" w:lineRule="auto"/>
              <w:jc w:val="both"/>
              <w:rPr>
                <w:rFonts w:ascii="Arial" w:hAnsi="Arial" w:cs="Arial"/>
                <w:b/>
                <w:sz w:val="24"/>
                <w:szCs w:val="24"/>
              </w:rPr>
            </w:pPr>
            <w:r w:rsidRPr="005A67CE">
              <w:rPr>
                <w:rFonts w:ascii="Arial" w:hAnsi="Arial" w:cs="Arial"/>
                <w:b/>
                <w:sz w:val="24"/>
                <w:szCs w:val="24"/>
              </w:rPr>
              <w:t>A positive company image</w:t>
            </w:r>
          </w:p>
          <w:p w:rsidR="00C3461A" w:rsidRPr="0068065F" w:rsidRDefault="00C3461A" w:rsidP="00E1614A">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Services designed around customers and through market opportunities</w:t>
            </w:r>
          </w:p>
          <w:p w:rsidR="00C3461A" w:rsidRPr="0068065F" w:rsidRDefault="00C3461A" w:rsidP="00E1614A">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Sustain a good health and safety performance</w:t>
            </w:r>
          </w:p>
          <w:p w:rsidR="00C3461A" w:rsidRPr="0068065F" w:rsidRDefault="00C3461A" w:rsidP="00E1614A">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A trusted partner</w:t>
            </w:r>
          </w:p>
          <w:p w:rsidR="006F5801" w:rsidRPr="00460DE4" w:rsidRDefault="006F5801" w:rsidP="009C0A57">
            <w:pPr>
              <w:jc w:val="both"/>
              <w:rPr>
                <w:rFonts w:ascii="Arial" w:hAnsi="Arial" w:cs="Arial"/>
                <w:szCs w:val="24"/>
              </w:rPr>
            </w:pPr>
          </w:p>
        </w:tc>
      </w:tr>
      <w:tr w:rsidR="006F5801" w:rsidRPr="007214D1">
        <w:tc>
          <w:tcPr>
            <w:tcW w:w="817" w:type="dxa"/>
          </w:tcPr>
          <w:p w:rsidR="006F5801" w:rsidRPr="007214D1" w:rsidRDefault="006F5801" w:rsidP="00416BFF">
            <w:pPr>
              <w:rPr>
                <w:rFonts w:ascii="Arial" w:hAnsi="Arial" w:cs="Arial"/>
                <w:b/>
                <w:szCs w:val="24"/>
              </w:rPr>
            </w:pPr>
            <w:r>
              <w:rPr>
                <w:rFonts w:ascii="Arial" w:hAnsi="Arial" w:cs="Arial"/>
                <w:b/>
                <w:szCs w:val="24"/>
              </w:rPr>
              <w:t>2</w:t>
            </w:r>
          </w:p>
        </w:tc>
        <w:tc>
          <w:tcPr>
            <w:tcW w:w="8647" w:type="dxa"/>
          </w:tcPr>
          <w:p w:rsidR="006F5801" w:rsidRDefault="006F5801" w:rsidP="00952CCE">
            <w:pPr>
              <w:pStyle w:val="Heading3"/>
              <w:rPr>
                <w:rFonts w:ascii="Arial" w:hAnsi="Arial" w:cs="Arial"/>
                <w:b/>
                <w:szCs w:val="24"/>
                <w:u w:val="none"/>
              </w:rPr>
            </w:pPr>
            <w:r w:rsidRPr="007214D1">
              <w:rPr>
                <w:rFonts w:ascii="Arial" w:hAnsi="Arial" w:cs="Arial"/>
                <w:b/>
                <w:szCs w:val="24"/>
                <w:u w:val="none"/>
              </w:rPr>
              <w:t>Background</w:t>
            </w:r>
          </w:p>
          <w:p w:rsidR="00CF0B36" w:rsidRPr="00CF0B36" w:rsidRDefault="00CF0B36" w:rsidP="00CF0B36"/>
        </w:tc>
      </w:tr>
      <w:tr w:rsidR="006F5801" w:rsidRPr="007214D1" w:rsidTr="00E66429">
        <w:trPr>
          <w:trHeight w:val="542"/>
        </w:trPr>
        <w:tc>
          <w:tcPr>
            <w:tcW w:w="817" w:type="dxa"/>
          </w:tcPr>
          <w:p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Pr="00E66429" w:rsidRDefault="00742B9E" w:rsidP="00416BFF">
            <w:pPr>
              <w:rPr>
                <w:rFonts w:ascii="Arial" w:hAnsi="Arial" w:cs="Arial"/>
                <w:szCs w:val="24"/>
              </w:rPr>
            </w:pPr>
          </w:p>
        </w:tc>
        <w:tc>
          <w:tcPr>
            <w:tcW w:w="8647" w:type="dxa"/>
          </w:tcPr>
          <w:p w:rsidR="003C4EA9" w:rsidRPr="007214D1" w:rsidRDefault="006F5801" w:rsidP="00FE65CF">
            <w:pPr>
              <w:jc w:val="both"/>
              <w:rPr>
                <w:rFonts w:ascii="Arial" w:hAnsi="Arial" w:cs="Arial"/>
                <w:szCs w:val="24"/>
              </w:rPr>
            </w:pPr>
            <w:r>
              <w:rPr>
                <w:rFonts w:ascii="Arial" w:hAnsi="Arial" w:cs="Arial"/>
                <w:szCs w:val="24"/>
              </w:rPr>
              <w:t xml:space="preserve">The quarterly Human Resources </w:t>
            </w:r>
            <w:r w:rsidR="00751A5C">
              <w:rPr>
                <w:rFonts w:ascii="Arial" w:hAnsi="Arial" w:cs="Arial"/>
                <w:szCs w:val="24"/>
              </w:rPr>
              <w:t xml:space="preserve">(HR) </w:t>
            </w:r>
            <w:r>
              <w:rPr>
                <w:rFonts w:ascii="Arial" w:hAnsi="Arial" w:cs="Arial"/>
                <w:szCs w:val="24"/>
              </w:rPr>
              <w:t xml:space="preserve">report is a numerical representation of </w:t>
            </w:r>
            <w:r w:rsidR="00751A5C">
              <w:rPr>
                <w:rFonts w:ascii="Arial" w:hAnsi="Arial" w:cs="Arial"/>
                <w:szCs w:val="24"/>
              </w:rPr>
              <w:t>HR</w:t>
            </w:r>
            <w:r>
              <w:rPr>
                <w:rFonts w:ascii="Arial" w:hAnsi="Arial" w:cs="Arial"/>
                <w:szCs w:val="24"/>
              </w:rPr>
              <w:t xml:space="preserve"> activity in the preceding quarter.  It gives an update on current staff numbers and any change in numbers from previous reports.  There is also an outline of the absence levels within the Company, number of formal disciplinary cases, number of formal grievance complaints, any harassment issues and an employee relations update.</w:t>
            </w:r>
          </w:p>
        </w:tc>
      </w:tr>
      <w:tr w:rsidR="006F5801" w:rsidRPr="007214D1">
        <w:tc>
          <w:tcPr>
            <w:tcW w:w="817" w:type="dxa"/>
          </w:tcPr>
          <w:p w:rsidR="006F5801" w:rsidRDefault="006F5801" w:rsidP="00416BFF">
            <w:pPr>
              <w:rPr>
                <w:rFonts w:ascii="Arial" w:hAnsi="Arial" w:cs="Arial"/>
                <w:b/>
                <w:szCs w:val="24"/>
              </w:rPr>
            </w:pPr>
            <w:r>
              <w:rPr>
                <w:rFonts w:ascii="Arial" w:hAnsi="Arial" w:cs="Arial"/>
                <w:b/>
                <w:szCs w:val="24"/>
              </w:rPr>
              <w:t>3</w:t>
            </w:r>
          </w:p>
          <w:p w:rsidR="00CF0B36" w:rsidRDefault="00CF0B36" w:rsidP="00416BFF">
            <w:pPr>
              <w:rPr>
                <w:rFonts w:ascii="Arial" w:hAnsi="Arial" w:cs="Arial"/>
                <w:b/>
                <w:szCs w:val="24"/>
              </w:rPr>
            </w:pPr>
          </w:p>
          <w:p w:rsidR="0045618C" w:rsidRDefault="0045618C" w:rsidP="00416BFF">
            <w:pPr>
              <w:rPr>
                <w:rFonts w:ascii="Arial" w:hAnsi="Arial" w:cs="Arial"/>
                <w:szCs w:val="24"/>
              </w:rPr>
            </w:pPr>
            <w:r w:rsidRPr="0045618C">
              <w:rPr>
                <w:rFonts w:ascii="Arial" w:hAnsi="Arial" w:cs="Arial"/>
                <w:szCs w:val="24"/>
              </w:rPr>
              <w:t>3.1</w:t>
            </w:r>
          </w:p>
          <w:p w:rsidR="00CF0B36" w:rsidRPr="0045618C" w:rsidRDefault="00CF0B36" w:rsidP="00416BFF">
            <w:pPr>
              <w:rPr>
                <w:rFonts w:ascii="Arial" w:hAnsi="Arial" w:cs="Arial"/>
                <w:szCs w:val="24"/>
              </w:rPr>
            </w:pPr>
          </w:p>
          <w:p w:rsidR="0045618C" w:rsidRPr="0045618C" w:rsidRDefault="0045618C" w:rsidP="00416BFF">
            <w:pPr>
              <w:rPr>
                <w:rFonts w:ascii="Arial" w:hAnsi="Arial" w:cs="Arial"/>
                <w:szCs w:val="24"/>
              </w:rPr>
            </w:pPr>
            <w:r w:rsidRPr="0045618C">
              <w:rPr>
                <w:rFonts w:ascii="Arial" w:hAnsi="Arial" w:cs="Arial"/>
                <w:szCs w:val="24"/>
              </w:rPr>
              <w:t>3.1.1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p>
          <w:p w:rsidR="0045618C" w:rsidRDefault="0045618C" w:rsidP="00416BFF">
            <w:pPr>
              <w:rPr>
                <w:rFonts w:ascii="Arial" w:hAnsi="Arial" w:cs="Arial"/>
                <w:szCs w:val="24"/>
              </w:rPr>
            </w:pPr>
            <w:r w:rsidRPr="0045618C">
              <w:rPr>
                <w:rFonts w:ascii="Arial" w:hAnsi="Arial" w:cs="Arial"/>
                <w:szCs w:val="24"/>
              </w:rPr>
              <w:t>3.1.2</w:t>
            </w:r>
          </w:p>
          <w:p w:rsidR="00493EDC" w:rsidRDefault="00493EDC" w:rsidP="00416BFF">
            <w:pPr>
              <w:rPr>
                <w:rFonts w:ascii="Arial" w:hAnsi="Arial" w:cs="Arial"/>
                <w:szCs w:val="24"/>
              </w:rPr>
            </w:pPr>
          </w:p>
          <w:p w:rsidR="00493EDC" w:rsidRDefault="00493EDC" w:rsidP="00416BFF">
            <w:pPr>
              <w:rPr>
                <w:rFonts w:ascii="Arial" w:hAnsi="Arial" w:cs="Arial"/>
                <w:szCs w:val="24"/>
              </w:rPr>
            </w:pPr>
          </w:p>
          <w:p w:rsidR="00493EDC" w:rsidRDefault="00493EDC" w:rsidP="00416BFF">
            <w:pPr>
              <w:rPr>
                <w:rFonts w:ascii="Arial" w:hAnsi="Arial" w:cs="Arial"/>
                <w:szCs w:val="24"/>
              </w:rPr>
            </w:pPr>
          </w:p>
          <w:p w:rsidR="00493EDC" w:rsidRDefault="00493EDC" w:rsidP="00416BFF">
            <w:pPr>
              <w:rPr>
                <w:rFonts w:ascii="Arial" w:hAnsi="Arial" w:cs="Arial"/>
                <w:szCs w:val="24"/>
              </w:rPr>
            </w:pPr>
          </w:p>
          <w:p w:rsidR="00493EDC" w:rsidRDefault="00493EDC" w:rsidP="00416BFF">
            <w:pPr>
              <w:rPr>
                <w:rFonts w:ascii="Arial" w:hAnsi="Arial" w:cs="Arial"/>
                <w:szCs w:val="24"/>
              </w:rPr>
            </w:pPr>
          </w:p>
          <w:p w:rsidR="00493EDC" w:rsidRPr="007214D1" w:rsidRDefault="00493EDC" w:rsidP="00416BFF">
            <w:pPr>
              <w:rPr>
                <w:rFonts w:ascii="Arial" w:hAnsi="Arial" w:cs="Arial"/>
                <w:b/>
                <w:szCs w:val="24"/>
              </w:rPr>
            </w:pPr>
            <w:r>
              <w:rPr>
                <w:rFonts w:ascii="Arial" w:hAnsi="Arial" w:cs="Arial"/>
                <w:szCs w:val="24"/>
              </w:rPr>
              <w:t>3.1.3</w:t>
            </w:r>
          </w:p>
        </w:tc>
        <w:tc>
          <w:tcPr>
            <w:tcW w:w="8647" w:type="dxa"/>
          </w:tcPr>
          <w:p w:rsidR="006F5801" w:rsidRDefault="006F5801" w:rsidP="00474274">
            <w:pPr>
              <w:jc w:val="both"/>
              <w:rPr>
                <w:rFonts w:ascii="Arial" w:hAnsi="Arial" w:cs="Arial"/>
                <w:b/>
                <w:szCs w:val="24"/>
              </w:rPr>
            </w:pPr>
            <w:r>
              <w:rPr>
                <w:rFonts w:ascii="Arial" w:hAnsi="Arial" w:cs="Arial"/>
                <w:b/>
                <w:szCs w:val="24"/>
              </w:rPr>
              <w:lastRenderedPageBreak/>
              <w:t xml:space="preserve">Human Resources Report: </w:t>
            </w:r>
            <w:r w:rsidR="00255FC0">
              <w:rPr>
                <w:rFonts w:ascii="Arial" w:hAnsi="Arial" w:cs="Arial"/>
                <w:b/>
                <w:szCs w:val="24"/>
              </w:rPr>
              <w:t>July - September</w:t>
            </w:r>
            <w:r w:rsidR="004E08EF">
              <w:rPr>
                <w:rFonts w:ascii="Arial" w:hAnsi="Arial" w:cs="Arial"/>
                <w:b/>
                <w:szCs w:val="24"/>
              </w:rPr>
              <w:t xml:space="preserve"> 201</w:t>
            </w:r>
            <w:r w:rsidR="00FC1D3E">
              <w:rPr>
                <w:rFonts w:ascii="Arial" w:hAnsi="Arial" w:cs="Arial"/>
                <w:b/>
                <w:szCs w:val="24"/>
              </w:rPr>
              <w:t>6</w:t>
            </w:r>
          </w:p>
          <w:p w:rsidR="00CF0B36" w:rsidRPr="00952CCE" w:rsidRDefault="00CF0B36" w:rsidP="00474274">
            <w:pPr>
              <w:jc w:val="both"/>
              <w:rPr>
                <w:rFonts w:ascii="Arial" w:hAnsi="Arial" w:cs="Arial"/>
                <w:b/>
                <w:szCs w:val="24"/>
              </w:rPr>
            </w:pPr>
          </w:p>
          <w:p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rsidR="00B677B7" w:rsidRDefault="00B677B7" w:rsidP="0045618C">
            <w:pPr>
              <w:jc w:val="both"/>
              <w:rPr>
                <w:rFonts w:ascii="Arial" w:hAnsi="Arial" w:cs="Arial"/>
                <w:szCs w:val="24"/>
              </w:rPr>
            </w:pPr>
          </w:p>
          <w:p w:rsidR="0045618C" w:rsidRDefault="00B677B7" w:rsidP="0045618C">
            <w:pPr>
              <w:jc w:val="both"/>
              <w:rPr>
                <w:rFonts w:ascii="Arial" w:hAnsi="Arial" w:cs="Arial"/>
                <w:color w:val="000000"/>
                <w:szCs w:val="24"/>
              </w:rPr>
            </w:pPr>
            <w:r>
              <w:rPr>
                <w:rFonts w:ascii="Arial" w:hAnsi="Arial" w:cs="Arial"/>
                <w:szCs w:val="24"/>
              </w:rPr>
              <w:t>T</w:t>
            </w:r>
            <w:r w:rsidR="0045618C" w:rsidRPr="003253D5">
              <w:rPr>
                <w:rFonts w:ascii="Arial" w:hAnsi="Arial" w:cs="Arial"/>
                <w:szCs w:val="24"/>
              </w:rPr>
              <w:t>he repo</w:t>
            </w:r>
            <w:r w:rsidR="00CF0B36">
              <w:rPr>
                <w:rFonts w:ascii="Arial" w:hAnsi="Arial" w:cs="Arial"/>
                <w:szCs w:val="24"/>
              </w:rPr>
              <w:t>r</w:t>
            </w:r>
            <w:r w:rsidR="0045618C" w:rsidRPr="003253D5">
              <w:rPr>
                <w:rFonts w:ascii="Arial" w:hAnsi="Arial" w:cs="Arial"/>
                <w:szCs w:val="24"/>
              </w:rPr>
              <w:t xml:space="preserve">t to Directors covering the last quarter gave a total establishment figure of </w:t>
            </w:r>
            <w:r w:rsidR="00F2342F">
              <w:rPr>
                <w:rFonts w:ascii="Arial" w:hAnsi="Arial" w:cs="Arial"/>
                <w:szCs w:val="24"/>
              </w:rPr>
              <w:t>503.92 FTE (</w:t>
            </w:r>
            <w:r w:rsidR="00F2342F" w:rsidRPr="0070412A">
              <w:rPr>
                <w:rFonts w:ascii="Arial" w:hAnsi="Arial" w:cs="Arial"/>
                <w:color w:val="000000"/>
                <w:szCs w:val="24"/>
              </w:rPr>
              <w:t>598.13</w:t>
            </w:r>
            <w:r w:rsidR="00F2342F">
              <w:rPr>
                <w:rFonts w:ascii="Arial" w:hAnsi="Arial" w:cs="Arial"/>
                <w:szCs w:val="24"/>
              </w:rPr>
              <w:t xml:space="preserve"> </w:t>
            </w:r>
            <w:r w:rsidR="00F2342F" w:rsidRPr="00B35E26">
              <w:rPr>
                <w:rFonts w:ascii="Arial" w:hAnsi="Arial" w:cs="Arial"/>
                <w:szCs w:val="24"/>
              </w:rPr>
              <w:t>FTE</w:t>
            </w:r>
            <w:r w:rsidR="00F2342F">
              <w:rPr>
                <w:rFonts w:ascii="Arial" w:hAnsi="Arial" w:cs="Arial"/>
                <w:szCs w:val="24"/>
              </w:rPr>
              <w:t xml:space="preserve"> inclusive of Inverness Leisure)</w:t>
            </w:r>
            <w:r w:rsidR="00F2342F" w:rsidRPr="00B35E26">
              <w:rPr>
                <w:rFonts w:ascii="Arial" w:hAnsi="Arial" w:cs="Arial"/>
                <w:szCs w:val="24"/>
              </w:rPr>
              <w:t>.</w:t>
            </w:r>
          </w:p>
          <w:p w:rsidR="0045618C" w:rsidRDefault="0045618C" w:rsidP="0045618C">
            <w:pPr>
              <w:jc w:val="both"/>
              <w:rPr>
                <w:rFonts w:ascii="Arial" w:hAnsi="Arial" w:cs="Arial"/>
                <w:color w:val="000000"/>
                <w:szCs w:val="24"/>
              </w:rPr>
            </w:pPr>
          </w:p>
          <w:p w:rsidR="00493EDC" w:rsidRDefault="0045618C" w:rsidP="0045618C">
            <w:pPr>
              <w:jc w:val="both"/>
              <w:rPr>
                <w:rFonts w:ascii="Arial" w:hAnsi="Arial" w:cs="Arial"/>
                <w:szCs w:val="24"/>
              </w:rPr>
            </w:pPr>
            <w:r w:rsidRPr="003253D5">
              <w:rPr>
                <w:rFonts w:ascii="Arial" w:hAnsi="Arial" w:cs="Arial"/>
                <w:szCs w:val="24"/>
              </w:rPr>
              <w:t xml:space="preserve">The change to the establishment </w:t>
            </w:r>
            <w:r>
              <w:rPr>
                <w:rFonts w:ascii="Arial" w:hAnsi="Arial" w:cs="Arial"/>
                <w:szCs w:val="24"/>
              </w:rPr>
              <w:t>during</w:t>
            </w:r>
            <w:r w:rsidRPr="003253D5">
              <w:rPr>
                <w:rFonts w:ascii="Arial" w:hAnsi="Arial" w:cs="Arial"/>
                <w:szCs w:val="24"/>
              </w:rPr>
              <w:t xml:space="preserve"> </w:t>
            </w:r>
            <w:r w:rsidR="00CF0B36">
              <w:rPr>
                <w:rFonts w:ascii="Arial" w:hAnsi="Arial" w:cs="Arial"/>
                <w:szCs w:val="24"/>
              </w:rPr>
              <w:t>q</w:t>
            </w:r>
            <w:r w:rsidRPr="003253D5">
              <w:rPr>
                <w:rFonts w:ascii="Arial" w:hAnsi="Arial" w:cs="Arial"/>
                <w:szCs w:val="24"/>
              </w:rPr>
              <w:t xml:space="preserve">uarter </w:t>
            </w:r>
            <w:r w:rsidR="00F2342F">
              <w:rPr>
                <w:rFonts w:ascii="Arial" w:hAnsi="Arial" w:cs="Arial"/>
                <w:szCs w:val="24"/>
              </w:rPr>
              <w:t>2</w:t>
            </w:r>
            <w:r w:rsidRPr="003253D5">
              <w:rPr>
                <w:rFonts w:ascii="Arial" w:hAnsi="Arial" w:cs="Arial"/>
                <w:szCs w:val="24"/>
              </w:rPr>
              <w:t> (</w:t>
            </w:r>
            <w:r w:rsidR="00F2342F">
              <w:rPr>
                <w:rFonts w:ascii="Arial" w:hAnsi="Arial" w:cs="Arial"/>
                <w:szCs w:val="24"/>
              </w:rPr>
              <w:t>July</w:t>
            </w:r>
            <w:r w:rsidR="00767B29">
              <w:rPr>
                <w:rFonts w:ascii="Arial" w:hAnsi="Arial" w:cs="Arial"/>
                <w:szCs w:val="24"/>
              </w:rPr>
              <w:t xml:space="preserve"> to </w:t>
            </w:r>
            <w:r w:rsidR="00F2342F">
              <w:rPr>
                <w:rFonts w:ascii="Arial" w:hAnsi="Arial" w:cs="Arial"/>
                <w:szCs w:val="24"/>
              </w:rPr>
              <w:t>September</w:t>
            </w:r>
            <w:r w:rsidR="00347734">
              <w:rPr>
                <w:rFonts w:ascii="Arial" w:hAnsi="Arial" w:cs="Arial"/>
                <w:szCs w:val="24"/>
              </w:rPr>
              <w:t xml:space="preserve"> 2016</w:t>
            </w:r>
            <w:r w:rsidRPr="003253D5">
              <w:rPr>
                <w:rFonts w:ascii="Arial" w:hAnsi="Arial" w:cs="Arial"/>
                <w:szCs w:val="24"/>
              </w:rPr>
              <w:t xml:space="preserve">) has been an </w:t>
            </w:r>
            <w:r w:rsidRPr="00B35E26">
              <w:rPr>
                <w:rFonts w:ascii="Arial" w:hAnsi="Arial" w:cs="Arial"/>
                <w:szCs w:val="24"/>
              </w:rPr>
              <w:t xml:space="preserve">overall </w:t>
            </w:r>
            <w:r>
              <w:rPr>
                <w:rFonts w:ascii="Arial" w:hAnsi="Arial" w:cs="Arial"/>
                <w:szCs w:val="24"/>
              </w:rPr>
              <w:t>increase</w:t>
            </w:r>
            <w:r w:rsidRPr="00B35E26">
              <w:rPr>
                <w:rFonts w:ascii="Arial" w:hAnsi="Arial" w:cs="Arial"/>
                <w:szCs w:val="24"/>
              </w:rPr>
              <w:t xml:space="preserve"> of </w:t>
            </w:r>
            <w:r w:rsidR="00F2342F">
              <w:rPr>
                <w:rFonts w:ascii="Arial" w:hAnsi="Arial" w:cs="Arial"/>
                <w:szCs w:val="24"/>
              </w:rPr>
              <w:t>1.505</w:t>
            </w:r>
            <w:r>
              <w:rPr>
                <w:rFonts w:ascii="Arial" w:hAnsi="Arial" w:cs="Arial"/>
                <w:szCs w:val="24"/>
              </w:rPr>
              <w:t xml:space="preserve"> FTE.  </w:t>
            </w:r>
            <w:r w:rsidR="00401608">
              <w:rPr>
                <w:rFonts w:ascii="Arial" w:hAnsi="Arial" w:cs="Arial"/>
                <w:szCs w:val="24"/>
              </w:rPr>
              <w:t xml:space="preserve">Two new full time posts were </w:t>
            </w:r>
            <w:r w:rsidR="00401608">
              <w:rPr>
                <w:rFonts w:ascii="Arial" w:hAnsi="Arial" w:cs="Arial"/>
                <w:szCs w:val="24"/>
              </w:rPr>
              <w:lastRenderedPageBreak/>
              <w:t xml:space="preserve">created following the transfer of </w:t>
            </w:r>
            <w:r w:rsidR="00493EDC">
              <w:rPr>
                <w:rFonts w:ascii="Arial" w:hAnsi="Arial" w:cs="Arial"/>
                <w:szCs w:val="24"/>
              </w:rPr>
              <w:t>Janitorial</w:t>
            </w:r>
            <w:r w:rsidR="00401608">
              <w:rPr>
                <w:rFonts w:ascii="Arial" w:hAnsi="Arial" w:cs="Arial"/>
                <w:szCs w:val="24"/>
              </w:rPr>
              <w:t xml:space="preserve"> staff at Lochaber High School to HLH </w:t>
            </w:r>
            <w:r w:rsidR="00493EDC">
              <w:rPr>
                <w:rFonts w:ascii="Arial" w:hAnsi="Arial" w:cs="Arial"/>
                <w:szCs w:val="24"/>
              </w:rPr>
              <w:t>which</w:t>
            </w:r>
            <w:r w:rsidR="00FE3A29">
              <w:rPr>
                <w:rFonts w:ascii="Arial" w:hAnsi="Arial" w:cs="Arial"/>
                <w:szCs w:val="24"/>
              </w:rPr>
              <w:t xml:space="preserve"> was accompanied by</w:t>
            </w:r>
            <w:r w:rsidR="00401608">
              <w:rPr>
                <w:rFonts w:ascii="Arial" w:hAnsi="Arial" w:cs="Arial"/>
                <w:szCs w:val="24"/>
              </w:rPr>
              <w:t xml:space="preserve"> a slight reduction in the overall </w:t>
            </w:r>
            <w:r w:rsidR="00255FC0">
              <w:rPr>
                <w:rFonts w:ascii="Arial" w:hAnsi="Arial" w:cs="Arial"/>
                <w:szCs w:val="24"/>
              </w:rPr>
              <w:t xml:space="preserve">facility </w:t>
            </w:r>
            <w:proofErr w:type="gramStart"/>
            <w:r w:rsidR="00255FC0">
              <w:rPr>
                <w:rFonts w:ascii="Arial" w:hAnsi="Arial" w:cs="Arial"/>
                <w:szCs w:val="24"/>
              </w:rPr>
              <w:t>s</w:t>
            </w:r>
            <w:r w:rsidR="00401608">
              <w:rPr>
                <w:rFonts w:ascii="Arial" w:hAnsi="Arial" w:cs="Arial"/>
                <w:szCs w:val="24"/>
              </w:rPr>
              <w:t>upervisors</w:t>
            </w:r>
            <w:proofErr w:type="gramEnd"/>
            <w:r w:rsidR="00401608">
              <w:rPr>
                <w:rFonts w:ascii="Arial" w:hAnsi="Arial" w:cs="Arial"/>
                <w:szCs w:val="24"/>
              </w:rPr>
              <w:t xml:space="preserve"> hours</w:t>
            </w:r>
            <w:r w:rsidR="00767B29">
              <w:rPr>
                <w:rFonts w:ascii="Arial" w:hAnsi="Arial" w:cs="Arial"/>
                <w:szCs w:val="24"/>
              </w:rPr>
              <w:t xml:space="preserve">.  </w:t>
            </w:r>
          </w:p>
          <w:p w:rsidR="00493EDC" w:rsidRDefault="00493EDC" w:rsidP="0045618C">
            <w:pPr>
              <w:jc w:val="both"/>
              <w:rPr>
                <w:rFonts w:ascii="Arial" w:hAnsi="Arial" w:cs="Arial"/>
                <w:szCs w:val="24"/>
              </w:rPr>
            </w:pPr>
          </w:p>
          <w:p w:rsidR="0070412A" w:rsidRDefault="00463BDA" w:rsidP="00474274">
            <w:pPr>
              <w:jc w:val="both"/>
              <w:rPr>
                <w:rFonts w:ascii="Arial" w:hAnsi="Arial" w:cs="Arial"/>
                <w:szCs w:val="24"/>
              </w:rPr>
            </w:pPr>
            <w:r>
              <w:rPr>
                <w:rFonts w:ascii="Arial" w:hAnsi="Arial" w:cs="Arial"/>
                <w:szCs w:val="24"/>
              </w:rPr>
              <w:t>T</w:t>
            </w:r>
            <w:r w:rsidR="00493EDC">
              <w:rPr>
                <w:rFonts w:ascii="Arial" w:hAnsi="Arial" w:cs="Arial"/>
                <w:szCs w:val="24"/>
              </w:rPr>
              <w:t>he changes over quarter 2</w:t>
            </w:r>
            <w:r w:rsidR="0045618C">
              <w:rPr>
                <w:rFonts w:ascii="Arial" w:hAnsi="Arial" w:cs="Arial"/>
                <w:szCs w:val="24"/>
              </w:rPr>
              <w:t xml:space="preserve"> </w:t>
            </w:r>
            <w:r w:rsidR="0045618C" w:rsidRPr="00B35E26">
              <w:rPr>
                <w:rFonts w:ascii="Arial" w:hAnsi="Arial" w:cs="Arial"/>
                <w:szCs w:val="24"/>
              </w:rPr>
              <w:t>can be summarised as:-</w:t>
            </w:r>
          </w:p>
          <w:p w:rsidR="00493EDC" w:rsidRPr="007214D1" w:rsidRDefault="00493EDC" w:rsidP="00474274">
            <w:pPr>
              <w:jc w:val="both"/>
              <w:rPr>
                <w:rFonts w:ascii="Arial" w:hAnsi="Arial" w:cs="Arial"/>
                <w:szCs w:val="24"/>
              </w:rPr>
            </w:pPr>
          </w:p>
        </w:tc>
      </w:tr>
      <w:tr w:rsidR="006F5801" w:rsidRPr="007214D1" w:rsidTr="00460F18">
        <w:trPr>
          <w:trHeight w:val="589"/>
        </w:trPr>
        <w:tc>
          <w:tcPr>
            <w:tcW w:w="817" w:type="dxa"/>
          </w:tcPr>
          <w:p w:rsidR="0084209E" w:rsidRPr="007214D1" w:rsidRDefault="00DD7EFF" w:rsidP="00493EDC">
            <w:pPr>
              <w:rPr>
                <w:rFonts w:ascii="Arial" w:hAnsi="Arial" w:cs="Arial"/>
                <w:szCs w:val="24"/>
              </w:rPr>
            </w:pPr>
            <w:r>
              <w:rPr>
                <w:rFonts w:ascii="Arial" w:hAnsi="Arial" w:cs="Arial"/>
                <w:szCs w:val="24"/>
              </w:rPr>
              <w:lastRenderedPageBreak/>
              <w:t>3.1.4</w:t>
            </w:r>
          </w:p>
        </w:tc>
        <w:tc>
          <w:tcPr>
            <w:tcW w:w="8647" w:type="dxa"/>
          </w:tcPr>
          <w:tbl>
            <w:tblPr>
              <w:tblStyle w:val="TableGrid1"/>
              <w:tblW w:w="8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80"/>
              <w:gridCol w:w="1559"/>
            </w:tblGrid>
            <w:tr w:rsidR="00FE3A29" w:rsidRPr="00401608" w:rsidTr="00255FC0">
              <w:trPr>
                <w:trHeight w:val="315"/>
              </w:trPr>
              <w:tc>
                <w:tcPr>
                  <w:tcW w:w="6980" w:type="dxa"/>
                  <w:noWrap/>
                  <w:hideMark/>
                </w:tcPr>
                <w:p w:rsidR="00FE3A29" w:rsidRPr="002A51F9" w:rsidRDefault="00FE3A29" w:rsidP="00FE3A29">
                  <w:pPr>
                    <w:rPr>
                      <w:rFonts w:ascii="Arial" w:hAnsi="Arial" w:cs="Arial"/>
                      <w:color w:val="000000" w:themeColor="text1"/>
                      <w:szCs w:val="24"/>
                    </w:rPr>
                  </w:pPr>
                  <w:r w:rsidRPr="002A51F9">
                    <w:rPr>
                      <w:rFonts w:ascii="Arial" w:hAnsi="Arial" w:cs="Arial"/>
                      <w:color w:val="000000" w:themeColor="text1"/>
                      <w:szCs w:val="24"/>
                    </w:rPr>
                    <w:t>Leisure Assistants</w:t>
                  </w:r>
                  <w:r w:rsidR="00DD7EFF" w:rsidRPr="002A51F9">
                    <w:rPr>
                      <w:rFonts w:ascii="Arial" w:hAnsi="Arial" w:cs="Arial"/>
                      <w:color w:val="000000" w:themeColor="text1"/>
                      <w:szCs w:val="24"/>
                    </w:rPr>
                    <w:t xml:space="preserve"> - </w:t>
                  </w:r>
                  <w:r w:rsidR="00DD7EFF" w:rsidRPr="002A51F9">
                    <w:rPr>
                      <w:rFonts w:ascii="Arial" w:hAnsi="Arial" w:cs="Arial"/>
                      <w:color w:val="000000"/>
                      <w:szCs w:val="24"/>
                    </w:rPr>
                    <w:t>Badenoch Centre</w:t>
                  </w:r>
                </w:p>
              </w:tc>
              <w:tc>
                <w:tcPr>
                  <w:tcW w:w="1559" w:type="dxa"/>
                  <w:noWrap/>
                  <w:hideMark/>
                </w:tcPr>
                <w:p w:rsidR="00FE3A29" w:rsidRPr="002A51F9" w:rsidRDefault="00FE3A29" w:rsidP="00FE3A29">
                  <w:pPr>
                    <w:jc w:val="right"/>
                    <w:rPr>
                      <w:rFonts w:ascii="Arial" w:hAnsi="Arial" w:cs="Arial"/>
                      <w:color w:val="000000" w:themeColor="text1"/>
                      <w:szCs w:val="24"/>
                    </w:rPr>
                  </w:pPr>
                  <w:r w:rsidRPr="002A51F9">
                    <w:rPr>
                      <w:rFonts w:ascii="Arial" w:hAnsi="Arial" w:cs="Arial"/>
                      <w:color w:val="000000" w:themeColor="text1"/>
                      <w:szCs w:val="24"/>
                    </w:rPr>
                    <w:t>-1.07</w:t>
                  </w:r>
                </w:p>
              </w:tc>
            </w:tr>
            <w:tr w:rsidR="00FE3A29" w:rsidRPr="00401608" w:rsidTr="00255FC0">
              <w:trPr>
                <w:trHeight w:val="315"/>
              </w:trPr>
              <w:tc>
                <w:tcPr>
                  <w:tcW w:w="6980" w:type="dxa"/>
                  <w:noWrap/>
                  <w:hideMark/>
                </w:tcPr>
                <w:p w:rsidR="00FE3A29" w:rsidRPr="002A51F9" w:rsidRDefault="00FE3A29" w:rsidP="00401608">
                  <w:pPr>
                    <w:rPr>
                      <w:rFonts w:ascii="Arial" w:hAnsi="Arial" w:cs="Arial"/>
                      <w:color w:val="000000" w:themeColor="text1"/>
                      <w:szCs w:val="24"/>
                    </w:rPr>
                  </w:pPr>
                  <w:r w:rsidRPr="002A51F9">
                    <w:rPr>
                      <w:rFonts w:ascii="Arial" w:hAnsi="Arial" w:cs="Arial"/>
                      <w:color w:val="000000" w:themeColor="text1"/>
                      <w:szCs w:val="24"/>
                    </w:rPr>
                    <w:t xml:space="preserve">Cashier/Receptionist </w:t>
                  </w:r>
                  <w:r w:rsidR="00DD7EFF" w:rsidRPr="002A51F9">
                    <w:rPr>
                      <w:rFonts w:ascii="Arial" w:hAnsi="Arial" w:cs="Arial"/>
                      <w:color w:val="000000" w:themeColor="text1"/>
                      <w:szCs w:val="24"/>
                    </w:rPr>
                    <w:t xml:space="preserve">- </w:t>
                  </w:r>
                  <w:r w:rsidR="00DD7EFF" w:rsidRPr="002A51F9">
                    <w:rPr>
                      <w:rFonts w:ascii="Arial" w:hAnsi="Arial" w:cs="Arial"/>
                      <w:color w:val="000000"/>
                      <w:szCs w:val="24"/>
                    </w:rPr>
                    <w:t>Badenoch Centre</w:t>
                  </w:r>
                </w:p>
              </w:tc>
              <w:tc>
                <w:tcPr>
                  <w:tcW w:w="1559" w:type="dxa"/>
                  <w:noWrap/>
                  <w:hideMark/>
                </w:tcPr>
                <w:p w:rsidR="00FE3A29" w:rsidRPr="002A51F9" w:rsidRDefault="00FE3A29" w:rsidP="00FE3A29">
                  <w:pPr>
                    <w:jc w:val="right"/>
                    <w:rPr>
                      <w:rFonts w:ascii="Arial" w:hAnsi="Arial" w:cs="Arial"/>
                      <w:color w:val="000000" w:themeColor="text1"/>
                      <w:szCs w:val="24"/>
                    </w:rPr>
                  </w:pPr>
                  <w:r w:rsidRPr="002A51F9">
                    <w:rPr>
                      <w:rFonts w:ascii="Arial" w:hAnsi="Arial" w:cs="Arial"/>
                      <w:color w:val="000000" w:themeColor="text1"/>
                      <w:szCs w:val="24"/>
                    </w:rPr>
                    <w:t>-0.71</w:t>
                  </w:r>
                </w:p>
              </w:tc>
            </w:tr>
            <w:tr w:rsidR="00FE3A29" w:rsidRPr="00401608" w:rsidTr="00255FC0">
              <w:trPr>
                <w:trHeight w:val="315"/>
              </w:trPr>
              <w:tc>
                <w:tcPr>
                  <w:tcW w:w="6980" w:type="dxa"/>
                  <w:noWrap/>
                  <w:hideMark/>
                </w:tcPr>
                <w:p w:rsidR="00FE3A29" w:rsidRPr="002A51F9" w:rsidRDefault="00FE3A29" w:rsidP="00401608">
                  <w:pPr>
                    <w:rPr>
                      <w:rFonts w:ascii="Arial" w:hAnsi="Arial" w:cs="Arial"/>
                      <w:color w:val="000000" w:themeColor="text1"/>
                      <w:szCs w:val="24"/>
                    </w:rPr>
                  </w:pPr>
                  <w:r w:rsidRPr="002A51F9">
                    <w:rPr>
                      <w:rFonts w:ascii="Arial" w:hAnsi="Arial" w:cs="Arial"/>
                      <w:color w:val="000000" w:themeColor="text1"/>
                      <w:szCs w:val="24"/>
                    </w:rPr>
                    <w:t>Leisure Supervisor</w:t>
                  </w:r>
                  <w:r w:rsidR="00DD7EFF" w:rsidRPr="002A51F9">
                    <w:rPr>
                      <w:rFonts w:ascii="Arial" w:hAnsi="Arial" w:cs="Arial"/>
                      <w:color w:val="000000" w:themeColor="text1"/>
                      <w:szCs w:val="24"/>
                    </w:rPr>
                    <w:t xml:space="preserve"> - </w:t>
                  </w:r>
                  <w:r w:rsidR="00DD7EFF" w:rsidRPr="002A51F9">
                    <w:rPr>
                      <w:rFonts w:ascii="Arial" w:hAnsi="Arial" w:cs="Arial"/>
                      <w:color w:val="000000"/>
                      <w:szCs w:val="24"/>
                    </w:rPr>
                    <w:t>Badenoch Centre</w:t>
                  </w:r>
                </w:p>
              </w:tc>
              <w:tc>
                <w:tcPr>
                  <w:tcW w:w="1559" w:type="dxa"/>
                  <w:noWrap/>
                  <w:hideMark/>
                </w:tcPr>
                <w:p w:rsidR="00FE3A29" w:rsidRPr="002A51F9" w:rsidRDefault="00FE3A29" w:rsidP="00401608">
                  <w:pPr>
                    <w:jc w:val="right"/>
                    <w:rPr>
                      <w:rFonts w:ascii="Arial" w:hAnsi="Arial" w:cs="Arial"/>
                      <w:color w:val="000000" w:themeColor="text1"/>
                      <w:szCs w:val="24"/>
                    </w:rPr>
                  </w:pPr>
                  <w:r w:rsidRPr="002A51F9">
                    <w:rPr>
                      <w:rFonts w:ascii="Arial" w:hAnsi="Arial" w:cs="Arial"/>
                      <w:color w:val="000000" w:themeColor="text1"/>
                      <w:szCs w:val="24"/>
                    </w:rPr>
                    <w:t>0.43</w:t>
                  </w:r>
                </w:p>
              </w:tc>
            </w:tr>
            <w:tr w:rsidR="00493EDC" w:rsidRPr="00401608" w:rsidTr="00255FC0">
              <w:trPr>
                <w:trHeight w:val="315"/>
              </w:trPr>
              <w:tc>
                <w:tcPr>
                  <w:tcW w:w="6980" w:type="dxa"/>
                  <w:noWrap/>
                </w:tcPr>
                <w:p w:rsidR="00493EDC" w:rsidRPr="002A51F9" w:rsidRDefault="00493EDC" w:rsidP="00401608">
                  <w:pPr>
                    <w:rPr>
                      <w:rFonts w:ascii="Arial" w:hAnsi="Arial" w:cs="Arial"/>
                      <w:b/>
                      <w:color w:val="000000" w:themeColor="text1"/>
                      <w:szCs w:val="24"/>
                    </w:rPr>
                  </w:pPr>
                  <w:r w:rsidRPr="002A51F9">
                    <w:rPr>
                      <w:rFonts w:ascii="Arial" w:hAnsi="Arial" w:cs="Arial"/>
                      <w:color w:val="000000" w:themeColor="text1"/>
                      <w:szCs w:val="24"/>
                    </w:rPr>
                    <w:t xml:space="preserve">Caretaker </w:t>
                  </w:r>
                  <w:r w:rsidR="00DD7EFF" w:rsidRPr="002A51F9">
                    <w:rPr>
                      <w:rFonts w:ascii="Arial" w:hAnsi="Arial" w:cs="Arial"/>
                      <w:color w:val="000000" w:themeColor="text1"/>
                      <w:szCs w:val="24"/>
                    </w:rPr>
                    <w:t xml:space="preserve">- </w:t>
                  </w:r>
                  <w:r w:rsidR="00DD7EFF" w:rsidRPr="002A51F9">
                    <w:rPr>
                      <w:rFonts w:ascii="Arial" w:hAnsi="Arial" w:cs="Arial"/>
                      <w:color w:val="000000"/>
                      <w:szCs w:val="24"/>
                    </w:rPr>
                    <w:t>Invergordon</w:t>
                  </w:r>
                </w:p>
              </w:tc>
              <w:tc>
                <w:tcPr>
                  <w:tcW w:w="1559" w:type="dxa"/>
                  <w:noWrap/>
                </w:tcPr>
                <w:p w:rsidR="00493EDC" w:rsidRPr="002A51F9" w:rsidRDefault="00493EDC" w:rsidP="00401608">
                  <w:pPr>
                    <w:jc w:val="right"/>
                    <w:rPr>
                      <w:rFonts w:ascii="Arial" w:hAnsi="Arial" w:cs="Arial"/>
                      <w:color w:val="000000" w:themeColor="text1"/>
                      <w:szCs w:val="24"/>
                    </w:rPr>
                  </w:pPr>
                  <w:r w:rsidRPr="002A51F9">
                    <w:rPr>
                      <w:rFonts w:ascii="Arial" w:hAnsi="Arial" w:cs="Arial"/>
                      <w:color w:val="000000" w:themeColor="text1"/>
                      <w:szCs w:val="24"/>
                    </w:rPr>
                    <w:t>-0.11</w:t>
                  </w:r>
                </w:p>
              </w:tc>
            </w:tr>
            <w:tr w:rsidR="00493EDC" w:rsidRPr="00401608" w:rsidTr="00255FC0">
              <w:trPr>
                <w:trHeight w:val="315"/>
              </w:trPr>
              <w:tc>
                <w:tcPr>
                  <w:tcW w:w="6980" w:type="dxa"/>
                  <w:noWrap/>
                  <w:hideMark/>
                </w:tcPr>
                <w:p w:rsidR="00493EDC" w:rsidRPr="002A51F9" w:rsidRDefault="00493EDC" w:rsidP="00401608">
                  <w:pPr>
                    <w:rPr>
                      <w:rFonts w:ascii="Arial" w:hAnsi="Arial" w:cs="Arial"/>
                      <w:color w:val="000000" w:themeColor="text1"/>
                      <w:szCs w:val="24"/>
                    </w:rPr>
                  </w:pPr>
                  <w:r w:rsidRPr="002A51F9">
                    <w:rPr>
                      <w:rFonts w:ascii="Arial" w:hAnsi="Arial" w:cs="Arial"/>
                      <w:color w:val="000000" w:themeColor="text1"/>
                      <w:szCs w:val="24"/>
                    </w:rPr>
                    <w:t>Reorganisation</w:t>
                  </w:r>
                  <w:r w:rsidR="00DD7EFF" w:rsidRPr="002A51F9">
                    <w:rPr>
                      <w:rFonts w:ascii="Arial" w:hAnsi="Arial" w:cs="Arial"/>
                      <w:color w:val="000000" w:themeColor="text1"/>
                      <w:szCs w:val="24"/>
                    </w:rPr>
                    <w:t xml:space="preserve"> - </w:t>
                  </w:r>
                  <w:r w:rsidR="00DD7EFF" w:rsidRPr="002A51F9">
                    <w:rPr>
                      <w:rFonts w:ascii="Arial" w:hAnsi="Arial" w:cs="Arial"/>
                      <w:color w:val="000000"/>
                      <w:szCs w:val="24"/>
                    </w:rPr>
                    <w:t>MacPhail Centre</w:t>
                  </w:r>
                </w:p>
              </w:tc>
              <w:tc>
                <w:tcPr>
                  <w:tcW w:w="1559" w:type="dxa"/>
                  <w:noWrap/>
                  <w:hideMark/>
                </w:tcPr>
                <w:p w:rsidR="00493EDC" w:rsidRPr="002A51F9" w:rsidRDefault="00493EDC" w:rsidP="00401608">
                  <w:pPr>
                    <w:jc w:val="right"/>
                    <w:rPr>
                      <w:rFonts w:ascii="Arial" w:hAnsi="Arial" w:cs="Arial"/>
                      <w:color w:val="000000" w:themeColor="text1"/>
                      <w:szCs w:val="24"/>
                    </w:rPr>
                  </w:pPr>
                  <w:r w:rsidRPr="002A51F9">
                    <w:rPr>
                      <w:rFonts w:ascii="Arial" w:hAnsi="Arial" w:cs="Arial"/>
                      <w:color w:val="000000" w:themeColor="text1"/>
                      <w:szCs w:val="24"/>
                    </w:rPr>
                    <w:t>0.36</w:t>
                  </w:r>
                </w:p>
              </w:tc>
            </w:tr>
            <w:tr w:rsidR="00493EDC" w:rsidRPr="00401608" w:rsidTr="00255FC0">
              <w:trPr>
                <w:trHeight w:val="315"/>
              </w:trPr>
              <w:tc>
                <w:tcPr>
                  <w:tcW w:w="6980" w:type="dxa"/>
                  <w:noWrap/>
                </w:tcPr>
                <w:p w:rsidR="00493EDC" w:rsidRPr="002A51F9" w:rsidRDefault="00493EDC" w:rsidP="00401608">
                  <w:pPr>
                    <w:rPr>
                      <w:rFonts w:ascii="Arial" w:hAnsi="Arial" w:cs="Arial"/>
                      <w:color w:val="000000" w:themeColor="text1"/>
                      <w:szCs w:val="24"/>
                    </w:rPr>
                  </w:pPr>
                  <w:r w:rsidRPr="002A51F9">
                    <w:rPr>
                      <w:rFonts w:ascii="Arial" w:hAnsi="Arial" w:cs="Arial"/>
                      <w:color w:val="000000" w:themeColor="text1"/>
                      <w:szCs w:val="24"/>
                    </w:rPr>
                    <w:t>Library Assistant</w:t>
                  </w:r>
                  <w:r w:rsidR="00DD7EFF" w:rsidRPr="002A51F9">
                    <w:rPr>
                      <w:rFonts w:ascii="Arial" w:hAnsi="Arial" w:cs="Arial"/>
                      <w:color w:val="000000" w:themeColor="text1"/>
                      <w:szCs w:val="24"/>
                    </w:rPr>
                    <w:t xml:space="preserve"> - </w:t>
                  </w:r>
                  <w:r w:rsidR="00DD7EFF" w:rsidRPr="002A51F9">
                    <w:rPr>
                      <w:rFonts w:ascii="Arial" w:hAnsi="Arial" w:cs="Arial"/>
                      <w:color w:val="000000"/>
                      <w:szCs w:val="24"/>
                    </w:rPr>
                    <w:t>Dingwall</w:t>
                  </w:r>
                </w:p>
              </w:tc>
              <w:tc>
                <w:tcPr>
                  <w:tcW w:w="1559" w:type="dxa"/>
                  <w:noWrap/>
                </w:tcPr>
                <w:p w:rsidR="00493EDC" w:rsidRPr="002A51F9" w:rsidRDefault="00493EDC" w:rsidP="00401608">
                  <w:pPr>
                    <w:jc w:val="right"/>
                    <w:rPr>
                      <w:rFonts w:ascii="Arial" w:hAnsi="Arial" w:cs="Arial"/>
                      <w:color w:val="000000" w:themeColor="text1"/>
                      <w:szCs w:val="24"/>
                    </w:rPr>
                  </w:pPr>
                  <w:r w:rsidRPr="002A51F9">
                    <w:rPr>
                      <w:rFonts w:ascii="Arial" w:hAnsi="Arial" w:cs="Arial"/>
                      <w:color w:val="000000" w:themeColor="text1"/>
                      <w:szCs w:val="24"/>
                    </w:rPr>
                    <w:t>-0.4</w:t>
                  </w:r>
                </w:p>
              </w:tc>
            </w:tr>
            <w:tr w:rsidR="00493EDC" w:rsidRPr="00401608" w:rsidTr="00255FC0">
              <w:trPr>
                <w:trHeight w:val="315"/>
              </w:trPr>
              <w:tc>
                <w:tcPr>
                  <w:tcW w:w="6980" w:type="dxa"/>
                  <w:noWrap/>
                  <w:hideMark/>
                </w:tcPr>
                <w:p w:rsidR="00493EDC" w:rsidRPr="002A51F9" w:rsidRDefault="00493EDC" w:rsidP="00FE3A29">
                  <w:pPr>
                    <w:rPr>
                      <w:rFonts w:ascii="Arial" w:hAnsi="Arial" w:cs="Arial"/>
                      <w:color w:val="000000" w:themeColor="text1"/>
                      <w:szCs w:val="24"/>
                    </w:rPr>
                  </w:pPr>
                  <w:r w:rsidRPr="002A51F9">
                    <w:rPr>
                      <w:rFonts w:ascii="Arial" w:hAnsi="Arial" w:cs="Arial"/>
                      <w:color w:val="000000" w:themeColor="text1"/>
                      <w:szCs w:val="24"/>
                    </w:rPr>
                    <w:t>Library Assistant</w:t>
                  </w:r>
                  <w:r w:rsidR="00DD7EFF" w:rsidRPr="002A51F9">
                    <w:rPr>
                      <w:rFonts w:ascii="Arial" w:hAnsi="Arial" w:cs="Arial"/>
                      <w:color w:val="000000" w:themeColor="text1"/>
                      <w:szCs w:val="24"/>
                    </w:rPr>
                    <w:t xml:space="preserve"> - </w:t>
                  </w:r>
                  <w:r w:rsidR="00DD7EFF" w:rsidRPr="002A51F9">
                    <w:rPr>
                      <w:rFonts w:ascii="Arial" w:hAnsi="Arial" w:cs="Arial"/>
                      <w:color w:val="000000"/>
                      <w:szCs w:val="24"/>
                    </w:rPr>
                    <w:t>HMP Inverness</w:t>
                  </w:r>
                </w:p>
              </w:tc>
              <w:tc>
                <w:tcPr>
                  <w:tcW w:w="1559" w:type="dxa"/>
                  <w:noWrap/>
                  <w:hideMark/>
                </w:tcPr>
                <w:p w:rsidR="00493EDC" w:rsidRPr="002A51F9" w:rsidRDefault="00493EDC" w:rsidP="00401608">
                  <w:pPr>
                    <w:jc w:val="right"/>
                    <w:rPr>
                      <w:rFonts w:ascii="Arial" w:hAnsi="Arial" w:cs="Arial"/>
                      <w:color w:val="000000" w:themeColor="text1"/>
                      <w:szCs w:val="24"/>
                    </w:rPr>
                  </w:pPr>
                  <w:r w:rsidRPr="002A51F9">
                    <w:rPr>
                      <w:rFonts w:ascii="Arial" w:hAnsi="Arial" w:cs="Arial"/>
                      <w:color w:val="000000" w:themeColor="text1"/>
                      <w:szCs w:val="24"/>
                    </w:rPr>
                    <w:t>0.142</w:t>
                  </w:r>
                </w:p>
              </w:tc>
            </w:tr>
            <w:tr w:rsidR="00493EDC" w:rsidRPr="00401608" w:rsidTr="00255FC0">
              <w:trPr>
                <w:trHeight w:val="315"/>
              </w:trPr>
              <w:tc>
                <w:tcPr>
                  <w:tcW w:w="6980" w:type="dxa"/>
                  <w:noWrap/>
                  <w:hideMark/>
                </w:tcPr>
                <w:p w:rsidR="00493EDC" w:rsidRPr="002A51F9" w:rsidRDefault="00493EDC" w:rsidP="00DD7EFF">
                  <w:pPr>
                    <w:rPr>
                      <w:rFonts w:ascii="Arial" w:hAnsi="Arial" w:cs="Arial"/>
                      <w:color w:val="000000" w:themeColor="text1"/>
                      <w:szCs w:val="24"/>
                    </w:rPr>
                  </w:pPr>
                  <w:r w:rsidRPr="002A51F9">
                    <w:rPr>
                      <w:rFonts w:ascii="Arial" w:hAnsi="Arial" w:cs="Arial"/>
                      <w:color w:val="000000" w:themeColor="text1"/>
                      <w:szCs w:val="24"/>
                    </w:rPr>
                    <w:t>Facility Supervisors</w:t>
                  </w:r>
                  <w:r w:rsidR="00DD7EFF" w:rsidRPr="002A51F9">
                    <w:rPr>
                      <w:rFonts w:ascii="Arial" w:hAnsi="Arial" w:cs="Arial"/>
                      <w:color w:val="000000" w:themeColor="text1"/>
                      <w:szCs w:val="24"/>
                    </w:rPr>
                    <w:t xml:space="preserve"> - </w:t>
                  </w:r>
                  <w:r w:rsidR="00DD7EFF" w:rsidRPr="002A51F9">
                    <w:rPr>
                      <w:rFonts w:ascii="Arial" w:hAnsi="Arial" w:cs="Arial"/>
                      <w:color w:val="000000"/>
                      <w:szCs w:val="24"/>
                    </w:rPr>
                    <w:t>Lochaber High School</w:t>
                  </w:r>
                </w:p>
              </w:tc>
              <w:tc>
                <w:tcPr>
                  <w:tcW w:w="1559" w:type="dxa"/>
                  <w:noWrap/>
                  <w:hideMark/>
                </w:tcPr>
                <w:p w:rsidR="00493EDC" w:rsidRPr="002A51F9" w:rsidRDefault="00493EDC" w:rsidP="00401608">
                  <w:pPr>
                    <w:jc w:val="right"/>
                    <w:rPr>
                      <w:rFonts w:ascii="Arial" w:hAnsi="Arial" w:cs="Arial"/>
                      <w:color w:val="000000" w:themeColor="text1"/>
                      <w:szCs w:val="24"/>
                    </w:rPr>
                  </w:pPr>
                  <w:r w:rsidRPr="002A51F9">
                    <w:rPr>
                      <w:rFonts w:ascii="Arial" w:hAnsi="Arial" w:cs="Arial"/>
                      <w:color w:val="000000" w:themeColor="text1"/>
                      <w:szCs w:val="24"/>
                    </w:rPr>
                    <w:t>-0.164</w:t>
                  </w:r>
                </w:p>
              </w:tc>
            </w:tr>
            <w:tr w:rsidR="00493EDC" w:rsidRPr="00401608" w:rsidTr="00255FC0">
              <w:trPr>
                <w:trHeight w:val="315"/>
              </w:trPr>
              <w:tc>
                <w:tcPr>
                  <w:tcW w:w="6980" w:type="dxa"/>
                  <w:noWrap/>
                  <w:hideMark/>
                </w:tcPr>
                <w:p w:rsidR="00493EDC" w:rsidRPr="002A51F9" w:rsidRDefault="00493EDC" w:rsidP="00DD7EFF">
                  <w:pPr>
                    <w:rPr>
                      <w:rFonts w:ascii="Arial" w:hAnsi="Arial" w:cs="Arial"/>
                      <w:color w:val="000000" w:themeColor="text1"/>
                      <w:szCs w:val="24"/>
                    </w:rPr>
                  </w:pPr>
                  <w:r w:rsidRPr="002A51F9">
                    <w:rPr>
                      <w:rFonts w:ascii="Arial" w:hAnsi="Arial" w:cs="Arial"/>
                      <w:color w:val="000000" w:themeColor="text1"/>
                      <w:szCs w:val="24"/>
                    </w:rPr>
                    <w:t>Leisure Assistant </w:t>
                  </w:r>
                  <w:r w:rsidR="00DD7EFF" w:rsidRPr="002A51F9">
                    <w:rPr>
                      <w:rFonts w:ascii="Arial" w:hAnsi="Arial" w:cs="Arial"/>
                      <w:color w:val="000000" w:themeColor="text1"/>
                      <w:szCs w:val="24"/>
                    </w:rPr>
                    <w:t>-</w:t>
                  </w:r>
                  <w:r w:rsidRPr="002A51F9">
                    <w:rPr>
                      <w:rFonts w:ascii="Arial" w:hAnsi="Arial" w:cs="Arial"/>
                      <w:color w:val="000000" w:themeColor="text1"/>
                      <w:szCs w:val="24"/>
                    </w:rPr>
                    <w:t xml:space="preserve"> </w:t>
                  </w:r>
                  <w:r w:rsidR="00DD7EFF" w:rsidRPr="002A51F9">
                    <w:rPr>
                      <w:rFonts w:ascii="Arial" w:hAnsi="Arial" w:cs="Arial"/>
                      <w:color w:val="000000"/>
                      <w:szCs w:val="24"/>
                    </w:rPr>
                    <w:t>Lochaber High School</w:t>
                  </w:r>
                </w:p>
              </w:tc>
              <w:tc>
                <w:tcPr>
                  <w:tcW w:w="1559" w:type="dxa"/>
                  <w:noWrap/>
                  <w:hideMark/>
                </w:tcPr>
                <w:p w:rsidR="00493EDC" w:rsidRPr="002A51F9" w:rsidRDefault="00493EDC" w:rsidP="00401608">
                  <w:pPr>
                    <w:jc w:val="right"/>
                    <w:rPr>
                      <w:rFonts w:ascii="Arial" w:hAnsi="Arial" w:cs="Arial"/>
                      <w:color w:val="000000" w:themeColor="text1"/>
                      <w:szCs w:val="24"/>
                    </w:rPr>
                  </w:pPr>
                  <w:r w:rsidRPr="002A51F9">
                    <w:rPr>
                      <w:rFonts w:ascii="Arial" w:hAnsi="Arial" w:cs="Arial"/>
                      <w:color w:val="000000" w:themeColor="text1"/>
                      <w:szCs w:val="24"/>
                    </w:rPr>
                    <w:t>0.027</w:t>
                  </w:r>
                </w:p>
              </w:tc>
            </w:tr>
            <w:tr w:rsidR="00493EDC" w:rsidRPr="00401608" w:rsidTr="00255FC0">
              <w:trPr>
                <w:trHeight w:val="315"/>
              </w:trPr>
              <w:tc>
                <w:tcPr>
                  <w:tcW w:w="6980" w:type="dxa"/>
                  <w:noWrap/>
                  <w:hideMark/>
                </w:tcPr>
                <w:p w:rsidR="00493EDC" w:rsidRPr="002A51F9" w:rsidRDefault="00493EDC" w:rsidP="00401608">
                  <w:pPr>
                    <w:rPr>
                      <w:rFonts w:ascii="Arial" w:hAnsi="Arial" w:cs="Arial"/>
                      <w:color w:val="000000" w:themeColor="text1"/>
                      <w:szCs w:val="24"/>
                    </w:rPr>
                  </w:pPr>
                  <w:r w:rsidRPr="002A51F9">
                    <w:rPr>
                      <w:rFonts w:ascii="Arial" w:hAnsi="Arial" w:cs="Arial"/>
                      <w:color w:val="000000" w:themeColor="text1"/>
                      <w:szCs w:val="24"/>
                    </w:rPr>
                    <w:t>Janitors</w:t>
                  </w:r>
                  <w:r w:rsidR="00DD7EFF" w:rsidRPr="002A51F9">
                    <w:rPr>
                      <w:rFonts w:ascii="Arial" w:hAnsi="Arial" w:cs="Arial"/>
                      <w:color w:val="000000"/>
                      <w:szCs w:val="24"/>
                    </w:rPr>
                    <w:t xml:space="preserve"> - Lochaber High School</w:t>
                  </w:r>
                </w:p>
              </w:tc>
              <w:tc>
                <w:tcPr>
                  <w:tcW w:w="1559" w:type="dxa"/>
                  <w:noWrap/>
                  <w:hideMark/>
                </w:tcPr>
                <w:p w:rsidR="00493EDC" w:rsidRPr="002A51F9" w:rsidRDefault="00493EDC" w:rsidP="00FE3A29">
                  <w:pPr>
                    <w:jc w:val="right"/>
                    <w:rPr>
                      <w:rFonts w:ascii="Arial" w:hAnsi="Arial" w:cs="Arial"/>
                      <w:color w:val="000000" w:themeColor="text1"/>
                      <w:szCs w:val="24"/>
                    </w:rPr>
                  </w:pPr>
                  <w:r w:rsidRPr="002A51F9">
                    <w:rPr>
                      <w:rFonts w:ascii="Arial" w:hAnsi="Arial" w:cs="Arial"/>
                      <w:color w:val="000000" w:themeColor="text1"/>
                      <w:szCs w:val="24"/>
                    </w:rPr>
                    <w:t>2</w:t>
                  </w:r>
                  <w:r w:rsidR="00DD7EFF" w:rsidRPr="002A51F9">
                    <w:rPr>
                      <w:rFonts w:ascii="Arial" w:hAnsi="Arial" w:cs="Arial"/>
                      <w:color w:val="000000" w:themeColor="text1"/>
                      <w:szCs w:val="24"/>
                    </w:rPr>
                    <w:t>.0</w:t>
                  </w:r>
                </w:p>
              </w:tc>
            </w:tr>
            <w:tr w:rsidR="00493EDC" w:rsidRPr="00401608" w:rsidTr="00255FC0">
              <w:trPr>
                <w:trHeight w:val="315"/>
              </w:trPr>
              <w:tc>
                <w:tcPr>
                  <w:tcW w:w="6980" w:type="dxa"/>
                  <w:noWrap/>
                  <w:hideMark/>
                </w:tcPr>
                <w:p w:rsidR="00493EDC" w:rsidRPr="002A51F9" w:rsidRDefault="00493EDC" w:rsidP="00401608">
                  <w:pPr>
                    <w:rPr>
                      <w:rFonts w:ascii="Arial" w:hAnsi="Arial" w:cs="Arial"/>
                      <w:color w:val="000000" w:themeColor="text1"/>
                      <w:szCs w:val="24"/>
                    </w:rPr>
                  </w:pPr>
                  <w:r w:rsidRPr="002A51F9">
                    <w:rPr>
                      <w:rFonts w:ascii="Arial" w:hAnsi="Arial" w:cs="Arial"/>
                      <w:color w:val="000000" w:themeColor="text1"/>
                      <w:szCs w:val="24"/>
                    </w:rPr>
                    <w:t>Operations Assistant</w:t>
                  </w:r>
                  <w:r w:rsidR="00DD7EFF" w:rsidRPr="002A51F9">
                    <w:rPr>
                      <w:rFonts w:ascii="Arial" w:hAnsi="Arial" w:cs="Arial"/>
                      <w:color w:val="000000" w:themeColor="text1"/>
                      <w:szCs w:val="24"/>
                    </w:rPr>
                    <w:t xml:space="preserve"> - </w:t>
                  </w:r>
                  <w:r w:rsidR="00DD7EFF" w:rsidRPr="002A51F9">
                    <w:rPr>
                      <w:rFonts w:ascii="Arial" w:hAnsi="Arial" w:cs="Arial"/>
                      <w:color w:val="000000"/>
                      <w:szCs w:val="24"/>
                    </w:rPr>
                    <w:t>Highland Folk Museum</w:t>
                  </w:r>
                </w:p>
              </w:tc>
              <w:tc>
                <w:tcPr>
                  <w:tcW w:w="1559" w:type="dxa"/>
                  <w:noWrap/>
                  <w:hideMark/>
                </w:tcPr>
                <w:p w:rsidR="00493EDC" w:rsidRPr="002A51F9" w:rsidRDefault="00493EDC" w:rsidP="00401608">
                  <w:pPr>
                    <w:jc w:val="right"/>
                    <w:rPr>
                      <w:rFonts w:ascii="Arial" w:hAnsi="Arial" w:cs="Arial"/>
                      <w:color w:val="000000" w:themeColor="text1"/>
                      <w:szCs w:val="24"/>
                    </w:rPr>
                  </w:pPr>
                  <w:r w:rsidRPr="002A51F9">
                    <w:rPr>
                      <w:rFonts w:ascii="Arial" w:hAnsi="Arial" w:cs="Arial"/>
                      <w:color w:val="000000" w:themeColor="text1"/>
                      <w:szCs w:val="24"/>
                    </w:rPr>
                    <w:t>1</w:t>
                  </w:r>
                  <w:r w:rsidR="00DD7EFF" w:rsidRPr="002A51F9">
                    <w:rPr>
                      <w:rFonts w:ascii="Arial" w:hAnsi="Arial" w:cs="Arial"/>
                      <w:color w:val="000000" w:themeColor="text1"/>
                      <w:szCs w:val="24"/>
                    </w:rPr>
                    <w:t>.0</w:t>
                  </w:r>
                </w:p>
              </w:tc>
            </w:tr>
            <w:tr w:rsidR="00493EDC" w:rsidRPr="00401608" w:rsidTr="00255FC0">
              <w:trPr>
                <w:trHeight w:val="315"/>
              </w:trPr>
              <w:tc>
                <w:tcPr>
                  <w:tcW w:w="6980" w:type="dxa"/>
                  <w:noWrap/>
                  <w:hideMark/>
                </w:tcPr>
                <w:p w:rsidR="00493EDC" w:rsidRPr="002A51F9" w:rsidRDefault="00DD7EFF" w:rsidP="00401608">
                  <w:pPr>
                    <w:rPr>
                      <w:rFonts w:ascii="Arial" w:hAnsi="Arial" w:cs="Arial"/>
                      <w:b/>
                      <w:color w:val="000000" w:themeColor="text1"/>
                      <w:szCs w:val="24"/>
                    </w:rPr>
                  </w:pPr>
                  <w:r w:rsidRPr="002A51F9">
                    <w:rPr>
                      <w:rFonts w:ascii="Arial" w:hAnsi="Arial" w:cs="Arial"/>
                      <w:b/>
                      <w:color w:val="000000" w:themeColor="text1"/>
                      <w:szCs w:val="24"/>
                    </w:rPr>
                    <w:t>Total Change over quarter 2</w:t>
                  </w:r>
                </w:p>
              </w:tc>
              <w:tc>
                <w:tcPr>
                  <w:tcW w:w="1559" w:type="dxa"/>
                  <w:noWrap/>
                  <w:hideMark/>
                </w:tcPr>
                <w:p w:rsidR="00493EDC" w:rsidRPr="002A51F9" w:rsidRDefault="00493EDC" w:rsidP="00401608">
                  <w:pPr>
                    <w:jc w:val="right"/>
                    <w:rPr>
                      <w:rFonts w:ascii="Arial" w:hAnsi="Arial" w:cs="Arial"/>
                      <w:b/>
                      <w:color w:val="000000" w:themeColor="text1"/>
                      <w:szCs w:val="24"/>
                    </w:rPr>
                  </w:pPr>
                  <w:r w:rsidRPr="002A51F9">
                    <w:rPr>
                      <w:rFonts w:ascii="Arial" w:hAnsi="Arial" w:cs="Arial"/>
                      <w:b/>
                      <w:color w:val="000000" w:themeColor="text1"/>
                      <w:szCs w:val="24"/>
                    </w:rPr>
                    <w:t>1.505</w:t>
                  </w:r>
                </w:p>
              </w:tc>
            </w:tr>
          </w:tbl>
          <w:p w:rsidR="00401608" w:rsidRDefault="00401608" w:rsidP="0070412A">
            <w:pPr>
              <w:jc w:val="both"/>
              <w:rPr>
                <w:rFonts w:ascii="Arial" w:hAnsi="Arial" w:cs="Arial"/>
                <w:szCs w:val="24"/>
              </w:rPr>
            </w:pPr>
          </w:p>
          <w:p w:rsidR="0070412A" w:rsidRDefault="004E4B5E" w:rsidP="0070412A">
            <w:pPr>
              <w:jc w:val="both"/>
              <w:rPr>
                <w:rFonts w:ascii="Arial" w:hAnsi="Arial" w:cs="Arial"/>
                <w:szCs w:val="24"/>
              </w:rPr>
            </w:pPr>
            <w:r>
              <w:rPr>
                <w:rFonts w:ascii="Arial" w:hAnsi="Arial" w:cs="Arial"/>
                <w:szCs w:val="24"/>
              </w:rPr>
              <w:t xml:space="preserve">The staffing establishment </w:t>
            </w:r>
            <w:r w:rsidR="0070412A" w:rsidRPr="00B35E26">
              <w:rPr>
                <w:rFonts w:ascii="Arial" w:hAnsi="Arial" w:cs="Arial"/>
                <w:szCs w:val="24"/>
              </w:rPr>
              <w:t xml:space="preserve">at the end of </w:t>
            </w:r>
            <w:r w:rsidR="00CF0B36">
              <w:rPr>
                <w:rFonts w:ascii="Arial" w:hAnsi="Arial" w:cs="Arial"/>
                <w:szCs w:val="24"/>
              </w:rPr>
              <w:t>q</w:t>
            </w:r>
            <w:r w:rsidR="0070412A" w:rsidRPr="00B35E26">
              <w:rPr>
                <w:rFonts w:ascii="Arial" w:hAnsi="Arial" w:cs="Arial"/>
                <w:szCs w:val="24"/>
              </w:rPr>
              <w:t xml:space="preserve">uarter </w:t>
            </w:r>
            <w:r w:rsidR="00DD7EFF">
              <w:rPr>
                <w:rFonts w:ascii="Arial" w:hAnsi="Arial" w:cs="Arial"/>
                <w:szCs w:val="24"/>
              </w:rPr>
              <w:t>2</w:t>
            </w:r>
            <w:r w:rsidR="0070412A" w:rsidRPr="00B35E26">
              <w:rPr>
                <w:rFonts w:ascii="Arial" w:hAnsi="Arial" w:cs="Arial"/>
                <w:szCs w:val="24"/>
              </w:rPr>
              <w:t xml:space="preserve"> is therefore </w:t>
            </w:r>
            <w:r w:rsidR="00493EDC">
              <w:rPr>
                <w:rFonts w:ascii="Arial" w:hAnsi="Arial" w:cs="Arial"/>
                <w:szCs w:val="24"/>
              </w:rPr>
              <w:t>505.425</w:t>
            </w:r>
            <w:r w:rsidR="00952CCE">
              <w:rPr>
                <w:rFonts w:ascii="Arial" w:hAnsi="Arial" w:cs="Arial"/>
                <w:szCs w:val="24"/>
              </w:rPr>
              <w:t xml:space="preserve"> FTE (</w:t>
            </w:r>
            <w:r w:rsidR="0070412A" w:rsidRPr="0070412A">
              <w:rPr>
                <w:rFonts w:ascii="Arial" w:hAnsi="Arial" w:cs="Arial"/>
                <w:color w:val="000000"/>
                <w:szCs w:val="24"/>
              </w:rPr>
              <w:t>59</w:t>
            </w:r>
            <w:r w:rsidR="00493EDC">
              <w:rPr>
                <w:rFonts w:ascii="Arial" w:hAnsi="Arial" w:cs="Arial"/>
                <w:color w:val="000000"/>
                <w:szCs w:val="24"/>
              </w:rPr>
              <w:t>9</w:t>
            </w:r>
            <w:r w:rsidR="0070412A" w:rsidRPr="0070412A">
              <w:rPr>
                <w:rFonts w:ascii="Arial" w:hAnsi="Arial" w:cs="Arial"/>
                <w:color w:val="000000"/>
                <w:szCs w:val="24"/>
              </w:rPr>
              <w:t>.</w:t>
            </w:r>
            <w:r w:rsidR="00493EDC">
              <w:rPr>
                <w:rFonts w:ascii="Arial" w:hAnsi="Arial" w:cs="Arial"/>
                <w:color w:val="000000"/>
                <w:szCs w:val="24"/>
              </w:rPr>
              <w:t>635</w:t>
            </w:r>
            <w:r w:rsidR="0070412A">
              <w:rPr>
                <w:rFonts w:ascii="Arial" w:hAnsi="Arial" w:cs="Arial"/>
                <w:szCs w:val="24"/>
              </w:rPr>
              <w:t xml:space="preserve"> </w:t>
            </w:r>
            <w:r w:rsidR="0070412A" w:rsidRPr="00B35E26">
              <w:rPr>
                <w:rFonts w:ascii="Arial" w:hAnsi="Arial" w:cs="Arial"/>
                <w:szCs w:val="24"/>
              </w:rPr>
              <w:t>FTE</w:t>
            </w:r>
            <w:r w:rsidR="00952CCE">
              <w:rPr>
                <w:rFonts w:ascii="Arial" w:hAnsi="Arial" w:cs="Arial"/>
                <w:szCs w:val="24"/>
              </w:rPr>
              <w:t xml:space="preserve"> inclusive of Inverness Leisure)</w:t>
            </w:r>
            <w:r w:rsidR="0070412A" w:rsidRPr="00B35E26">
              <w:rPr>
                <w:rFonts w:ascii="Arial" w:hAnsi="Arial" w:cs="Arial"/>
                <w:szCs w:val="24"/>
              </w:rPr>
              <w:t>.</w:t>
            </w:r>
          </w:p>
          <w:p w:rsidR="0045618C" w:rsidRPr="007214D1" w:rsidRDefault="0070412A" w:rsidP="0070412A">
            <w:pPr>
              <w:jc w:val="both"/>
              <w:rPr>
                <w:rFonts w:ascii="Arial" w:hAnsi="Arial" w:cs="Arial"/>
                <w:szCs w:val="24"/>
              </w:rPr>
            </w:pPr>
            <w:r w:rsidRPr="007214D1">
              <w:rPr>
                <w:rFonts w:ascii="Arial" w:hAnsi="Arial" w:cs="Arial"/>
                <w:szCs w:val="24"/>
              </w:rPr>
              <w:t xml:space="preserve"> </w:t>
            </w:r>
          </w:p>
        </w:tc>
      </w:tr>
      <w:tr w:rsidR="006F5801" w:rsidRPr="007214D1" w:rsidTr="0045618C">
        <w:trPr>
          <w:trHeight w:val="2551"/>
        </w:trPr>
        <w:tc>
          <w:tcPr>
            <w:tcW w:w="817" w:type="dxa"/>
          </w:tcPr>
          <w:p w:rsidR="006F5801" w:rsidRDefault="006F5801" w:rsidP="00416BFF">
            <w:pPr>
              <w:rPr>
                <w:rFonts w:ascii="Arial" w:hAnsi="Arial" w:cs="Arial"/>
                <w:szCs w:val="24"/>
              </w:rPr>
            </w:pPr>
            <w:r>
              <w:rPr>
                <w:rFonts w:ascii="Arial" w:hAnsi="Arial" w:cs="Arial"/>
                <w:szCs w:val="24"/>
              </w:rPr>
              <w:t>3.2</w:t>
            </w:r>
          </w:p>
          <w:p w:rsidR="006F5801" w:rsidRDefault="006F5801" w:rsidP="00416BFF">
            <w:pPr>
              <w:rPr>
                <w:rFonts w:ascii="Arial" w:hAnsi="Arial" w:cs="Arial"/>
                <w:szCs w:val="24"/>
              </w:rPr>
            </w:pPr>
          </w:p>
          <w:p w:rsidR="006F5801" w:rsidRDefault="006F5801" w:rsidP="00416BFF">
            <w:pPr>
              <w:rPr>
                <w:rFonts w:ascii="Arial" w:hAnsi="Arial" w:cs="Arial"/>
                <w:szCs w:val="24"/>
              </w:rPr>
            </w:pPr>
            <w:r>
              <w:rPr>
                <w:rFonts w:ascii="Arial" w:hAnsi="Arial" w:cs="Arial"/>
                <w:szCs w:val="24"/>
              </w:rPr>
              <w:t>3.2.1</w:t>
            </w:r>
          </w:p>
          <w:p w:rsidR="006F5801" w:rsidRDefault="006F5801" w:rsidP="00416BFF">
            <w:pPr>
              <w:rPr>
                <w:rFonts w:ascii="Arial" w:hAnsi="Arial" w:cs="Arial"/>
                <w:szCs w:val="24"/>
              </w:rPr>
            </w:pPr>
          </w:p>
          <w:p w:rsidR="006F5801" w:rsidRDefault="006F5801" w:rsidP="00416BFF">
            <w:pPr>
              <w:rPr>
                <w:rFonts w:ascii="Arial" w:hAnsi="Arial" w:cs="Arial"/>
                <w:szCs w:val="24"/>
              </w:rPr>
            </w:pPr>
          </w:p>
          <w:p w:rsidR="005E442C" w:rsidRDefault="005E442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5E442C" w:rsidRDefault="005E442C" w:rsidP="00416BFF">
            <w:pPr>
              <w:rPr>
                <w:rFonts w:ascii="Arial" w:hAnsi="Arial" w:cs="Arial"/>
                <w:szCs w:val="24"/>
              </w:rPr>
            </w:pPr>
          </w:p>
          <w:p w:rsidR="005E442C" w:rsidRDefault="005E442C" w:rsidP="00416BFF">
            <w:pPr>
              <w:rPr>
                <w:rFonts w:ascii="Arial" w:hAnsi="Arial" w:cs="Arial"/>
                <w:szCs w:val="24"/>
              </w:rPr>
            </w:pPr>
          </w:p>
          <w:p w:rsidR="005E442C" w:rsidRDefault="005E442C" w:rsidP="00416BFF">
            <w:pPr>
              <w:rPr>
                <w:rFonts w:ascii="Arial" w:hAnsi="Arial" w:cs="Arial"/>
                <w:szCs w:val="24"/>
              </w:rPr>
            </w:pPr>
          </w:p>
          <w:p w:rsidR="00200C8E" w:rsidRDefault="00200C8E" w:rsidP="00416BFF">
            <w:pPr>
              <w:rPr>
                <w:rFonts w:ascii="Arial" w:hAnsi="Arial" w:cs="Arial"/>
                <w:szCs w:val="24"/>
              </w:rPr>
            </w:pPr>
          </w:p>
          <w:p w:rsidR="00200C8E" w:rsidRDefault="00200C8E" w:rsidP="00416BFF">
            <w:pPr>
              <w:rPr>
                <w:rFonts w:ascii="Arial" w:hAnsi="Arial" w:cs="Arial"/>
                <w:szCs w:val="24"/>
              </w:rPr>
            </w:pPr>
          </w:p>
          <w:p w:rsidR="00200C8E" w:rsidRDefault="00200C8E" w:rsidP="00416BFF">
            <w:pPr>
              <w:rPr>
                <w:rFonts w:ascii="Arial" w:hAnsi="Arial" w:cs="Arial"/>
                <w:szCs w:val="24"/>
              </w:rPr>
            </w:pPr>
          </w:p>
          <w:p w:rsidR="00200C8E" w:rsidRPr="00200C8E" w:rsidRDefault="00200C8E" w:rsidP="00416BFF">
            <w:pPr>
              <w:rPr>
                <w:rFonts w:ascii="Arial" w:hAnsi="Arial" w:cs="Arial"/>
                <w:sz w:val="18"/>
                <w:szCs w:val="24"/>
              </w:rPr>
            </w:pPr>
          </w:p>
          <w:p w:rsidR="00952CCE" w:rsidRDefault="00952CCE" w:rsidP="00416BFF">
            <w:pPr>
              <w:rPr>
                <w:rFonts w:ascii="Arial" w:hAnsi="Arial" w:cs="Arial"/>
                <w:szCs w:val="24"/>
              </w:rPr>
            </w:pPr>
          </w:p>
          <w:p w:rsidR="00952CCE" w:rsidRDefault="00952CCE" w:rsidP="00416BFF">
            <w:pPr>
              <w:rPr>
                <w:rFonts w:ascii="Arial" w:hAnsi="Arial" w:cs="Arial"/>
                <w:szCs w:val="24"/>
              </w:rPr>
            </w:pPr>
          </w:p>
          <w:p w:rsidR="00952CCE" w:rsidRDefault="00952CCE" w:rsidP="00416BFF">
            <w:pPr>
              <w:rPr>
                <w:rFonts w:ascii="Arial" w:hAnsi="Arial" w:cs="Arial"/>
                <w:szCs w:val="24"/>
              </w:rPr>
            </w:pPr>
          </w:p>
          <w:p w:rsidR="00BB0395" w:rsidRPr="00BB0395" w:rsidRDefault="00BB0395" w:rsidP="00416BFF">
            <w:pPr>
              <w:rPr>
                <w:rFonts w:ascii="Arial" w:hAnsi="Arial" w:cs="Arial"/>
                <w:sz w:val="8"/>
                <w:szCs w:val="24"/>
              </w:rPr>
            </w:pPr>
          </w:p>
          <w:p w:rsidR="006F5801" w:rsidRDefault="006F5801" w:rsidP="00416BFF">
            <w:pPr>
              <w:rPr>
                <w:rFonts w:ascii="Arial" w:hAnsi="Arial" w:cs="Arial"/>
                <w:szCs w:val="24"/>
              </w:rPr>
            </w:pPr>
            <w:r>
              <w:rPr>
                <w:rFonts w:ascii="Arial" w:hAnsi="Arial" w:cs="Arial"/>
                <w:szCs w:val="24"/>
              </w:rPr>
              <w:t>3.2.2</w:t>
            </w:r>
          </w:p>
          <w:p w:rsidR="00E11B89" w:rsidRDefault="00E11B89" w:rsidP="00416BFF">
            <w:pPr>
              <w:rPr>
                <w:rFonts w:ascii="Arial" w:hAnsi="Arial" w:cs="Arial"/>
                <w:szCs w:val="24"/>
              </w:rPr>
            </w:pPr>
          </w:p>
          <w:p w:rsidR="00200C8E" w:rsidRPr="00952CCE" w:rsidRDefault="00200C8E" w:rsidP="00416BFF">
            <w:pPr>
              <w:rPr>
                <w:rFonts w:ascii="Arial" w:hAnsi="Arial" w:cs="Arial"/>
                <w:szCs w:val="24"/>
              </w:rPr>
            </w:pPr>
          </w:p>
          <w:p w:rsidR="002A51F9" w:rsidRDefault="002A51F9" w:rsidP="00416BFF">
            <w:pPr>
              <w:rPr>
                <w:rFonts w:ascii="Arial" w:hAnsi="Arial" w:cs="Arial"/>
                <w:szCs w:val="24"/>
              </w:rPr>
            </w:pPr>
          </w:p>
          <w:p w:rsidR="00465229" w:rsidRPr="002245D8" w:rsidRDefault="002245D8" w:rsidP="00416BFF">
            <w:pPr>
              <w:rPr>
                <w:rFonts w:ascii="Arial" w:hAnsi="Arial" w:cs="Arial"/>
                <w:szCs w:val="24"/>
              </w:rPr>
            </w:pPr>
            <w:r w:rsidRPr="002245D8">
              <w:rPr>
                <w:rFonts w:ascii="Arial" w:hAnsi="Arial" w:cs="Arial"/>
                <w:szCs w:val="24"/>
              </w:rPr>
              <w:t>3.2.3</w:t>
            </w:r>
          </w:p>
          <w:p w:rsidR="007F57B7" w:rsidRDefault="007F57B7" w:rsidP="00416BFF">
            <w:pPr>
              <w:rPr>
                <w:rFonts w:ascii="Arial" w:hAnsi="Arial" w:cs="Arial"/>
                <w:szCs w:val="24"/>
              </w:rPr>
            </w:pPr>
          </w:p>
          <w:p w:rsidR="002245D8" w:rsidRDefault="002245D8" w:rsidP="00416BFF">
            <w:pPr>
              <w:rPr>
                <w:rFonts w:ascii="Arial" w:hAnsi="Arial" w:cs="Arial"/>
                <w:szCs w:val="24"/>
              </w:rPr>
            </w:pPr>
          </w:p>
          <w:p w:rsidR="002245D8" w:rsidRDefault="002245D8" w:rsidP="00416BFF">
            <w:pPr>
              <w:rPr>
                <w:rFonts w:ascii="Arial" w:hAnsi="Arial" w:cs="Arial"/>
                <w:szCs w:val="24"/>
              </w:rPr>
            </w:pPr>
            <w:r>
              <w:rPr>
                <w:rFonts w:ascii="Arial" w:hAnsi="Arial" w:cs="Arial"/>
                <w:szCs w:val="24"/>
              </w:rPr>
              <w:t>3.2.4</w:t>
            </w:r>
          </w:p>
          <w:p w:rsidR="00E45F94" w:rsidRDefault="00E45F94" w:rsidP="00416BFF">
            <w:pPr>
              <w:rPr>
                <w:rFonts w:ascii="Arial" w:hAnsi="Arial" w:cs="Arial"/>
                <w:szCs w:val="24"/>
              </w:rPr>
            </w:pPr>
          </w:p>
          <w:p w:rsidR="00E45F94" w:rsidRDefault="00E45F94" w:rsidP="00416BFF">
            <w:pPr>
              <w:rPr>
                <w:rFonts w:ascii="Arial" w:hAnsi="Arial" w:cs="Arial"/>
                <w:szCs w:val="24"/>
              </w:rPr>
            </w:pPr>
          </w:p>
          <w:p w:rsidR="00E45F94" w:rsidRDefault="00E45F94" w:rsidP="00416BFF">
            <w:pPr>
              <w:rPr>
                <w:rFonts w:ascii="Arial" w:hAnsi="Arial" w:cs="Arial"/>
                <w:szCs w:val="24"/>
              </w:rPr>
            </w:pPr>
          </w:p>
          <w:p w:rsidR="00D03451" w:rsidRDefault="00D03451" w:rsidP="00416BFF">
            <w:pPr>
              <w:rPr>
                <w:rFonts w:ascii="Arial" w:hAnsi="Arial" w:cs="Arial"/>
                <w:szCs w:val="24"/>
              </w:rPr>
            </w:pPr>
          </w:p>
          <w:p w:rsidR="006F5801" w:rsidRDefault="00766BAD" w:rsidP="00416BFF">
            <w:pPr>
              <w:rPr>
                <w:rFonts w:ascii="Arial" w:hAnsi="Arial" w:cs="Arial"/>
                <w:szCs w:val="24"/>
              </w:rPr>
            </w:pPr>
            <w:r>
              <w:rPr>
                <w:rFonts w:ascii="Arial" w:hAnsi="Arial" w:cs="Arial"/>
                <w:szCs w:val="24"/>
              </w:rPr>
              <w:t>3</w:t>
            </w:r>
            <w:r w:rsidR="00B76CAE">
              <w:rPr>
                <w:rFonts w:ascii="Arial" w:hAnsi="Arial" w:cs="Arial"/>
                <w:szCs w:val="24"/>
              </w:rPr>
              <w:t>.3.</w:t>
            </w:r>
          </w:p>
          <w:p w:rsidR="006F5801" w:rsidRDefault="006F5801" w:rsidP="00416BFF">
            <w:pPr>
              <w:rPr>
                <w:rFonts w:ascii="Arial" w:hAnsi="Arial" w:cs="Arial"/>
                <w:szCs w:val="24"/>
              </w:rPr>
            </w:pPr>
          </w:p>
          <w:p w:rsidR="008C03E3" w:rsidRDefault="008C03E3" w:rsidP="00416BFF">
            <w:pPr>
              <w:rPr>
                <w:rFonts w:ascii="Arial" w:hAnsi="Arial" w:cs="Arial"/>
                <w:szCs w:val="24"/>
              </w:rPr>
            </w:pPr>
            <w:r>
              <w:rPr>
                <w:rFonts w:ascii="Arial" w:hAnsi="Arial" w:cs="Arial"/>
                <w:szCs w:val="24"/>
              </w:rPr>
              <w:t>3.3.1</w:t>
            </w:r>
          </w:p>
          <w:p w:rsidR="008C03E3" w:rsidRDefault="008C03E3" w:rsidP="00416BFF">
            <w:pPr>
              <w:rPr>
                <w:rFonts w:ascii="Arial" w:hAnsi="Arial" w:cs="Arial"/>
                <w:szCs w:val="24"/>
              </w:rPr>
            </w:pPr>
          </w:p>
          <w:p w:rsidR="00AB772D" w:rsidRDefault="00AB772D" w:rsidP="00416BFF">
            <w:pPr>
              <w:rPr>
                <w:rFonts w:ascii="Arial" w:hAnsi="Arial" w:cs="Arial"/>
                <w:szCs w:val="24"/>
              </w:rPr>
            </w:pPr>
          </w:p>
          <w:p w:rsidR="007B2FE1" w:rsidRDefault="007B2FE1" w:rsidP="00416BFF">
            <w:pPr>
              <w:rPr>
                <w:rFonts w:ascii="Arial" w:hAnsi="Arial" w:cs="Arial"/>
                <w:szCs w:val="24"/>
              </w:rPr>
            </w:pPr>
          </w:p>
          <w:p w:rsidR="002A51F9" w:rsidRDefault="002A51F9" w:rsidP="00416BFF">
            <w:pPr>
              <w:rPr>
                <w:rFonts w:ascii="Arial" w:hAnsi="Arial" w:cs="Arial"/>
                <w:szCs w:val="24"/>
              </w:rPr>
            </w:pPr>
          </w:p>
          <w:p w:rsidR="00995C74" w:rsidRDefault="00995C74" w:rsidP="00416BFF">
            <w:pPr>
              <w:rPr>
                <w:rFonts w:ascii="Arial" w:hAnsi="Arial" w:cs="Arial"/>
                <w:szCs w:val="24"/>
              </w:rPr>
            </w:pPr>
            <w:r>
              <w:rPr>
                <w:rFonts w:ascii="Arial" w:hAnsi="Arial" w:cs="Arial"/>
                <w:szCs w:val="24"/>
              </w:rPr>
              <w:t>3.4</w:t>
            </w:r>
          </w:p>
          <w:p w:rsidR="008C03E3" w:rsidRDefault="008C03E3" w:rsidP="00416BFF">
            <w:pPr>
              <w:rPr>
                <w:rFonts w:ascii="Arial" w:hAnsi="Arial" w:cs="Arial"/>
                <w:szCs w:val="24"/>
              </w:rPr>
            </w:pPr>
          </w:p>
          <w:p w:rsidR="008C03E3" w:rsidRDefault="008C03E3" w:rsidP="00416BFF">
            <w:pPr>
              <w:rPr>
                <w:rFonts w:ascii="Arial" w:hAnsi="Arial" w:cs="Arial"/>
                <w:szCs w:val="24"/>
              </w:rPr>
            </w:pPr>
            <w:r>
              <w:rPr>
                <w:rFonts w:ascii="Arial" w:hAnsi="Arial" w:cs="Arial"/>
                <w:szCs w:val="24"/>
              </w:rPr>
              <w:t>3.4.1</w:t>
            </w:r>
          </w:p>
          <w:p w:rsidR="00465229" w:rsidRPr="007214D1" w:rsidRDefault="00465229" w:rsidP="00D46356">
            <w:pPr>
              <w:rPr>
                <w:rFonts w:ascii="Arial" w:hAnsi="Arial" w:cs="Arial"/>
                <w:szCs w:val="24"/>
              </w:rPr>
            </w:pPr>
          </w:p>
        </w:tc>
        <w:tc>
          <w:tcPr>
            <w:tcW w:w="8647" w:type="dxa"/>
          </w:tcPr>
          <w:p w:rsidR="006F5801" w:rsidRPr="00265F13" w:rsidRDefault="006F5801" w:rsidP="00474274">
            <w:pPr>
              <w:jc w:val="both"/>
              <w:rPr>
                <w:rFonts w:ascii="Arial" w:hAnsi="Arial" w:cs="Arial"/>
                <w:u w:val="single"/>
              </w:rPr>
            </w:pPr>
            <w:r w:rsidRPr="00265F13">
              <w:rPr>
                <w:rFonts w:ascii="Arial" w:hAnsi="Arial" w:cs="Arial"/>
                <w:u w:val="single"/>
              </w:rPr>
              <w:lastRenderedPageBreak/>
              <w:t xml:space="preserve">Absence Levels </w:t>
            </w:r>
          </w:p>
          <w:p w:rsidR="006F5801" w:rsidRDefault="006F5801" w:rsidP="00474274">
            <w:pPr>
              <w:jc w:val="both"/>
              <w:rPr>
                <w:rFonts w:ascii="Arial" w:hAnsi="Arial" w:cs="Arial"/>
              </w:rPr>
            </w:pPr>
          </w:p>
          <w:p w:rsidR="006F5801" w:rsidRDefault="00CF0B36" w:rsidP="007B3DC7">
            <w:pPr>
              <w:jc w:val="both"/>
              <w:rPr>
                <w:rFonts w:ascii="Arial" w:eastAsia="Calibri" w:hAnsi="Arial" w:cs="Arial"/>
                <w:szCs w:val="24"/>
                <w:lang w:eastAsia="en-US"/>
              </w:rPr>
            </w:pPr>
            <w:r>
              <w:rPr>
                <w:rFonts w:ascii="Arial" w:eastAsia="Calibri" w:hAnsi="Arial" w:cs="Arial"/>
                <w:szCs w:val="24"/>
                <w:lang w:eastAsia="en-US"/>
              </w:rPr>
              <w:t>The absence figures for q</w:t>
            </w:r>
            <w:r w:rsidR="006F5801" w:rsidRPr="007B3DC7">
              <w:rPr>
                <w:rFonts w:ascii="Arial" w:eastAsia="Calibri" w:hAnsi="Arial" w:cs="Arial"/>
                <w:szCs w:val="24"/>
                <w:lang w:eastAsia="en-US"/>
              </w:rPr>
              <w:t xml:space="preserve">uarter </w:t>
            </w:r>
            <w:r w:rsidR="00DD7EFF">
              <w:rPr>
                <w:rFonts w:ascii="Arial" w:eastAsia="Calibri" w:hAnsi="Arial" w:cs="Arial"/>
                <w:szCs w:val="24"/>
                <w:lang w:eastAsia="en-US"/>
              </w:rPr>
              <w:t>2</w:t>
            </w:r>
            <w:r w:rsidR="006F5801" w:rsidRPr="007B3DC7">
              <w:rPr>
                <w:rFonts w:ascii="Arial" w:eastAsia="Calibri" w:hAnsi="Arial" w:cs="Arial"/>
                <w:szCs w:val="24"/>
                <w:lang w:eastAsia="en-US"/>
              </w:rPr>
              <w:t xml:space="preserve"> (</w:t>
            </w:r>
            <w:r w:rsidR="00DD7EFF">
              <w:rPr>
                <w:rFonts w:ascii="Arial" w:eastAsia="Calibri" w:hAnsi="Arial" w:cs="Arial"/>
                <w:szCs w:val="24"/>
                <w:lang w:eastAsia="en-US"/>
              </w:rPr>
              <w:t>July to September</w:t>
            </w:r>
            <w:r w:rsidR="006C09E9">
              <w:rPr>
                <w:rFonts w:ascii="Arial" w:eastAsia="Calibri" w:hAnsi="Arial" w:cs="Arial"/>
                <w:szCs w:val="24"/>
                <w:lang w:eastAsia="en-US"/>
              </w:rPr>
              <w:t xml:space="preserve"> </w:t>
            </w:r>
            <w:r w:rsidR="006F5801" w:rsidRPr="007B3DC7">
              <w:rPr>
                <w:rFonts w:ascii="Arial" w:hAnsi="Arial" w:cs="Arial"/>
                <w:szCs w:val="24"/>
              </w:rPr>
              <w:t>201</w:t>
            </w:r>
            <w:r w:rsidR="00F55F2F">
              <w:rPr>
                <w:rFonts w:ascii="Arial" w:hAnsi="Arial" w:cs="Arial"/>
                <w:szCs w:val="24"/>
              </w:rPr>
              <w:t>6</w:t>
            </w:r>
            <w:r w:rsidR="006F5801" w:rsidRPr="007B3DC7">
              <w:rPr>
                <w:rFonts w:ascii="Arial" w:eastAsia="Calibri" w:hAnsi="Arial" w:cs="Arial"/>
                <w:szCs w:val="24"/>
                <w:lang w:eastAsia="en-US"/>
              </w:rPr>
              <w:t>) were as follows:</w:t>
            </w:r>
          </w:p>
          <w:p w:rsidR="0045618C" w:rsidRDefault="0045618C" w:rsidP="007B3DC7">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1741"/>
              <w:gridCol w:w="1740"/>
              <w:gridCol w:w="1740"/>
              <w:gridCol w:w="1738"/>
            </w:tblGrid>
            <w:tr w:rsidR="0045618C" w:rsidRPr="00F37EB5" w:rsidTr="00A60358">
              <w:tc>
                <w:tcPr>
                  <w:tcW w:w="868"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 Absence Rates</w:t>
                  </w:r>
                </w:p>
                <w:p w:rsidR="0045618C" w:rsidRPr="00F37EB5" w:rsidRDefault="0045618C" w:rsidP="00A60358">
                  <w:pPr>
                    <w:spacing w:line="276" w:lineRule="auto"/>
                    <w:contextualSpacing/>
                    <w:jc w:val="center"/>
                    <w:rPr>
                      <w:rFonts w:ascii="Arial" w:eastAsia="Calibri" w:hAnsi="Arial" w:cs="Arial"/>
                      <w:b/>
                      <w:bCs/>
                      <w:szCs w:val="24"/>
                    </w:rPr>
                  </w:pPr>
                </w:p>
              </w:tc>
              <w:tc>
                <w:tcPr>
                  <w:tcW w:w="1034"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Quarter 1</w:t>
                  </w: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Apr - Jun</w:t>
                  </w:r>
                </w:p>
              </w:tc>
              <w:tc>
                <w:tcPr>
                  <w:tcW w:w="1033"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Quarter 2</w:t>
                  </w: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Jul - Sep</w:t>
                  </w:r>
                </w:p>
              </w:tc>
              <w:tc>
                <w:tcPr>
                  <w:tcW w:w="1033"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Quarter 3</w:t>
                  </w: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Oct - Dec</w:t>
                  </w:r>
                </w:p>
              </w:tc>
              <w:tc>
                <w:tcPr>
                  <w:tcW w:w="1032"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Quarter 4</w:t>
                  </w: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Jan - Mar</w:t>
                  </w:r>
                </w:p>
              </w:tc>
            </w:tr>
            <w:tr w:rsidR="0045618C" w:rsidRPr="00F37EB5" w:rsidTr="00A60358">
              <w:tc>
                <w:tcPr>
                  <w:tcW w:w="868"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2013/14</w:t>
                  </w:r>
                </w:p>
              </w:tc>
              <w:tc>
                <w:tcPr>
                  <w:tcW w:w="1034" w:type="pct"/>
                  <w:tcMar>
                    <w:top w:w="0" w:type="dxa"/>
                    <w:left w:w="108" w:type="dxa"/>
                    <w:bottom w:w="0" w:type="dxa"/>
                    <w:right w:w="108" w:type="dxa"/>
                  </w:tcMar>
                  <w:hideMark/>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3.48%</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(2.22 days/FTE)</w:t>
                  </w:r>
                </w:p>
              </w:tc>
              <w:tc>
                <w:tcPr>
                  <w:tcW w:w="1033" w:type="pct"/>
                  <w:tcMar>
                    <w:top w:w="0" w:type="dxa"/>
                    <w:left w:w="108" w:type="dxa"/>
                    <w:bottom w:w="0" w:type="dxa"/>
                    <w:right w:w="108" w:type="dxa"/>
                  </w:tcMar>
                  <w:hideMark/>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3.79%</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(2.50 days/FTE)</w:t>
                  </w:r>
                </w:p>
              </w:tc>
              <w:tc>
                <w:tcPr>
                  <w:tcW w:w="1033"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3.48%</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(2.12 days/FTE)</w:t>
                  </w:r>
                </w:p>
              </w:tc>
              <w:tc>
                <w:tcPr>
                  <w:tcW w:w="1032"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3.44%</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(2.13 days/FTE)</w:t>
                  </w:r>
                </w:p>
              </w:tc>
            </w:tr>
            <w:tr w:rsidR="0045618C" w:rsidRPr="00F37EB5" w:rsidTr="00A60358">
              <w:tc>
                <w:tcPr>
                  <w:tcW w:w="868"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2014/15</w:t>
                  </w:r>
                </w:p>
              </w:tc>
              <w:tc>
                <w:tcPr>
                  <w:tcW w:w="1034" w:type="pct"/>
                  <w:tcMar>
                    <w:top w:w="0" w:type="dxa"/>
                    <w:left w:w="108" w:type="dxa"/>
                    <w:bottom w:w="0" w:type="dxa"/>
                    <w:right w:w="108" w:type="dxa"/>
                  </w:tcMar>
                  <w:hideMark/>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2.91%</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(1.80 days/FTE)</w:t>
                  </w:r>
                </w:p>
              </w:tc>
              <w:tc>
                <w:tcPr>
                  <w:tcW w:w="1033" w:type="pct"/>
                  <w:tcMar>
                    <w:top w:w="0" w:type="dxa"/>
                    <w:left w:w="108" w:type="dxa"/>
                    <w:bottom w:w="0" w:type="dxa"/>
                    <w:right w:w="108" w:type="dxa"/>
                  </w:tcMar>
                  <w:hideMark/>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2.72%</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(1.79 days/FTE</w:t>
                  </w:r>
                </w:p>
              </w:tc>
              <w:tc>
                <w:tcPr>
                  <w:tcW w:w="1033"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2.83%</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(1.72 days/FTE)</w:t>
                  </w:r>
                </w:p>
              </w:tc>
              <w:tc>
                <w:tcPr>
                  <w:tcW w:w="1032"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3.40%</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(2.10 days/FTE)</w:t>
                  </w:r>
                </w:p>
              </w:tc>
            </w:tr>
            <w:tr w:rsidR="0045618C" w:rsidRPr="00F37EB5" w:rsidTr="00A60358">
              <w:tc>
                <w:tcPr>
                  <w:tcW w:w="868" w:type="pct"/>
                  <w:tcMar>
                    <w:top w:w="0" w:type="dxa"/>
                    <w:left w:w="108" w:type="dxa"/>
                    <w:bottom w:w="0" w:type="dxa"/>
                    <w:right w:w="108" w:type="dxa"/>
                  </w:tcMar>
                </w:tcPr>
                <w:p w:rsidR="0045618C"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Pr>
                      <w:rFonts w:ascii="Arial" w:eastAsia="Calibri" w:hAnsi="Arial" w:cs="Arial"/>
                      <w:b/>
                      <w:bCs/>
                      <w:szCs w:val="24"/>
                    </w:rPr>
                    <w:t>2015/16</w:t>
                  </w:r>
                </w:p>
              </w:tc>
              <w:tc>
                <w:tcPr>
                  <w:tcW w:w="1034" w:type="pct"/>
                  <w:tcMar>
                    <w:top w:w="0" w:type="dxa"/>
                    <w:left w:w="108" w:type="dxa"/>
                    <w:bottom w:w="0" w:type="dxa"/>
                    <w:right w:w="108" w:type="dxa"/>
                  </w:tcMar>
                </w:tcPr>
                <w:p w:rsidR="0045618C" w:rsidRDefault="0045618C" w:rsidP="00A60358">
                  <w:pPr>
                    <w:spacing w:line="276" w:lineRule="auto"/>
                    <w:contextualSpacing/>
                    <w:jc w:val="center"/>
                    <w:rPr>
                      <w:rFonts w:ascii="Arial" w:eastAsia="Calibri" w:hAnsi="Arial" w:cs="Arial"/>
                      <w:szCs w:val="24"/>
                    </w:rPr>
                  </w:pPr>
                  <w:r>
                    <w:rPr>
                      <w:rFonts w:ascii="Arial" w:eastAsia="Calibri" w:hAnsi="Arial" w:cs="Arial"/>
                      <w:szCs w:val="24"/>
                    </w:rPr>
                    <w:t xml:space="preserve">2.48% </w:t>
                  </w:r>
                </w:p>
                <w:p w:rsidR="0045618C" w:rsidRPr="00F37EB5" w:rsidRDefault="0045618C" w:rsidP="00A60358">
                  <w:pPr>
                    <w:spacing w:line="276" w:lineRule="auto"/>
                    <w:contextualSpacing/>
                    <w:jc w:val="center"/>
                    <w:rPr>
                      <w:rFonts w:ascii="Arial" w:eastAsia="Calibri" w:hAnsi="Arial" w:cs="Arial"/>
                      <w:szCs w:val="24"/>
                    </w:rPr>
                  </w:pPr>
                  <w:r>
                    <w:rPr>
                      <w:rFonts w:ascii="Arial" w:eastAsia="Calibri" w:hAnsi="Arial" w:cs="Arial"/>
                      <w:szCs w:val="24"/>
                    </w:rPr>
                    <w:t>(1.51 days/FTE)</w:t>
                  </w:r>
                </w:p>
              </w:tc>
              <w:tc>
                <w:tcPr>
                  <w:tcW w:w="1033" w:type="pct"/>
                  <w:tcMar>
                    <w:top w:w="0" w:type="dxa"/>
                    <w:left w:w="108" w:type="dxa"/>
                    <w:bottom w:w="0" w:type="dxa"/>
                    <w:right w:w="108" w:type="dxa"/>
                  </w:tcMar>
                </w:tcPr>
                <w:p w:rsidR="0045618C" w:rsidRDefault="0045618C" w:rsidP="00A60358">
                  <w:pPr>
                    <w:spacing w:line="276" w:lineRule="auto"/>
                    <w:contextualSpacing/>
                    <w:jc w:val="center"/>
                    <w:rPr>
                      <w:rFonts w:ascii="Arial" w:eastAsia="Calibri" w:hAnsi="Arial" w:cs="Arial"/>
                      <w:szCs w:val="24"/>
                    </w:rPr>
                  </w:pPr>
                  <w:r>
                    <w:rPr>
                      <w:rFonts w:ascii="Arial" w:eastAsia="Calibri" w:hAnsi="Arial" w:cs="Arial"/>
                      <w:szCs w:val="24"/>
                    </w:rPr>
                    <w:t>2.78%</w:t>
                  </w:r>
                </w:p>
                <w:p w:rsidR="0045618C" w:rsidRPr="00F37EB5" w:rsidRDefault="0045618C" w:rsidP="00A60358">
                  <w:pPr>
                    <w:spacing w:line="276" w:lineRule="auto"/>
                    <w:contextualSpacing/>
                    <w:jc w:val="center"/>
                    <w:rPr>
                      <w:rFonts w:ascii="Arial" w:eastAsia="Calibri" w:hAnsi="Arial" w:cs="Arial"/>
                      <w:szCs w:val="24"/>
                    </w:rPr>
                  </w:pPr>
                  <w:r>
                    <w:rPr>
                      <w:rFonts w:ascii="Arial" w:eastAsia="Calibri" w:hAnsi="Arial" w:cs="Arial"/>
                      <w:szCs w:val="24"/>
                    </w:rPr>
                    <w:t>(1.83 days/FTE)</w:t>
                  </w:r>
                </w:p>
              </w:tc>
              <w:tc>
                <w:tcPr>
                  <w:tcW w:w="1033" w:type="pct"/>
                  <w:tcMar>
                    <w:top w:w="0" w:type="dxa"/>
                    <w:left w:w="108" w:type="dxa"/>
                    <w:bottom w:w="0" w:type="dxa"/>
                    <w:right w:w="108" w:type="dxa"/>
                  </w:tcMar>
                </w:tcPr>
                <w:p w:rsidR="0045618C" w:rsidRPr="00682545" w:rsidRDefault="0045618C" w:rsidP="00A60358">
                  <w:pPr>
                    <w:spacing w:line="276" w:lineRule="auto"/>
                    <w:contextualSpacing/>
                    <w:jc w:val="center"/>
                    <w:rPr>
                      <w:rFonts w:ascii="Arial" w:eastAsia="Calibri" w:hAnsi="Arial" w:cs="Arial"/>
                      <w:color w:val="000000" w:themeColor="text1"/>
                      <w:szCs w:val="24"/>
                    </w:rPr>
                  </w:pPr>
                  <w:r w:rsidRPr="00682545">
                    <w:rPr>
                      <w:rFonts w:ascii="Arial" w:eastAsia="Calibri" w:hAnsi="Arial" w:cs="Arial"/>
                      <w:color w:val="000000" w:themeColor="text1"/>
                      <w:szCs w:val="24"/>
                    </w:rPr>
                    <w:t>3.4%</w:t>
                  </w:r>
                </w:p>
                <w:p w:rsidR="0045618C" w:rsidRPr="00F37EB5" w:rsidRDefault="0045618C" w:rsidP="0045618C">
                  <w:pPr>
                    <w:spacing w:line="276" w:lineRule="auto"/>
                    <w:contextualSpacing/>
                    <w:jc w:val="center"/>
                    <w:rPr>
                      <w:rFonts w:ascii="Arial" w:eastAsia="Calibri" w:hAnsi="Arial" w:cs="Arial"/>
                      <w:szCs w:val="24"/>
                    </w:rPr>
                  </w:pPr>
                  <w:r>
                    <w:rPr>
                      <w:rFonts w:ascii="Arial" w:eastAsia="Calibri" w:hAnsi="Arial" w:cs="Arial"/>
                      <w:szCs w:val="24"/>
                    </w:rPr>
                    <w:t>(2.1 days/FTE)</w:t>
                  </w:r>
                </w:p>
              </w:tc>
              <w:tc>
                <w:tcPr>
                  <w:tcW w:w="1032" w:type="pct"/>
                  <w:tcMar>
                    <w:top w:w="0" w:type="dxa"/>
                    <w:left w:w="108" w:type="dxa"/>
                    <w:bottom w:w="0" w:type="dxa"/>
                    <w:right w:w="108" w:type="dxa"/>
                  </w:tcMar>
                </w:tcPr>
                <w:p w:rsidR="0045618C" w:rsidRDefault="00CB7017" w:rsidP="00CB7017">
                  <w:pPr>
                    <w:spacing w:line="276" w:lineRule="auto"/>
                    <w:contextualSpacing/>
                    <w:jc w:val="center"/>
                    <w:rPr>
                      <w:rFonts w:ascii="Arial" w:eastAsia="Calibri" w:hAnsi="Arial" w:cs="Arial"/>
                      <w:szCs w:val="24"/>
                    </w:rPr>
                  </w:pPr>
                  <w:r>
                    <w:rPr>
                      <w:rFonts w:ascii="Arial" w:eastAsia="Calibri" w:hAnsi="Arial" w:cs="Arial"/>
                      <w:szCs w:val="24"/>
                    </w:rPr>
                    <w:t>3.82%</w:t>
                  </w:r>
                </w:p>
                <w:p w:rsidR="00CB7017" w:rsidRPr="00F37EB5" w:rsidRDefault="00CB7017" w:rsidP="00CB7017">
                  <w:pPr>
                    <w:spacing w:line="276" w:lineRule="auto"/>
                    <w:contextualSpacing/>
                    <w:jc w:val="center"/>
                    <w:rPr>
                      <w:rFonts w:ascii="Arial" w:eastAsia="Calibri" w:hAnsi="Arial" w:cs="Arial"/>
                      <w:szCs w:val="24"/>
                    </w:rPr>
                  </w:pPr>
                  <w:r>
                    <w:rPr>
                      <w:rFonts w:ascii="Arial" w:eastAsia="Calibri" w:hAnsi="Arial" w:cs="Arial"/>
                      <w:szCs w:val="24"/>
                    </w:rPr>
                    <w:t>(2.48 days/FTE)</w:t>
                  </w:r>
                </w:p>
              </w:tc>
            </w:tr>
            <w:tr w:rsidR="00BB0395" w:rsidRPr="00F37EB5" w:rsidTr="00A60358">
              <w:tc>
                <w:tcPr>
                  <w:tcW w:w="868" w:type="pct"/>
                  <w:tcMar>
                    <w:top w:w="0" w:type="dxa"/>
                    <w:left w:w="108" w:type="dxa"/>
                    <w:bottom w:w="0" w:type="dxa"/>
                    <w:right w:w="108" w:type="dxa"/>
                  </w:tcMar>
                </w:tcPr>
                <w:p w:rsidR="00BB0395" w:rsidRDefault="00BB0395" w:rsidP="00447EE9">
                  <w:pPr>
                    <w:spacing w:line="276" w:lineRule="auto"/>
                    <w:contextualSpacing/>
                    <w:jc w:val="center"/>
                    <w:rPr>
                      <w:rFonts w:ascii="Arial" w:eastAsia="Calibri" w:hAnsi="Arial" w:cs="Arial"/>
                      <w:b/>
                      <w:bCs/>
                      <w:szCs w:val="24"/>
                    </w:rPr>
                  </w:pPr>
                </w:p>
                <w:p w:rsidR="00BB0395" w:rsidRDefault="00BB0395" w:rsidP="00447EE9">
                  <w:pPr>
                    <w:spacing w:line="276" w:lineRule="auto"/>
                    <w:contextualSpacing/>
                    <w:jc w:val="center"/>
                    <w:rPr>
                      <w:rFonts w:ascii="Arial" w:eastAsia="Calibri" w:hAnsi="Arial" w:cs="Arial"/>
                      <w:b/>
                      <w:bCs/>
                      <w:szCs w:val="24"/>
                    </w:rPr>
                  </w:pPr>
                  <w:r>
                    <w:rPr>
                      <w:rFonts w:ascii="Arial" w:eastAsia="Calibri" w:hAnsi="Arial" w:cs="Arial"/>
                      <w:b/>
                      <w:bCs/>
                      <w:szCs w:val="24"/>
                    </w:rPr>
                    <w:t>2016/17</w:t>
                  </w:r>
                </w:p>
                <w:p w:rsidR="00BB0395" w:rsidRPr="00BB0395" w:rsidRDefault="00BB0395" w:rsidP="00BB0395">
                  <w:pPr>
                    <w:spacing w:line="276" w:lineRule="auto"/>
                    <w:contextualSpacing/>
                    <w:rPr>
                      <w:rFonts w:ascii="Arial" w:eastAsia="Calibri" w:hAnsi="Arial" w:cs="Arial"/>
                      <w:b/>
                      <w:bCs/>
                      <w:i/>
                      <w:szCs w:val="24"/>
                    </w:rPr>
                  </w:pPr>
                </w:p>
              </w:tc>
              <w:tc>
                <w:tcPr>
                  <w:tcW w:w="1034" w:type="pct"/>
                  <w:tcMar>
                    <w:top w:w="0" w:type="dxa"/>
                    <w:left w:w="108" w:type="dxa"/>
                    <w:bottom w:w="0" w:type="dxa"/>
                    <w:right w:w="108" w:type="dxa"/>
                  </w:tcMar>
                </w:tcPr>
                <w:p w:rsidR="00BB0395" w:rsidRDefault="00BB0395" w:rsidP="00447EE9">
                  <w:pPr>
                    <w:spacing w:line="276" w:lineRule="auto"/>
                    <w:contextualSpacing/>
                    <w:jc w:val="center"/>
                    <w:rPr>
                      <w:rFonts w:ascii="Arial" w:eastAsia="Calibri" w:hAnsi="Arial" w:cs="Arial"/>
                      <w:szCs w:val="24"/>
                    </w:rPr>
                  </w:pPr>
                  <w:r>
                    <w:rPr>
                      <w:rFonts w:ascii="Arial" w:eastAsia="Calibri" w:hAnsi="Arial" w:cs="Arial"/>
                      <w:szCs w:val="24"/>
                    </w:rPr>
                    <w:t xml:space="preserve">3.23% </w:t>
                  </w:r>
                </w:p>
                <w:p w:rsidR="00BB0395" w:rsidRDefault="00BB0395" w:rsidP="00BB0395">
                  <w:pPr>
                    <w:spacing w:line="276" w:lineRule="auto"/>
                    <w:contextualSpacing/>
                    <w:jc w:val="center"/>
                    <w:rPr>
                      <w:rFonts w:ascii="Arial" w:eastAsia="Calibri" w:hAnsi="Arial" w:cs="Arial"/>
                      <w:szCs w:val="24"/>
                    </w:rPr>
                  </w:pPr>
                  <w:r>
                    <w:rPr>
                      <w:rFonts w:ascii="Arial" w:eastAsia="Calibri" w:hAnsi="Arial" w:cs="Arial"/>
                      <w:szCs w:val="24"/>
                    </w:rPr>
                    <w:t>(2.07 days/FTE)</w:t>
                  </w:r>
                </w:p>
              </w:tc>
              <w:tc>
                <w:tcPr>
                  <w:tcW w:w="1033" w:type="pct"/>
                  <w:tcMar>
                    <w:top w:w="0" w:type="dxa"/>
                    <w:left w:w="108" w:type="dxa"/>
                    <w:bottom w:w="0" w:type="dxa"/>
                    <w:right w:w="108" w:type="dxa"/>
                  </w:tcMar>
                </w:tcPr>
                <w:p w:rsidR="00E62C70" w:rsidRDefault="00493EDC" w:rsidP="00447EE9">
                  <w:pPr>
                    <w:spacing w:line="276" w:lineRule="auto"/>
                    <w:contextualSpacing/>
                    <w:jc w:val="center"/>
                    <w:rPr>
                      <w:rFonts w:ascii="Arial" w:eastAsia="Calibri" w:hAnsi="Arial" w:cs="Arial"/>
                      <w:szCs w:val="24"/>
                    </w:rPr>
                  </w:pPr>
                  <w:r>
                    <w:rPr>
                      <w:rFonts w:ascii="Arial" w:eastAsia="Calibri" w:hAnsi="Arial" w:cs="Arial"/>
                      <w:szCs w:val="24"/>
                    </w:rPr>
                    <w:t>2.77%</w:t>
                  </w:r>
                  <w:r w:rsidR="00E62C70">
                    <w:rPr>
                      <w:rFonts w:ascii="Arial" w:eastAsia="Calibri" w:hAnsi="Arial" w:cs="Arial"/>
                      <w:szCs w:val="24"/>
                    </w:rPr>
                    <w:t xml:space="preserve">  </w:t>
                  </w:r>
                </w:p>
                <w:p w:rsidR="00BB0395" w:rsidRDefault="00E62C70" w:rsidP="00E62C70">
                  <w:pPr>
                    <w:spacing w:line="276" w:lineRule="auto"/>
                    <w:contextualSpacing/>
                    <w:jc w:val="center"/>
                    <w:rPr>
                      <w:rFonts w:ascii="Arial" w:eastAsia="Calibri" w:hAnsi="Arial" w:cs="Arial"/>
                      <w:szCs w:val="24"/>
                    </w:rPr>
                  </w:pPr>
                  <w:r>
                    <w:rPr>
                      <w:rFonts w:ascii="Arial" w:eastAsia="Calibri" w:hAnsi="Arial" w:cs="Arial"/>
                      <w:szCs w:val="24"/>
                    </w:rPr>
                    <w:t>(1.83 days/FTE)</w:t>
                  </w:r>
                </w:p>
              </w:tc>
              <w:tc>
                <w:tcPr>
                  <w:tcW w:w="1033" w:type="pct"/>
                  <w:tcMar>
                    <w:top w:w="0" w:type="dxa"/>
                    <w:left w:w="108" w:type="dxa"/>
                    <w:bottom w:w="0" w:type="dxa"/>
                    <w:right w:w="108" w:type="dxa"/>
                  </w:tcMar>
                </w:tcPr>
                <w:p w:rsidR="00BB0395" w:rsidRDefault="00BB0395" w:rsidP="00447EE9">
                  <w:pPr>
                    <w:spacing w:line="276" w:lineRule="auto"/>
                    <w:contextualSpacing/>
                    <w:jc w:val="center"/>
                    <w:rPr>
                      <w:rFonts w:ascii="Arial" w:eastAsia="Calibri" w:hAnsi="Arial" w:cs="Arial"/>
                      <w:color w:val="000000" w:themeColor="text1"/>
                      <w:szCs w:val="24"/>
                    </w:rPr>
                  </w:pPr>
                </w:p>
                <w:p w:rsidR="00BB0395" w:rsidRDefault="00BB0395" w:rsidP="00447EE9">
                  <w:pPr>
                    <w:spacing w:line="276" w:lineRule="auto"/>
                    <w:contextualSpacing/>
                    <w:jc w:val="center"/>
                    <w:rPr>
                      <w:rFonts w:ascii="Arial" w:eastAsia="Calibri" w:hAnsi="Arial" w:cs="Arial"/>
                      <w:color w:val="000000" w:themeColor="text1"/>
                      <w:szCs w:val="24"/>
                    </w:rPr>
                  </w:pPr>
                  <w:r>
                    <w:rPr>
                      <w:rFonts w:ascii="Arial" w:eastAsia="Calibri" w:hAnsi="Arial" w:cs="Arial"/>
                      <w:color w:val="000000" w:themeColor="text1"/>
                      <w:szCs w:val="24"/>
                    </w:rPr>
                    <w:t>-</w:t>
                  </w:r>
                </w:p>
                <w:p w:rsidR="00BB0395" w:rsidRPr="00682545" w:rsidRDefault="00BB0395" w:rsidP="00447EE9">
                  <w:pPr>
                    <w:spacing w:line="276" w:lineRule="auto"/>
                    <w:contextualSpacing/>
                    <w:jc w:val="center"/>
                    <w:rPr>
                      <w:rFonts w:ascii="Arial" w:eastAsia="Calibri" w:hAnsi="Arial" w:cs="Arial"/>
                      <w:color w:val="000000" w:themeColor="text1"/>
                      <w:szCs w:val="24"/>
                    </w:rPr>
                  </w:pPr>
                </w:p>
              </w:tc>
              <w:tc>
                <w:tcPr>
                  <w:tcW w:w="1032" w:type="pct"/>
                  <w:tcMar>
                    <w:top w:w="0" w:type="dxa"/>
                    <w:left w:w="108" w:type="dxa"/>
                    <w:bottom w:w="0" w:type="dxa"/>
                    <w:right w:w="108" w:type="dxa"/>
                  </w:tcMar>
                </w:tcPr>
                <w:p w:rsidR="00BB0395" w:rsidRDefault="00BB0395" w:rsidP="00447EE9">
                  <w:pPr>
                    <w:spacing w:line="276" w:lineRule="auto"/>
                    <w:contextualSpacing/>
                    <w:jc w:val="center"/>
                    <w:rPr>
                      <w:rFonts w:ascii="Arial" w:eastAsia="Calibri" w:hAnsi="Arial" w:cs="Arial"/>
                      <w:szCs w:val="24"/>
                    </w:rPr>
                  </w:pPr>
                </w:p>
                <w:p w:rsidR="00BB0395" w:rsidRDefault="00BB0395" w:rsidP="00447EE9">
                  <w:pPr>
                    <w:spacing w:line="276" w:lineRule="auto"/>
                    <w:contextualSpacing/>
                    <w:jc w:val="center"/>
                    <w:rPr>
                      <w:rFonts w:ascii="Arial" w:eastAsia="Calibri" w:hAnsi="Arial" w:cs="Arial"/>
                      <w:szCs w:val="24"/>
                    </w:rPr>
                  </w:pPr>
                  <w:r>
                    <w:rPr>
                      <w:rFonts w:ascii="Arial" w:eastAsia="Calibri" w:hAnsi="Arial" w:cs="Arial"/>
                      <w:szCs w:val="24"/>
                    </w:rPr>
                    <w:t>-</w:t>
                  </w:r>
                </w:p>
                <w:p w:rsidR="00BB0395" w:rsidRDefault="00BB0395" w:rsidP="00447EE9">
                  <w:pPr>
                    <w:spacing w:line="276" w:lineRule="auto"/>
                    <w:contextualSpacing/>
                    <w:jc w:val="center"/>
                    <w:rPr>
                      <w:rFonts w:ascii="Arial" w:eastAsia="Calibri" w:hAnsi="Arial" w:cs="Arial"/>
                      <w:szCs w:val="24"/>
                    </w:rPr>
                  </w:pPr>
                </w:p>
              </w:tc>
            </w:tr>
            <w:tr w:rsidR="00BB0395" w:rsidRPr="00F37EB5" w:rsidTr="00A60358">
              <w:tc>
                <w:tcPr>
                  <w:tcW w:w="868" w:type="pct"/>
                  <w:tcMar>
                    <w:top w:w="0" w:type="dxa"/>
                    <w:left w:w="108" w:type="dxa"/>
                    <w:bottom w:w="0" w:type="dxa"/>
                    <w:right w:w="108" w:type="dxa"/>
                  </w:tcMar>
                </w:tcPr>
                <w:p w:rsidR="00BB0395" w:rsidRPr="00BB0395" w:rsidRDefault="00BB0395" w:rsidP="00447EE9">
                  <w:pPr>
                    <w:spacing w:line="276" w:lineRule="auto"/>
                    <w:contextualSpacing/>
                    <w:jc w:val="center"/>
                    <w:rPr>
                      <w:rFonts w:ascii="Arial" w:eastAsia="Calibri" w:hAnsi="Arial" w:cs="Arial"/>
                      <w:bCs/>
                      <w:i/>
                      <w:szCs w:val="24"/>
                    </w:rPr>
                  </w:pPr>
                  <w:r w:rsidRPr="00BB0395">
                    <w:rPr>
                      <w:rFonts w:ascii="Arial" w:eastAsia="Calibri" w:hAnsi="Arial" w:cs="Arial"/>
                      <w:bCs/>
                      <w:i/>
                      <w:szCs w:val="24"/>
                    </w:rPr>
                    <w:t>(2016/17 inclusive of IL)</w:t>
                  </w:r>
                </w:p>
              </w:tc>
              <w:tc>
                <w:tcPr>
                  <w:tcW w:w="1034" w:type="pct"/>
                  <w:tcMar>
                    <w:top w:w="0" w:type="dxa"/>
                    <w:left w:w="108" w:type="dxa"/>
                    <w:bottom w:w="0" w:type="dxa"/>
                    <w:right w:w="108" w:type="dxa"/>
                  </w:tcMar>
                </w:tcPr>
                <w:p w:rsidR="00BB0395" w:rsidRPr="00BB0395" w:rsidRDefault="00BB0395" w:rsidP="00447EE9">
                  <w:pPr>
                    <w:spacing w:line="276" w:lineRule="auto"/>
                    <w:contextualSpacing/>
                    <w:jc w:val="center"/>
                    <w:rPr>
                      <w:rFonts w:ascii="Arial" w:eastAsia="Calibri" w:hAnsi="Arial" w:cs="Arial"/>
                      <w:i/>
                      <w:szCs w:val="24"/>
                    </w:rPr>
                  </w:pPr>
                  <w:r w:rsidRPr="00BB0395">
                    <w:rPr>
                      <w:rFonts w:ascii="Arial" w:eastAsia="Calibri" w:hAnsi="Arial" w:cs="Arial"/>
                      <w:i/>
                      <w:szCs w:val="24"/>
                    </w:rPr>
                    <w:t>3.59%</w:t>
                  </w:r>
                </w:p>
                <w:p w:rsidR="00BB0395" w:rsidRDefault="00BB0395" w:rsidP="00447EE9">
                  <w:pPr>
                    <w:spacing w:line="276" w:lineRule="auto"/>
                    <w:contextualSpacing/>
                    <w:jc w:val="center"/>
                    <w:rPr>
                      <w:rFonts w:ascii="Arial" w:eastAsia="Calibri" w:hAnsi="Arial" w:cs="Arial"/>
                      <w:szCs w:val="24"/>
                    </w:rPr>
                  </w:pPr>
                  <w:r w:rsidRPr="00BB0395">
                    <w:rPr>
                      <w:rFonts w:ascii="Arial" w:eastAsia="Calibri" w:hAnsi="Arial" w:cs="Arial"/>
                      <w:i/>
                      <w:szCs w:val="24"/>
                    </w:rPr>
                    <w:t>(2.30 days/FTE)</w:t>
                  </w:r>
                </w:p>
              </w:tc>
              <w:tc>
                <w:tcPr>
                  <w:tcW w:w="1033" w:type="pct"/>
                  <w:tcMar>
                    <w:top w:w="0" w:type="dxa"/>
                    <w:left w:w="108" w:type="dxa"/>
                    <w:bottom w:w="0" w:type="dxa"/>
                    <w:right w:w="108" w:type="dxa"/>
                  </w:tcMar>
                </w:tcPr>
                <w:p w:rsidR="00E62C70" w:rsidRDefault="00493EDC" w:rsidP="00E62C70">
                  <w:pPr>
                    <w:spacing w:line="276" w:lineRule="auto"/>
                    <w:contextualSpacing/>
                    <w:jc w:val="center"/>
                    <w:rPr>
                      <w:rFonts w:ascii="Arial" w:eastAsia="Calibri" w:hAnsi="Arial" w:cs="Arial"/>
                      <w:szCs w:val="24"/>
                    </w:rPr>
                  </w:pPr>
                  <w:r>
                    <w:rPr>
                      <w:rFonts w:ascii="Arial" w:eastAsia="Calibri" w:hAnsi="Arial" w:cs="Arial"/>
                      <w:szCs w:val="24"/>
                    </w:rPr>
                    <w:t xml:space="preserve">3.09% </w:t>
                  </w:r>
                </w:p>
                <w:p w:rsidR="00BB0395" w:rsidRDefault="00493EDC" w:rsidP="00E62C70">
                  <w:pPr>
                    <w:spacing w:line="276" w:lineRule="auto"/>
                    <w:contextualSpacing/>
                    <w:jc w:val="center"/>
                    <w:rPr>
                      <w:rFonts w:ascii="Arial" w:eastAsia="Calibri" w:hAnsi="Arial" w:cs="Arial"/>
                      <w:szCs w:val="24"/>
                    </w:rPr>
                  </w:pPr>
                  <w:r>
                    <w:rPr>
                      <w:rFonts w:ascii="Arial" w:eastAsia="Calibri" w:hAnsi="Arial" w:cs="Arial"/>
                      <w:szCs w:val="24"/>
                    </w:rPr>
                    <w:t>(2.04 days/FTE)</w:t>
                  </w:r>
                </w:p>
              </w:tc>
              <w:tc>
                <w:tcPr>
                  <w:tcW w:w="1033" w:type="pct"/>
                  <w:tcMar>
                    <w:top w:w="0" w:type="dxa"/>
                    <w:left w:w="108" w:type="dxa"/>
                    <w:bottom w:w="0" w:type="dxa"/>
                    <w:right w:w="108" w:type="dxa"/>
                  </w:tcMar>
                </w:tcPr>
                <w:p w:rsidR="00BB0395" w:rsidRDefault="00BB0395" w:rsidP="00447EE9">
                  <w:pPr>
                    <w:spacing w:line="276" w:lineRule="auto"/>
                    <w:contextualSpacing/>
                    <w:jc w:val="center"/>
                    <w:rPr>
                      <w:rFonts w:ascii="Arial" w:eastAsia="Calibri" w:hAnsi="Arial" w:cs="Arial"/>
                      <w:color w:val="000000" w:themeColor="text1"/>
                      <w:szCs w:val="24"/>
                    </w:rPr>
                  </w:pPr>
                </w:p>
                <w:p w:rsidR="00BB0395" w:rsidRDefault="00BB0395" w:rsidP="00447EE9">
                  <w:pPr>
                    <w:spacing w:line="276" w:lineRule="auto"/>
                    <w:contextualSpacing/>
                    <w:jc w:val="center"/>
                    <w:rPr>
                      <w:rFonts w:ascii="Arial" w:eastAsia="Calibri" w:hAnsi="Arial" w:cs="Arial"/>
                      <w:color w:val="000000" w:themeColor="text1"/>
                      <w:szCs w:val="24"/>
                    </w:rPr>
                  </w:pPr>
                  <w:r>
                    <w:rPr>
                      <w:rFonts w:ascii="Arial" w:eastAsia="Calibri" w:hAnsi="Arial" w:cs="Arial"/>
                      <w:color w:val="000000" w:themeColor="text1"/>
                      <w:szCs w:val="24"/>
                    </w:rPr>
                    <w:t>-</w:t>
                  </w:r>
                </w:p>
                <w:p w:rsidR="00BB0395" w:rsidRPr="00682545" w:rsidRDefault="00BB0395" w:rsidP="00447EE9">
                  <w:pPr>
                    <w:spacing w:line="276" w:lineRule="auto"/>
                    <w:contextualSpacing/>
                    <w:jc w:val="center"/>
                    <w:rPr>
                      <w:rFonts w:ascii="Arial" w:eastAsia="Calibri" w:hAnsi="Arial" w:cs="Arial"/>
                      <w:color w:val="000000" w:themeColor="text1"/>
                      <w:szCs w:val="24"/>
                    </w:rPr>
                  </w:pPr>
                </w:p>
              </w:tc>
              <w:tc>
                <w:tcPr>
                  <w:tcW w:w="1032" w:type="pct"/>
                  <w:tcMar>
                    <w:top w:w="0" w:type="dxa"/>
                    <w:left w:w="108" w:type="dxa"/>
                    <w:bottom w:w="0" w:type="dxa"/>
                    <w:right w:w="108" w:type="dxa"/>
                  </w:tcMar>
                </w:tcPr>
                <w:p w:rsidR="00BB0395" w:rsidRDefault="00BB0395" w:rsidP="00447EE9">
                  <w:pPr>
                    <w:spacing w:line="276" w:lineRule="auto"/>
                    <w:contextualSpacing/>
                    <w:jc w:val="center"/>
                    <w:rPr>
                      <w:rFonts w:ascii="Arial" w:eastAsia="Calibri" w:hAnsi="Arial" w:cs="Arial"/>
                      <w:szCs w:val="24"/>
                    </w:rPr>
                  </w:pPr>
                </w:p>
                <w:p w:rsidR="00BB0395" w:rsidRDefault="00BB0395" w:rsidP="00447EE9">
                  <w:pPr>
                    <w:spacing w:line="276" w:lineRule="auto"/>
                    <w:contextualSpacing/>
                    <w:jc w:val="center"/>
                    <w:rPr>
                      <w:rFonts w:ascii="Arial" w:eastAsia="Calibri" w:hAnsi="Arial" w:cs="Arial"/>
                      <w:szCs w:val="24"/>
                    </w:rPr>
                  </w:pPr>
                  <w:r>
                    <w:rPr>
                      <w:rFonts w:ascii="Arial" w:eastAsia="Calibri" w:hAnsi="Arial" w:cs="Arial"/>
                      <w:szCs w:val="24"/>
                    </w:rPr>
                    <w:t>-</w:t>
                  </w:r>
                </w:p>
                <w:p w:rsidR="00BB0395" w:rsidRDefault="00BB0395" w:rsidP="00447EE9">
                  <w:pPr>
                    <w:spacing w:line="276" w:lineRule="auto"/>
                    <w:contextualSpacing/>
                    <w:jc w:val="center"/>
                    <w:rPr>
                      <w:rFonts w:ascii="Arial" w:eastAsia="Calibri" w:hAnsi="Arial" w:cs="Arial"/>
                      <w:szCs w:val="24"/>
                    </w:rPr>
                  </w:pPr>
                </w:p>
              </w:tc>
            </w:tr>
          </w:tbl>
          <w:p w:rsidR="0045618C" w:rsidRDefault="0045618C" w:rsidP="007B3DC7">
            <w:pPr>
              <w:jc w:val="both"/>
              <w:rPr>
                <w:rFonts w:ascii="Arial" w:eastAsia="Calibri" w:hAnsi="Arial" w:cs="Arial"/>
                <w:szCs w:val="24"/>
                <w:lang w:eastAsia="en-US"/>
              </w:rPr>
            </w:pPr>
          </w:p>
          <w:p w:rsidR="00E45F94" w:rsidRDefault="002A51F9" w:rsidP="00E75F39">
            <w:pPr>
              <w:jc w:val="both"/>
              <w:rPr>
                <w:rFonts w:ascii="Arial" w:eastAsia="Calibri" w:hAnsi="Arial" w:cs="Arial"/>
                <w:szCs w:val="24"/>
                <w:lang w:eastAsia="en-US"/>
              </w:rPr>
            </w:pPr>
            <w:r>
              <w:rPr>
                <w:rFonts w:ascii="Arial" w:eastAsia="Calibri" w:hAnsi="Arial" w:cs="Arial"/>
                <w:szCs w:val="24"/>
                <w:lang w:eastAsia="en-US"/>
              </w:rPr>
              <w:t>In 2016/17, q</w:t>
            </w:r>
            <w:r w:rsidR="00D23435" w:rsidRPr="00920271">
              <w:rPr>
                <w:rFonts w:ascii="Arial" w:eastAsia="Calibri" w:hAnsi="Arial" w:cs="Arial"/>
                <w:szCs w:val="24"/>
                <w:lang w:eastAsia="en-US"/>
              </w:rPr>
              <w:t xml:space="preserve">uarter </w:t>
            </w:r>
            <w:r w:rsidR="00E62C70">
              <w:rPr>
                <w:rFonts w:ascii="Arial" w:eastAsia="Calibri" w:hAnsi="Arial" w:cs="Arial"/>
                <w:szCs w:val="24"/>
                <w:lang w:eastAsia="en-US"/>
              </w:rPr>
              <w:t>2</w:t>
            </w:r>
            <w:r w:rsidR="00D23435" w:rsidRPr="00920271">
              <w:rPr>
                <w:rFonts w:ascii="Arial" w:eastAsia="Calibri" w:hAnsi="Arial" w:cs="Arial"/>
                <w:szCs w:val="24"/>
                <w:lang w:eastAsia="en-US"/>
              </w:rPr>
              <w:t xml:space="preserve"> has shown a</w:t>
            </w:r>
            <w:r w:rsidR="00200C8E">
              <w:rPr>
                <w:rFonts w:ascii="Arial" w:eastAsia="Calibri" w:hAnsi="Arial" w:cs="Arial"/>
                <w:szCs w:val="24"/>
                <w:lang w:eastAsia="en-US"/>
              </w:rPr>
              <w:t xml:space="preserve"> </w:t>
            </w:r>
            <w:r w:rsidR="00460F18">
              <w:rPr>
                <w:rFonts w:ascii="Arial" w:eastAsia="Calibri" w:hAnsi="Arial" w:cs="Arial"/>
                <w:szCs w:val="24"/>
                <w:lang w:eastAsia="en-US"/>
              </w:rPr>
              <w:t>reduction</w:t>
            </w:r>
            <w:r w:rsidR="00D23435" w:rsidRPr="00920271">
              <w:rPr>
                <w:rFonts w:ascii="Arial" w:eastAsia="Calibri" w:hAnsi="Arial" w:cs="Arial"/>
                <w:szCs w:val="24"/>
                <w:lang w:eastAsia="en-US"/>
              </w:rPr>
              <w:t xml:space="preserve"> in the absence rate </w:t>
            </w:r>
            <w:r w:rsidR="00C3461A">
              <w:rPr>
                <w:rFonts w:ascii="Arial" w:eastAsia="Calibri" w:hAnsi="Arial" w:cs="Arial"/>
                <w:szCs w:val="24"/>
                <w:lang w:eastAsia="en-US"/>
              </w:rPr>
              <w:t xml:space="preserve">of </w:t>
            </w:r>
            <w:r w:rsidR="00BB0395">
              <w:rPr>
                <w:rFonts w:ascii="Arial" w:eastAsia="Calibri" w:hAnsi="Arial" w:cs="Arial"/>
                <w:szCs w:val="24"/>
                <w:lang w:eastAsia="en-US"/>
              </w:rPr>
              <w:t>0.</w:t>
            </w:r>
            <w:r w:rsidR="00E62C70">
              <w:rPr>
                <w:rFonts w:ascii="Arial" w:eastAsia="Calibri" w:hAnsi="Arial" w:cs="Arial"/>
                <w:szCs w:val="24"/>
                <w:lang w:eastAsia="en-US"/>
              </w:rPr>
              <w:t>5</w:t>
            </w:r>
            <w:r w:rsidR="00BB0395">
              <w:rPr>
                <w:rFonts w:ascii="Arial" w:eastAsia="Calibri" w:hAnsi="Arial" w:cs="Arial"/>
                <w:szCs w:val="24"/>
                <w:lang w:eastAsia="en-US"/>
              </w:rPr>
              <w:t>% (</w:t>
            </w:r>
            <w:r w:rsidR="00C3461A">
              <w:rPr>
                <w:rFonts w:ascii="Arial" w:eastAsia="Calibri" w:hAnsi="Arial" w:cs="Arial"/>
                <w:szCs w:val="24"/>
                <w:lang w:eastAsia="en-US"/>
              </w:rPr>
              <w:t>0.</w:t>
            </w:r>
            <w:r w:rsidR="00E62C70">
              <w:rPr>
                <w:rFonts w:ascii="Arial" w:eastAsia="Calibri" w:hAnsi="Arial" w:cs="Arial"/>
                <w:szCs w:val="24"/>
                <w:lang w:eastAsia="en-US"/>
              </w:rPr>
              <w:t>46</w:t>
            </w:r>
            <w:r w:rsidR="00C3461A">
              <w:rPr>
                <w:rFonts w:ascii="Arial" w:eastAsia="Calibri" w:hAnsi="Arial" w:cs="Arial"/>
                <w:szCs w:val="24"/>
                <w:lang w:eastAsia="en-US"/>
              </w:rPr>
              <w:t>%</w:t>
            </w:r>
            <w:r w:rsidR="00BB0395">
              <w:rPr>
                <w:rFonts w:ascii="Arial" w:eastAsia="Calibri" w:hAnsi="Arial" w:cs="Arial"/>
                <w:szCs w:val="24"/>
                <w:lang w:eastAsia="en-US"/>
              </w:rPr>
              <w:t xml:space="preserve"> if Inverness Leisure is excluded)</w:t>
            </w:r>
            <w:r w:rsidR="00D23435" w:rsidRPr="00920271">
              <w:rPr>
                <w:rFonts w:ascii="Arial" w:eastAsia="Calibri" w:hAnsi="Arial" w:cs="Arial"/>
                <w:szCs w:val="24"/>
                <w:lang w:eastAsia="en-US"/>
              </w:rPr>
              <w:t xml:space="preserve"> </w:t>
            </w:r>
            <w:r w:rsidR="0042698E" w:rsidRPr="00920271">
              <w:rPr>
                <w:rFonts w:ascii="Arial" w:eastAsia="Calibri" w:hAnsi="Arial" w:cs="Arial"/>
                <w:szCs w:val="24"/>
                <w:lang w:eastAsia="en-US"/>
              </w:rPr>
              <w:t xml:space="preserve">from the previous </w:t>
            </w:r>
            <w:r w:rsidR="0042698E" w:rsidRPr="00682545">
              <w:rPr>
                <w:rFonts w:ascii="Arial" w:eastAsia="Calibri" w:hAnsi="Arial" w:cs="Arial"/>
                <w:color w:val="000000" w:themeColor="text1"/>
                <w:szCs w:val="24"/>
                <w:lang w:eastAsia="en-US"/>
              </w:rPr>
              <w:t>quarter</w:t>
            </w:r>
            <w:r w:rsidR="00C3461A" w:rsidRPr="00682545">
              <w:rPr>
                <w:rFonts w:ascii="Arial" w:eastAsia="Calibri" w:hAnsi="Arial" w:cs="Arial"/>
                <w:color w:val="000000" w:themeColor="text1"/>
                <w:szCs w:val="24"/>
                <w:lang w:eastAsia="en-US"/>
              </w:rPr>
              <w:t xml:space="preserve"> to </w:t>
            </w:r>
            <w:r w:rsidR="009C77CF" w:rsidRPr="00682545">
              <w:rPr>
                <w:rFonts w:ascii="Arial" w:eastAsia="Calibri" w:hAnsi="Arial" w:cs="Arial"/>
                <w:color w:val="000000" w:themeColor="text1"/>
                <w:szCs w:val="24"/>
                <w:lang w:eastAsia="en-US"/>
              </w:rPr>
              <w:t>3.</w:t>
            </w:r>
            <w:r w:rsidR="00E62C70">
              <w:rPr>
                <w:rFonts w:ascii="Arial" w:eastAsia="Calibri" w:hAnsi="Arial" w:cs="Arial"/>
                <w:color w:val="000000" w:themeColor="text1"/>
                <w:szCs w:val="24"/>
                <w:lang w:eastAsia="en-US"/>
              </w:rPr>
              <w:t>0</w:t>
            </w:r>
            <w:r w:rsidR="00200C8E">
              <w:rPr>
                <w:rFonts w:ascii="Arial" w:eastAsia="Calibri" w:hAnsi="Arial" w:cs="Arial"/>
                <w:color w:val="000000" w:themeColor="text1"/>
                <w:szCs w:val="24"/>
                <w:lang w:eastAsia="en-US"/>
              </w:rPr>
              <w:t>9</w:t>
            </w:r>
            <w:r w:rsidR="00C3461A" w:rsidRPr="00682545">
              <w:rPr>
                <w:rFonts w:ascii="Arial" w:eastAsia="Calibri" w:hAnsi="Arial" w:cs="Arial"/>
                <w:color w:val="000000" w:themeColor="text1"/>
                <w:szCs w:val="24"/>
                <w:lang w:eastAsia="en-US"/>
              </w:rPr>
              <w:t>%</w:t>
            </w:r>
            <w:r w:rsidR="00BB0395">
              <w:rPr>
                <w:rFonts w:ascii="Arial" w:eastAsia="Calibri" w:hAnsi="Arial" w:cs="Arial"/>
                <w:color w:val="000000" w:themeColor="text1"/>
                <w:szCs w:val="24"/>
                <w:lang w:eastAsia="en-US"/>
              </w:rPr>
              <w:t xml:space="preserve"> (</w:t>
            </w:r>
            <w:r w:rsidR="00E62C70">
              <w:rPr>
                <w:rFonts w:ascii="Arial" w:eastAsia="Calibri" w:hAnsi="Arial" w:cs="Arial"/>
                <w:color w:val="000000" w:themeColor="text1"/>
                <w:szCs w:val="24"/>
                <w:lang w:eastAsia="en-US"/>
              </w:rPr>
              <w:t>2.77</w:t>
            </w:r>
            <w:r w:rsidR="00BB0395">
              <w:rPr>
                <w:rFonts w:ascii="Arial" w:eastAsia="Calibri" w:hAnsi="Arial" w:cs="Arial"/>
                <w:color w:val="000000" w:themeColor="text1"/>
                <w:szCs w:val="24"/>
                <w:lang w:eastAsia="en-US"/>
              </w:rPr>
              <w:t>%)</w:t>
            </w:r>
            <w:r w:rsidR="00D23435" w:rsidRPr="00682545">
              <w:rPr>
                <w:rFonts w:ascii="Arial" w:eastAsia="Calibri" w:hAnsi="Arial" w:cs="Arial"/>
                <w:color w:val="000000" w:themeColor="text1"/>
                <w:szCs w:val="24"/>
                <w:lang w:eastAsia="en-US"/>
              </w:rPr>
              <w:t>.</w:t>
            </w:r>
          </w:p>
          <w:p w:rsidR="002A51F9" w:rsidRDefault="002A51F9" w:rsidP="00200C8E">
            <w:pPr>
              <w:jc w:val="both"/>
              <w:rPr>
                <w:rFonts w:ascii="Arial" w:eastAsia="Calibri" w:hAnsi="Arial" w:cs="Arial"/>
                <w:szCs w:val="24"/>
                <w:lang w:eastAsia="en-US"/>
              </w:rPr>
            </w:pPr>
          </w:p>
          <w:p w:rsidR="00200C8E" w:rsidRPr="00920271" w:rsidRDefault="00E45F94" w:rsidP="00200C8E">
            <w:pPr>
              <w:jc w:val="both"/>
              <w:rPr>
                <w:rFonts w:ascii="Arial" w:eastAsia="Calibri" w:hAnsi="Arial" w:cs="Arial"/>
                <w:szCs w:val="24"/>
                <w:lang w:eastAsia="en-US"/>
              </w:rPr>
            </w:pPr>
            <w:r>
              <w:rPr>
                <w:rFonts w:ascii="Arial" w:eastAsia="Calibri" w:hAnsi="Arial" w:cs="Arial"/>
                <w:szCs w:val="24"/>
                <w:lang w:eastAsia="en-US"/>
              </w:rPr>
              <w:t>O</w:t>
            </w:r>
            <w:r w:rsidR="002245D8">
              <w:rPr>
                <w:rFonts w:ascii="Arial" w:eastAsia="Calibri" w:hAnsi="Arial" w:cs="Arial"/>
                <w:szCs w:val="24"/>
                <w:lang w:eastAsia="en-US"/>
              </w:rPr>
              <w:t>f the 3.</w:t>
            </w:r>
            <w:r w:rsidR="00E62C70">
              <w:rPr>
                <w:rFonts w:ascii="Arial" w:eastAsia="Calibri" w:hAnsi="Arial" w:cs="Arial"/>
                <w:szCs w:val="24"/>
                <w:lang w:eastAsia="en-US"/>
              </w:rPr>
              <w:t>0</w:t>
            </w:r>
            <w:r w:rsidR="00200C8E">
              <w:rPr>
                <w:rFonts w:ascii="Arial" w:eastAsia="Calibri" w:hAnsi="Arial" w:cs="Arial"/>
                <w:szCs w:val="24"/>
                <w:lang w:eastAsia="en-US"/>
              </w:rPr>
              <w:t>9</w:t>
            </w:r>
            <w:r w:rsidR="002245D8">
              <w:rPr>
                <w:rFonts w:ascii="Arial" w:eastAsia="Calibri" w:hAnsi="Arial" w:cs="Arial"/>
                <w:szCs w:val="24"/>
                <w:lang w:eastAsia="en-US"/>
              </w:rPr>
              <w:t>% headline figure, 2.</w:t>
            </w:r>
            <w:r w:rsidR="00E62C70">
              <w:rPr>
                <w:rFonts w:ascii="Arial" w:eastAsia="Calibri" w:hAnsi="Arial" w:cs="Arial"/>
                <w:szCs w:val="24"/>
                <w:lang w:eastAsia="en-US"/>
              </w:rPr>
              <w:t>41</w:t>
            </w:r>
            <w:r w:rsidR="002245D8">
              <w:rPr>
                <w:rFonts w:ascii="Arial" w:eastAsia="Calibri" w:hAnsi="Arial" w:cs="Arial"/>
                <w:szCs w:val="24"/>
                <w:lang w:eastAsia="en-US"/>
              </w:rPr>
              <w:t xml:space="preserve">% was due to long term absence (10 consecutive work days </w:t>
            </w:r>
            <w:r w:rsidR="005F4B50">
              <w:rPr>
                <w:rFonts w:ascii="Arial" w:eastAsia="Calibri" w:hAnsi="Arial" w:cs="Arial"/>
                <w:szCs w:val="24"/>
                <w:lang w:eastAsia="en-US"/>
              </w:rPr>
              <w:t xml:space="preserve">or more).  </w:t>
            </w:r>
            <w:r w:rsidR="002245D8">
              <w:rPr>
                <w:rFonts w:ascii="Arial" w:eastAsia="Calibri" w:hAnsi="Arial" w:cs="Arial"/>
                <w:szCs w:val="24"/>
                <w:lang w:eastAsia="en-US"/>
              </w:rPr>
              <w:t xml:space="preserve">  </w:t>
            </w:r>
          </w:p>
          <w:p w:rsidR="00E45F94" w:rsidRDefault="00E45F94" w:rsidP="00E75F39">
            <w:pPr>
              <w:jc w:val="both"/>
              <w:rPr>
                <w:rFonts w:ascii="Arial" w:eastAsia="Calibri" w:hAnsi="Arial" w:cs="Arial"/>
                <w:szCs w:val="24"/>
                <w:lang w:eastAsia="en-US"/>
              </w:rPr>
            </w:pPr>
            <w:r>
              <w:rPr>
                <w:rFonts w:ascii="Arial" w:eastAsia="Calibri" w:hAnsi="Arial" w:cs="Arial"/>
                <w:szCs w:val="24"/>
                <w:lang w:eastAsia="en-US"/>
              </w:rPr>
              <w:t xml:space="preserve"> </w:t>
            </w:r>
          </w:p>
          <w:p w:rsidR="006F5801" w:rsidRDefault="0042698E" w:rsidP="00E75F39">
            <w:pPr>
              <w:jc w:val="both"/>
              <w:rPr>
                <w:rFonts w:ascii="Arial" w:eastAsia="Calibri" w:hAnsi="Arial" w:cs="Arial"/>
                <w:szCs w:val="24"/>
                <w:lang w:eastAsia="en-US"/>
              </w:rPr>
            </w:pPr>
            <w:r w:rsidRPr="00920271">
              <w:rPr>
                <w:rFonts w:ascii="Arial" w:eastAsia="Calibri" w:hAnsi="Arial" w:cs="Arial"/>
                <w:szCs w:val="24"/>
                <w:lang w:eastAsia="en-US"/>
              </w:rPr>
              <w:t>Line Managers, with the support of HR and Occupational Health</w:t>
            </w:r>
            <w:r w:rsidR="004E4B5E">
              <w:rPr>
                <w:rFonts w:ascii="Arial" w:eastAsia="Calibri" w:hAnsi="Arial" w:cs="Arial"/>
                <w:szCs w:val="24"/>
                <w:lang w:eastAsia="en-US"/>
              </w:rPr>
              <w:t>,</w:t>
            </w:r>
            <w:r w:rsidRPr="00920271">
              <w:rPr>
                <w:rFonts w:ascii="Arial" w:eastAsia="Calibri" w:hAnsi="Arial" w:cs="Arial"/>
                <w:szCs w:val="24"/>
                <w:lang w:eastAsia="en-US"/>
              </w:rPr>
              <w:t xml:space="preserve"> continue to manage each absence according</w:t>
            </w:r>
            <w:r w:rsidR="007E7860" w:rsidRPr="00920271">
              <w:rPr>
                <w:rFonts w:ascii="Arial" w:eastAsia="Calibri" w:hAnsi="Arial" w:cs="Arial"/>
                <w:szCs w:val="24"/>
                <w:lang w:eastAsia="en-US"/>
              </w:rPr>
              <w:t xml:space="preserve"> to their individual circumstances.</w:t>
            </w:r>
            <w:r w:rsidR="008F66E6">
              <w:rPr>
                <w:rFonts w:ascii="Arial" w:eastAsia="Calibri" w:hAnsi="Arial" w:cs="Arial"/>
                <w:szCs w:val="24"/>
                <w:lang w:eastAsia="en-US"/>
              </w:rPr>
              <w:t xml:space="preserve">  </w:t>
            </w:r>
            <w:r w:rsidR="00985181">
              <w:rPr>
                <w:rFonts w:ascii="Arial" w:eastAsia="Calibri" w:hAnsi="Arial" w:cs="Arial"/>
                <w:szCs w:val="24"/>
                <w:lang w:eastAsia="en-US"/>
              </w:rPr>
              <w:t>One</w:t>
            </w:r>
            <w:r w:rsidR="0084209E">
              <w:rPr>
                <w:rFonts w:ascii="Arial" w:eastAsia="Calibri" w:hAnsi="Arial" w:cs="Arial"/>
                <w:szCs w:val="24"/>
                <w:lang w:eastAsia="en-US"/>
              </w:rPr>
              <w:t xml:space="preserve"> employee</w:t>
            </w:r>
            <w:r w:rsidR="008F66E6">
              <w:rPr>
                <w:rFonts w:ascii="Arial" w:eastAsia="Calibri" w:hAnsi="Arial" w:cs="Arial"/>
                <w:szCs w:val="24"/>
                <w:lang w:eastAsia="en-US"/>
              </w:rPr>
              <w:t xml:space="preserve"> </w:t>
            </w:r>
            <w:r w:rsidR="00985181">
              <w:rPr>
                <w:rFonts w:ascii="Arial" w:eastAsia="Calibri" w:hAnsi="Arial" w:cs="Arial"/>
                <w:szCs w:val="24"/>
                <w:lang w:eastAsia="en-US"/>
              </w:rPr>
              <w:t xml:space="preserve">was dismissed </w:t>
            </w:r>
            <w:r w:rsidR="00FE65CF">
              <w:rPr>
                <w:rFonts w:ascii="Arial" w:eastAsia="Calibri" w:hAnsi="Arial" w:cs="Arial"/>
                <w:szCs w:val="24"/>
                <w:lang w:eastAsia="en-US"/>
              </w:rPr>
              <w:t xml:space="preserve">in the last quarter </w:t>
            </w:r>
            <w:r w:rsidR="00985181">
              <w:rPr>
                <w:rFonts w:ascii="Arial" w:eastAsia="Calibri" w:hAnsi="Arial" w:cs="Arial"/>
                <w:szCs w:val="24"/>
                <w:lang w:eastAsia="en-US"/>
              </w:rPr>
              <w:t>on the grounds of capability</w:t>
            </w:r>
            <w:r w:rsidR="008F66E6">
              <w:rPr>
                <w:rFonts w:ascii="Arial" w:eastAsia="Calibri" w:hAnsi="Arial" w:cs="Arial"/>
                <w:szCs w:val="24"/>
                <w:lang w:eastAsia="en-US"/>
              </w:rPr>
              <w:t xml:space="preserve"> as a result of ill-health</w:t>
            </w:r>
            <w:r w:rsidR="0045618C">
              <w:rPr>
                <w:rFonts w:ascii="Arial" w:eastAsia="Calibri" w:hAnsi="Arial" w:cs="Arial"/>
                <w:szCs w:val="24"/>
                <w:lang w:eastAsia="en-US"/>
              </w:rPr>
              <w:t>.</w:t>
            </w:r>
          </w:p>
          <w:p w:rsidR="00F77121" w:rsidRDefault="00F77121" w:rsidP="00E75F39">
            <w:pPr>
              <w:jc w:val="both"/>
              <w:rPr>
                <w:rFonts w:ascii="Arial" w:eastAsia="Calibri" w:hAnsi="Arial" w:cs="Arial"/>
                <w:szCs w:val="24"/>
                <w:lang w:eastAsia="en-US"/>
              </w:rPr>
            </w:pPr>
          </w:p>
          <w:p w:rsidR="006F5801" w:rsidRPr="00265F13" w:rsidRDefault="006F5801" w:rsidP="00474274">
            <w:pPr>
              <w:jc w:val="both"/>
              <w:rPr>
                <w:rFonts w:ascii="Arial" w:hAnsi="Arial" w:cs="Arial"/>
                <w:szCs w:val="24"/>
                <w:u w:val="single"/>
              </w:rPr>
            </w:pPr>
            <w:r w:rsidRPr="00265F13">
              <w:rPr>
                <w:rFonts w:ascii="Arial" w:hAnsi="Arial" w:cs="Arial"/>
                <w:szCs w:val="24"/>
                <w:u w:val="single"/>
              </w:rPr>
              <w:t>Discipline</w:t>
            </w:r>
          </w:p>
          <w:p w:rsidR="006F5801" w:rsidRPr="009E7E1D" w:rsidRDefault="006F5801" w:rsidP="00474274">
            <w:pPr>
              <w:jc w:val="both"/>
              <w:rPr>
                <w:rFonts w:ascii="Arial" w:hAnsi="Arial" w:cs="Arial"/>
                <w:szCs w:val="24"/>
              </w:rPr>
            </w:pPr>
          </w:p>
          <w:p w:rsidR="00610457" w:rsidRPr="00791D36" w:rsidRDefault="006F5801" w:rsidP="00474274">
            <w:pPr>
              <w:jc w:val="both"/>
              <w:rPr>
                <w:rFonts w:ascii="Arial" w:hAnsi="Arial" w:cs="Arial"/>
                <w:szCs w:val="24"/>
              </w:rPr>
            </w:pPr>
            <w:r w:rsidRPr="00791D36">
              <w:rPr>
                <w:rFonts w:ascii="Arial" w:hAnsi="Arial" w:cs="Arial"/>
                <w:szCs w:val="24"/>
              </w:rPr>
              <w:t>There w</w:t>
            </w:r>
            <w:r w:rsidR="00C14B28">
              <w:rPr>
                <w:rFonts w:ascii="Arial" w:hAnsi="Arial" w:cs="Arial"/>
                <w:szCs w:val="24"/>
              </w:rPr>
              <w:t>ere</w:t>
            </w:r>
            <w:r w:rsidR="00610457" w:rsidRPr="00791D36">
              <w:rPr>
                <w:rFonts w:ascii="Arial" w:hAnsi="Arial" w:cs="Arial"/>
                <w:szCs w:val="24"/>
              </w:rPr>
              <w:t xml:space="preserve"> </w:t>
            </w:r>
            <w:r w:rsidR="007B2FE1">
              <w:rPr>
                <w:rFonts w:ascii="Arial" w:hAnsi="Arial" w:cs="Arial"/>
                <w:szCs w:val="24"/>
              </w:rPr>
              <w:t>four</w:t>
            </w:r>
            <w:r w:rsidRPr="00791D36">
              <w:rPr>
                <w:rFonts w:ascii="Arial" w:hAnsi="Arial" w:cs="Arial"/>
                <w:szCs w:val="24"/>
              </w:rPr>
              <w:t xml:space="preserve"> disciplinary </w:t>
            </w:r>
            <w:r w:rsidR="004F64EA">
              <w:rPr>
                <w:rFonts w:ascii="Arial" w:hAnsi="Arial" w:cs="Arial"/>
                <w:szCs w:val="24"/>
              </w:rPr>
              <w:t>issues</w:t>
            </w:r>
            <w:r w:rsidR="006C09E9">
              <w:rPr>
                <w:rFonts w:ascii="Arial" w:hAnsi="Arial" w:cs="Arial"/>
                <w:szCs w:val="24"/>
              </w:rPr>
              <w:t xml:space="preserve"> that arose</w:t>
            </w:r>
            <w:r w:rsidR="00CF0B36">
              <w:rPr>
                <w:rFonts w:ascii="Arial" w:hAnsi="Arial" w:cs="Arial"/>
                <w:szCs w:val="24"/>
              </w:rPr>
              <w:t xml:space="preserve"> </w:t>
            </w:r>
            <w:r w:rsidR="002A51F9">
              <w:rPr>
                <w:rFonts w:ascii="Arial" w:hAnsi="Arial" w:cs="Arial"/>
                <w:szCs w:val="24"/>
              </w:rPr>
              <w:t>during</w:t>
            </w:r>
            <w:r w:rsidR="00CF0B36">
              <w:rPr>
                <w:rFonts w:ascii="Arial" w:hAnsi="Arial" w:cs="Arial"/>
                <w:szCs w:val="24"/>
              </w:rPr>
              <w:t xml:space="preserve"> quarter </w:t>
            </w:r>
            <w:r w:rsidR="007B2FE1">
              <w:rPr>
                <w:rFonts w:ascii="Arial" w:hAnsi="Arial" w:cs="Arial"/>
                <w:szCs w:val="24"/>
              </w:rPr>
              <w:t>2</w:t>
            </w:r>
            <w:r w:rsidRPr="00791D36">
              <w:rPr>
                <w:rFonts w:ascii="Arial" w:hAnsi="Arial" w:cs="Arial"/>
                <w:szCs w:val="24"/>
              </w:rPr>
              <w:t xml:space="preserve"> </w:t>
            </w:r>
            <w:r w:rsidR="00200C8E">
              <w:rPr>
                <w:rFonts w:ascii="Arial" w:hAnsi="Arial" w:cs="Arial"/>
                <w:szCs w:val="24"/>
              </w:rPr>
              <w:t>2016/17</w:t>
            </w:r>
            <w:r w:rsidRPr="00791D36">
              <w:rPr>
                <w:rFonts w:ascii="Arial" w:hAnsi="Arial" w:cs="Arial"/>
                <w:szCs w:val="24"/>
              </w:rPr>
              <w:t xml:space="preserve">. </w:t>
            </w:r>
            <w:r w:rsidR="006C09E9">
              <w:rPr>
                <w:rFonts w:ascii="Arial" w:hAnsi="Arial" w:cs="Arial"/>
                <w:szCs w:val="24"/>
              </w:rPr>
              <w:t xml:space="preserve"> </w:t>
            </w:r>
            <w:r w:rsidR="00686716">
              <w:rPr>
                <w:rFonts w:ascii="Arial" w:hAnsi="Arial" w:cs="Arial"/>
                <w:szCs w:val="24"/>
              </w:rPr>
              <w:t>One case was dropped and no further action was taken, i</w:t>
            </w:r>
            <w:r w:rsidR="00AB772D">
              <w:rPr>
                <w:rFonts w:ascii="Arial" w:hAnsi="Arial" w:cs="Arial"/>
                <w:szCs w:val="24"/>
              </w:rPr>
              <w:t xml:space="preserve">n </w:t>
            </w:r>
            <w:r w:rsidR="007B2FE1">
              <w:rPr>
                <w:rFonts w:ascii="Arial" w:hAnsi="Arial" w:cs="Arial"/>
                <w:szCs w:val="24"/>
              </w:rPr>
              <w:t>two</w:t>
            </w:r>
            <w:r w:rsidR="00AB772D">
              <w:rPr>
                <w:rFonts w:ascii="Arial" w:hAnsi="Arial" w:cs="Arial"/>
                <w:szCs w:val="24"/>
              </w:rPr>
              <w:t xml:space="preserve"> case</w:t>
            </w:r>
            <w:r w:rsidR="007B2FE1">
              <w:rPr>
                <w:rFonts w:ascii="Arial" w:hAnsi="Arial" w:cs="Arial"/>
                <w:szCs w:val="24"/>
              </w:rPr>
              <w:t xml:space="preserve">s an informal warning was given and the </w:t>
            </w:r>
            <w:r w:rsidR="00686716">
              <w:rPr>
                <w:rFonts w:ascii="Arial" w:hAnsi="Arial" w:cs="Arial"/>
                <w:szCs w:val="24"/>
              </w:rPr>
              <w:t>remaining</w:t>
            </w:r>
            <w:r w:rsidR="007B2FE1">
              <w:rPr>
                <w:rFonts w:ascii="Arial" w:hAnsi="Arial" w:cs="Arial"/>
                <w:szCs w:val="24"/>
              </w:rPr>
              <w:t xml:space="preserve"> case led to a final written warning</w:t>
            </w:r>
            <w:r w:rsidR="00686716">
              <w:rPr>
                <w:rFonts w:ascii="Arial" w:hAnsi="Arial" w:cs="Arial"/>
                <w:szCs w:val="24"/>
              </w:rPr>
              <w:t xml:space="preserve"> being issued.</w:t>
            </w:r>
          </w:p>
          <w:p w:rsidR="00791D36" w:rsidRDefault="00791D36" w:rsidP="00474274">
            <w:pPr>
              <w:jc w:val="both"/>
              <w:rPr>
                <w:rFonts w:ascii="Arial" w:hAnsi="Arial" w:cs="Arial"/>
                <w:szCs w:val="24"/>
              </w:rPr>
            </w:pPr>
          </w:p>
          <w:p w:rsidR="006F5801" w:rsidRPr="00265F13" w:rsidRDefault="006F5801" w:rsidP="00474274">
            <w:pPr>
              <w:jc w:val="both"/>
              <w:rPr>
                <w:rFonts w:ascii="Arial" w:hAnsi="Arial" w:cs="Arial"/>
                <w:szCs w:val="24"/>
                <w:u w:val="single"/>
              </w:rPr>
            </w:pPr>
            <w:r w:rsidRPr="00265F13">
              <w:rPr>
                <w:rFonts w:ascii="Arial" w:hAnsi="Arial" w:cs="Arial"/>
                <w:szCs w:val="24"/>
                <w:u w:val="single"/>
              </w:rPr>
              <w:t>Grievance</w:t>
            </w:r>
          </w:p>
          <w:p w:rsidR="00600CE7" w:rsidRPr="009E7E1D" w:rsidRDefault="00600CE7" w:rsidP="00474274">
            <w:pPr>
              <w:jc w:val="both"/>
              <w:rPr>
                <w:rFonts w:ascii="Arial" w:hAnsi="Arial" w:cs="Arial"/>
                <w:szCs w:val="24"/>
              </w:rPr>
            </w:pPr>
          </w:p>
          <w:p w:rsidR="00810982" w:rsidRDefault="006F5801" w:rsidP="006C09E9">
            <w:pPr>
              <w:jc w:val="both"/>
              <w:rPr>
                <w:rFonts w:ascii="Arial" w:hAnsi="Arial" w:cs="Arial"/>
                <w:szCs w:val="24"/>
              </w:rPr>
            </w:pPr>
            <w:r w:rsidRPr="00791D36">
              <w:rPr>
                <w:rFonts w:ascii="Arial" w:hAnsi="Arial" w:cs="Arial"/>
                <w:szCs w:val="24"/>
              </w:rPr>
              <w:t xml:space="preserve">There </w:t>
            </w:r>
            <w:r w:rsidR="00610457" w:rsidRPr="00791D36">
              <w:rPr>
                <w:rFonts w:ascii="Arial" w:hAnsi="Arial" w:cs="Arial"/>
                <w:szCs w:val="24"/>
              </w:rPr>
              <w:t>w</w:t>
            </w:r>
            <w:r w:rsidR="00AB772D">
              <w:rPr>
                <w:rFonts w:ascii="Arial" w:hAnsi="Arial" w:cs="Arial"/>
                <w:szCs w:val="24"/>
              </w:rPr>
              <w:t>ere</w:t>
            </w:r>
            <w:r w:rsidR="00A01760" w:rsidRPr="00791D36">
              <w:rPr>
                <w:rFonts w:ascii="Arial" w:hAnsi="Arial" w:cs="Arial"/>
                <w:szCs w:val="24"/>
              </w:rPr>
              <w:t xml:space="preserve"> </w:t>
            </w:r>
            <w:r w:rsidR="00AB772D">
              <w:rPr>
                <w:rFonts w:ascii="Arial" w:hAnsi="Arial" w:cs="Arial"/>
                <w:szCs w:val="24"/>
              </w:rPr>
              <w:t>no</w:t>
            </w:r>
            <w:r w:rsidRPr="00791D36">
              <w:rPr>
                <w:rFonts w:ascii="Arial" w:hAnsi="Arial" w:cs="Arial"/>
                <w:szCs w:val="24"/>
              </w:rPr>
              <w:t xml:space="preserve"> </w:t>
            </w:r>
            <w:r w:rsidR="007B2FE1">
              <w:rPr>
                <w:rFonts w:ascii="Arial" w:hAnsi="Arial" w:cs="Arial"/>
                <w:szCs w:val="24"/>
              </w:rPr>
              <w:t xml:space="preserve">formal </w:t>
            </w:r>
            <w:r w:rsidRPr="00791D36">
              <w:rPr>
                <w:rFonts w:ascii="Arial" w:hAnsi="Arial" w:cs="Arial"/>
                <w:szCs w:val="24"/>
              </w:rPr>
              <w:t xml:space="preserve">grievance </w:t>
            </w:r>
            <w:r w:rsidR="00AB772D">
              <w:rPr>
                <w:rFonts w:ascii="Arial" w:hAnsi="Arial" w:cs="Arial"/>
                <w:szCs w:val="24"/>
              </w:rPr>
              <w:t xml:space="preserve">issues </w:t>
            </w:r>
            <w:r w:rsidR="006C09E9">
              <w:rPr>
                <w:rFonts w:ascii="Arial" w:hAnsi="Arial" w:cs="Arial"/>
                <w:szCs w:val="24"/>
              </w:rPr>
              <w:t>raised during</w:t>
            </w:r>
            <w:r w:rsidRPr="00791D36">
              <w:rPr>
                <w:rFonts w:ascii="Arial" w:hAnsi="Arial" w:cs="Arial"/>
                <w:szCs w:val="24"/>
              </w:rPr>
              <w:t xml:space="preserve"> </w:t>
            </w:r>
            <w:r w:rsidR="00CF0B36">
              <w:rPr>
                <w:rFonts w:ascii="Arial" w:hAnsi="Arial" w:cs="Arial"/>
                <w:szCs w:val="24"/>
              </w:rPr>
              <w:t xml:space="preserve">quarter </w:t>
            </w:r>
            <w:r w:rsidR="007B2FE1">
              <w:rPr>
                <w:rFonts w:ascii="Arial" w:hAnsi="Arial" w:cs="Arial"/>
                <w:szCs w:val="24"/>
              </w:rPr>
              <w:t>2</w:t>
            </w:r>
            <w:r w:rsidRPr="00791D36">
              <w:rPr>
                <w:rFonts w:ascii="Arial" w:hAnsi="Arial" w:cs="Arial"/>
                <w:szCs w:val="24"/>
              </w:rPr>
              <w:t xml:space="preserve"> 201</w:t>
            </w:r>
            <w:r w:rsidR="008F66E6">
              <w:rPr>
                <w:rFonts w:ascii="Arial" w:hAnsi="Arial" w:cs="Arial"/>
                <w:szCs w:val="24"/>
              </w:rPr>
              <w:t>6</w:t>
            </w:r>
            <w:r w:rsidR="00200C8E">
              <w:rPr>
                <w:rFonts w:ascii="Arial" w:hAnsi="Arial" w:cs="Arial"/>
                <w:szCs w:val="24"/>
              </w:rPr>
              <w:t>/17</w:t>
            </w:r>
            <w:r w:rsidRPr="00791D36">
              <w:rPr>
                <w:rFonts w:ascii="Arial" w:hAnsi="Arial" w:cs="Arial"/>
                <w:szCs w:val="24"/>
              </w:rPr>
              <w:t xml:space="preserve">.  </w:t>
            </w:r>
          </w:p>
          <w:p w:rsidR="00465229" w:rsidRPr="007214D1" w:rsidRDefault="00465229" w:rsidP="002959EE">
            <w:pPr>
              <w:jc w:val="both"/>
              <w:rPr>
                <w:rFonts w:ascii="Arial" w:hAnsi="Arial" w:cs="Arial"/>
                <w:szCs w:val="24"/>
              </w:rPr>
            </w:pPr>
          </w:p>
        </w:tc>
      </w:tr>
      <w:tr w:rsidR="002959EE" w:rsidRPr="007214D1" w:rsidTr="002959EE">
        <w:trPr>
          <w:trHeight w:val="984"/>
        </w:trPr>
        <w:tc>
          <w:tcPr>
            <w:tcW w:w="817" w:type="dxa"/>
          </w:tcPr>
          <w:p w:rsidR="002959EE" w:rsidRDefault="002959EE" w:rsidP="00416BFF">
            <w:pPr>
              <w:rPr>
                <w:rFonts w:ascii="Arial" w:hAnsi="Arial" w:cs="Arial"/>
                <w:szCs w:val="24"/>
              </w:rPr>
            </w:pPr>
            <w:r>
              <w:rPr>
                <w:rFonts w:ascii="Arial" w:hAnsi="Arial" w:cs="Arial"/>
                <w:szCs w:val="24"/>
              </w:rPr>
              <w:lastRenderedPageBreak/>
              <w:t>3.5</w:t>
            </w:r>
          </w:p>
          <w:p w:rsidR="002959EE" w:rsidRDefault="002959EE" w:rsidP="00416BFF">
            <w:pPr>
              <w:rPr>
                <w:rFonts w:ascii="Arial" w:hAnsi="Arial" w:cs="Arial"/>
                <w:szCs w:val="24"/>
              </w:rPr>
            </w:pPr>
          </w:p>
          <w:p w:rsidR="002959EE" w:rsidRDefault="002959EE" w:rsidP="00416BFF">
            <w:pPr>
              <w:rPr>
                <w:rFonts w:ascii="Arial" w:hAnsi="Arial" w:cs="Arial"/>
                <w:szCs w:val="24"/>
              </w:rPr>
            </w:pPr>
            <w:r>
              <w:rPr>
                <w:rFonts w:ascii="Arial" w:hAnsi="Arial" w:cs="Arial"/>
                <w:szCs w:val="24"/>
              </w:rPr>
              <w:t>3.5.1</w:t>
            </w:r>
          </w:p>
        </w:tc>
        <w:tc>
          <w:tcPr>
            <w:tcW w:w="8647" w:type="dxa"/>
          </w:tcPr>
          <w:p w:rsidR="002959EE" w:rsidRPr="00265F13" w:rsidRDefault="002959EE" w:rsidP="002959EE">
            <w:pPr>
              <w:jc w:val="both"/>
              <w:rPr>
                <w:rFonts w:ascii="Arial" w:hAnsi="Arial" w:cs="Arial"/>
                <w:szCs w:val="24"/>
                <w:u w:val="single"/>
              </w:rPr>
            </w:pPr>
            <w:r w:rsidRPr="00265F13">
              <w:rPr>
                <w:rFonts w:ascii="Arial" w:hAnsi="Arial" w:cs="Arial"/>
                <w:szCs w:val="24"/>
                <w:u w:val="single"/>
              </w:rPr>
              <w:t>Harassment</w:t>
            </w:r>
          </w:p>
          <w:p w:rsidR="002959EE" w:rsidRDefault="002959EE" w:rsidP="002959EE">
            <w:pPr>
              <w:jc w:val="both"/>
              <w:rPr>
                <w:rFonts w:ascii="Arial" w:hAnsi="Arial" w:cs="Arial"/>
                <w:szCs w:val="24"/>
              </w:rPr>
            </w:pPr>
          </w:p>
          <w:p w:rsidR="002959EE" w:rsidRPr="00791D36" w:rsidRDefault="002959EE" w:rsidP="002959EE">
            <w:pPr>
              <w:jc w:val="both"/>
              <w:rPr>
                <w:rFonts w:ascii="Arial" w:hAnsi="Arial" w:cs="Arial"/>
                <w:szCs w:val="24"/>
              </w:rPr>
            </w:pPr>
            <w:r w:rsidRPr="00791D36">
              <w:rPr>
                <w:rFonts w:ascii="Arial" w:hAnsi="Arial" w:cs="Arial"/>
                <w:szCs w:val="24"/>
              </w:rPr>
              <w:t>There were no h</w:t>
            </w:r>
            <w:r>
              <w:rPr>
                <w:rFonts w:ascii="Arial" w:hAnsi="Arial" w:cs="Arial"/>
                <w:szCs w:val="24"/>
              </w:rPr>
              <w:t>arassment issues raised during quarter 2</w:t>
            </w:r>
            <w:r w:rsidRPr="00791D36">
              <w:rPr>
                <w:rFonts w:ascii="Arial" w:hAnsi="Arial" w:cs="Arial"/>
                <w:szCs w:val="24"/>
              </w:rPr>
              <w:t xml:space="preserve"> in 201</w:t>
            </w:r>
            <w:r>
              <w:rPr>
                <w:rFonts w:ascii="Arial" w:hAnsi="Arial" w:cs="Arial"/>
                <w:szCs w:val="24"/>
              </w:rPr>
              <w:t>6/17</w:t>
            </w:r>
            <w:r w:rsidRPr="00791D36">
              <w:rPr>
                <w:rFonts w:ascii="Arial" w:hAnsi="Arial" w:cs="Arial"/>
                <w:szCs w:val="24"/>
              </w:rPr>
              <w:t>.</w:t>
            </w:r>
          </w:p>
          <w:p w:rsidR="002959EE" w:rsidRPr="00265F13" w:rsidRDefault="002959EE" w:rsidP="00474274">
            <w:pPr>
              <w:jc w:val="both"/>
              <w:rPr>
                <w:rFonts w:ascii="Arial" w:hAnsi="Arial" w:cs="Arial"/>
                <w:u w:val="single"/>
              </w:rPr>
            </w:pPr>
          </w:p>
        </w:tc>
      </w:tr>
      <w:tr w:rsidR="002959EE" w:rsidRPr="007214D1" w:rsidTr="0045618C">
        <w:trPr>
          <w:trHeight w:val="2551"/>
        </w:trPr>
        <w:tc>
          <w:tcPr>
            <w:tcW w:w="817" w:type="dxa"/>
          </w:tcPr>
          <w:p w:rsidR="002959EE" w:rsidRDefault="002959EE" w:rsidP="00AE7A25">
            <w:pPr>
              <w:rPr>
                <w:rFonts w:ascii="Arial" w:hAnsi="Arial" w:cs="Arial"/>
                <w:szCs w:val="24"/>
              </w:rPr>
            </w:pPr>
            <w:r>
              <w:rPr>
                <w:rFonts w:ascii="Arial" w:hAnsi="Arial" w:cs="Arial"/>
                <w:szCs w:val="24"/>
              </w:rPr>
              <w:t>3.6</w:t>
            </w:r>
          </w:p>
          <w:p w:rsidR="002959EE" w:rsidRDefault="002959EE" w:rsidP="00AE7A25">
            <w:pPr>
              <w:rPr>
                <w:rFonts w:ascii="Arial" w:hAnsi="Arial" w:cs="Arial"/>
                <w:szCs w:val="24"/>
              </w:rPr>
            </w:pPr>
          </w:p>
          <w:p w:rsidR="002959EE" w:rsidRDefault="002959EE" w:rsidP="00AE7A25">
            <w:pPr>
              <w:rPr>
                <w:rFonts w:ascii="Arial" w:hAnsi="Arial" w:cs="Arial"/>
                <w:szCs w:val="24"/>
              </w:rPr>
            </w:pPr>
            <w:r>
              <w:rPr>
                <w:rFonts w:ascii="Arial" w:hAnsi="Arial" w:cs="Arial"/>
                <w:szCs w:val="24"/>
              </w:rPr>
              <w:t>3.6.1</w:t>
            </w: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A51F9" w:rsidRDefault="002A51F9" w:rsidP="00AE7A25">
            <w:pPr>
              <w:rPr>
                <w:rFonts w:ascii="Arial" w:hAnsi="Arial" w:cs="Arial"/>
                <w:szCs w:val="24"/>
              </w:rPr>
            </w:pPr>
          </w:p>
          <w:p w:rsidR="002959EE" w:rsidRDefault="002959EE" w:rsidP="00AE7A25">
            <w:pPr>
              <w:rPr>
                <w:rFonts w:ascii="Arial" w:hAnsi="Arial" w:cs="Arial"/>
                <w:szCs w:val="24"/>
              </w:rPr>
            </w:pPr>
            <w:r>
              <w:rPr>
                <w:rFonts w:ascii="Arial" w:hAnsi="Arial" w:cs="Arial"/>
                <w:szCs w:val="24"/>
              </w:rPr>
              <w:t>3.6.2</w:t>
            </w: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r>
              <w:rPr>
                <w:rFonts w:ascii="Arial" w:hAnsi="Arial" w:cs="Arial"/>
                <w:szCs w:val="24"/>
              </w:rPr>
              <w:t>3.6.3</w:t>
            </w:r>
          </w:p>
          <w:p w:rsidR="002959EE" w:rsidRDefault="002959EE" w:rsidP="00AE7A25">
            <w:pPr>
              <w:rPr>
                <w:rFonts w:ascii="Arial" w:hAnsi="Arial" w:cs="Arial"/>
                <w:szCs w:val="24"/>
              </w:rPr>
            </w:pPr>
          </w:p>
          <w:p w:rsidR="002959EE" w:rsidRDefault="002959EE" w:rsidP="00AE7A25">
            <w:pPr>
              <w:rPr>
                <w:rFonts w:ascii="Arial" w:hAnsi="Arial" w:cs="Arial"/>
                <w:szCs w:val="24"/>
              </w:rPr>
            </w:pPr>
          </w:p>
          <w:p w:rsidR="002959EE" w:rsidRDefault="002959EE" w:rsidP="00AE7A25">
            <w:pPr>
              <w:rPr>
                <w:rFonts w:ascii="Arial" w:hAnsi="Arial" w:cs="Arial"/>
                <w:szCs w:val="24"/>
              </w:rPr>
            </w:pPr>
            <w:r>
              <w:rPr>
                <w:rFonts w:ascii="Arial" w:hAnsi="Arial" w:cs="Arial"/>
                <w:szCs w:val="24"/>
              </w:rPr>
              <w:t>3.6.4</w:t>
            </w:r>
          </w:p>
        </w:tc>
        <w:tc>
          <w:tcPr>
            <w:tcW w:w="8647" w:type="dxa"/>
          </w:tcPr>
          <w:p w:rsidR="002959EE" w:rsidRPr="00265F13" w:rsidRDefault="002959EE" w:rsidP="00AE7A25">
            <w:pPr>
              <w:jc w:val="both"/>
              <w:rPr>
                <w:rFonts w:ascii="Arial" w:hAnsi="Arial" w:cs="Arial"/>
                <w:szCs w:val="24"/>
                <w:u w:val="single"/>
              </w:rPr>
            </w:pPr>
            <w:r w:rsidRPr="00265F13">
              <w:rPr>
                <w:rFonts w:ascii="Arial" w:hAnsi="Arial" w:cs="Arial"/>
                <w:szCs w:val="24"/>
                <w:u w:val="single"/>
              </w:rPr>
              <w:t xml:space="preserve">Employee relations </w:t>
            </w:r>
          </w:p>
          <w:p w:rsidR="002959EE" w:rsidRDefault="002959EE" w:rsidP="00AE7A25">
            <w:pPr>
              <w:jc w:val="both"/>
              <w:rPr>
                <w:rFonts w:ascii="Arial" w:hAnsi="Arial" w:cs="Arial"/>
                <w:szCs w:val="24"/>
              </w:rPr>
            </w:pPr>
          </w:p>
          <w:p w:rsidR="002959EE" w:rsidRDefault="002959EE" w:rsidP="00AE7A25">
            <w:pPr>
              <w:jc w:val="both"/>
              <w:rPr>
                <w:rFonts w:ascii="Arial" w:hAnsi="Arial" w:cs="Arial"/>
                <w:szCs w:val="24"/>
              </w:rPr>
            </w:pPr>
            <w:r>
              <w:rPr>
                <w:rFonts w:ascii="Arial" w:hAnsi="Arial" w:cs="Arial"/>
                <w:szCs w:val="24"/>
              </w:rPr>
              <w:t xml:space="preserve">The Company has </w:t>
            </w:r>
            <w:r w:rsidR="002A51F9">
              <w:rPr>
                <w:rFonts w:ascii="Arial" w:hAnsi="Arial" w:cs="Arial"/>
                <w:szCs w:val="24"/>
              </w:rPr>
              <w:t xml:space="preserve">recognised and </w:t>
            </w:r>
            <w:r>
              <w:rPr>
                <w:rFonts w:ascii="Arial" w:hAnsi="Arial" w:cs="Arial"/>
                <w:szCs w:val="24"/>
              </w:rPr>
              <w:t>engaged with three Trade Unions that have members within the organisation, namely Unison, Unite and GMB.  The Company deals with the T</w:t>
            </w:r>
            <w:r w:rsidR="002A51F9">
              <w:rPr>
                <w:rFonts w:ascii="Arial" w:hAnsi="Arial" w:cs="Arial"/>
                <w:szCs w:val="24"/>
              </w:rPr>
              <w:t xml:space="preserve">rade </w:t>
            </w:r>
            <w:r>
              <w:rPr>
                <w:rFonts w:ascii="Arial" w:hAnsi="Arial" w:cs="Arial"/>
                <w:szCs w:val="24"/>
              </w:rPr>
              <w:t>U</w:t>
            </w:r>
            <w:r w:rsidR="002A51F9">
              <w:rPr>
                <w:rFonts w:ascii="Arial" w:hAnsi="Arial" w:cs="Arial"/>
                <w:szCs w:val="24"/>
              </w:rPr>
              <w:t>nion</w:t>
            </w:r>
            <w:r>
              <w:rPr>
                <w:rFonts w:ascii="Arial" w:hAnsi="Arial" w:cs="Arial"/>
                <w:szCs w:val="24"/>
              </w:rPr>
              <w:t xml:space="preserve">s formally through the Joint Consultation Forum (JCF) which meets quarterly, the last meeting was held on 7 September 2016.  </w:t>
            </w:r>
          </w:p>
          <w:p w:rsidR="002959EE" w:rsidRDefault="002959EE" w:rsidP="00AE7A25">
            <w:pPr>
              <w:jc w:val="both"/>
              <w:rPr>
                <w:rFonts w:ascii="Arial" w:hAnsi="Arial" w:cs="Arial"/>
                <w:szCs w:val="24"/>
              </w:rPr>
            </w:pPr>
          </w:p>
          <w:p w:rsidR="002959EE" w:rsidRDefault="002959EE" w:rsidP="00AE7A25">
            <w:pPr>
              <w:jc w:val="both"/>
              <w:rPr>
                <w:rFonts w:ascii="Arial" w:hAnsi="Arial" w:cs="Arial"/>
                <w:szCs w:val="24"/>
              </w:rPr>
            </w:pPr>
            <w:r>
              <w:rPr>
                <w:rFonts w:ascii="Arial" w:hAnsi="Arial" w:cs="Arial"/>
                <w:szCs w:val="24"/>
              </w:rPr>
              <w:t xml:space="preserve">The main discussion areas at this meeting were the proposal to set up donations points in libraries.  One trade union (GMB) had an issue with this </w:t>
            </w:r>
            <w:r w:rsidR="00021A73">
              <w:rPr>
                <w:rFonts w:ascii="Arial" w:hAnsi="Arial" w:cs="Arial"/>
                <w:szCs w:val="24"/>
              </w:rPr>
              <w:t>and</w:t>
            </w:r>
            <w:r>
              <w:rPr>
                <w:rFonts w:ascii="Arial" w:hAnsi="Arial" w:cs="Arial"/>
                <w:szCs w:val="24"/>
              </w:rPr>
              <w:t xml:space="preserve"> this was resolved </w:t>
            </w:r>
            <w:r w:rsidR="00021A73">
              <w:rPr>
                <w:rFonts w:ascii="Arial" w:hAnsi="Arial" w:cs="Arial"/>
                <w:szCs w:val="24"/>
              </w:rPr>
              <w:t xml:space="preserve">by </w:t>
            </w:r>
            <w:r>
              <w:rPr>
                <w:rFonts w:ascii="Arial" w:hAnsi="Arial" w:cs="Arial"/>
                <w:szCs w:val="24"/>
              </w:rPr>
              <w:t xml:space="preserve">confirming the reasons for these and the actions that staff were expected to undertake.  The transfer of some or all of </w:t>
            </w:r>
            <w:r w:rsidRPr="00AB772D">
              <w:rPr>
                <w:rFonts w:ascii="Arial" w:hAnsi="Arial" w:cs="Arial"/>
                <w:szCs w:val="24"/>
              </w:rPr>
              <w:t>CCFM</w:t>
            </w:r>
            <w:r>
              <w:rPr>
                <w:rFonts w:ascii="Arial" w:hAnsi="Arial" w:cs="Arial"/>
                <w:szCs w:val="24"/>
              </w:rPr>
              <w:t xml:space="preserve"> to High Life Highland continued to be a topic of discussion as was communication issues around the Company.</w:t>
            </w:r>
          </w:p>
          <w:p w:rsidR="002959EE" w:rsidRDefault="002959EE" w:rsidP="00AE7A25">
            <w:pPr>
              <w:jc w:val="both"/>
              <w:rPr>
                <w:rFonts w:ascii="Arial" w:hAnsi="Arial" w:cs="Arial"/>
                <w:szCs w:val="24"/>
              </w:rPr>
            </w:pPr>
          </w:p>
          <w:p w:rsidR="002959EE" w:rsidRDefault="002959EE" w:rsidP="00AE7A25">
            <w:pPr>
              <w:jc w:val="both"/>
              <w:rPr>
                <w:rFonts w:ascii="Arial" w:hAnsi="Arial" w:cs="Arial"/>
                <w:szCs w:val="24"/>
              </w:rPr>
            </w:pPr>
            <w:r w:rsidRPr="004438C9">
              <w:rPr>
                <w:rFonts w:ascii="Arial" w:hAnsi="Arial" w:cs="Arial"/>
                <w:szCs w:val="24"/>
              </w:rPr>
              <w:t>In addition</w:t>
            </w:r>
            <w:r>
              <w:rPr>
                <w:rFonts w:ascii="Arial" w:hAnsi="Arial" w:cs="Arial"/>
                <w:szCs w:val="24"/>
              </w:rPr>
              <w:t xml:space="preserve"> to the JCF</w:t>
            </w:r>
            <w:r w:rsidRPr="004438C9">
              <w:rPr>
                <w:rFonts w:ascii="Arial" w:hAnsi="Arial" w:cs="Arial"/>
                <w:szCs w:val="24"/>
              </w:rPr>
              <w:t xml:space="preserve">, the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 represented on the staff Health and Safety Committee.</w:t>
            </w:r>
            <w:r>
              <w:rPr>
                <w:rFonts w:ascii="Arial" w:hAnsi="Arial" w:cs="Arial"/>
                <w:szCs w:val="24"/>
              </w:rPr>
              <w:t xml:space="preserve">  </w:t>
            </w:r>
          </w:p>
          <w:p w:rsidR="002959EE" w:rsidRDefault="002959EE" w:rsidP="00AE7A25">
            <w:pPr>
              <w:jc w:val="both"/>
              <w:rPr>
                <w:rFonts w:ascii="Arial" w:hAnsi="Arial" w:cs="Arial"/>
                <w:szCs w:val="24"/>
              </w:rPr>
            </w:pPr>
          </w:p>
          <w:p w:rsidR="002959EE" w:rsidRDefault="002959EE" w:rsidP="00AE7A25">
            <w:pPr>
              <w:jc w:val="both"/>
              <w:rPr>
                <w:rFonts w:ascii="Arial" w:hAnsi="Arial" w:cs="Arial"/>
                <w:szCs w:val="24"/>
              </w:rPr>
            </w:pPr>
            <w:r>
              <w:rPr>
                <w:rFonts w:ascii="Arial" w:hAnsi="Arial" w:cs="Arial"/>
                <w:szCs w:val="24"/>
              </w:rPr>
              <w:t>Management also meet with the TUs regularly to discuss other issues (e.g. restructuring proposals, updated working practices, etc.).</w:t>
            </w:r>
          </w:p>
          <w:p w:rsidR="002959EE" w:rsidRPr="00F1364E" w:rsidRDefault="002959EE" w:rsidP="00AE7A25">
            <w:pPr>
              <w:jc w:val="both"/>
              <w:rPr>
                <w:rFonts w:ascii="Arial" w:hAnsi="Arial" w:cs="Arial"/>
                <w:color w:val="00B050"/>
                <w:u w:val="single"/>
              </w:rPr>
            </w:pPr>
          </w:p>
        </w:tc>
      </w:tr>
      <w:tr w:rsidR="002959EE" w:rsidRPr="007214D1">
        <w:tc>
          <w:tcPr>
            <w:tcW w:w="817" w:type="dxa"/>
          </w:tcPr>
          <w:p w:rsidR="002959EE" w:rsidRPr="00520DB0" w:rsidRDefault="00E26FC7" w:rsidP="009D691A">
            <w:pPr>
              <w:rPr>
                <w:rFonts w:ascii="Arial" w:hAnsi="Arial" w:cs="Arial"/>
                <w:b/>
                <w:szCs w:val="24"/>
              </w:rPr>
            </w:pPr>
            <w:r w:rsidRPr="00520DB0">
              <w:rPr>
                <w:rFonts w:ascii="Arial" w:hAnsi="Arial" w:cs="Arial"/>
                <w:b/>
                <w:szCs w:val="24"/>
              </w:rPr>
              <w:t>4</w:t>
            </w:r>
          </w:p>
          <w:p w:rsidR="002959EE" w:rsidRDefault="002959EE" w:rsidP="009D691A">
            <w:pPr>
              <w:rPr>
                <w:rFonts w:ascii="Arial" w:hAnsi="Arial" w:cs="Arial"/>
                <w:szCs w:val="24"/>
              </w:rPr>
            </w:pPr>
          </w:p>
          <w:p w:rsidR="002959EE" w:rsidRDefault="00E26FC7" w:rsidP="009D691A">
            <w:pPr>
              <w:rPr>
                <w:rFonts w:ascii="Arial" w:hAnsi="Arial" w:cs="Arial"/>
                <w:szCs w:val="24"/>
              </w:rPr>
            </w:pPr>
            <w:r>
              <w:rPr>
                <w:rFonts w:ascii="Arial" w:hAnsi="Arial" w:cs="Arial"/>
                <w:szCs w:val="24"/>
              </w:rPr>
              <w:t>4.1</w:t>
            </w:r>
          </w:p>
          <w:p w:rsidR="00E26FC7" w:rsidRDefault="00E26FC7" w:rsidP="009D691A">
            <w:pPr>
              <w:rPr>
                <w:rFonts w:ascii="Arial" w:hAnsi="Arial" w:cs="Arial"/>
                <w:szCs w:val="24"/>
              </w:rPr>
            </w:pPr>
          </w:p>
          <w:p w:rsidR="00E26FC7" w:rsidRDefault="00E26FC7" w:rsidP="009D691A">
            <w:pPr>
              <w:rPr>
                <w:rFonts w:ascii="Arial" w:hAnsi="Arial" w:cs="Arial"/>
                <w:szCs w:val="24"/>
              </w:rPr>
            </w:pPr>
          </w:p>
          <w:p w:rsidR="00E26FC7" w:rsidRDefault="00E26FC7" w:rsidP="009D691A">
            <w:pPr>
              <w:rPr>
                <w:rFonts w:ascii="Arial" w:hAnsi="Arial" w:cs="Arial"/>
                <w:szCs w:val="24"/>
              </w:rPr>
            </w:pPr>
          </w:p>
          <w:p w:rsidR="00255FC0" w:rsidRDefault="00255FC0" w:rsidP="009D691A">
            <w:pPr>
              <w:rPr>
                <w:rFonts w:ascii="Arial" w:hAnsi="Arial" w:cs="Arial"/>
                <w:szCs w:val="24"/>
              </w:rPr>
            </w:pPr>
          </w:p>
          <w:p w:rsidR="00255FC0" w:rsidRDefault="00255FC0" w:rsidP="009D691A">
            <w:pPr>
              <w:rPr>
                <w:rFonts w:ascii="Arial" w:hAnsi="Arial" w:cs="Arial"/>
                <w:szCs w:val="24"/>
              </w:rPr>
            </w:pPr>
          </w:p>
          <w:p w:rsidR="00255FC0" w:rsidRDefault="00255FC0" w:rsidP="009D691A">
            <w:pPr>
              <w:rPr>
                <w:rFonts w:ascii="Arial" w:hAnsi="Arial" w:cs="Arial"/>
                <w:szCs w:val="24"/>
              </w:rPr>
            </w:pPr>
          </w:p>
          <w:p w:rsidR="00E26FC7" w:rsidRDefault="00E26FC7" w:rsidP="009D691A">
            <w:pPr>
              <w:rPr>
                <w:rFonts w:ascii="Arial" w:hAnsi="Arial" w:cs="Arial"/>
                <w:szCs w:val="24"/>
              </w:rPr>
            </w:pPr>
            <w:r>
              <w:rPr>
                <w:rFonts w:ascii="Arial" w:hAnsi="Arial" w:cs="Arial"/>
                <w:szCs w:val="24"/>
              </w:rPr>
              <w:lastRenderedPageBreak/>
              <w:t>4.2</w:t>
            </w:r>
          </w:p>
          <w:p w:rsidR="00E26FC7" w:rsidRDefault="00E26FC7" w:rsidP="009D691A">
            <w:pPr>
              <w:rPr>
                <w:rFonts w:ascii="Arial" w:hAnsi="Arial" w:cs="Arial"/>
                <w:szCs w:val="24"/>
              </w:rPr>
            </w:pPr>
          </w:p>
          <w:p w:rsidR="00E26FC7" w:rsidRDefault="00E26FC7" w:rsidP="009D691A">
            <w:pPr>
              <w:rPr>
                <w:rFonts w:ascii="Arial" w:hAnsi="Arial" w:cs="Arial"/>
                <w:szCs w:val="24"/>
              </w:rPr>
            </w:pPr>
          </w:p>
          <w:p w:rsidR="00E26FC7" w:rsidRDefault="00E26FC7" w:rsidP="009D691A">
            <w:pPr>
              <w:rPr>
                <w:rFonts w:ascii="Arial" w:hAnsi="Arial" w:cs="Arial"/>
                <w:szCs w:val="24"/>
              </w:rPr>
            </w:pPr>
          </w:p>
          <w:p w:rsidR="00E26FC7" w:rsidRDefault="00E26FC7" w:rsidP="009D691A">
            <w:pPr>
              <w:rPr>
                <w:rFonts w:ascii="Arial" w:hAnsi="Arial" w:cs="Arial"/>
                <w:szCs w:val="24"/>
              </w:rPr>
            </w:pPr>
          </w:p>
          <w:p w:rsidR="00E26FC7" w:rsidRDefault="00E26FC7" w:rsidP="009D691A">
            <w:pPr>
              <w:rPr>
                <w:rFonts w:ascii="Arial" w:hAnsi="Arial" w:cs="Arial"/>
                <w:szCs w:val="24"/>
              </w:rPr>
            </w:pPr>
          </w:p>
          <w:p w:rsidR="00E26FC7" w:rsidRDefault="00E26FC7" w:rsidP="009D691A">
            <w:pPr>
              <w:rPr>
                <w:rFonts w:ascii="Arial" w:hAnsi="Arial" w:cs="Arial"/>
                <w:szCs w:val="24"/>
              </w:rPr>
            </w:pPr>
          </w:p>
          <w:p w:rsidR="00E26FC7" w:rsidRDefault="00E26FC7" w:rsidP="009D691A">
            <w:pPr>
              <w:rPr>
                <w:rFonts w:ascii="Arial" w:hAnsi="Arial" w:cs="Arial"/>
                <w:szCs w:val="24"/>
              </w:rPr>
            </w:pPr>
          </w:p>
        </w:tc>
        <w:tc>
          <w:tcPr>
            <w:tcW w:w="8647" w:type="dxa"/>
          </w:tcPr>
          <w:p w:rsidR="002959EE" w:rsidRPr="002A51F9" w:rsidRDefault="002959EE" w:rsidP="002959EE">
            <w:pPr>
              <w:jc w:val="both"/>
              <w:rPr>
                <w:rFonts w:ascii="Arial" w:hAnsi="Arial" w:cs="Arial"/>
                <w:b/>
                <w:szCs w:val="24"/>
              </w:rPr>
            </w:pPr>
            <w:r w:rsidRPr="002A51F9">
              <w:rPr>
                <w:rFonts w:ascii="Arial" w:hAnsi="Arial" w:cs="Arial"/>
                <w:b/>
                <w:szCs w:val="24"/>
              </w:rPr>
              <w:lastRenderedPageBreak/>
              <w:t>Annual Services Equalities Report</w:t>
            </w:r>
          </w:p>
          <w:p w:rsidR="00E26FC7" w:rsidRDefault="00E26FC7" w:rsidP="002959EE">
            <w:pPr>
              <w:jc w:val="both"/>
              <w:rPr>
                <w:rFonts w:ascii="Arial" w:hAnsi="Arial" w:cs="Arial"/>
                <w:b/>
                <w:szCs w:val="24"/>
              </w:rPr>
            </w:pPr>
          </w:p>
          <w:p w:rsidR="00E26FC7" w:rsidRPr="00E26FC7" w:rsidRDefault="00E26FC7" w:rsidP="00E26FC7">
            <w:pPr>
              <w:tabs>
                <w:tab w:val="num" w:pos="720"/>
              </w:tabs>
              <w:jc w:val="both"/>
              <w:rPr>
                <w:rFonts w:ascii="Arial" w:hAnsi="Arial" w:cs="Arial"/>
                <w:szCs w:val="24"/>
              </w:rPr>
            </w:pPr>
            <w:r w:rsidRPr="00E26FC7">
              <w:rPr>
                <w:rFonts w:ascii="Arial" w:hAnsi="Arial" w:cs="Arial"/>
                <w:szCs w:val="24"/>
              </w:rPr>
              <w:t xml:space="preserve">High Life Highland recognises and understands its duties and responsibilities under The Equalities Act 2010. The Company recognises its duty not to discriminate against </w:t>
            </w:r>
            <w:r w:rsidR="002A51F9">
              <w:rPr>
                <w:rFonts w:ascii="Arial" w:hAnsi="Arial" w:cs="Arial"/>
                <w:szCs w:val="24"/>
              </w:rPr>
              <w:t xml:space="preserve">any of </w:t>
            </w:r>
            <w:r w:rsidRPr="00E26FC7">
              <w:rPr>
                <w:rFonts w:ascii="Arial" w:hAnsi="Arial" w:cs="Arial"/>
                <w:szCs w:val="24"/>
              </w:rPr>
              <w:t xml:space="preserve">the </w:t>
            </w:r>
            <w:r>
              <w:rPr>
                <w:rFonts w:ascii="Arial" w:hAnsi="Arial" w:cs="Arial"/>
                <w:szCs w:val="24"/>
              </w:rPr>
              <w:t>‘nine</w:t>
            </w:r>
            <w:r w:rsidRPr="00E26FC7">
              <w:rPr>
                <w:rFonts w:ascii="Arial" w:hAnsi="Arial" w:cs="Arial"/>
                <w:szCs w:val="24"/>
              </w:rPr>
              <w:t xml:space="preserve"> characteristics</w:t>
            </w:r>
            <w:r>
              <w:rPr>
                <w:rFonts w:ascii="Arial" w:hAnsi="Arial" w:cs="Arial"/>
                <w:szCs w:val="24"/>
              </w:rPr>
              <w:t>’ (</w:t>
            </w:r>
            <w:r w:rsidRPr="00E26FC7">
              <w:rPr>
                <w:rFonts w:ascii="Arial" w:hAnsi="Arial" w:cs="Arial"/>
                <w:szCs w:val="24"/>
              </w:rPr>
              <w:t>Age</w:t>
            </w:r>
            <w:r>
              <w:rPr>
                <w:rFonts w:ascii="Arial" w:hAnsi="Arial" w:cs="Arial"/>
                <w:szCs w:val="24"/>
              </w:rPr>
              <w:t xml:space="preserve">, </w:t>
            </w:r>
            <w:r w:rsidRPr="00E26FC7">
              <w:rPr>
                <w:rFonts w:ascii="Arial" w:hAnsi="Arial" w:cs="Arial"/>
                <w:szCs w:val="24"/>
              </w:rPr>
              <w:t>Disability</w:t>
            </w:r>
            <w:r>
              <w:rPr>
                <w:rFonts w:ascii="Arial" w:hAnsi="Arial" w:cs="Arial"/>
                <w:szCs w:val="24"/>
              </w:rPr>
              <w:t xml:space="preserve">, </w:t>
            </w:r>
            <w:r w:rsidRPr="00E26FC7">
              <w:rPr>
                <w:rFonts w:ascii="Arial" w:hAnsi="Arial" w:cs="Arial"/>
                <w:szCs w:val="24"/>
              </w:rPr>
              <w:t>Gender reassignment</w:t>
            </w:r>
            <w:r>
              <w:rPr>
                <w:rFonts w:ascii="Arial" w:hAnsi="Arial" w:cs="Arial"/>
                <w:szCs w:val="24"/>
              </w:rPr>
              <w:t xml:space="preserve">, </w:t>
            </w:r>
            <w:r w:rsidRPr="00E26FC7">
              <w:rPr>
                <w:rFonts w:ascii="Arial" w:hAnsi="Arial" w:cs="Arial"/>
                <w:szCs w:val="24"/>
              </w:rPr>
              <w:t>Pregnancy and maternity</w:t>
            </w:r>
            <w:r>
              <w:rPr>
                <w:rFonts w:ascii="Arial" w:hAnsi="Arial" w:cs="Arial"/>
                <w:szCs w:val="24"/>
              </w:rPr>
              <w:t xml:space="preserve">, </w:t>
            </w:r>
            <w:r w:rsidRPr="00E26FC7">
              <w:rPr>
                <w:rFonts w:ascii="Arial" w:hAnsi="Arial" w:cs="Arial"/>
                <w:szCs w:val="24"/>
              </w:rPr>
              <w:t>Marriage and Civil Partnership</w:t>
            </w:r>
            <w:r>
              <w:rPr>
                <w:rFonts w:ascii="Arial" w:hAnsi="Arial" w:cs="Arial"/>
                <w:szCs w:val="24"/>
              </w:rPr>
              <w:t xml:space="preserve">, </w:t>
            </w:r>
            <w:r w:rsidRPr="00E26FC7">
              <w:rPr>
                <w:rFonts w:ascii="Arial" w:hAnsi="Arial" w:cs="Arial"/>
                <w:szCs w:val="24"/>
              </w:rPr>
              <w:t>Race</w:t>
            </w:r>
            <w:r>
              <w:rPr>
                <w:rFonts w:ascii="Arial" w:hAnsi="Arial" w:cs="Arial"/>
                <w:szCs w:val="24"/>
              </w:rPr>
              <w:t xml:space="preserve">, </w:t>
            </w:r>
            <w:r w:rsidRPr="00E26FC7">
              <w:rPr>
                <w:rFonts w:ascii="Arial" w:hAnsi="Arial" w:cs="Arial"/>
                <w:szCs w:val="24"/>
              </w:rPr>
              <w:t>Religion and belief, Sex</w:t>
            </w:r>
            <w:r>
              <w:rPr>
                <w:rFonts w:ascii="Arial" w:hAnsi="Arial" w:cs="Arial"/>
                <w:szCs w:val="24"/>
              </w:rPr>
              <w:t xml:space="preserve">, and </w:t>
            </w:r>
            <w:r w:rsidRPr="00E26FC7">
              <w:rPr>
                <w:rFonts w:ascii="Arial" w:hAnsi="Arial" w:cs="Arial"/>
                <w:szCs w:val="24"/>
              </w:rPr>
              <w:t>Sexual orientation</w:t>
            </w:r>
            <w:r>
              <w:rPr>
                <w:rFonts w:ascii="Arial" w:hAnsi="Arial" w:cs="Arial"/>
                <w:szCs w:val="24"/>
              </w:rPr>
              <w:t>).</w:t>
            </w:r>
          </w:p>
          <w:p w:rsidR="00255FC0" w:rsidRDefault="00255FC0" w:rsidP="00E26FC7">
            <w:pPr>
              <w:ind w:left="540"/>
              <w:jc w:val="both"/>
              <w:rPr>
                <w:rFonts w:ascii="Arial" w:hAnsi="Arial" w:cs="Arial"/>
                <w:szCs w:val="24"/>
              </w:rPr>
            </w:pPr>
          </w:p>
          <w:p w:rsidR="00E26FC7" w:rsidRPr="00E26FC7" w:rsidRDefault="00E26FC7" w:rsidP="00E26FC7">
            <w:pPr>
              <w:ind w:left="540"/>
              <w:jc w:val="both"/>
              <w:rPr>
                <w:rFonts w:ascii="Arial" w:hAnsi="Arial" w:cs="Arial"/>
                <w:szCs w:val="24"/>
              </w:rPr>
            </w:pPr>
            <w:r w:rsidRPr="00E26FC7">
              <w:rPr>
                <w:rFonts w:ascii="Arial" w:hAnsi="Arial" w:cs="Arial"/>
                <w:szCs w:val="24"/>
              </w:rPr>
              <w:t> </w:t>
            </w:r>
          </w:p>
          <w:p w:rsidR="00E26FC7" w:rsidRDefault="00E26FC7" w:rsidP="00E26FC7">
            <w:pPr>
              <w:jc w:val="both"/>
              <w:rPr>
                <w:rFonts w:ascii="Arial" w:hAnsi="Arial" w:cs="Arial"/>
                <w:szCs w:val="24"/>
              </w:rPr>
            </w:pPr>
            <w:r w:rsidRPr="00E26FC7">
              <w:rPr>
                <w:rFonts w:ascii="Arial" w:hAnsi="Arial" w:cs="Arial"/>
                <w:szCs w:val="24"/>
              </w:rPr>
              <w:lastRenderedPageBreak/>
              <w:t>In addition, there are duties on public sector bodies (the “general equality duty”) which also applies to bodies exercising public function to give due regard to the need to:</w:t>
            </w:r>
          </w:p>
          <w:p w:rsidR="00255FC0" w:rsidRDefault="00255FC0" w:rsidP="00E26FC7">
            <w:pPr>
              <w:jc w:val="both"/>
              <w:rPr>
                <w:rFonts w:ascii="Arial" w:hAnsi="Arial" w:cs="Arial"/>
                <w:szCs w:val="24"/>
              </w:rPr>
            </w:pPr>
          </w:p>
          <w:p w:rsidR="00E26FC7" w:rsidRDefault="00E26FC7" w:rsidP="00E26FC7">
            <w:pPr>
              <w:numPr>
                <w:ilvl w:val="0"/>
                <w:numId w:val="20"/>
              </w:numPr>
              <w:jc w:val="both"/>
              <w:rPr>
                <w:rFonts w:ascii="Arial" w:hAnsi="Arial" w:cs="Arial"/>
                <w:szCs w:val="24"/>
              </w:rPr>
            </w:pPr>
            <w:r w:rsidRPr="00E26FC7">
              <w:rPr>
                <w:rFonts w:ascii="Arial" w:hAnsi="Arial" w:cs="Arial"/>
                <w:szCs w:val="24"/>
              </w:rPr>
              <w:t>Eliminate unlawful discrimination</w:t>
            </w:r>
          </w:p>
          <w:p w:rsidR="00E26FC7" w:rsidRDefault="00E26FC7" w:rsidP="00E26FC7">
            <w:pPr>
              <w:numPr>
                <w:ilvl w:val="0"/>
                <w:numId w:val="20"/>
              </w:numPr>
              <w:jc w:val="both"/>
              <w:rPr>
                <w:rFonts w:ascii="Arial" w:hAnsi="Arial" w:cs="Arial"/>
                <w:szCs w:val="24"/>
              </w:rPr>
            </w:pPr>
            <w:r w:rsidRPr="00E26FC7">
              <w:rPr>
                <w:rFonts w:ascii="Arial" w:hAnsi="Arial" w:cs="Arial"/>
                <w:szCs w:val="24"/>
              </w:rPr>
              <w:t>Advance equality of opportunity</w:t>
            </w:r>
          </w:p>
          <w:p w:rsidR="00E26FC7" w:rsidRPr="00E26FC7" w:rsidRDefault="00E26FC7" w:rsidP="00E26FC7">
            <w:pPr>
              <w:numPr>
                <w:ilvl w:val="0"/>
                <w:numId w:val="20"/>
              </w:numPr>
              <w:jc w:val="both"/>
              <w:rPr>
                <w:rFonts w:ascii="Arial" w:hAnsi="Arial" w:cs="Arial"/>
                <w:szCs w:val="24"/>
              </w:rPr>
            </w:pPr>
            <w:r w:rsidRPr="00E26FC7">
              <w:rPr>
                <w:rFonts w:ascii="Arial" w:hAnsi="Arial" w:cs="Arial"/>
                <w:szCs w:val="24"/>
              </w:rPr>
              <w:t>Promote good relations</w:t>
            </w:r>
          </w:p>
          <w:p w:rsidR="002959EE" w:rsidRPr="00255FC0" w:rsidRDefault="002959EE" w:rsidP="00255FC0">
            <w:pPr>
              <w:jc w:val="both"/>
              <w:rPr>
                <w:rFonts w:ascii="Arial" w:hAnsi="Arial" w:cs="Arial"/>
                <w:szCs w:val="24"/>
              </w:rPr>
            </w:pPr>
          </w:p>
        </w:tc>
      </w:tr>
      <w:tr w:rsidR="00255FC0" w:rsidRPr="007214D1" w:rsidTr="00380CDF">
        <w:trPr>
          <w:trHeight w:val="80"/>
        </w:trPr>
        <w:tc>
          <w:tcPr>
            <w:tcW w:w="817" w:type="dxa"/>
          </w:tcPr>
          <w:p w:rsidR="00255FC0" w:rsidRPr="00255FC0" w:rsidRDefault="00255FC0" w:rsidP="007F57B7">
            <w:pPr>
              <w:rPr>
                <w:rFonts w:ascii="Arial" w:hAnsi="Arial" w:cs="Arial"/>
                <w:szCs w:val="24"/>
              </w:rPr>
            </w:pPr>
            <w:r>
              <w:rPr>
                <w:rFonts w:ascii="Arial" w:hAnsi="Arial" w:cs="Arial"/>
                <w:szCs w:val="24"/>
              </w:rPr>
              <w:lastRenderedPageBreak/>
              <w:t>4.3</w:t>
            </w:r>
          </w:p>
        </w:tc>
        <w:tc>
          <w:tcPr>
            <w:tcW w:w="8647" w:type="dxa"/>
          </w:tcPr>
          <w:p w:rsidR="00255FC0" w:rsidRDefault="00255FC0" w:rsidP="00255FC0">
            <w:pPr>
              <w:jc w:val="both"/>
              <w:rPr>
                <w:rFonts w:ascii="Arial" w:hAnsi="Arial" w:cs="Arial"/>
                <w:szCs w:val="24"/>
              </w:rPr>
            </w:pPr>
            <w:r w:rsidRPr="00E26FC7">
              <w:rPr>
                <w:rFonts w:ascii="Arial" w:hAnsi="Arial" w:cs="Arial"/>
                <w:szCs w:val="24"/>
              </w:rPr>
              <w:t>High Life Highland implement</w:t>
            </w:r>
            <w:r>
              <w:rPr>
                <w:rFonts w:ascii="Arial" w:hAnsi="Arial" w:cs="Arial"/>
                <w:szCs w:val="24"/>
              </w:rPr>
              <w:t>s</w:t>
            </w:r>
            <w:r w:rsidRPr="00E26FC7">
              <w:rPr>
                <w:rFonts w:ascii="Arial" w:hAnsi="Arial" w:cs="Arial"/>
                <w:szCs w:val="24"/>
              </w:rPr>
              <w:t xml:space="preserve"> its duties under the act by considering the following: </w:t>
            </w:r>
          </w:p>
          <w:p w:rsidR="00255FC0" w:rsidRDefault="00255FC0" w:rsidP="00255FC0">
            <w:pPr>
              <w:jc w:val="both"/>
              <w:rPr>
                <w:rFonts w:ascii="Arial" w:hAnsi="Arial" w:cs="Arial"/>
                <w:szCs w:val="24"/>
              </w:rPr>
            </w:pPr>
          </w:p>
          <w:p w:rsidR="00255FC0" w:rsidRDefault="00255FC0" w:rsidP="00255FC0">
            <w:pPr>
              <w:numPr>
                <w:ilvl w:val="0"/>
                <w:numId w:val="21"/>
              </w:numPr>
              <w:jc w:val="both"/>
              <w:rPr>
                <w:rFonts w:ascii="Arial" w:hAnsi="Arial" w:cs="Arial"/>
                <w:szCs w:val="24"/>
              </w:rPr>
            </w:pPr>
            <w:r w:rsidRPr="00E26FC7">
              <w:rPr>
                <w:rFonts w:ascii="Arial" w:hAnsi="Arial" w:cs="Arial"/>
                <w:szCs w:val="24"/>
              </w:rPr>
              <w:t>the behaviour of staff who are dealing with customers, clients, service users, club members, associate members or guests or who are taking decisions about how to provide goods, facilities or services to the public or a section of the public</w:t>
            </w:r>
          </w:p>
          <w:p w:rsidR="00255FC0" w:rsidRDefault="00255FC0" w:rsidP="00255FC0">
            <w:pPr>
              <w:numPr>
                <w:ilvl w:val="0"/>
                <w:numId w:val="21"/>
              </w:numPr>
              <w:jc w:val="both"/>
              <w:rPr>
                <w:rFonts w:ascii="Arial" w:hAnsi="Arial" w:cs="Arial"/>
                <w:szCs w:val="24"/>
              </w:rPr>
            </w:pPr>
            <w:r w:rsidRPr="00E26FC7">
              <w:rPr>
                <w:rFonts w:ascii="Arial" w:hAnsi="Arial" w:cs="Arial"/>
                <w:szCs w:val="24"/>
              </w:rPr>
              <w:t>the building or other place where services are delivered, if this is open to the public or a section of the public</w:t>
            </w:r>
          </w:p>
          <w:p w:rsidR="00255FC0" w:rsidRDefault="00255FC0" w:rsidP="00255FC0">
            <w:pPr>
              <w:numPr>
                <w:ilvl w:val="0"/>
                <w:numId w:val="21"/>
              </w:numPr>
              <w:jc w:val="both"/>
              <w:rPr>
                <w:rFonts w:ascii="Arial" w:hAnsi="Arial" w:cs="Arial"/>
                <w:szCs w:val="24"/>
              </w:rPr>
            </w:pPr>
            <w:r w:rsidRPr="00E26FC7">
              <w:rPr>
                <w:rFonts w:ascii="Arial" w:hAnsi="Arial" w:cs="Arial"/>
                <w:szCs w:val="24"/>
              </w:rPr>
              <w:t>advertisements and marketing</w:t>
            </w:r>
          </w:p>
          <w:p w:rsidR="00255FC0" w:rsidRDefault="00255FC0" w:rsidP="00255FC0">
            <w:pPr>
              <w:numPr>
                <w:ilvl w:val="0"/>
                <w:numId w:val="21"/>
              </w:numPr>
              <w:jc w:val="both"/>
              <w:rPr>
                <w:rFonts w:ascii="Arial" w:hAnsi="Arial" w:cs="Arial"/>
                <w:szCs w:val="24"/>
              </w:rPr>
            </w:pPr>
            <w:r w:rsidRPr="00E26FC7">
              <w:rPr>
                <w:rFonts w:ascii="Arial" w:hAnsi="Arial" w:cs="Arial"/>
                <w:szCs w:val="24"/>
              </w:rPr>
              <w:t>written materials, for example, information leaflets provided as part of the service</w:t>
            </w:r>
          </w:p>
          <w:p w:rsidR="00255FC0" w:rsidRDefault="00255FC0" w:rsidP="00255FC0">
            <w:pPr>
              <w:numPr>
                <w:ilvl w:val="0"/>
                <w:numId w:val="21"/>
              </w:numPr>
              <w:jc w:val="both"/>
              <w:rPr>
                <w:rFonts w:ascii="Arial" w:hAnsi="Arial" w:cs="Arial"/>
                <w:szCs w:val="24"/>
              </w:rPr>
            </w:pPr>
            <w:r w:rsidRPr="00E26FC7">
              <w:rPr>
                <w:rFonts w:ascii="Arial" w:hAnsi="Arial" w:cs="Arial"/>
                <w:szCs w:val="24"/>
              </w:rPr>
              <w:t>websites and internet services</w:t>
            </w:r>
          </w:p>
          <w:p w:rsidR="00255FC0" w:rsidRPr="00E26FC7" w:rsidRDefault="00255FC0" w:rsidP="00255FC0">
            <w:pPr>
              <w:numPr>
                <w:ilvl w:val="0"/>
                <w:numId w:val="21"/>
              </w:numPr>
              <w:jc w:val="both"/>
              <w:rPr>
                <w:rFonts w:ascii="Arial" w:hAnsi="Arial" w:cs="Arial"/>
                <w:szCs w:val="24"/>
              </w:rPr>
            </w:pPr>
            <w:proofErr w:type="gramStart"/>
            <w:r w:rsidRPr="00E26FC7">
              <w:rPr>
                <w:rFonts w:ascii="Arial" w:hAnsi="Arial" w:cs="Arial"/>
                <w:szCs w:val="24"/>
              </w:rPr>
              <w:t>telephone</w:t>
            </w:r>
            <w:proofErr w:type="gramEnd"/>
            <w:r w:rsidRPr="00E26FC7">
              <w:rPr>
                <w:rFonts w:ascii="Arial" w:hAnsi="Arial" w:cs="Arial"/>
                <w:szCs w:val="24"/>
              </w:rPr>
              <w:t xml:space="preserve"> access and call centres.</w:t>
            </w:r>
          </w:p>
          <w:p w:rsidR="00255FC0" w:rsidRPr="00255FC0" w:rsidRDefault="00255FC0" w:rsidP="00FB17D4">
            <w:pPr>
              <w:rPr>
                <w:rFonts w:ascii="Arial" w:eastAsia="Arial" w:hAnsi="Arial"/>
                <w:szCs w:val="22"/>
                <w:lang w:eastAsia="en-US"/>
              </w:rPr>
            </w:pPr>
          </w:p>
        </w:tc>
      </w:tr>
      <w:tr w:rsidR="00255FC0" w:rsidRPr="007214D1" w:rsidTr="00380CDF">
        <w:trPr>
          <w:trHeight w:val="80"/>
        </w:trPr>
        <w:tc>
          <w:tcPr>
            <w:tcW w:w="817" w:type="dxa"/>
          </w:tcPr>
          <w:p w:rsidR="00255FC0" w:rsidRPr="00255FC0" w:rsidRDefault="00255FC0" w:rsidP="007F57B7">
            <w:pPr>
              <w:rPr>
                <w:rFonts w:ascii="Arial" w:hAnsi="Arial" w:cs="Arial"/>
                <w:szCs w:val="24"/>
              </w:rPr>
            </w:pPr>
            <w:r w:rsidRPr="00255FC0">
              <w:rPr>
                <w:rFonts w:ascii="Arial" w:hAnsi="Arial" w:cs="Arial"/>
                <w:szCs w:val="24"/>
              </w:rPr>
              <w:t>4.4</w:t>
            </w:r>
          </w:p>
        </w:tc>
        <w:tc>
          <w:tcPr>
            <w:tcW w:w="8647" w:type="dxa"/>
          </w:tcPr>
          <w:p w:rsidR="00255FC0" w:rsidRPr="000A031A" w:rsidRDefault="00255FC0" w:rsidP="00255FC0">
            <w:pPr>
              <w:jc w:val="both"/>
              <w:rPr>
                <w:rFonts w:ascii="Arial" w:hAnsi="Arial" w:cs="Arial"/>
                <w:szCs w:val="24"/>
              </w:rPr>
            </w:pPr>
            <w:r>
              <w:rPr>
                <w:rFonts w:ascii="Arial" w:hAnsi="Arial" w:cs="Arial"/>
                <w:szCs w:val="24"/>
              </w:rPr>
              <w:t xml:space="preserve">There were no complaints during 2015/16 related to the implementation of the equalities policy.  </w:t>
            </w:r>
          </w:p>
          <w:p w:rsidR="00255FC0" w:rsidRPr="00255FC0" w:rsidRDefault="00255FC0" w:rsidP="00FB17D4">
            <w:pPr>
              <w:rPr>
                <w:rFonts w:ascii="Arial" w:eastAsia="Arial" w:hAnsi="Arial"/>
                <w:szCs w:val="22"/>
                <w:lang w:eastAsia="en-US"/>
              </w:rPr>
            </w:pPr>
          </w:p>
        </w:tc>
      </w:tr>
      <w:tr w:rsidR="002959EE" w:rsidRPr="007214D1" w:rsidTr="00380CDF">
        <w:trPr>
          <w:trHeight w:val="80"/>
        </w:trPr>
        <w:tc>
          <w:tcPr>
            <w:tcW w:w="817" w:type="dxa"/>
          </w:tcPr>
          <w:p w:rsidR="002959EE" w:rsidRDefault="002A51F9" w:rsidP="007F57B7">
            <w:pPr>
              <w:rPr>
                <w:rFonts w:ascii="Arial" w:hAnsi="Arial" w:cs="Arial"/>
                <w:b/>
                <w:szCs w:val="24"/>
              </w:rPr>
            </w:pPr>
            <w:r>
              <w:rPr>
                <w:rFonts w:ascii="Arial" w:hAnsi="Arial" w:cs="Arial"/>
                <w:b/>
                <w:szCs w:val="24"/>
              </w:rPr>
              <w:t>5</w:t>
            </w:r>
          </w:p>
          <w:p w:rsidR="002959EE" w:rsidRDefault="002959EE" w:rsidP="007F57B7">
            <w:pPr>
              <w:rPr>
                <w:rFonts w:ascii="Arial" w:hAnsi="Arial" w:cs="Arial"/>
                <w:szCs w:val="24"/>
              </w:rPr>
            </w:pPr>
          </w:p>
          <w:p w:rsidR="002959EE" w:rsidRPr="00FB17D4" w:rsidRDefault="002A51F9" w:rsidP="007F57B7">
            <w:pPr>
              <w:rPr>
                <w:rFonts w:ascii="Arial" w:hAnsi="Arial" w:cs="Arial"/>
                <w:szCs w:val="24"/>
              </w:rPr>
            </w:pPr>
            <w:r>
              <w:rPr>
                <w:rFonts w:ascii="Arial" w:hAnsi="Arial" w:cs="Arial"/>
                <w:szCs w:val="24"/>
              </w:rPr>
              <w:t>5</w:t>
            </w:r>
            <w:r w:rsidR="002959EE" w:rsidRPr="00FB17D4">
              <w:rPr>
                <w:rFonts w:ascii="Arial" w:hAnsi="Arial" w:cs="Arial"/>
                <w:szCs w:val="24"/>
              </w:rPr>
              <w:t>.1</w:t>
            </w:r>
          </w:p>
        </w:tc>
        <w:tc>
          <w:tcPr>
            <w:tcW w:w="8647" w:type="dxa"/>
          </w:tcPr>
          <w:p w:rsidR="002959EE" w:rsidRDefault="002959EE" w:rsidP="00FB17D4">
            <w:pPr>
              <w:rPr>
                <w:rFonts w:ascii="Arial" w:eastAsia="Arial" w:hAnsi="Arial"/>
                <w:b/>
                <w:szCs w:val="22"/>
                <w:lang w:eastAsia="en-US"/>
              </w:rPr>
            </w:pPr>
            <w:r w:rsidRPr="007F57B7">
              <w:rPr>
                <w:rFonts w:ascii="Arial" w:eastAsia="Arial" w:hAnsi="Arial"/>
                <w:b/>
                <w:szCs w:val="22"/>
                <w:lang w:eastAsia="en-US"/>
              </w:rPr>
              <w:t>Policies update</w:t>
            </w:r>
          </w:p>
          <w:p w:rsidR="002959EE" w:rsidRPr="007F57B7" w:rsidRDefault="002959EE" w:rsidP="00FB17D4">
            <w:pPr>
              <w:rPr>
                <w:rFonts w:ascii="Arial" w:eastAsia="Arial" w:hAnsi="Arial"/>
                <w:b/>
                <w:szCs w:val="22"/>
                <w:lang w:eastAsia="en-US"/>
              </w:rPr>
            </w:pPr>
          </w:p>
          <w:p w:rsidR="002959EE" w:rsidRDefault="002959EE" w:rsidP="00FB17D4">
            <w:pPr>
              <w:jc w:val="both"/>
              <w:rPr>
                <w:rFonts w:ascii="Arial" w:eastAsia="Arial" w:hAnsi="Arial"/>
                <w:szCs w:val="22"/>
                <w:lang w:eastAsia="en-US"/>
              </w:rPr>
            </w:pPr>
            <w:r>
              <w:rPr>
                <w:rFonts w:ascii="Arial" w:eastAsia="Arial" w:hAnsi="Arial"/>
                <w:szCs w:val="22"/>
                <w:lang w:eastAsia="en-US"/>
              </w:rPr>
              <w:t xml:space="preserve">The Harassment Policy was reviewed and it was felt that it should be brought into line with other policies and procedures within the Company and consequently this was split into policy and guidelines.  The </w:t>
            </w:r>
            <w:r w:rsidR="00255FC0">
              <w:rPr>
                <w:rFonts w:ascii="Arial" w:eastAsia="Arial" w:hAnsi="Arial"/>
                <w:szCs w:val="22"/>
                <w:lang w:eastAsia="en-US"/>
              </w:rPr>
              <w:t>revised</w:t>
            </w:r>
            <w:r>
              <w:rPr>
                <w:rFonts w:ascii="Arial" w:eastAsia="Arial" w:hAnsi="Arial"/>
                <w:szCs w:val="22"/>
                <w:lang w:eastAsia="en-US"/>
              </w:rPr>
              <w:t xml:space="preserve"> policy is attached at </w:t>
            </w:r>
            <w:r w:rsidRPr="00DD7EFF">
              <w:rPr>
                <w:rFonts w:ascii="Arial" w:eastAsia="Arial" w:hAnsi="Arial"/>
                <w:b/>
                <w:szCs w:val="22"/>
                <w:lang w:eastAsia="en-US"/>
              </w:rPr>
              <w:t>Appendix A.</w:t>
            </w:r>
            <w:r>
              <w:rPr>
                <w:rFonts w:ascii="Arial" w:eastAsia="Arial" w:hAnsi="Arial"/>
                <w:szCs w:val="22"/>
                <w:lang w:eastAsia="en-US"/>
              </w:rPr>
              <w:t xml:space="preserve">  The Adult and Child Protection Policy, the Vetting </w:t>
            </w:r>
            <w:proofErr w:type="spellStart"/>
            <w:r>
              <w:rPr>
                <w:rFonts w:ascii="Arial" w:eastAsia="Arial" w:hAnsi="Arial"/>
                <w:szCs w:val="22"/>
                <w:lang w:eastAsia="en-US"/>
              </w:rPr>
              <w:t>Policy</w:t>
            </w:r>
            <w:proofErr w:type="gramStart"/>
            <w:r w:rsidR="00FE2E2B">
              <w:rPr>
                <w:rFonts w:ascii="Arial" w:eastAsia="Arial" w:hAnsi="Arial"/>
                <w:szCs w:val="22"/>
                <w:lang w:eastAsia="en-US"/>
              </w:rPr>
              <w:t>,</w:t>
            </w:r>
            <w:r>
              <w:rPr>
                <w:rFonts w:ascii="Arial" w:eastAsia="Arial" w:hAnsi="Arial"/>
                <w:szCs w:val="22"/>
                <w:lang w:eastAsia="en-US"/>
              </w:rPr>
              <w:t>the</w:t>
            </w:r>
            <w:proofErr w:type="spellEnd"/>
            <w:proofErr w:type="gramEnd"/>
            <w:r>
              <w:rPr>
                <w:rFonts w:ascii="Arial" w:eastAsia="Arial" w:hAnsi="Arial"/>
                <w:szCs w:val="22"/>
                <w:lang w:eastAsia="en-US"/>
              </w:rPr>
              <w:t xml:space="preserve"> Recruitment of Ex-offenders Policy</w:t>
            </w:r>
            <w:r w:rsidR="00FE2E2B">
              <w:rPr>
                <w:rFonts w:ascii="Arial" w:eastAsia="Arial" w:hAnsi="Arial"/>
                <w:szCs w:val="22"/>
                <w:lang w:eastAsia="en-US"/>
              </w:rPr>
              <w:t>, Equal Opportunities Policy and Payment of Professional Fees</w:t>
            </w:r>
            <w:r>
              <w:rPr>
                <w:rFonts w:ascii="Arial" w:eastAsia="Arial" w:hAnsi="Arial"/>
                <w:szCs w:val="22"/>
                <w:lang w:eastAsia="en-US"/>
              </w:rPr>
              <w:t xml:space="preserve"> were also reviewed with no changes made.  A minor alteration was made to the Policy on the Secure Handling, Use, Storage and retention of Disclosure Information.  The revised version is attached at </w:t>
            </w:r>
            <w:r w:rsidRPr="00CF0B36">
              <w:rPr>
                <w:rFonts w:ascii="Arial" w:eastAsia="Arial" w:hAnsi="Arial"/>
                <w:b/>
                <w:szCs w:val="22"/>
                <w:lang w:eastAsia="en-US"/>
              </w:rPr>
              <w:t xml:space="preserve">Appendix </w:t>
            </w:r>
            <w:r>
              <w:rPr>
                <w:rFonts w:ascii="Arial" w:eastAsia="Arial" w:hAnsi="Arial"/>
                <w:b/>
                <w:szCs w:val="22"/>
                <w:lang w:eastAsia="en-US"/>
              </w:rPr>
              <w:t>B</w:t>
            </w:r>
            <w:r>
              <w:rPr>
                <w:rFonts w:ascii="Arial" w:eastAsia="Arial" w:hAnsi="Arial"/>
                <w:szCs w:val="22"/>
                <w:lang w:eastAsia="en-US"/>
              </w:rPr>
              <w:t>.</w:t>
            </w:r>
          </w:p>
          <w:p w:rsidR="002959EE" w:rsidRPr="00751A5C" w:rsidRDefault="002959EE" w:rsidP="00FB17D4">
            <w:pPr>
              <w:rPr>
                <w:rFonts w:ascii="Arial" w:hAnsi="Arial" w:cs="Arial"/>
                <w:b/>
              </w:rPr>
            </w:pPr>
          </w:p>
        </w:tc>
      </w:tr>
      <w:tr w:rsidR="002959EE" w:rsidRPr="007214D1" w:rsidTr="00380CDF">
        <w:trPr>
          <w:trHeight w:val="80"/>
        </w:trPr>
        <w:tc>
          <w:tcPr>
            <w:tcW w:w="817" w:type="dxa"/>
          </w:tcPr>
          <w:p w:rsidR="002959EE" w:rsidRDefault="002A51F9" w:rsidP="007F57B7">
            <w:pPr>
              <w:rPr>
                <w:rFonts w:ascii="Arial" w:hAnsi="Arial" w:cs="Arial"/>
                <w:b/>
                <w:szCs w:val="24"/>
              </w:rPr>
            </w:pPr>
            <w:r>
              <w:rPr>
                <w:rFonts w:ascii="Arial" w:hAnsi="Arial" w:cs="Arial"/>
                <w:b/>
                <w:szCs w:val="24"/>
              </w:rPr>
              <w:t>6</w:t>
            </w:r>
          </w:p>
          <w:p w:rsidR="002959EE" w:rsidRDefault="002959EE" w:rsidP="007F57B7">
            <w:pPr>
              <w:rPr>
                <w:rFonts w:ascii="Arial" w:hAnsi="Arial" w:cs="Arial"/>
                <w:b/>
                <w:szCs w:val="24"/>
              </w:rPr>
            </w:pPr>
          </w:p>
          <w:p w:rsidR="002959EE" w:rsidRDefault="002A51F9" w:rsidP="007F57B7">
            <w:pPr>
              <w:rPr>
                <w:rFonts w:ascii="Arial" w:hAnsi="Arial" w:cs="Arial"/>
                <w:szCs w:val="24"/>
              </w:rPr>
            </w:pPr>
            <w:r>
              <w:rPr>
                <w:rFonts w:ascii="Arial" w:hAnsi="Arial" w:cs="Arial"/>
                <w:szCs w:val="24"/>
              </w:rPr>
              <w:t>6</w:t>
            </w:r>
            <w:r w:rsidR="002959EE">
              <w:rPr>
                <w:rFonts w:ascii="Arial" w:hAnsi="Arial" w:cs="Arial"/>
                <w:szCs w:val="24"/>
              </w:rPr>
              <w:t>.1</w:t>
            </w:r>
          </w:p>
          <w:p w:rsidR="002959EE" w:rsidRDefault="002959EE" w:rsidP="007F57B7">
            <w:pPr>
              <w:rPr>
                <w:rFonts w:ascii="Arial" w:hAnsi="Arial" w:cs="Arial"/>
                <w:szCs w:val="24"/>
              </w:rPr>
            </w:pPr>
          </w:p>
          <w:p w:rsidR="002959EE" w:rsidRDefault="002959EE" w:rsidP="007F57B7">
            <w:pPr>
              <w:rPr>
                <w:rFonts w:ascii="Arial" w:hAnsi="Arial" w:cs="Arial"/>
                <w:szCs w:val="24"/>
              </w:rPr>
            </w:pPr>
          </w:p>
          <w:p w:rsidR="002959EE" w:rsidRDefault="002A51F9" w:rsidP="007F57B7">
            <w:pPr>
              <w:rPr>
                <w:rFonts w:ascii="Arial" w:hAnsi="Arial" w:cs="Arial"/>
                <w:szCs w:val="24"/>
              </w:rPr>
            </w:pPr>
            <w:r>
              <w:rPr>
                <w:rFonts w:ascii="Arial" w:hAnsi="Arial" w:cs="Arial"/>
                <w:szCs w:val="24"/>
              </w:rPr>
              <w:t>6</w:t>
            </w:r>
            <w:r w:rsidR="002959EE">
              <w:rPr>
                <w:rFonts w:ascii="Arial" w:hAnsi="Arial" w:cs="Arial"/>
                <w:szCs w:val="24"/>
              </w:rPr>
              <w:t>.2</w:t>
            </w:r>
          </w:p>
          <w:p w:rsidR="002959EE" w:rsidRDefault="002959EE" w:rsidP="007F57B7">
            <w:pPr>
              <w:rPr>
                <w:rFonts w:ascii="Arial" w:hAnsi="Arial" w:cs="Arial"/>
                <w:szCs w:val="24"/>
              </w:rPr>
            </w:pPr>
          </w:p>
          <w:p w:rsidR="002959EE" w:rsidRDefault="002959EE" w:rsidP="007F57B7">
            <w:pPr>
              <w:rPr>
                <w:rFonts w:ascii="Arial" w:hAnsi="Arial" w:cs="Arial"/>
                <w:szCs w:val="24"/>
              </w:rPr>
            </w:pPr>
          </w:p>
          <w:p w:rsidR="002959EE" w:rsidRDefault="002A51F9" w:rsidP="007F57B7">
            <w:pPr>
              <w:rPr>
                <w:rFonts w:ascii="Arial" w:hAnsi="Arial" w:cs="Arial"/>
                <w:szCs w:val="24"/>
              </w:rPr>
            </w:pPr>
            <w:r>
              <w:rPr>
                <w:rFonts w:ascii="Arial" w:hAnsi="Arial" w:cs="Arial"/>
                <w:szCs w:val="24"/>
              </w:rPr>
              <w:t>6</w:t>
            </w:r>
            <w:r w:rsidR="002959EE">
              <w:rPr>
                <w:rFonts w:ascii="Arial" w:hAnsi="Arial" w:cs="Arial"/>
                <w:szCs w:val="24"/>
              </w:rPr>
              <w:t>.3</w:t>
            </w:r>
          </w:p>
          <w:p w:rsidR="002959EE" w:rsidRDefault="002959EE" w:rsidP="00416BFF">
            <w:pPr>
              <w:rPr>
                <w:rFonts w:ascii="Arial" w:hAnsi="Arial" w:cs="Arial"/>
                <w:szCs w:val="24"/>
              </w:rPr>
            </w:pPr>
          </w:p>
          <w:p w:rsidR="002959EE" w:rsidRPr="00380CDF" w:rsidRDefault="002959EE" w:rsidP="00416BFF">
            <w:pPr>
              <w:rPr>
                <w:rFonts w:ascii="Arial" w:hAnsi="Arial" w:cs="Arial"/>
                <w:szCs w:val="24"/>
              </w:rPr>
            </w:pPr>
          </w:p>
        </w:tc>
        <w:tc>
          <w:tcPr>
            <w:tcW w:w="8647" w:type="dxa"/>
          </w:tcPr>
          <w:p w:rsidR="002959EE" w:rsidRDefault="002959EE" w:rsidP="00D11FA1">
            <w:pPr>
              <w:autoSpaceDE w:val="0"/>
              <w:autoSpaceDN w:val="0"/>
              <w:adjustRightInd w:val="0"/>
              <w:jc w:val="both"/>
              <w:rPr>
                <w:rFonts w:ascii="Arial" w:hAnsi="Arial" w:cs="Arial"/>
                <w:b/>
              </w:rPr>
            </w:pPr>
            <w:r w:rsidRPr="00751A5C">
              <w:rPr>
                <w:rFonts w:ascii="Arial" w:hAnsi="Arial" w:cs="Arial"/>
                <w:b/>
              </w:rPr>
              <w:t>Implications</w:t>
            </w:r>
          </w:p>
          <w:p w:rsidR="002959EE" w:rsidRDefault="002959EE" w:rsidP="00D11FA1">
            <w:pPr>
              <w:autoSpaceDE w:val="0"/>
              <w:autoSpaceDN w:val="0"/>
              <w:adjustRightInd w:val="0"/>
              <w:jc w:val="both"/>
              <w:rPr>
                <w:rFonts w:ascii="Arial" w:hAnsi="Arial" w:cs="Arial"/>
                <w:b/>
              </w:rPr>
            </w:pPr>
          </w:p>
          <w:p w:rsidR="002959EE" w:rsidRDefault="002959EE" w:rsidP="00D11FA1">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rsidR="002959EE" w:rsidRDefault="002959EE" w:rsidP="00D11FA1">
            <w:pPr>
              <w:autoSpaceDE w:val="0"/>
              <w:autoSpaceDN w:val="0"/>
              <w:adjustRightInd w:val="0"/>
              <w:jc w:val="both"/>
              <w:rPr>
                <w:rFonts w:ascii="Arial" w:hAnsi="Arial" w:cs="Arial"/>
              </w:rPr>
            </w:pPr>
          </w:p>
          <w:p w:rsidR="002959EE" w:rsidRDefault="002959EE" w:rsidP="00D11FA1">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rsidR="002959EE" w:rsidRDefault="002959EE" w:rsidP="00D11FA1">
            <w:pPr>
              <w:autoSpaceDE w:val="0"/>
              <w:autoSpaceDN w:val="0"/>
              <w:adjustRightInd w:val="0"/>
              <w:jc w:val="both"/>
              <w:rPr>
                <w:rFonts w:ascii="Arial" w:hAnsi="Arial" w:cs="Arial"/>
              </w:rPr>
            </w:pPr>
          </w:p>
          <w:p w:rsidR="002959EE" w:rsidRPr="00232563" w:rsidRDefault="002959EE" w:rsidP="00380CDF">
            <w:pPr>
              <w:autoSpaceDE w:val="0"/>
              <w:autoSpaceDN w:val="0"/>
              <w:adjustRightInd w:val="0"/>
              <w:jc w:val="both"/>
              <w:rPr>
                <w:rFonts w:ascii="Arial" w:hAnsi="Arial" w:cs="Arial"/>
              </w:rPr>
            </w:pPr>
            <w:r>
              <w:rPr>
                <w:rFonts w:ascii="Arial" w:hAnsi="Arial" w:cs="Arial"/>
              </w:rPr>
              <w:t>Risk Implications – there are no new risks arising from the recommendations of this report.</w:t>
            </w:r>
          </w:p>
        </w:tc>
      </w:tr>
      <w:tr w:rsidR="002959EE" w:rsidRPr="00721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2959EE" w:rsidRPr="009C18DA" w:rsidRDefault="002959EE" w:rsidP="00380CDF">
            <w:pPr>
              <w:autoSpaceDE w:val="0"/>
              <w:autoSpaceDN w:val="0"/>
              <w:adjustRightInd w:val="0"/>
              <w:jc w:val="both"/>
              <w:rPr>
                <w:rFonts w:ascii="Arial" w:hAnsi="Arial" w:cs="Arial"/>
                <w:b/>
                <w:szCs w:val="24"/>
              </w:rPr>
            </w:pPr>
            <w:r w:rsidRPr="009C18DA">
              <w:rPr>
                <w:rFonts w:ascii="Arial" w:hAnsi="Arial" w:cs="Arial"/>
                <w:b/>
                <w:szCs w:val="24"/>
              </w:rPr>
              <w:lastRenderedPageBreak/>
              <w:t>Recommendation</w:t>
            </w:r>
          </w:p>
          <w:p w:rsidR="002959EE" w:rsidRPr="009C18DA" w:rsidRDefault="002959EE" w:rsidP="00380CDF">
            <w:pPr>
              <w:autoSpaceDE w:val="0"/>
              <w:autoSpaceDN w:val="0"/>
              <w:adjustRightInd w:val="0"/>
              <w:jc w:val="both"/>
              <w:rPr>
                <w:rFonts w:ascii="Arial" w:hAnsi="Arial" w:cs="Arial"/>
                <w:szCs w:val="24"/>
              </w:rPr>
            </w:pPr>
          </w:p>
          <w:p w:rsidR="002959EE" w:rsidRPr="007D45D7" w:rsidRDefault="002959EE" w:rsidP="00460F18">
            <w:pPr>
              <w:jc w:val="both"/>
              <w:rPr>
                <w:rFonts w:ascii="Arial" w:hAnsi="Arial" w:cs="Arial"/>
                <w:szCs w:val="24"/>
              </w:rPr>
            </w:pPr>
            <w:r>
              <w:rPr>
                <w:rFonts w:ascii="Arial" w:hAnsi="Arial" w:cs="Arial"/>
              </w:rPr>
              <w:t>It is recommen</w:t>
            </w:r>
            <w:r w:rsidRPr="007D45D7">
              <w:rPr>
                <w:rFonts w:ascii="Arial" w:hAnsi="Arial" w:cs="Arial"/>
                <w:szCs w:val="24"/>
              </w:rPr>
              <w:t>ded that Directors</w:t>
            </w:r>
            <w:r>
              <w:rPr>
                <w:rFonts w:ascii="Arial" w:hAnsi="Arial" w:cs="Arial"/>
                <w:szCs w:val="24"/>
              </w:rPr>
              <w:t>:</w:t>
            </w:r>
          </w:p>
          <w:p w:rsidR="002959EE" w:rsidRDefault="002959EE" w:rsidP="00460F18">
            <w:pPr>
              <w:jc w:val="both"/>
              <w:rPr>
                <w:rFonts w:ascii="Arial" w:hAnsi="Arial" w:cs="Arial"/>
                <w:szCs w:val="24"/>
              </w:rPr>
            </w:pPr>
          </w:p>
          <w:p w:rsidR="002959EE" w:rsidRPr="00DD7EFF" w:rsidRDefault="002959EE" w:rsidP="00014F33">
            <w:pPr>
              <w:numPr>
                <w:ilvl w:val="0"/>
                <w:numId w:val="12"/>
              </w:numPr>
              <w:autoSpaceDE w:val="0"/>
              <w:autoSpaceDN w:val="0"/>
              <w:adjustRightInd w:val="0"/>
              <w:jc w:val="both"/>
              <w:rPr>
                <w:rFonts w:ascii="Arial" w:hAnsi="Arial" w:cs="Arial"/>
                <w:szCs w:val="24"/>
                <w:u w:val="single"/>
              </w:rPr>
            </w:pPr>
            <w:r w:rsidRPr="00DD7EFF">
              <w:rPr>
                <w:rFonts w:ascii="Arial" w:hAnsi="Arial" w:cs="Arial"/>
              </w:rPr>
              <w:t xml:space="preserve">note the content of the quarterly report including the update on the staffing establishment; and </w:t>
            </w:r>
          </w:p>
          <w:p w:rsidR="002959EE" w:rsidRPr="00DD7EFF" w:rsidRDefault="002959EE" w:rsidP="00014F33">
            <w:pPr>
              <w:numPr>
                <w:ilvl w:val="0"/>
                <w:numId w:val="12"/>
              </w:numPr>
              <w:autoSpaceDE w:val="0"/>
              <w:autoSpaceDN w:val="0"/>
              <w:adjustRightInd w:val="0"/>
              <w:jc w:val="both"/>
              <w:rPr>
                <w:rFonts w:ascii="Arial" w:hAnsi="Arial" w:cs="Arial"/>
                <w:szCs w:val="24"/>
                <w:u w:val="single"/>
              </w:rPr>
            </w:pPr>
            <w:proofErr w:type="gramStart"/>
            <w:r w:rsidRPr="00DD7EFF">
              <w:rPr>
                <w:rFonts w:ascii="Arial" w:hAnsi="Arial" w:cs="Arial"/>
              </w:rPr>
              <w:t>comment</w:t>
            </w:r>
            <w:proofErr w:type="gramEnd"/>
            <w:r w:rsidRPr="00DD7EFF">
              <w:rPr>
                <w:rFonts w:ascii="Arial" w:hAnsi="Arial" w:cs="Arial"/>
              </w:rPr>
              <w:t xml:space="preserve"> on and approve the </w:t>
            </w:r>
            <w:r w:rsidR="00255FC0">
              <w:rPr>
                <w:rFonts w:ascii="Arial" w:hAnsi="Arial" w:cs="Arial"/>
              </w:rPr>
              <w:t>revised</w:t>
            </w:r>
            <w:r w:rsidRPr="00DD7EFF">
              <w:rPr>
                <w:rFonts w:ascii="Arial" w:hAnsi="Arial" w:cs="Arial"/>
              </w:rPr>
              <w:t xml:space="preserve"> Harassment Policy and the minor amendments to </w:t>
            </w:r>
            <w:r w:rsidRPr="00DD7EFF">
              <w:rPr>
                <w:rFonts w:ascii="Arial" w:eastAsia="Arial" w:hAnsi="Arial"/>
                <w:szCs w:val="22"/>
                <w:lang w:eastAsia="en-US"/>
              </w:rPr>
              <w:t xml:space="preserve">the Policy on the Secure Handling, Use, Storage and </w:t>
            </w:r>
            <w:r w:rsidR="00021A73">
              <w:rPr>
                <w:rFonts w:ascii="Arial" w:eastAsia="Arial" w:hAnsi="Arial"/>
                <w:szCs w:val="22"/>
                <w:lang w:eastAsia="en-US"/>
              </w:rPr>
              <w:t>R</w:t>
            </w:r>
            <w:r w:rsidRPr="00DD7EFF">
              <w:rPr>
                <w:rFonts w:ascii="Arial" w:eastAsia="Arial" w:hAnsi="Arial"/>
                <w:szCs w:val="22"/>
                <w:lang w:eastAsia="en-US"/>
              </w:rPr>
              <w:t>etention of Disclosure Information</w:t>
            </w:r>
            <w:r w:rsidRPr="00DD7EFF">
              <w:rPr>
                <w:rFonts w:ascii="Arial" w:hAnsi="Arial" w:cs="Arial"/>
              </w:rPr>
              <w:t>.</w:t>
            </w:r>
          </w:p>
          <w:p w:rsidR="002959EE" w:rsidRPr="007214D1" w:rsidRDefault="002959EE" w:rsidP="002E7918">
            <w:pPr>
              <w:autoSpaceDE w:val="0"/>
              <w:autoSpaceDN w:val="0"/>
              <w:adjustRightInd w:val="0"/>
              <w:ind w:left="720"/>
              <w:jc w:val="both"/>
              <w:rPr>
                <w:rFonts w:ascii="Arial" w:hAnsi="Arial" w:cs="Arial"/>
                <w:szCs w:val="24"/>
              </w:rPr>
            </w:pPr>
          </w:p>
        </w:tc>
      </w:tr>
    </w:tbl>
    <w:p w:rsidR="006F4934" w:rsidRDefault="006F4934" w:rsidP="00416BFF">
      <w:pPr>
        <w:rPr>
          <w:rFonts w:ascii="Arial" w:hAnsi="Arial" w:cs="Arial"/>
          <w:szCs w:val="24"/>
        </w:rPr>
      </w:pPr>
    </w:p>
    <w:p w:rsidR="000817F9" w:rsidRDefault="000817F9" w:rsidP="00416BFF">
      <w:pPr>
        <w:rPr>
          <w:rFonts w:ascii="Arial" w:hAnsi="Arial" w:cs="Arial"/>
          <w:szCs w:val="24"/>
        </w:rPr>
      </w:pPr>
    </w:p>
    <w:p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rsidR="0039450A" w:rsidRPr="007214D1" w:rsidRDefault="0039450A" w:rsidP="00416BFF">
      <w:pPr>
        <w:rPr>
          <w:rFonts w:ascii="Arial" w:hAnsi="Arial" w:cs="Arial"/>
          <w:szCs w:val="24"/>
        </w:rPr>
      </w:pPr>
    </w:p>
    <w:p w:rsidR="0039450A" w:rsidRDefault="0039450A" w:rsidP="00380CDF">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4770AD">
        <w:rPr>
          <w:rFonts w:ascii="Arial" w:hAnsi="Arial" w:cs="Arial"/>
          <w:szCs w:val="24"/>
        </w:rPr>
        <w:t>28</w:t>
      </w:r>
      <w:r w:rsidR="00255FC0">
        <w:rPr>
          <w:rFonts w:ascii="Arial" w:hAnsi="Arial" w:cs="Arial"/>
          <w:szCs w:val="24"/>
        </w:rPr>
        <w:t xml:space="preserve"> November 2016</w:t>
      </w:r>
    </w:p>
    <w:p w:rsidR="005C6B41" w:rsidRDefault="005C6B41" w:rsidP="00380CDF">
      <w:pPr>
        <w:rPr>
          <w:rFonts w:ascii="Arial" w:hAnsi="Arial" w:cs="Arial"/>
          <w:szCs w:val="24"/>
        </w:rPr>
      </w:pPr>
    </w:p>
    <w:p w:rsidR="001E41AE" w:rsidRPr="001E41AE" w:rsidRDefault="002E7918" w:rsidP="002E7918">
      <w:r w:rsidRPr="001E41AE">
        <w:t xml:space="preserve"> </w:t>
      </w:r>
    </w:p>
    <w:p w:rsidR="00DF5CE2" w:rsidRDefault="00DF5CE2" w:rsidP="00DF5CE2">
      <w:pPr>
        <w:jc w:val="right"/>
        <w:rPr>
          <w:rFonts w:ascii="Arial" w:eastAsia="Calibri" w:hAnsi="Arial" w:cs="Arial"/>
          <w:b/>
          <w:szCs w:val="24"/>
          <w:lang w:eastAsia="en-US"/>
        </w:rPr>
      </w:pPr>
      <w:r>
        <w:rPr>
          <w:rFonts w:ascii="Arial" w:eastAsia="Calibri" w:hAnsi="Arial" w:cs="Arial"/>
          <w:szCs w:val="24"/>
          <w:lang w:eastAsia="en-US"/>
        </w:rPr>
        <w:br w:type="page"/>
      </w:r>
      <w:r w:rsidRPr="00DF5CE2">
        <w:rPr>
          <w:rFonts w:ascii="Arial" w:eastAsia="Calibri" w:hAnsi="Arial" w:cs="Arial"/>
          <w:b/>
          <w:szCs w:val="24"/>
          <w:lang w:eastAsia="en-US"/>
        </w:rPr>
        <w:lastRenderedPageBreak/>
        <w:t xml:space="preserve">APPENDIX </w:t>
      </w:r>
      <w:r w:rsidR="00CF0B36">
        <w:rPr>
          <w:rFonts w:ascii="Arial" w:eastAsia="Calibri" w:hAnsi="Arial" w:cs="Arial"/>
          <w:b/>
          <w:szCs w:val="24"/>
          <w:lang w:eastAsia="en-US"/>
        </w:rPr>
        <w:t>A</w:t>
      </w:r>
    </w:p>
    <w:p w:rsidR="00DF5CE2" w:rsidRPr="00DF5CE2" w:rsidRDefault="00DF5CE2" w:rsidP="00DF5CE2">
      <w:pPr>
        <w:jc w:val="right"/>
        <w:rPr>
          <w:rFonts w:ascii="Arial" w:eastAsia="Calibri" w:hAnsi="Arial" w:cs="Arial"/>
          <w:b/>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5594"/>
      </w:tblGrid>
      <w:tr w:rsidR="00686716" w:rsidRPr="00686716" w:rsidTr="00E64398">
        <w:tc>
          <w:tcPr>
            <w:tcW w:w="3510" w:type="dxa"/>
            <w:shd w:val="clear" w:color="auto" w:fill="auto"/>
          </w:tcPr>
          <w:p w:rsidR="00686716" w:rsidRPr="00686716" w:rsidRDefault="00FD1D44" w:rsidP="00686716">
            <w:pPr>
              <w:spacing w:line="276" w:lineRule="auto"/>
              <w:rPr>
                <w:rFonts w:ascii="Calibri" w:eastAsia="Calibri" w:hAnsi="Calibri"/>
                <w:sz w:val="22"/>
                <w:szCs w:val="22"/>
                <w:lang w:eastAsia="en-US"/>
              </w:rPr>
            </w:pPr>
            <w:r>
              <w:rPr>
                <w:rFonts w:ascii="Calibri" w:eastAsia="Calibri" w:hAnsi="Calibri"/>
                <w:b/>
                <w:noProof/>
                <w:sz w:val="22"/>
                <w:szCs w:val="22"/>
              </w:rPr>
              <w:drawing>
                <wp:inline distT="0" distB="0" distL="0" distR="0">
                  <wp:extent cx="217932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9320" cy="1104900"/>
                          </a:xfrm>
                          <a:prstGeom prst="rect">
                            <a:avLst/>
                          </a:prstGeom>
                          <a:noFill/>
                          <a:ln>
                            <a:noFill/>
                          </a:ln>
                        </pic:spPr>
                      </pic:pic>
                    </a:graphicData>
                  </a:graphic>
                </wp:inline>
              </w:drawing>
            </w:r>
          </w:p>
        </w:tc>
        <w:tc>
          <w:tcPr>
            <w:tcW w:w="5732" w:type="dxa"/>
            <w:shd w:val="clear" w:color="auto" w:fill="auto"/>
          </w:tcPr>
          <w:p w:rsidR="00686716" w:rsidRPr="00686716" w:rsidRDefault="00686716" w:rsidP="00686716">
            <w:pPr>
              <w:spacing w:line="276" w:lineRule="auto"/>
              <w:rPr>
                <w:rFonts w:ascii="Calibri" w:eastAsia="Calibri" w:hAnsi="Calibri" w:cs="Calibri"/>
                <w:i/>
                <w:sz w:val="4"/>
                <w:szCs w:val="4"/>
                <w:lang w:eastAsia="en-US"/>
              </w:rPr>
            </w:pPr>
          </w:p>
          <w:p w:rsidR="00686716" w:rsidRPr="00686716" w:rsidRDefault="00686716" w:rsidP="00686716">
            <w:pPr>
              <w:spacing w:line="276" w:lineRule="auto"/>
              <w:rPr>
                <w:rFonts w:ascii="Arial" w:eastAsia="Calibri" w:hAnsi="Arial" w:cs="Arial"/>
                <w:b/>
                <w:sz w:val="32"/>
                <w:szCs w:val="32"/>
                <w:lang w:eastAsia="en-US"/>
              </w:rPr>
            </w:pPr>
            <w:r w:rsidRPr="00686716">
              <w:rPr>
                <w:rFonts w:ascii="Arial" w:eastAsia="Calibri" w:hAnsi="Arial" w:cs="Arial"/>
                <w:b/>
                <w:sz w:val="32"/>
                <w:szCs w:val="32"/>
                <w:lang w:eastAsia="en-US"/>
              </w:rPr>
              <w:t>HARASSMENT AT WORK POLICY</w:t>
            </w:r>
          </w:p>
          <w:p w:rsidR="00255FC0" w:rsidRPr="00255FC0" w:rsidRDefault="00255FC0" w:rsidP="00255FC0">
            <w:pPr>
              <w:rPr>
                <w:rFonts w:ascii="Arial" w:eastAsia="Calibri" w:hAnsi="Arial" w:cs="Arial"/>
                <w:sz w:val="22"/>
                <w:szCs w:val="24"/>
                <w:lang w:eastAsia="en-US"/>
              </w:rPr>
            </w:pPr>
            <w:r w:rsidRPr="00255FC0">
              <w:rPr>
                <w:rFonts w:ascii="Arial" w:eastAsia="Calibri" w:hAnsi="Arial" w:cs="Arial"/>
                <w:sz w:val="22"/>
                <w:szCs w:val="24"/>
                <w:lang w:eastAsia="en-US"/>
              </w:rPr>
              <w:t>Approved by HLH Board – March 2012</w:t>
            </w:r>
          </w:p>
          <w:p w:rsidR="00255FC0" w:rsidRPr="00255FC0" w:rsidRDefault="00255FC0" w:rsidP="00255FC0">
            <w:pPr>
              <w:rPr>
                <w:rFonts w:ascii="Arial" w:eastAsia="Calibri" w:hAnsi="Arial" w:cs="Arial"/>
                <w:sz w:val="22"/>
                <w:szCs w:val="24"/>
                <w:lang w:eastAsia="en-US"/>
              </w:rPr>
            </w:pPr>
          </w:p>
          <w:p w:rsidR="00686716" w:rsidRDefault="00255FC0" w:rsidP="00255FC0">
            <w:pPr>
              <w:spacing w:line="276" w:lineRule="auto"/>
              <w:rPr>
                <w:rFonts w:ascii="Arial" w:eastAsia="Calibri" w:hAnsi="Arial" w:cs="Arial"/>
                <w:sz w:val="22"/>
                <w:szCs w:val="24"/>
                <w:lang w:eastAsia="en-US"/>
              </w:rPr>
            </w:pPr>
            <w:r w:rsidRPr="00255FC0">
              <w:rPr>
                <w:rFonts w:ascii="Arial" w:eastAsia="Calibri" w:hAnsi="Arial" w:cs="Arial"/>
                <w:sz w:val="22"/>
                <w:szCs w:val="24"/>
                <w:lang w:eastAsia="en-US"/>
              </w:rPr>
              <w:t>V2 – Updated April 2014</w:t>
            </w:r>
          </w:p>
          <w:p w:rsidR="00255FC0" w:rsidRDefault="00255FC0" w:rsidP="00255FC0">
            <w:pPr>
              <w:spacing w:line="276" w:lineRule="auto"/>
              <w:rPr>
                <w:rFonts w:ascii="Arial" w:eastAsia="Calibri" w:hAnsi="Arial" w:cs="Arial"/>
                <w:sz w:val="22"/>
                <w:szCs w:val="24"/>
                <w:lang w:eastAsia="en-US"/>
              </w:rPr>
            </w:pPr>
            <w:r>
              <w:rPr>
                <w:rFonts w:ascii="Arial" w:eastAsia="Calibri" w:hAnsi="Arial" w:cs="Arial"/>
                <w:sz w:val="22"/>
                <w:szCs w:val="24"/>
                <w:lang w:eastAsia="en-US"/>
              </w:rPr>
              <w:t>V3 – Updated November 2016 (HLH Board 14/12/16)</w:t>
            </w:r>
          </w:p>
          <w:p w:rsidR="00686716" w:rsidRPr="00686716" w:rsidRDefault="00686716" w:rsidP="00686716">
            <w:pPr>
              <w:spacing w:line="276" w:lineRule="auto"/>
              <w:rPr>
                <w:rFonts w:ascii="Arial" w:eastAsia="Calibri" w:hAnsi="Arial" w:cs="Arial"/>
                <w:sz w:val="22"/>
                <w:szCs w:val="24"/>
                <w:lang w:eastAsia="en-US"/>
              </w:rPr>
            </w:pPr>
          </w:p>
          <w:p w:rsidR="00686716" w:rsidRPr="00686716" w:rsidRDefault="00255FC0" w:rsidP="00686716">
            <w:pPr>
              <w:spacing w:line="276" w:lineRule="auto"/>
              <w:rPr>
                <w:rFonts w:ascii="Calibri" w:eastAsia="Calibri" w:hAnsi="Calibri"/>
                <w:sz w:val="22"/>
                <w:szCs w:val="22"/>
                <w:lang w:eastAsia="en-US"/>
              </w:rPr>
            </w:pPr>
            <w:r>
              <w:rPr>
                <w:rFonts w:ascii="Calibri" w:eastAsia="Calibri" w:hAnsi="Calibri"/>
                <w:sz w:val="22"/>
                <w:szCs w:val="22"/>
                <w:lang w:eastAsia="en-US"/>
              </w:rPr>
              <w:t>Review Date – November 2018</w:t>
            </w:r>
          </w:p>
        </w:tc>
      </w:tr>
    </w:tbl>
    <w:p w:rsidR="00686716" w:rsidRPr="00686716" w:rsidRDefault="00686716" w:rsidP="00686716">
      <w:pPr>
        <w:spacing w:line="276" w:lineRule="auto"/>
        <w:jc w:val="center"/>
        <w:rPr>
          <w:rFonts w:ascii="Arial" w:eastAsia="Arial" w:hAnsi="Arial" w:cs="Arial"/>
          <w:b/>
          <w:bCs/>
          <w:color w:val="000000"/>
          <w:szCs w:val="22"/>
          <w:u w:val="single"/>
          <w:lang w:eastAsia="en-US"/>
        </w:rPr>
      </w:pPr>
    </w:p>
    <w:p w:rsidR="00686716" w:rsidRPr="00686716" w:rsidRDefault="00686716" w:rsidP="00686716">
      <w:pPr>
        <w:keepNext/>
        <w:outlineLvl w:val="0"/>
        <w:rPr>
          <w:rFonts w:ascii="Arial" w:hAnsi="Arial"/>
          <w:b/>
          <w:bCs/>
          <w:color w:val="000000"/>
          <w:sz w:val="22"/>
          <w:u w:val="single"/>
          <w:lang w:eastAsia="en-US"/>
        </w:rPr>
      </w:pPr>
    </w:p>
    <w:p w:rsidR="00686716" w:rsidRPr="00686716" w:rsidRDefault="00686716" w:rsidP="00686716">
      <w:pPr>
        <w:keepNext/>
        <w:jc w:val="both"/>
        <w:outlineLvl w:val="8"/>
        <w:rPr>
          <w:rFonts w:ascii="Arial" w:hAnsi="Arial"/>
          <w:b/>
          <w:bCs/>
          <w:color w:val="000000"/>
          <w:u w:val="single"/>
          <w:lang w:eastAsia="en-US"/>
        </w:rPr>
      </w:pPr>
      <w:r w:rsidRPr="00686716">
        <w:rPr>
          <w:rFonts w:ascii="Arial" w:hAnsi="Arial"/>
          <w:b/>
          <w:bCs/>
          <w:color w:val="000000"/>
          <w:u w:val="single"/>
          <w:lang w:eastAsia="en-US"/>
        </w:rPr>
        <w:t>Statement of Policy</w:t>
      </w:r>
    </w:p>
    <w:p w:rsidR="00686716" w:rsidRPr="00686716" w:rsidRDefault="00686716" w:rsidP="00686716">
      <w:pPr>
        <w:spacing w:line="276" w:lineRule="auto"/>
        <w:jc w:val="both"/>
        <w:rPr>
          <w:rFonts w:ascii="Arial" w:eastAsia="Arial" w:hAnsi="Arial"/>
          <w:color w:val="000000"/>
          <w:szCs w:val="22"/>
          <w:lang w:eastAsia="en-US"/>
        </w:rPr>
      </w:pPr>
    </w:p>
    <w:p w:rsidR="00686716" w:rsidRPr="00686716" w:rsidRDefault="00686716" w:rsidP="00686716">
      <w:pPr>
        <w:ind w:left="720" w:hanging="720"/>
        <w:jc w:val="both"/>
        <w:rPr>
          <w:rFonts w:ascii="Arial" w:hAnsi="Arial"/>
          <w:color w:val="000000"/>
          <w:lang w:eastAsia="en-US"/>
        </w:rPr>
      </w:pPr>
      <w:r w:rsidRPr="00686716">
        <w:rPr>
          <w:rFonts w:ascii="Arial" w:hAnsi="Arial"/>
          <w:color w:val="000000"/>
          <w:lang w:eastAsia="en-US"/>
        </w:rPr>
        <w:t>1.</w:t>
      </w:r>
      <w:r w:rsidRPr="00686716">
        <w:rPr>
          <w:rFonts w:ascii="Arial" w:hAnsi="Arial"/>
          <w:color w:val="000000"/>
          <w:lang w:eastAsia="en-US"/>
        </w:rPr>
        <w:tab/>
        <w:t>High Life Highland is committed to encouraging and maintaining good employee relations within a working environment which fosters team working and encourages employees to give of their best.   Everyone in the Company and those who have dealings with the Company has a responsibility to maintain good working relationships and not use words or deeds that may harm the wellbeing of others.  In addition to the obligations placed upon both employers and employees by the Equality and Human Rights legislation, everyone has the right to be treated with consideration, fairness, dignity and respect.  This contributes to a workplace environment in which individuals feel safe and can work effectively competently and confidently.</w:t>
      </w:r>
    </w:p>
    <w:p w:rsidR="00686716" w:rsidRPr="00686716" w:rsidRDefault="00686716" w:rsidP="00686716">
      <w:pPr>
        <w:spacing w:line="276" w:lineRule="auto"/>
        <w:jc w:val="both"/>
        <w:rPr>
          <w:rFonts w:ascii="Arial" w:eastAsia="Arial" w:hAnsi="Arial"/>
          <w:color w:val="000000"/>
          <w:szCs w:val="22"/>
          <w:lang w:eastAsia="en-US"/>
        </w:rPr>
      </w:pPr>
    </w:p>
    <w:p w:rsidR="00686716" w:rsidRPr="00686716" w:rsidRDefault="00686716" w:rsidP="00686716">
      <w:pPr>
        <w:spacing w:line="276" w:lineRule="auto"/>
        <w:ind w:left="720" w:hanging="720"/>
        <w:jc w:val="both"/>
        <w:rPr>
          <w:rFonts w:ascii="Arial" w:eastAsia="Arial" w:hAnsi="Arial"/>
          <w:color w:val="000000"/>
          <w:szCs w:val="22"/>
          <w:lang w:eastAsia="en-US"/>
        </w:rPr>
      </w:pPr>
      <w:r w:rsidRPr="00686716">
        <w:rPr>
          <w:rFonts w:ascii="Arial" w:eastAsia="Arial" w:hAnsi="Arial"/>
          <w:color w:val="000000"/>
          <w:szCs w:val="22"/>
          <w:lang w:eastAsia="en-US"/>
        </w:rPr>
        <w:t>2.</w:t>
      </w:r>
      <w:r w:rsidRPr="00686716">
        <w:rPr>
          <w:rFonts w:ascii="Arial" w:eastAsia="Arial" w:hAnsi="Arial"/>
          <w:color w:val="000000"/>
          <w:szCs w:val="22"/>
          <w:lang w:eastAsia="en-US"/>
        </w:rPr>
        <w:tab/>
        <w:t xml:space="preserve">The Company’s policy applies to all staff working within the organisation and to all employees working off the premises.  It extends to include non-permanent workers such as </w:t>
      </w:r>
      <w:proofErr w:type="spellStart"/>
      <w:r w:rsidRPr="00686716">
        <w:rPr>
          <w:rFonts w:ascii="Arial" w:eastAsia="Arial" w:hAnsi="Arial"/>
          <w:color w:val="000000"/>
          <w:szCs w:val="22"/>
          <w:lang w:eastAsia="en-US"/>
        </w:rPr>
        <w:t>secondees</w:t>
      </w:r>
      <w:proofErr w:type="spellEnd"/>
      <w:r w:rsidRPr="00686716">
        <w:rPr>
          <w:rFonts w:ascii="Arial" w:eastAsia="Arial" w:hAnsi="Arial"/>
          <w:color w:val="000000"/>
          <w:szCs w:val="22"/>
          <w:lang w:eastAsia="en-US"/>
        </w:rPr>
        <w:t>, contractors, agency, temporary staff, consultants, volunteers and any other workers.  The policy, in addition, covers the behaviour of staff outside working hours which may impact upon work or working relationships.</w:t>
      </w:r>
    </w:p>
    <w:p w:rsidR="00686716" w:rsidRPr="00686716" w:rsidRDefault="00686716" w:rsidP="00686716">
      <w:pPr>
        <w:spacing w:line="276" w:lineRule="auto"/>
        <w:jc w:val="both"/>
        <w:rPr>
          <w:rFonts w:ascii="Arial" w:eastAsia="Arial" w:hAnsi="Arial"/>
          <w:color w:val="000000"/>
          <w:szCs w:val="22"/>
          <w:lang w:eastAsia="en-US"/>
        </w:rPr>
      </w:pPr>
    </w:p>
    <w:p w:rsidR="00686716" w:rsidRPr="00686716" w:rsidRDefault="00686716" w:rsidP="00686716">
      <w:pPr>
        <w:spacing w:line="276" w:lineRule="auto"/>
        <w:ind w:left="720" w:hanging="720"/>
        <w:jc w:val="both"/>
        <w:rPr>
          <w:rFonts w:ascii="Arial" w:eastAsia="Arial" w:hAnsi="Arial"/>
          <w:color w:val="000000"/>
          <w:szCs w:val="22"/>
          <w:lang w:eastAsia="en-US"/>
        </w:rPr>
      </w:pPr>
      <w:r w:rsidRPr="00686716">
        <w:rPr>
          <w:rFonts w:ascii="Arial" w:eastAsia="Arial" w:hAnsi="Arial"/>
          <w:color w:val="000000"/>
          <w:szCs w:val="22"/>
          <w:lang w:eastAsia="en-US"/>
        </w:rPr>
        <w:t>3</w:t>
      </w:r>
      <w:r w:rsidRPr="00686716">
        <w:rPr>
          <w:rFonts w:ascii="Arial" w:eastAsia="Arial" w:hAnsi="Arial"/>
          <w:i/>
          <w:color w:val="000000"/>
          <w:szCs w:val="22"/>
          <w:lang w:eastAsia="en-US"/>
        </w:rPr>
        <w:t>.</w:t>
      </w:r>
      <w:r w:rsidRPr="00686716">
        <w:rPr>
          <w:rFonts w:ascii="Arial" w:eastAsia="Arial" w:hAnsi="Arial"/>
          <w:i/>
          <w:color w:val="000000"/>
          <w:szCs w:val="22"/>
          <w:lang w:eastAsia="en-US"/>
        </w:rPr>
        <w:tab/>
        <w:t>The Company has a “zero tolerance” policy and will investigate any allegations of bullying or harassment, regardless of whether the matter has been raised formally or informally.</w:t>
      </w:r>
    </w:p>
    <w:p w:rsidR="00686716" w:rsidRPr="00686716" w:rsidRDefault="00686716" w:rsidP="00686716">
      <w:pPr>
        <w:spacing w:line="276" w:lineRule="auto"/>
        <w:rPr>
          <w:rFonts w:ascii="Arial" w:eastAsia="Arial" w:hAnsi="Arial"/>
          <w:sz w:val="22"/>
          <w:szCs w:val="22"/>
          <w:lang w:eastAsia="en-US"/>
        </w:rPr>
      </w:pPr>
    </w:p>
    <w:p w:rsidR="001E41AE" w:rsidRDefault="00686716" w:rsidP="00686716">
      <w:pPr>
        <w:jc w:val="right"/>
        <w:rPr>
          <w:rFonts w:ascii="Arial" w:eastAsia="Calibri" w:hAnsi="Arial" w:cs="Arial"/>
          <w:b/>
          <w:szCs w:val="24"/>
          <w:lang w:eastAsia="en-US"/>
        </w:rPr>
      </w:pPr>
      <w:r>
        <w:rPr>
          <w:rFonts w:ascii="Arial" w:eastAsia="Calibri" w:hAnsi="Arial" w:cs="Arial"/>
          <w:szCs w:val="24"/>
          <w:lang w:eastAsia="en-US"/>
        </w:rPr>
        <w:br w:type="page"/>
      </w:r>
      <w:r w:rsidRPr="00DF5CE2">
        <w:rPr>
          <w:rFonts w:ascii="Arial" w:eastAsia="Calibri" w:hAnsi="Arial" w:cs="Arial"/>
          <w:b/>
          <w:szCs w:val="24"/>
          <w:lang w:eastAsia="en-US"/>
        </w:rPr>
        <w:lastRenderedPageBreak/>
        <w:t xml:space="preserve">APPENDIX </w:t>
      </w:r>
      <w:r>
        <w:rPr>
          <w:rFonts w:ascii="Arial" w:eastAsia="Calibri" w:hAnsi="Arial" w:cs="Arial"/>
          <w:b/>
          <w:szCs w:val="24"/>
          <w:lang w:eastAsia="en-US"/>
        </w:rPr>
        <w:t>B</w:t>
      </w:r>
    </w:p>
    <w:tbl>
      <w:tblPr>
        <w:tblStyle w:val="TableGrid2"/>
        <w:tblW w:w="0" w:type="auto"/>
        <w:tblLook w:val="04A0" w:firstRow="1" w:lastRow="0" w:firstColumn="1" w:lastColumn="0" w:noHBand="0" w:noVBand="1"/>
      </w:tblPr>
      <w:tblGrid>
        <w:gridCol w:w="3648"/>
        <w:gridCol w:w="5594"/>
      </w:tblGrid>
      <w:tr w:rsidR="00686716" w:rsidRPr="00686716" w:rsidTr="00E64398">
        <w:tc>
          <w:tcPr>
            <w:tcW w:w="3639" w:type="dxa"/>
          </w:tcPr>
          <w:p w:rsidR="00686716" w:rsidRPr="00686716" w:rsidRDefault="00FD1D44" w:rsidP="00686716">
            <w:pPr>
              <w:rPr>
                <w:b/>
              </w:rPr>
            </w:pPr>
            <w:r>
              <w:rPr>
                <w:b/>
                <w:noProof/>
              </w:rPr>
              <w:drawing>
                <wp:inline distT="0" distB="0" distL="0" distR="0">
                  <wp:extent cx="2179320" cy="1104900"/>
                  <wp:effectExtent l="0" t="0" r="0" b="0"/>
                  <wp:docPr id="2" name="Picture 2" descr="high_life_blac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_life_black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9320" cy="1104900"/>
                          </a:xfrm>
                          <a:prstGeom prst="rect">
                            <a:avLst/>
                          </a:prstGeom>
                          <a:noFill/>
                          <a:ln>
                            <a:noFill/>
                          </a:ln>
                        </pic:spPr>
                      </pic:pic>
                    </a:graphicData>
                  </a:graphic>
                </wp:inline>
              </w:drawing>
            </w:r>
          </w:p>
        </w:tc>
        <w:tc>
          <w:tcPr>
            <w:tcW w:w="5603" w:type="dxa"/>
          </w:tcPr>
          <w:p w:rsidR="00686716" w:rsidRPr="00686716" w:rsidRDefault="00686716" w:rsidP="00686716">
            <w:pPr>
              <w:rPr>
                <w:sz w:val="10"/>
                <w:szCs w:val="16"/>
              </w:rPr>
            </w:pPr>
          </w:p>
          <w:p w:rsidR="00686716" w:rsidRPr="00686716" w:rsidRDefault="00686716" w:rsidP="00686716">
            <w:pPr>
              <w:rPr>
                <w:sz w:val="32"/>
              </w:rPr>
            </w:pPr>
            <w:r w:rsidRPr="00686716">
              <w:rPr>
                <w:rFonts w:cs="Calibri"/>
                <w:b/>
                <w:i/>
                <w:sz w:val="40"/>
                <w:szCs w:val="48"/>
              </w:rPr>
              <w:t>Policy on the Secure Handling, Use, Storage and Retention of Disclosure Information.</w:t>
            </w:r>
          </w:p>
          <w:p w:rsidR="00686716" w:rsidRDefault="00686716" w:rsidP="00686716"/>
          <w:p w:rsidR="00B43CE9" w:rsidRDefault="00B43CE9" w:rsidP="00543F05">
            <w:pPr>
              <w:spacing w:line="276" w:lineRule="auto"/>
            </w:pPr>
            <w:r w:rsidRPr="00B43CE9">
              <w:rPr>
                <w:sz w:val="22"/>
              </w:rPr>
              <w:t>V1 – February 2012 (Approved HLH  Board 27/02/14)</w:t>
            </w:r>
          </w:p>
          <w:p w:rsidR="00543F05" w:rsidRPr="004770AD" w:rsidRDefault="00543F05" w:rsidP="00543F05">
            <w:pPr>
              <w:spacing w:line="276" w:lineRule="auto"/>
              <w:rPr>
                <w:sz w:val="22"/>
              </w:rPr>
            </w:pPr>
            <w:r w:rsidRPr="004770AD">
              <w:rPr>
                <w:sz w:val="22"/>
              </w:rPr>
              <w:t>V2 – November 2016 (HLH Board 14/12/16)</w:t>
            </w:r>
          </w:p>
          <w:p w:rsidR="004770AD" w:rsidRPr="00B43CE9" w:rsidRDefault="004770AD" w:rsidP="00543F05">
            <w:pPr>
              <w:spacing w:line="276" w:lineRule="auto"/>
              <w:rPr>
                <w:sz w:val="22"/>
              </w:rPr>
            </w:pPr>
          </w:p>
          <w:p w:rsidR="00686716" w:rsidRPr="004770AD" w:rsidRDefault="00B43CE9" w:rsidP="00543F05">
            <w:pPr>
              <w:rPr>
                <w:sz w:val="22"/>
              </w:rPr>
            </w:pPr>
            <w:r w:rsidRPr="004770AD">
              <w:rPr>
                <w:sz w:val="22"/>
              </w:rPr>
              <w:t xml:space="preserve">Review Date – </w:t>
            </w:r>
            <w:r w:rsidR="00543F05" w:rsidRPr="004770AD">
              <w:rPr>
                <w:sz w:val="22"/>
              </w:rPr>
              <w:t>November 2018</w:t>
            </w:r>
          </w:p>
        </w:tc>
      </w:tr>
    </w:tbl>
    <w:p w:rsidR="00686716" w:rsidRPr="00686716" w:rsidRDefault="00686716" w:rsidP="00686716">
      <w:pPr>
        <w:spacing w:line="276" w:lineRule="auto"/>
        <w:rPr>
          <w:rFonts w:ascii="Arial" w:eastAsia="Calibri" w:hAnsi="Arial" w:cs="Arial"/>
          <w:szCs w:val="24"/>
          <w:lang w:eastAsia="en-US"/>
        </w:rPr>
      </w:pPr>
    </w:p>
    <w:p w:rsidR="00686716" w:rsidRPr="00686716" w:rsidRDefault="00686716" w:rsidP="00686716">
      <w:pPr>
        <w:spacing w:line="276" w:lineRule="auto"/>
        <w:jc w:val="both"/>
        <w:rPr>
          <w:rFonts w:ascii="Arial" w:eastAsia="Calibri" w:hAnsi="Arial" w:cs="Arial"/>
          <w:szCs w:val="24"/>
          <w:lang w:eastAsia="en-US"/>
        </w:rPr>
      </w:pPr>
      <w:r w:rsidRPr="00686716">
        <w:rPr>
          <w:rFonts w:ascii="Arial" w:eastAsia="Calibri" w:hAnsi="Arial" w:cs="Arial"/>
          <w:szCs w:val="24"/>
          <w:lang w:eastAsia="en-US"/>
        </w:rPr>
        <w:t xml:space="preserve">In accordance with the Disclosure Scotland Code of Practice for registered persons and other recipients of Disclosure Information we will ensure the following practice. </w:t>
      </w:r>
    </w:p>
    <w:p w:rsidR="00686716" w:rsidRPr="00686716" w:rsidRDefault="00686716" w:rsidP="00686716">
      <w:pPr>
        <w:spacing w:line="276" w:lineRule="auto"/>
        <w:jc w:val="both"/>
        <w:rPr>
          <w:rFonts w:ascii="Arial" w:eastAsia="Calibri" w:hAnsi="Arial" w:cs="Arial"/>
          <w:szCs w:val="24"/>
          <w:lang w:eastAsia="en-US"/>
        </w:rPr>
      </w:pPr>
    </w:p>
    <w:p w:rsidR="00686716" w:rsidRPr="00686716" w:rsidRDefault="00686716" w:rsidP="00686716">
      <w:pPr>
        <w:numPr>
          <w:ilvl w:val="0"/>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Disclosures will only be requested when necessary and relevant to a particular post and the information provided on a disclosure certificate will only be used for recruitment purposes. </w:t>
      </w:r>
    </w:p>
    <w:p w:rsidR="00686716" w:rsidRPr="00686716" w:rsidRDefault="00686716" w:rsidP="00686716">
      <w:pPr>
        <w:spacing w:line="276" w:lineRule="auto"/>
        <w:ind w:left="720"/>
        <w:contextualSpacing/>
        <w:jc w:val="both"/>
        <w:rPr>
          <w:rFonts w:ascii="Arial" w:eastAsia="Calibri" w:hAnsi="Arial" w:cs="Arial"/>
          <w:szCs w:val="24"/>
          <w:lang w:eastAsia="en-US"/>
        </w:rPr>
      </w:pPr>
    </w:p>
    <w:p w:rsidR="00686716" w:rsidRPr="00686716" w:rsidRDefault="00686716" w:rsidP="00686716">
      <w:pPr>
        <w:numPr>
          <w:ilvl w:val="0"/>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We will ensure that an individual’s consent is given before seeking a disclosure and will seek their consent before using disclosure information for any purpose other than recruitment. </w:t>
      </w:r>
    </w:p>
    <w:p w:rsidR="00686716" w:rsidRPr="00686716" w:rsidRDefault="00686716" w:rsidP="00686716">
      <w:pPr>
        <w:spacing w:line="276" w:lineRule="auto"/>
        <w:jc w:val="both"/>
        <w:rPr>
          <w:rFonts w:ascii="Arial" w:eastAsia="Calibri" w:hAnsi="Arial" w:cs="Arial"/>
          <w:szCs w:val="24"/>
          <w:lang w:eastAsia="en-US"/>
        </w:rPr>
      </w:pPr>
    </w:p>
    <w:p w:rsidR="00686716" w:rsidRPr="00686716" w:rsidRDefault="00686716" w:rsidP="00686716">
      <w:pPr>
        <w:numPr>
          <w:ilvl w:val="0"/>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Disclosure information will only be shared with those authorised to see it in the course of their duties. </w:t>
      </w:r>
    </w:p>
    <w:p w:rsidR="00686716" w:rsidRPr="00686716" w:rsidRDefault="00686716" w:rsidP="00686716">
      <w:pPr>
        <w:spacing w:line="276" w:lineRule="auto"/>
        <w:jc w:val="both"/>
        <w:rPr>
          <w:rFonts w:ascii="Arial" w:eastAsia="Calibri" w:hAnsi="Arial" w:cs="Arial"/>
          <w:szCs w:val="24"/>
          <w:lang w:eastAsia="en-US"/>
        </w:rPr>
      </w:pPr>
    </w:p>
    <w:p w:rsidR="00686716" w:rsidRPr="00686716" w:rsidRDefault="00686716" w:rsidP="00686716">
      <w:pPr>
        <w:numPr>
          <w:ilvl w:val="0"/>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Where additional disclosure information is provided to our designated signatory and not to the disclosure applicant, our designated signatory will not disclose this information to the applicant, but will inform them of the fact that additional information has been provided, should this information affect the recruitment decision. </w:t>
      </w:r>
    </w:p>
    <w:p w:rsidR="00686716" w:rsidRPr="00686716" w:rsidRDefault="00686716" w:rsidP="00686716">
      <w:pPr>
        <w:spacing w:line="276" w:lineRule="auto"/>
        <w:jc w:val="both"/>
        <w:rPr>
          <w:rFonts w:ascii="Arial" w:eastAsia="Calibri" w:hAnsi="Arial" w:cs="Arial"/>
          <w:szCs w:val="24"/>
          <w:lang w:eastAsia="en-US"/>
        </w:rPr>
      </w:pPr>
    </w:p>
    <w:p w:rsidR="00686716" w:rsidRPr="00686716" w:rsidRDefault="00686716" w:rsidP="00686716">
      <w:pPr>
        <w:numPr>
          <w:ilvl w:val="0"/>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Disclosure information will be stored in a locked non-portable container until a certificate is issued or for a maximum of 6 months.  Only those authorised to see this information in the course of their duties will have access to this container. </w:t>
      </w:r>
    </w:p>
    <w:p w:rsidR="00686716" w:rsidRPr="00686716" w:rsidRDefault="00686716" w:rsidP="00686716">
      <w:pPr>
        <w:spacing w:line="276" w:lineRule="auto"/>
        <w:jc w:val="both"/>
        <w:rPr>
          <w:rFonts w:ascii="Arial" w:eastAsia="Calibri" w:hAnsi="Arial" w:cs="Arial"/>
          <w:szCs w:val="24"/>
          <w:lang w:eastAsia="en-US"/>
        </w:rPr>
      </w:pPr>
    </w:p>
    <w:p w:rsidR="00686716" w:rsidRPr="00686716" w:rsidRDefault="00686716" w:rsidP="00686716">
      <w:pPr>
        <w:numPr>
          <w:ilvl w:val="0"/>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Disclosure information will be destroyed by shredding. </w:t>
      </w:r>
    </w:p>
    <w:p w:rsidR="00686716" w:rsidRPr="00686716" w:rsidRDefault="00686716" w:rsidP="00686716">
      <w:pPr>
        <w:spacing w:line="276" w:lineRule="auto"/>
        <w:jc w:val="both"/>
        <w:rPr>
          <w:rFonts w:ascii="Arial" w:eastAsia="Calibri" w:hAnsi="Arial" w:cs="Arial"/>
          <w:szCs w:val="24"/>
          <w:lang w:eastAsia="en-US"/>
        </w:rPr>
      </w:pPr>
    </w:p>
    <w:p w:rsidR="00686716" w:rsidRPr="00686716" w:rsidRDefault="00686716" w:rsidP="00686716">
      <w:pPr>
        <w:numPr>
          <w:ilvl w:val="0"/>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No image or photocopy of the disclosure information will be made, however the following details may be retained:</w:t>
      </w:r>
    </w:p>
    <w:p w:rsidR="00686716" w:rsidRPr="00686716" w:rsidRDefault="00686716" w:rsidP="00686716">
      <w:pPr>
        <w:numPr>
          <w:ilvl w:val="1"/>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Date of issue of disclosure </w:t>
      </w:r>
    </w:p>
    <w:p w:rsidR="00686716" w:rsidRPr="00686716" w:rsidRDefault="00686716" w:rsidP="00686716">
      <w:pPr>
        <w:numPr>
          <w:ilvl w:val="1"/>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Name of subject </w:t>
      </w:r>
    </w:p>
    <w:p w:rsidR="00686716" w:rsidRPr="00686716" w:rsidRDefault="00686716" w:rsidP="00686716">
      <w:pPr>
        <w:numPr>
          <w:ilvl w:val="1"/>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Disclosure type </w:t>
      </w:r>
    </w:p>
    <w:p w:rsidR="00686716" w:rsidRPr="00686716" w:rsidRDefault="00686716" w:rsidP="00686716">
      <w:pPr>
        <w:numPr>
          <w:ilvl w:val="1"/>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Position for which disclosure was requested </w:t>
      </w:r>
    </w:p>
    <w:p w:rsidR="00686716" w:rsidRPr="00686716" w:rsidRDefault="00686716" w:rsidP="00686716">
      <w:pPr>
        <w:numPr>
          <w:ilvl w:val="1"/>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Unique reference number of disclosure </w:t>
      </w:r>
    </w:p>
    <w:p w:rsidR="00686716" w:rsidRDefault="00686716" w:rsidP="00686716">
      <w:pPr>
        <w:numPr>
          <w:ilvl w:val="1"/>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Recruitment decision taken </w:t>
      </w:r>
    </w:p>
    <w:p w:rsidR="004A6C41" w:rsidRPr="00686716" w:rsidRDefault="004A6C41" w:rsidP="004A6C41">
      <w:pPr>
        <w:spacing w:after="200" w:line="276" w:lineRule="auto"/>
        <w:ind w:left="1440"/>
        <w:contextualSpacing/>
        <w:jc w:val="both"/>
        <w:rPr>
          <w:rFonts w:ascii="Arial" w:eastAsia="Calibri" w:hAnsi="Arial" w:cs="Arial"/>
          <w:szCs w:val="24"/>
          <w:lang w:eastAsia="en-US"/>
        </w:rPr>
      </w:pPr>
    </w:p>
    <w:p w:rsidR="00686716" w:rsidRPr="00686716" w:rsidRDefault="00686716" w:rsidP="00686716">
      <w:pPr>
        <w:numPr>
          <w:ilvl w:val="0"/>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If the subject of the Disclosure check is found to be on the ‘Disqualified from Working with (Children/Adults) List’ we will notify the Police that an attempt has been made to acquire work with children/adults.</w:t>
      </w:r>
    </w:p>
    <w:p w:rsidR="00686716" w:rsidRPr="00686716" w:rsidRDefault="00686716" w:rsidP="00686716">
      <w:pPr>
        <w:spacing w:line="276" w:lineRule="auto"/>
        <w:ind w:left="720"/>
        <w:contextualSpacing/>
        <w:jc w:val="both"/>
        <w:rPr>
          <w:rFonts w:ascii="Arial" w:eastAsia="Calibri" w:hAnsi="Arial" w:cs="Arial"/>
          <w:szCs w:val="24"/>
          <w:lang w:eastAsia="en-US"/>
        </w:rPr>
      </w:pPr>
    </w:p>
    <w:p w:rsidR="00686716" w:rsidRPr="00686716" w:rsidRDefault="00686716" w:rsidP="00686716">
      <w:pPr>
        <w:numPr>
          <w:ilvl w:val="0"/>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We will ensure that all staff with access to disclosure information are aware of this policy and have received relevant training and support. </w:t>
      </w:r>
    </w:p>
    <w:p w:rsidR="00686716" w:rsidRPr="00686716" w:rsidRDefault="00686716" w:rsidP="00686716">
      <w:pPr>
        <w:spacing w:line="276" w:lineRule="auto"/>
        <w:jc w:val="both"/>
        <w:rPr>
          <w:rFonts w:ascii="Arial" w:eastAsia="Calibri" w:hAnsi="Arial" w:cs="Arial"/>
          <w:szCs w:val="24"/>
          <w:lang w:eastAsia="en-US"/>
        </w:rPr>
      </w:pPr>
    </w:p>
    <w:p w:rsidR="00686716" w:rsidRPr="00686716" w:rsidRDefault="00686716" w:rsidP="00686716">
      <w:pPr>
        <w:numPr>
          <w:ilvl w:val="0"/>
          <w:numId w:val="13"/>
        </w:numPr>
        <w:spacing w:after="200" w:line="276" w:lineRule="auto"/>
        <w:contextualSpacing/>
        <w:jc w:val="both"/>
        <w:rPr>
          <w:rFonts w:ascii="Arial" w:eastAsia="Calibri" w:hAnsi="Arial" w:cs="Arial"/>
          <w:szCs w:val="24"/>
          <w:lang w:eastAsia="en-US"/>
        </w:rPr>
      </w:pPr>
      <w:r w:rsidRPr="00686716">
        <w:rPr>
          <w:rFonts w:ascii="Arial" w:eastAsia="Calibri" w:hAnsi="Arial" w:cs="Arial"/>
          <w:szCs w:val="24"/>
          <w:lang w:eastAsia="en-US"/>
        </w:rPr>
        <w:t xml:space="preserve">We will make a copy of this policy available to any applicant for a post (paid or voluntary) with us that require a disclosure. </w:t>
      </w:r>
    </w:p>
    <w:p w:rsidR="00686716" w:rsidRPr="00686716" w:rsidRDefault="00686716" w:rsidP="00686716">
      <w:pPr>
        <w:spacing w:after="200" w:line="276" w:lineRule="auto"/>
        <w:rPr>
          <w:rFonts w:ascii="Calibri" w:eastAsia="Calibri" w:hAnsi="Calibri"/>
          <w:sz w:val="22"/>
          <w:szCs w:val="22"/>
          <w:lang w:eastAsia="en-US"/>
        </w:rPr>
      </w:pPr>
    </w:p>
    <w:p w:rsidR="00686716" w:rsidRPr="005C6B41" w:rsidRDefault="00686716" w:rsidP="00686716">
      <w:pPr>
        <w:rPr>
          <w:rFonts w:ascii="Arial" w:eastAsia="Calibri" w:hAnsi="Arial" w:cs="Arial"/>
          <w:szCs w:val="24"/>
          <w:lang w:eastAsia="en-US"/>
        </w:rPr>
      </w:pPr>
    </w:p>
    <w:sectPr w:rsidR="00686716" w:rsidRPr="005C6B41" w:rsidSect="00CF0B36">
      <w:pgSz w:w="11906" w:h="16838"/>
      <w:pgMar w:top="851" w:right="144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B6E" w:rsidRDefault="00E76B6E">
      <w:r>
        <w:separator/>
      </w:r>
    </w:p>
  </w:endnote>
  <w:endnote w:type="continuationSeparator" w:id="0">
    <w:p w:rsidR="00E76B6E" w:rsidRDefault="00E7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B6E" w:rsidRDefault="00E76B6E">
      <w:r>
        <w:separator/>
      </w:r>
    </w:p>
  </w:footnote>
  <w:footnote w:type="continuationSeparator" w:id="0">
    <w:p w:rsidR="00E76B6E" w:rsidRDefault="00E76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853"/>
    <w:multiLevelType w:val="multilevel"/>
    <w:tmpl w:val="54EE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3531D1"/>
    <w:multiLevelType w:val="multilevel"/>
    <w:tmpl w:val="D9C2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5741D4"/>
    <w:multiLevelType w:val="hybridMultilevel"/>
    <w:tmpl w:val="5650D2E6"/>
    <w:lvl w:ilvl="0" w:tplc="10DA02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4A61D1"/>
    <w:multiLevelType w:val="hybridMultilevel"/>
    <w:tmpl w:val="A08E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11087D"/>
    <w:multiLevelType w:val="multilevel"/>
    <w:tmpl w:val="CDD8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334963"/>
    <w:multiLevelType w:val="hybridMultilevel"/>
    <w:tmpl w:val="281AE1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27F47EB4"/>
    <w:multiLevelType w:val="multilevel"/>
    <w:tmpl w:val="3D84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2721F7"/>
    <w:multiLevelType w:val="multilevel"/>
    <w:tmpl w:val="93E2E358"/>
    <w:lvl w:ilvl="0">
      <w:start w:val="4"/>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8">
    <w:nsid w:val="32510FEE"/>
    <w:multiLevelType w:val="hybridMultilevel"/>
    <w:tmpl w:val="BC84B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7B901E3"/>
    <w:multiLevelType w:val="multilevel"/>
    <w:tmpl w:val="00B2101C"/>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0">
    <w:nsid w:val="38B65C65"/>
    <w:multiLevelType w:val="multilevel"/>
    <w:tmpl w:val="8E6C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D91B23"/>
    <w:multiLevelType w:val="multilevel"/>
    <w:tmpl w:val="8180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E7D07BC"/>
    <w:multiLevelType w:val="hybridMultilevel"/>
    <w:tmpl w:val="490CE0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nsid w:val="42D23F15"/>
    <w:multiLevelType w:val="hybridMultilevel"/>
    <w:tmpl w:val="8B826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1740DDF"/>
    <w:multiLevelType w:val="hybridMultilevel"/>
    <w:tmpl w:val="C9569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1F04CA"/>
    <w:multiLevelType w:val="hybridMultilevel"/>
    <w:tmpl w:val="276CE0B2"/>
    <w:lvl w:ilvl="0" w:tplc="0409000F">
      <w:start w:val="1"/>
      <w:numFmt w:val="decimal"/>
      <w:lvlText w:val="%1."/>
      <w:lvlJc w:val="left"/>
      <w:pPr>
        <w:tabs>
          <w:tab w:val="num" w:pos="720"/>
        </w:tabs>
        <w:ind w:left="720" w:hanging="360"/>
      </w:pPr>
    </w:lvl>
    <w:lvl w:ilvl="1" w:tplc="2B6EA80C">
      <w:start w:val="1"/>
      <w:numFmt w:val="bullet"/>
      <w:lvlText w:val=""/>
      <w:lvlJc w:val="left"/>
      <w:pPr>
        <w:tabs>
          <w:tab w:val="num" w:pos="1080"/>
        </w:tabs>
        <w:ind w:left="1437" w:hanging="357"/>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ED2DCD"/>
    <w:multiLevelType w:val="hybridMultilevel"/>
    <w:tmpl w:val="B642A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926E54"/>
    <w:multiLevelType w:val="multilevel"/>
    <w:tmpl w:val="08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AF2490"/>
    <w:multiLevelType w:val="hybridMultilevel"/>
    <w:tmpl w:val="C9569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DC841CD"/>
    <w:multiLevelType w:val="hybridMultilevel"/>
    <w:tmpl w:val="D7D8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7"/>
  </w:num>
  <w:num w:numId="4">
    <w:abstractNumId w:val="15"/>
  </w:num>
  <w:num w:numId="5">
    <w:abstractNumId w:val="7"/>
  </w:num>
  <w:num w:numId="6">
    <w:abstractNumId w:val="8"/>
  </w:num>
  <w:num w:numId="7">
    <w:abstractNumId w:val="13"/>
  </w:num>
  <w:num w:numId="8">
    <w:abstractNumId w:val="9"/>
  </w:num>
  <w:num w:numId="9">
    <w:abstractNumId w:val="5"/>
  </w:num>
  <w:num w:numId="10">
    <w:abstractNumId w:val="12"/>
  </w:num>
  <w:num w:numId="11">
    <w:abstractNumId w:val="2"/>
  </w:num>
  <w:num w:numId="12">
    <w:abstractNumId w:val="19"/>
  </w:num>
  <w:num w:numId="13">
    <w:abstractNumId w:val="16"/>
  </w:num>
  <w:num w:numId="14">
    <w:abstractNumId w:val="1"/>
  </w:num>
  <w:num w:numId="15">
    <w:abstractNumId w:val="0"/>
  </w:num>
  <w:num w:numId="16">
    <w:abstractNumId w:val="6"/>
  </w:num>
  <w:num w:numId="17">
    <w:abstractNumId w:val="11"/>
  </w:num>
  <w:num w:numId="18">
    <w:abstractNumId w:val="4"/>
  </w:num>
  <w:num w:numId="19">
    <w:abstractNumId w:val="10"/>
  </w:num>
  <w:num w:numId="20">
    <w:abstractNumId w:val="20"/>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4F33"/>
    <w:rsid w:val="00015F4F"/>
    <w:rsid w:val="00017D2E"/>
    <w:rsid w:val="00021A73"/>
    <w:rsid w:val="00026EA5"/>
    <w:rsid w:val="00053FE4"/>
    <w:rsid w:val="00054DE1"/>
    <w:rsid w:val="000764B4"/>
    <w:rsid w:val="00077197"/>
    <w:rsid w:val="000817F9"/>
    <w:rsid w:val="0008795E"/>
    <w:rsid w:val="000975F9"/>
    <w:rsid w:val="000B0D29"/>
    <w:rsid w:val="000B744A"/>
    <w:rsid w:val="000D0794"/>
    <w:rsid w:val="000D245B"/>
    <w:rsid w:val="000D620F"/>
    <w:rsid w:val="000E00E2"/>
    <w:rsid w:val="000E5B8A"/>
    <w:rsid w:val="000E6453"/>
    <w:rsid w:val="000F274B"/>
    <w:rsid w:val="000F6071"/>
    <w:rsid w:val="000F6FD8"/>
    <w:rsid w:val="001065FE"/>
    <w:rsid w:val="001072B4"/>
    <w:rsid w:val="0010757C"/>
    <w:rsid w:val="001100A3"/>
    <w:rsid w:val="00116689"/>
    <w:rsid w:val="00120225"/>
    <w:rsid w:val="00132839"/>
    <w:rsid w:val="00144164"/>
    <w:rsid w:val="00153171"/>
    <w:rsid w:val="0015326F"/>
    <w:rsid w:val="0017766C"/>
    <w:rsid w:val="00177A7B"/>
    <w:rsid w:val="00192FBE"/>
    <w:rsid w:val="001A7AF1"/>
    <w:rsid w:val="001B1FC0"/>
    <w:rsid w:val="001C41BF"/>
    <w:rsid w:val="001D1D38"/>
    <w:rsid w:val="001D2FE9"/>
    <w:rsid w:val="001D541F"/>
    <w:rsid w:val="001E41AE"/>
    <w:rsid w:val="00200C8E"/>
    <w:rsid w:val="002029D7"/>
    <w:rsid w:val="00220164"/>
    <w:rsid w:val="00220978"/>
    <w:rsid w:val="002245D8"/>
    <w:rsid w:val="00227DC9"/>
    <w:rsid w:val="00232563"/>
    <w:rsid w:val="0024033E"/>
    <w:rsid w:val="00241F01"/>
    <w:rsid w:val="00247212"/>
    <w:rsid w:val="002507EF"/>
    <w:rsid w:val="00255FC0"/>
    <w:rsid w:val="00261D72"/>
    <w:rsid w:val="00261E11"/>
    <w:rsid w:val="00262480"/>
    <w:rsid w:val="002654E9"/>
    <w:rsid w:val="00265F13"/>
    <w:rsid w:val="002829AC"/>
    <w:rsid w:val="00286A03"/>
    <w:rsid w:val="002959EE"/>
    <w:rsid w:val="002A5188"/>
    <w:rsid w:val="002A51F9"/>
    <w:rsid w:val="002B36C8"/>
    <w:rsid w:val="002B7DC4"/>
    <w:rsid w:val="002D1539"/>
    <w:rsid w:val="002D5EDE"/>
    <w:rsid w:val="002D7DD6"/>
    <w:rsid w:val="002E6C9F"/>
    <w:rsid w:val="002E7918"/>
    <w:rsid w:val="002F215D"/>
    <w:rsid w:val="002F4DC9"/>
    <w:rsid w:val="00303143"/>
    <w:rsid w:val="00304F4D"/>
    <w:rsid w:val="003114C4"/>
    <w:rsid w:val="00313EC9"/>
    <w:rsid w:val="0032786E"/>
    <w:rsid w:val="0034569A"/>
    <w:rsid w:val="00345B42"/>
    <w:rsid w:val="00347734"/>
    <w:rsid w:val="003551D4"/>
    <w:rsid w:val="00356B53"/>
    <w:rsid w:val="00360402"/>
    <w:rsid w:val="003649D9"/>
    <w:rsid w:val="00371EFA"/>
    <w:rsid w:val="00372702"/>
    <w:rsid w:val="00373E7E"/>
    <w:rsid w:val="00380A34"/>
    <w:rsid w:val="00380CDF"/>
    <w:rsid w:val="00381B81"/>
    <w:rsid w:val="003917DC"/>
    <w:rsid w:val="0039450A"/>
    <w:rsid w:val="003B62D6"/>
    <w:rsid w:val="003C4EA9"/>
    <w:rsid w:val="003C7AFE"/>
    <w:rsid w:val="003D2CBE"/>
    <w:rsid w:val="003D5C03"/>
    <w:rsid w:val="003E0170"/>
    <w:rsid w:val="003F321A"/>
    <w:rsid w:val="00401608"/>
    <w:rsid w:val="00407982"/>
    <w:rsid w:val="00416BFF"/>
    <w:rsid w:val="0042698E"/>
    <w:rsid w:val="00432FF9"/>
    <w:rsid w:val="004375DD"/>
    <w:rsid w:val="004403F8"/>
    <w:rsid w:val="004438C9"/>
    <w:rsid w:val="00444E77"/>
    <w:rsid w:val="00447EE9"/>
    <w:rsid w:val="0045580C"/>
    <w:rsid w:val="0045618C"/>
    <w:rsid w:val="00460DE4"/>
    <w:rsid w:val="00460F18"/>
    <w:rsid w:val="00463BDA"/>
    <w:rsid w:val="00465229"/>
    <w:rsid w:val="00466CDA"/>
    <w:rsid w:val="00474274"/>
    <w:rsid w:val="004770AD"/>
    <w:rsid w:val="00477C58"/>
    <w:rsid w:val="004843C9"/>
    <w:rsid w:val="00484E83"/>
    <w:rsid w:val="00493EDC"/>
    <w:rsid w:val="004A5372"/>
    <w:rsid w:val="004A5E30"/>
    <w:rsid w:val="004A6C41"/>
    <w:rsid w:val="004A7F5F"/>
    <w:rsid w:val="004B2287"/>
    <w:rsid w:val="004B7E68"/>
    <w:rsid w:val="004C3A30"/>
    <w:rsid w:val="004D6EED"/>
    <w:rsid w:val="004E08EF"/>
    <w:rsid w:val="004E241D"/>
    <w:rsid w:val="004E4B5E"/>
    <w:rsid w:val="004E5019"/>
    <w:rsid w:val="004F08B1"/>
    <w:rsid w:val="004F2C6F"/>
    <w:rsid w:val="004F64EA"/>
    <w:rsid w:val="005047A4"/>
    <w:rsid w:val="005047F6"/>
    <w:rsid w:val="0050754F"/>
    <w:rsid w:val="0051080D"/>
    <w:rsid w:val="0051107E"/>
    <w:rsid w:val="00511496"/>
    <w:rsid w:val="005179D9"/>
    <w:rsid w:val="00520DB0"/>
    <w:rsid w:val="00521295"/>
    <w:rsid w:val="005258F0"/>
    <w:rsid w:val="00526DF1"/>
    <w:rsid w:val="0053594A"/>
    <w:rsid w:val="00543F05"/>
    <w:rsid w:val="00544A3E"/>
    <w:rsid w:val="005540B4"/>
    <w:rsid w:val="0055493F"/>
    <w:rsid w:val="00555643"/>
    <w:rsid w:val="00563DC7"/>
    <w:rsid w:val="00571965"/>
    <w:rsid w:val="00576B2E"/>
    <w:rsid w:val="00590C36"/>
    <w:rsid w:val="00592F39"/>
    <w:rsid w:val="0059426B"/>
    <w:rsid w:val="005950EE"/>
    <w:rsid w:val="005B4AAD"/>
    <w:rsid w:val="005C565B"/>
    <w:rsid w:val="005C6B41"/>
    <w:rsid w:val="005C76D1"/>
    <w:rsid w:val="005D37D5"/>
    <w:rsid w:val="005D450E"/>
    <w:rsid w:val="005D4C2B"/>
    <w:rsid w:val="005D58DB"/>
    <w:rsid w:val="005D6F6C"/>
    <w:rsid w:val="005E23D5"/>
    <w:rsid w:val="005E442C"/>
    <w:rsid w:val="005E5FCC"/>
    <w:rsid w:val="005E77BC"/>
    <w:rsid w:val="005F09BC"/>
    <w:rsid w:val="005F24B2"/>
    <w:rsid w:val="005F268F"/>
    <w:rsid w:val="005F4B50"/>
    <w:rsid w:val="0060090F"/>
    <w:rsid w:val="00600CE7"/>
    <w:rsid w:val="00605C08"/>
    <w:rsid w:val="00610457"/>
    <w:rsid w:val="006130E7"/>
    <w:rsid w:val="006207E6"/>
    <w:rsid w:val="00623941"/>
    <w:rsid w:val="006314BD"/>
    <w:rsid w:val="00647FE6"/>
    <w:rsid w:val="00660A42"/>
    <w:rsid w:val="00663093"/>
    <w:rsid w:val="006658B6"/>
    <w:rsid w:val="0067538A"/>
    <w:rsid w:val="00682545"/>
    <w:rsid w:val="00686716"/>
    <w:rsid w:val="00690634"/>
    <w:rsid w:val="006925F5"/>
    <w:rsid w:val="00693BFC"/>
    <w:rsid w:val="006A1248"/>
    <w:rsid w:val="006A3AC2"/>
    <w:rsid w:val="006B06E6"/>
    <w:rsid w:val="006B3C26"/>
    <w:rsid w:val="006C09E9"/>
    <w:rsid w:val="006C0AEA"/>
    <w:rsid w:val="006C2F41"/>
    <w:rsid w:val="006D0028"/>
    <w:rsid w:val="006D3293"/>
    <w:rsid w:val="006D44D7"/>
    <w:rsid w:val="006F4934"/>
    <w:rsid w:val="006F5801"/>
    <w:rsid w:val="006F5F8F"/>
    <w:rsid w:val="00703673"/>
    <w:rsid w:val="0070412A"/>
    <w:rsid w:val="007053BE"/>
    <w:rsid w:val="00707C87"/>
    <w:rsid w:val="00720B5B"/>
    <w:rsid w:val="007214D1"/>
    <w:rsid w:val="00726B31"/>
    <w:rsid w:val="00727D67"/>
    <w:rsid w:val="007310D7"/>
    <w:rsid w:val="00731E93"/>
    <w:rsid w:val="00742B9E"/>
    <w:rsid w:val="0074360E"/>
    <w:rsid w:val="00751A5C"/>
    <w:rsid w:val="00755820"/>
    <w:rsid w:val="00766BAD"/>
    <w:rsid w:val="00766EF9"/>
    <w:rsid w:val="00767B29"/>
    <w:rsid w:val="00776348"/>
    <w:rsid w:val="00784401"/>
    <w:rsid w:val="00791D36"/>
    <w:rsid w:val="00794A0C"/>
    <w:rsid w:val="007A2F50"/>
    <w:rsid w:val="007B2FE1"/>
    <w:rsid w:val="007B3DC7"/>
    <w:rsid w:val="007C13C5"/>
    <w:rsid w:val="007C7B5A"/>
    <w:rsid w:val="007D4675"/>
    <w:rsid w:val="007E7860"/>
    <w:rsid w:val="007F17B4"/>
    <w:rsid w:val="007F57B7"/>
    <w:rsid w:val="007F78AE"/>
    <w:rsid w:val="00805D7B"/>
    <w:rsid w:val="00810982"/>
    <w:rsid w:val="00825FD9"/>
    <w:rsid w:val="00826907"/>
    <w:rsid w:val="00834E2D"/>
    <w:rsid w:val="0083644A"/>
    <w:rsid w:val="00841643"/>
    <w:rsid w:val="0084209E"/>
    <w:rsid w:val="00847811"/>
    <w:rsid w:val="008A1F14"/>
    <w:rsid w:val="008A4522"/>
    <w:rsid w:val="008C03E3"/>
    <w:rsid w:val="008C1B47"/>
    <w:rsid w:val="008C3C98"/>
    <w:rsid w:val="008D61AA"/>
    <w:rsid w:val="008F5A22"/>
    <w:rsid w:val="008F66E6"/>
    <w:rsid w:val="008F74CA"/>
    <w:rsid w:val="00912498"/>
    <w:rsid w:val="00920271"/>
    <w:rsid w:val="00924053"/>
    <w:rsid w:val="00941073"/>
    <w:rsid w:val="00952CCE"/>
    <w:rsid w:val="00962E81"/>
    <w:rsid w:val="00985181"/>
    <w:rsid w:val="00985DE5"/>
    <w:rsid w:val="00987DFB"/>
    <w:rsid w:val="00990CFB"/>
    <w:rsid w:val="00991247"/>
    <w:rsid w:val="00995C74"/>
    <w:rsid w:val="009A2020"/>
    <w:rsid w:val="009C0A57"/>
    <w:rsid w:val="009C77CF"/>
    <w:rsid w:val="009D3236"/>
    <w:rsid w:val="009D691A"/>
    <w:rsid w:val="009D6A45"/>
    <w:rsid w:val="009E0A66"/>
    <w:rsid w:val="009E1C50"/>
    <w:rsid w:val="009E7E1D"/>
    <w:rsid w:val="009F0139"/>
    <w:rsid w:val="00A01760"/>
    <w:rsid w:val="00A035C1"/>
    <w:rsid w:val="00A03B68"/>
    <w:rsid w:val="00A06051"/>
    <w:rsid w:val="00A06F5D"/>
    <w:rsid w:val="00A1003D"/>
    <w:rsid w:val="00A105B9"/>
    <w:rsid w:val="00A1733F"/>
    <w:rsid w:val="00A252F3"/>
    <w:rsid w:val="00A265AA"/>
    <w:rsid w:val="00A44B54"/>
    <w:rsid w:val="00A47A09"/>
    <w:rsid w:val="00A506DE"/>
    <w:rsid w:val="00A60358"/>
    <w:rsid w:val="00A701E8"/>
    <w:rsid w:val="00A813FC"/>
    <w:rsid w:val="00A8159A"/>
    <w:rsid w:val="00A852FC"/>
    <w:rsid w:val="00A95347"/>
    <w:rsid w:val="00AA15DA"/>
    <w:rsid w:val="00AA6A6A"/>
    <w:rsid w:val="00AB3D83"/>
    <w:rsid w:val="00AB772D"/>
    <w:rsid w:val="00AC5BBD"/>
    <w:rsid w:val="00AD0D67"/>
    <w:rsid w:val="00AD33D1"/>
    <w:rsid w:val="00AE3455"/>
    <w:rsid w:val="00AE44B9"/>
    <w:rsid w:val="00AF02B6"/>
    <w:rsid w:val="00AF5408"/>
    <w:rsid w:val="00B0019E"/>
    <w:rsid w:val="00B06F13"/>
    <w:rsid w:val="00B15C2E"/>
    <w:rsid w:val="00B26FB4"/>
    <w:rsid w:val="00B356DC"/>
    <w:rsid w:val="00B35E26"/>
    <w:rsid w:val="00B43CE9"/>
    <w:rsid w:val="00B4511E"/>
    <w:rsid w:val="00B50D69"/>
    <w:rsid w:val="00B50E9D"/>
    <w:rsid w:val="00B56CDC"/>
    <w:rsid w:val="00B6149F"/>
    <w:rsid w:val="00B677B7"/>
    <w:rsid w:val="00B76CAE"/>
    <w:rsid w:val="00B84929"/>
    <w:rsid w:val="00B86838"/>
    <w:rsid w:val="00B87B5D"/>
    <w:rsid w:val="00B90704"/>
    <w:rsid w:val="00BA01AD"/>
    <w:rsid w:val="00BA2BC7"/>
    <w:rsid w:val="00BB0395"/>
    <w:rsid w:val="00BB4A08"/>
    <w:rsid w:val="00BC1EB4"/>
    <w:rsid w:val="00BE6360"/>
    <w:rsid w:val="00C14B28"/>
    <w:rsid w:val="00C15B6B"/>
    <w:rsid w:val="00C214F8"/>
    <w:rsid w:val="00C3461A"/>
    <w:rsid w:val="00C351C8"/>
    <w:rsid w:val="00C360E6"/>
    <w:rsid w:val="00C44DE0"/>
    <w:rsid w:val="00C456FE"/>
    <w:rsid w:val="00C60663"/>
    <w:rsid w:val="00C61237"/>
    <w:rsid w:val="00C71EF3"/>
    <w:rsid w:val="00C72B73"/>
    <w:rsid w:val="00C8005D"/>
    <w:rsid w:val="00C973BB"/>
    <w:rsid w:val="00C978E0"/>
    <w:rsid w:val="00CA4B02"/>
    <w:rsid w:val="00CB5374"/>
    <w:rsid w:val="00CB56B9"/>
    <w:rsid w:val="00CB7017"/>
    <w:rsid w:val="00CF0B36"/>
    <w:rsid w:val="00D03451"/>
    <w:rsid w:val="00D038C4"/>
    <w:rsid w:val="00D11FA1"/>
    <w:rsid w:val="00D12180"/>
    <w:rsid w:val="00D20EFC"/>
    <w:rsid w:val="00D23370"/>
    <w:rsid w:val="00D23435"/>
    <w:rsid w:val="00D30472"/>
    <w:rsid w:val="00D45787"/>
    <w:rsid w:val="00D4627A"/>
    <w:rsid w:val="00D46356"/>
    <w:rsid w:val="00D57CDF"/>
    <w:rsid w:val="00D6025E"/>
    <w:rsid w:val="00D6031D"/>
    <w:rsid w:val="00D604A7"/>
    <w:rsid w:val="00D658D1"/>
    <w:rsid w:val="00D65A67"/>
    <w:rsid w:val="00D66EB1"/>
    <w:rsid w:val="00D75FFC"/>
    <w:rsid w:val="00D842DB"/>
    <w:rsid w:val="00D906F4"/>
    <w:rsid w:val="00D93D96"/>
    <w:rsid w:val="00DA1988"/>
    <w:rsid w:val="00DB3601"/>
    <w:rsid w:val="00DB3CD6"/>
    <w:rsid w:val="00DC17DA"/>
    <w:rsid w:val="00DC4937"/>
    <w:rsid w:val="00DD0516"/>
    <w:rsid w:val="00DD614F"/>
    <w:rsid w:val="00DD7EFF"/>
    <w:rsid w:val="00DE07A3"/>
    <w:rsid w:val="00DE1942"/>
    <w:rsid w:val="00DE1E6C"/>
    <w:rsid w:val="00DE2B44"/>
    <w:rsid w:val="00DE5F32"/>
    <w:rsid w:val="00DF1F68"/>
    <w:rsid w:val="00DF55D6"/>
    <w:rsid w:val="00DF5CE2"/>
    <w:rsid w:val="00DF6E1D"/>
    <w:rsid w:val="00E0196C"/>
    <w:rsid w:val="00E04193"/>
    <w:rsid w:val="00E04751"/>
    <w:rsid w:val="00E11B89"/>
    <w:rsid w:val="00E16021"/>
    <w:rsid w:val="00E1614A"/>
    <w:rsid w:val="00E216D0"/>
    <w:rsid w:val="00E25FDA"/>
    <w:rsid w:val="00E26FC7"/>
    <w:rsid w:val="00E3069B"/>
    <w:rsid w:val="00E345B1"/>
    <w:rsid w:val="00E355EE"/>
    <w:rsid w:val="00E45F94"/>
    <w:rsid w:val="00E523CD"/>
    <w:rsid w:val="00E52B44"/>
    <w:rsid w:val="00E62C70"/>
    <w:rsid w:val="00E66429"/>
    <w:rsid w:val="00E75F39"/>
    <w:rsid w:val="00E75F6B"/>
    <w:rsid w:val="00E76B6E"/>
    <w:rsid w:val="00E92F59"/>
    <w:rsid w:val="00EA6559"/>
    <w:rsid w:val="00EA6C6E"/>
    <w:rsid w:val="00EB228F"/>
    <w:rsid w:val="00EC095C"/>
    <w:rsid w:val="00EC259F"/>
    <w:rsid w:val="00EC47E3"/>
    <w:rsid w:val="00EE63AE"/>
    <w:rsid w:val="00EF4F9D"/>
    <w:rsid w:val="00F06261"/>
    <w:rsid w:val="00F1364E"/>
    <w:rsid w:val="00F20271"/>
    <w:rsid w:val="00F2111F"/>
    <w:rsid w:val="00F2342F"/>
    <w:rsid w:val="00F25E7E"/>
    <w:rsid w:val="00F32954"/>
    <w:rsid w:val="00F42CF3"/>
    <w:rsid w:val="00F469C4"/>
    <w:rsid w:val="00F503ED"/>
    <w:rsid w:val="00F55F2F"/>
    <w:rsid w:val="00F63E64"/>
    <w:rsid w:val="00F76AA4"/>
    <w:rsid w:val="00F77121"/>
    <w:rsid w:val="00FA053D"/>
    <w:rsid w:val="00FA2E74"/>
    <w:rsid w:val="00FA5259"/>
    <w:rsid w:val="00FA7DA7"/>
    <w:rsid w:val="00FB0F87"/>
    <w:rsid w:val="00FB17D4"/>
    <w:rsid w:val="00FC0CB0"/>
    <w:rsid w:val="00FC1D3E"/>
    <w:rsid w:val="00FC2545"/>
    <w:rsid w:val="00FC2B80"/>
    <w:rsid w:val="00FD1D44"/>
    <w:rsid w:val="00FD2BFB"/>
    <w:rsid w:val="00FD3F7E"/>
    <w:rsid w:val="00FE2E2B"/>
    <w:rsid w:val="00FE3A29"/>
    <w:rsid w:val="00FE4D79"/>
    <w:rsid w:val="00FE65CF"/>
    <w:rsid w:val="00FF110F"/>
    <w:rsid w:val="00FF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paragraph" w:styleId="Heading9">
    <w:name w:val="heading 9"/>
    <w:basedOn w:val="Normal"/>
    <w:next w:val="Normal"/>
    <w:link w:val="Heading9Char"/>
    <w:uiPriority w:val="9"/>
    <w:semiHidden/>
    <w:unhideWhenUsed/>
    <w:qFormat/>
    <w:rsid w:val="0068671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686716"/>
    <w:rPr>
      <w:rFonts w:asciiTheme="majorHAnsi" w:eastAsiaTheme="majorEastAsia" w:hAnsiTheme="majorHAnsi" w:cstheme="majorBidi"/>
      <w:sz w:val="22"/>
      <w:szCs w:val="22"/>
    </w:rPr>
  </w:style>
  <w:style w:type="paragraph" w:styleId="BodyText2">
    <w:name w:val="Body Text 2"/>
    <w:basedOn w:val="Normal"/>
    <w:link w:val="BodyText2Char"/>
    <w:uiPriority w:val="99"/>
    <w:semiHidden/>
    <w:unhideWhenUsed/>
    <w:rsid w:val="00686716"/>
    <w:pPr>
      <w:spacing w:after="120" w:line="480" w:lineRule="auto"/>
    </w:pPr>
  </w:style>
  <w:style w:type="character" w:customStyle="1" w:styleId="BodyText2Char">
    <w:name w:val="Body Text 2 Char"/>
    <w:basedOn w:val="DefaultParagraphFont"/>
    <w:link w:val="BodyText2"/>
    <w:uiPriority w:val="99"/>
    <w:semiHidden/>
    <w:rsid w:val="00686716"/>
    <w:rPr>
      <w:sz w:val="24"/>
    </w:rPr>
  </w:style>
  <w:style w:type="table" w:customStyle="1" w:styleId="TableGrid2">
    <w:name w:val="Table Grid2"/>
    <w:basedOn w:val="TableNormal"/>
    <w:next w:val="TableGrid"/>
    <w:uiPriority w:val="59"/>
    <w:rsid w:val="006867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paragraph" w:styleId="Heading9">
    <w:name w:val="heading 9"/>
    <w:basedOn w:val="Normal"/>
    <w:next w:val="Normal"/>
    <w:link w:val="Heading9Char"/>
    <w:uiPriority w:val="9"/>
    <w:semiHidden/>
    <w:unhideWhenUsed/>
    <w:qFormat/>
    <w:rsid w:val="0068671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686716"/>
    <w:rPr>
      <w:rFonts w:asciiTheme="majorHAnsi" w:eastAsiaTheme="majorEastAsia" w:hAnsiTheme="majorHAnsi" w:cstheme="majorBidi"/>
      <w:sz w:val="22"/>
      <w:szCs w:val="22"/>
    </w:rPr>
  </w:style>
  <w:style w:type="paragraph" w:styleId="BodyText2">
    <w:name w:val="Body Text 2"/>
    <w:basedOn w:val="Normal"/>
    <w:link w:val="BodyText2Char"/>
    <w:uiPriority w:val="99"/>
    <w:semiHidden/>
    <w:unhideWhenUsed/>
    <w:rsid w:val="00686716"/>
    <w:pPr>
      <w:spacing w:after="120" w:line="480" w:lineRule="auto"/>
    </w:pPr>
  </w:style>
  <w:style w:type="character" w:customStyle="1" w:styleId="BodyText2Char">
    <w:name w:val="Body Text 2 Char"/>
    <w:basedOn w:val="DefaultParagraphFont"/>
    <w:link w:val="BodyText2"/>
    <w:uiPriority w:val="99"/>
    <w:semiHidden/>
    <w:rsid w:val="00686716"/>
    <w:rPr>
      <w:sz w:val="24"/>
    </w:rPr>
  </w:style>
  <w:style w:type="table" w:customStyle="1" w:styleId="TableGrid2">
    <w:name w:val="Table Grid2"/>
    <w:basedOn w:val="TableNormal"/>
    <w:next w:val="TableGrid"/>
    <w:uiPriority w:val="59"/>
    <w:rsid w:val="006867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539056148">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C4D73-99DB-45F6-A5CF-59C59522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cp:lastModifiedBy>
  <cp:revision>2</cp:revision>
  <cp:lastPrinted>2016-11-28T14:59:00Z</cp:lastPrinted>
  <dcterms:created xsi:type="dcterms:W3CDTF">2016-12-07T11:10:00Z</dcterms:created>
  <dcterms:modified xsi:type="dcterms:W3CDTF">2016-12-07T11:10:00Z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1902912727</vt:i4>
  </property>
  <property fmtid="{D5CDD505-2E9C-101B-9397-08002B2CF9AE}" pid="3" name="_NewReviewCycle">
    <vt:lpwstr/>
  </property>
  <property fmtid="{D5CDD505-2E9C-101B-9397-08002B2CF9AE}" pid="4" name="_EmailSubject">
    <vt:lpwstr>HUMAN RESOURCES REPORT FOR HLH BOARD 2 OCTOBER</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425220563</vt:i4>
  </property>
  <property fmtid="{D5CDD505-2E9C-101B-9397-08002B2CF9AE}" pid="8" name="_ReviewingToolsShownOnce">
    <vt:lpwstr/>
  </property>
</Properties>
</file>