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bookmarkStart w:id="0" w:name="_GoBack"/>
            <w:bookmarkEnd w:id="0"/>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4823C2" w:rsidP="002B7DC4">
            <w:pPr>
              <w:pStyle w:val="BodyText"/>
              <w:jc w:val="left"/>
              <w:rPr>
                <w:rFonts w:ascii="Arial" w:hAnsi="Arial" w:cs="Arial"/>
                <w:szCs w:val="24"/>
              </w:rPr>
            </w:pPr>
            <w:r>
              <w:rPr>
                <w:rFonts w:ascii="Arial" w:hAnsi="Arial" w:cs="Arial"/>
                <w:szCs w:val="24"/>
              </w:rPr>
              <w:t>2</w:t>
            </w:r>
            <w:r w:rsidR="00876F99">
              <w:rPr>
                <w:rFonts w:ascii="Arial" w:hAnsi="Arial" w:cs="Arial"/>
                <w:szCs w:val="24"/>
              </w:rPr>
              <w:t>2</w:t>
            </w:r>
            <w:r>
              <w:rPr>
                <w:rFonts w:ascii="Arial" w:hAnsi="Arial" w:cs="Arial"/>
                <w:szCs w:val="24"/>
              </w:rPr>
              <w:t xml:space="preserve"> March 2017</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876F99">
            <w:pPr>
              <w:rPr>
                <w:rFonts w:ascii="Arial" w:hAnsi="Arial" w:cs="Arial"/>
                <w:szCs w:val="24"/>
              </w:rPr>
            </w:pPr>
            <w:r>
              <w:rPr>
                <w:rFonts w:ascii="Arial" w:hAnsi="Arial" w:cs="Arial"/>
                <w:szCs w:val="24"/>
              </w:rPr>
              <w:t xml:space="preserve">AGENDA ITEM </w:t>
            </w:r>
            <w:r w:rsidR="00876F99">
              <w:rPr>
                <w:rFonts w:ascii="Arial" w:hAnsi="Arial" w:cs="Arial"/>
                <w:szCs w:val="24"/>
              </w:rPr>
              <w:t>10</w:t>
            </w:r>
            <w:r w:rsidR="00B84929">
              <w:rPr>
                <w:rFonts w:ascii="Arial" w:hAnsi="Arial" w:cs="Arial"/>
                <w:szCs w:val="24"/>
              </w:rPr>
              <w:t xml:space="preserve"> REPORT No HLH</w:t>
            </w:r>
            <w:r w:rsidR="004823C2">
              <w:rPr>
                <w:rFonts w:ascii="Arial" w:hAnsi="Arial" w:cs="Arial"/>
                <w:szCs w:val="24"/>
              </w:rPr>
              <w:t xml:space="preserve"> </w:t>
            </w:r>
            <w:r w:rsidR="00876F99">
              <w:rPr>
                <w:rFonts w:ascii="Arial" w:hAnsi="Arial" w:cs="Arial"/>
                <w:szCs w:val="24"/>
              </w:rPr>
              <w:t>4</w:t>
            </w:r>
            <w:r w:rsidR="004823C2">
              <w:rPr>
                <w:rFonts w:ascii="Arial" w:hAnsi="Arial" w:cs="Arial"/>
                <w:szCs w:val="24"/>
              </w:rPr>
              <w:t xml:space="preserve"> </w:t>
            </w:r>
            <w:r w:rsidR="0042698E">
              <w:rPr>
                <w:rFonts w:ascii="Arial" w:hAnsi="Arial" w:cs="Arial"/>
                <w:szCs w:val="24"/>
              </w:rPr>
              <w:t>/</w:t>
            </w:r>
            <w:r w:rsidR="004823C2">
              <w:rPr>
                <w:rFonts w:ascii="Arial" w:hAnsi="Arial" w:cs="Arial"/>
                <w:szCs w:val="24"/>
              </w:rPr>
              <w:t>17</w:t>
            </w:r>
          </w:p>
        </w:tc>
      </w:tr>
    </w:tbl>
    <w:p w:rsidR="002A51F9" w:rsidRDefault="002A51F9" w:rsidP="00DE1E6C">
      <w:pPr>
        <w:pStyle w:val="Heading2"/>
        <w:rPr>
          <w:rFonts w:ascii="Arial" w:hAnsi="Arial" w:cs="Arial"/>
          <w:b/>
          <w:szCs w:val="24"/>
          <w:u w:val="none"/>
        </w:rPr>
      </w:pPr>
    </w:p>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014F33" w:rsidRDefault="00014F33" w:rsidP="002B7DC4"/>
          <w:p w:rsidR="00460DE4" w:rsidRDefault="00460DE4" w:rsidP="00AC5BBD">
            <w:pPr>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4823C2">
              <w:rPr>
                <w:rFonts w:ascii="Arial" w:hAnsi="Arial" w:cs="Arial"/>
              </w:rPr>
              <w:t>October to December 2016</w:t>
            </w:r>
            <w:r>
              <w:rPr>
                <w:rFonts w:ascii="Arial" w:hAnsi="Arial" w:cs="Arial"/>
              </w:rPr>
              <w:t xml:space="preserve"> including a quarterly report on absence, disciplinary and grievance issues.  </w:t>
            </w:r>
          </w:p>
          <w:p w:rsidR="00460F18" w:rsidRDefault="00460F18" w:rsidP="00460F18">
            <w:pPr>
              <w:jc w:val="both"/>
              <w:rPr>
                <w:rFonts w:ascii="Arial" w:hAnsi="Arial" w:cs="Arial"/>
                <w:szCs w:val="24"/>
              </w:rPr>
            </w:pPr>
          </w:p>
          <w:p w:rsidR="00DD7EFF" w:rsidRPr="007D45D7" w:rsidRDefault="00DD7EFF" w:rsidP="00DD7EFF">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DD7EFF" w:rsidRDefault="00DD7EFF" w:rsidP="00DD7EFF">
            <w:pPr>
              <w:jc w:val="both"/>
              <w:rPr>
                <w:rFonts w:ascii="Arial" w:hAnsi="Arial" w:cs="Arial"/>
                <w:szCs w:val="24"/>
              </w:rPr>
            </w:pPr>
          </w:p>
          <w:p w:rsidR="00DD7EFF" w:rsidRPr="007F127B" w:rsidRDefault="00DD7EFF" w:rsidP="00DD7EFF">
            <w:pPr>
              <w:numPr>
                <w:ilvl w:val="0"/>
                <w:numId w:val="2"/>
              </w:numPr>
              <w:autoSpaceDE w:val="0"/>
              <w:autoSpaceDN w:val="0"/>
              <w:adjustRightInd w:val="0"/>
              <w:jc w:val="both"/>
              <w:rPr>
                <w:rFonts w:ascii="Arial" w:hAnsi="Arial" w:cs="Arial"/>
                <w:szCs w:val="24"/>
                <w:u w:val="single"/>
              </w:rPr>
            </w:pPr>
            <w:r w:rsidRPr="00DD7EFF">
              <w:rPr>
                <w:rFonts w:ascii="Arial" w:hAnsi="Arial" w:cs="Arial"/>
              </w:rPr>
              <w:t xml:space="preserve">note the content of the quarterly report including the update on the staffing </w:t>
            </w:r>
            <w:r w:rsidRPr="007F127B">
              <w:rPr>
                <w:rFonts w:ascii="Arial" w:hAnsi="Arial" w:cs="Arial"/>
              </w:rPr>
              <w:t xml:space="preserve">establishment; and </w:t>
            </w:r>
          </w:p>
          <w:p w:rsidR="00460F18" w:rsidRPr="007F127B" w:rsidRDefault="007F127B" w:rsidP="00DD7EFF">
            <w:pPr>
              <w:numPr>
                <w:ilvl w:val="0"/>
                <w:numId w:val="2"/>
              </w:numPr>
              <w:autoSpaceDE w:val="0"/>
              <w:autoSpaceDN w:val="0"/>
              <w:adjustRightInd w:val="0"/>
              <w:jc w:val="both"/>
              <w:rPr>
                <w:rFonts w:ascii="Arial" w:hAnsi="Arial" w:cs="Arial"/>
                <w:szCs w:val="24"/>
                <w:u w:val="single"/>
              </w:rPr>
            </w:pPr>
            <w:proofErr w:type="gramStart"/>
            <w:r w:rsidRPr="007F127B">
              <w:rPr>
                <w:rFonts w:ascii="Arial" w:hAnsi="Arial" w:cs="Arial"/>
              </w:rPr>
              <w:t>a</w:t>
            </w:r>
            <w:r w:rsidR="00457DF5" w:rsidRPr="007F127B">
              <w:rPr>
                <w:rFonts w:ascii="Arial" w:hAnsi="Arial" w:cs="Arial"/>
              </w:rPr>
              <w:t>gree</w:t>
            </w:r>
            <w:proofErr w:type="gramEnd"/>
            <w:r w:rsidR="00457DF5" w:rsidRPr="007F127B">
              <w:rPr>
                <w:rFonts w:ascii="Arial" w:hAnsi="Arial" w:cs="Arial"/>
              </w:rPr>
              <w:t xml:space="preserve"> changes to</w:t>
            </w:r>
            <w:r w:rsidR="00352FB4" w:rsidRPr="007F127B">
              <w:rPr>
                <w:rFonts w:ascii="Arial" w:hAnsi="Arial" w:cs="Arial"/>
              </w:rPr>
              <w:t xml:space="preserve"> </w:t>
            </w:r>
            <w:r w:rsidR="00457DF5" w:rsidRPr="007F127B">
              <w:rPr>
                <w:rFonts w:ascii="Arial" w:hAnsi="Arial" w:cs="Arial"/>
              </w:rPr>
              <w:t xml:space="preserve">the </w:t>
            </w:r>
            <w:r w:rsidR="00352FB4" w:rsidRPr="007F127B">
              <w:rPr>
                <w:rFonts w:ascii="Arial" w:hAnsi="Arial" w:cs="Arial"/>
              </w:rPr>
              <w:t>Staff Recognition Scheme</w:t>
            </w:r>
            <w:r w:rsidRPr="007F127B">
              <w:rPr>
                <w:rFonts w:ascii="Arial" w:hAnsi="Arial" w:cs="Arial"/>
              </w:rPr>
              <w:t>.</w:t>
            </w:r>
          </w:p>
          <w:p w:rsidR="0039450A" w:rsidRPr="005540B4" w:rsidRDefault="0039450A" w:rsidP="009D691A">
            <w:pPr>
              <w:jc w:val="both"/>
              <w:rPr>
                <w:rFonts w:ascii="Arial" w:hAnsi="Arial" w:cs="Arial"/>
              </w:rPr>
            </w:pPr>
            <w:r w:rsidRPr="005540B4">
              <w:rPr>
                <w:rFonts w:ascii="Arial" w:hAnsi="Arial" w:cs="Arial"/>
                <w:szCs w:val="24"/>
              </w:rPr>
              <w:fldChar w:fldCharType="begin"/>
            </w:r>
            <w:r w:rsidRPr="005540B4">
              <w:rPr>
                <w:rFonts w:ascii="Arial" w:hAnsi="Arial" w:cs="Arial"/>
                <w:szCs w:val="24"/>
              </w:rPr>
              <w:instrText xml:space="preserve">  </w:instrText>
            </w:r>
            <w:r w:rsidRPr="005540B4">
              <w:rPr>
                <w:rFonts w:ascii="Arial" w:hAnsi="Arial" w:cs="Arial"/>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952CCE">
            <w:pPr>
              <w:jc w:val="both"/>
              <w:rPr>
                <w:rFonts w:ascii="Arial" w:hAnsi="Arial" w:cs="Arial"/>
                <w:b/>
                <w:szCs w:val="24"/>
              </w:rPr>
            </w:pPr>
            <w:r w:rsidRPr="00E66429">
              <w:rPr>
                <w:rFonts w:ascii="Arial" w:hAnsi="Arial" w:cs="Arial"/>
                <w:b/>
                <w:szCs w:val="24"/>
              </w:rPr>
              <w:t>Business Plan Contribution</w:t>
            </w:r>
          </w:p>
          <w:p w:rsidR="00CF0B36" w:rsidRPr="007214D1" w:rsidRDefault="00CF0B36" w:rsidP="00952CCE">
            <w:pPr>
              <w:jc w:val="both"/>
              <w:rPr>
                <w:rFonts w:ascii="Arial" w:hAnsi="Arial" w:cs="Arial"/>
                <w:b/>
                <w:szCs w:val="24"/>
              </w:rPr>
            </w:pPr>
          </w:p>
        </w:tc>
      </w:tr>
      <w:tr w:rsidR="006F5801" w:rsidRPr="007214D1">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E1614A">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2</w:t>
            </w:r>
          </w:p>
        </w:tc>
        <w:tc>
          <w:tcPr>
            <w:tcW w:w="8647" w:type="dxa"/>
          </w:tcPr>
          <w:p w:rsidR="006F5801" w:rsidRDefault="006F5801" w:rsidP="00952CCE">
            <w:pPr>
              <w:pStyle w:val="Heading3"/>
              <w:rPr>
                <w:rFonts w:ascii="Arial" w:hAnsi="Arial" w:cs="Arial"/>
                <w:b/>
                <w:szCs w:val="24"/>
                <w:u w:val="none"/>
              </w:rPr>
            </w:pPr>
            <w:r w:rsidRPr="007214D1">
              <w:rPr>
                <w:rFonts w:ascii="Arial" w:hAnsi="Arial" w:cs="Arial"/>
                <w:b/>
                <w:szCs w:val="24"/>
                <w:u w:val="none"/>
              </w:rPr>
              <w:t>Background</w:t>
            </w:r>
          </w:p>
          <w:p w:rsidR="00CF0B36" w:rsidRPr="00CF0B36" w:rsidRDefault="00CF0B36" w:rsidP="00CF0B36"/>
        </w:tc>
      </w:tr>
      <w:tr w:rsidR="006F5801" w:rsidRPr="007214D1" w:rsidTr="00E6642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3C4EA9" w:rsidRPr="007214D1" w:rsidRDefault="006F5801" w:rsidP="00FE65CF">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numerical representation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in numbers from previous reports.  There is also an outline of the absence levels within the Company, number of formal disciplinary cases, number of formal grievance complaints, any harassment issues and an employee relations update.</w:t>
            </w:r>
          </w:p>
        </w:tc>
      </w:tr>
      <w:tr w:rsidR="006F5801" w:rsidRPr="007214D1">
        <w:tc>
          <w:tcPr>
            <w:tcW w:w="817" w:type="dxa"/>
          </w:tcPr>
          <w:p w:rsidR="006F5801" w:rsidRDefault="006F5801" w:rsidP="00416BFF">
            <w:pPr>
              <w:rPr>
                <w:rFonts w:ascii="Arial" w:hAnsi="Arial" w:cs="Arial"/>
                <w:b/>
                <w:szCs w:val="24"/>
              </w:rPr>
            </w:pPr>
            <w:r>
              <w:rPr>
                <w:rFonts w:ascii="Arial" w:hAnsi="Arial" w:cs="Arial"/>
                <w:b/>
                <w:szCs w:val="24"/>
              </w:rPr>
              <w:t>3</w:t>
            </w:r>
          </w:p>
          <w:p w:rsidR="00CF0B36" w:rsidRDefault="00CF0B36" w:rsidP="00416BFF">
            <w:pPr>
              <w:rPr>
                <w:rFonts w:ascii="Arial" w:hAnsi="Arial" w:cs="Arial"/>
                <w:b/>
                <w:szCs w:val="24"/>
              </w:rPr>
            </w:pPr>
          </w:p>
          <w:p w:rsidR="0045618C" w:rsidRDefault="0045618C" w:rsidP="00416BFF">
            <w:pPr>
              <w:rPr>
                <w:rFonts w:ascii="Arial" w:hAnsi="Arial" w:cs="Arial"/>
                <w:szCs w:val="24"/>
              </w:rPr>
            </w:pPr>
            <w:r w:rsidRPr="0045618C">
              <w:rPr>
                <w:rFonts w:ascii="Arial" w:hAnsi="Arial" w:cs="Arial"/>
                <w:szCs w:val="24"/>
              </w:rPr>
              <w:t>3.1</w:t>
            </w:r>
          </w:p>
          <w:p w:rsidR="00CF0B36" w:rsidRPr="0045618C" w:rsidRDefault="00CF0B36"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45618C" w:rsidRDefault="0045618C" w:rsidP="00416BFF">
            <w:pPr>
              <w:rPr>
                <w:rFonts w:ascii="Arial" w:hAnsi="Arial" w:cs="Arial"/>
                <w:szCs w:val="24"/>
              </w:rPr>
            </w:pPr>
            <w:r w:rsidRPr="0045618C">
              <w:rPr>
                <w:rFonts w:ascii="Arial" w:hAnsi="Arial" w:cs="Arial"/>
                <w:szCs w:val="24"/>
              </w:rPr>
              <w:t>3.1.2</w:t>
            </w:r>
          </w:p>
          <w:p w:rsidR="00493EDC" w:rsidRDefault="00493EDC" w:rsidP="00416BFF">
            <w:pPr>
              <w:rPr>
                <w:rFonts w:ascii="Arial" w:hAnsi="Arial" w:cs="Arial"/>
                <w:szCs w:val="24"/>
              </w:rPr>
            </w:pPr>
          </w:p>
          <w:p w:rsidR="008A431C" w:rsidRDefault="008A431C" w:rsidP="00416BFF">
            <w:pPr>
              <w:rPr>
                <w:rFonts w:ascii="Arial" w:hAnsi="Arial" w:cs="Arial"/>
                <w:szCs w:val="24"/>
              </w:rPr>
            </w:pPr>
          </w:p>
          <w:p w:rsidR="00EB524F" w:rsidRDefault="00EB524F" w:rsidP="00416BFF">
            <w:pPr>
              <w:rPr>
                <w:rFonts w:ascii="Arial" w:hAnsi="Arial" w:cs="Arial"/>
                <w:szCs w:val="24"/>
              </w:rPr>
            </w:pPr>
          </w:p>
          <w:p w:rsidR="00493EDC" w:rsidRPr="007214D1" w:rsidRDefault="00493EDC" w:rsidP="00416BFF">
            <w:pPr>
              <w:rPr>
                <w:rFonts w:ascii="Arial" w:hAnsi="Arial" w:cs="Arial"/>
                <w:b/>
                <w:szCs w:val="24"/>
              </w:rPr>
            </w:pPr>
            <w:r>
              <w:rPr>
                <w:rFonts w:ascii="Arial" w:hAnsi="Arial" w:cs="Arial"/>
                <w:szCs w:val="24"/>
              </w:rPr>
              <w:lastRenderedPageBreak/>
              <w:t>3.1.3</w:t>
            </w:r>
          </w:p>
        </w:tc>
        <w:tc>
          <w:tcPr>
            <w:tcW w:w="8647"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4823C2">
              <w:rPr>
                <w:rFonts w:ascii="Arial" w:hAnsi="Arial" w:cs="Arial"/>
                <w:b/>
                <w:szCs w:val="24"/>
              </w:rPr>
              <w:t>October - December</w:t>
            </w:r>
            <w:r w:rsidR="004E08EF">
              <w:rPr>
                <w:rFonts w:ascii="Arial" w:hAnsi="Arial" w:cs="Arial"/>
                <w:b/>
                <w:szCs w:val="24"/>
              </w:rPr>
              <w:t xml:space="preserve"> 201</w:t>
            </w:r>
            <w:r w:rsidR="00FC1D3E">
              <w:rPr>
                <w:rFonts w:ascii="Arial" w:hAnsi="Arial" w:cs="Arial"/>
                <w:b/>
                <w:szCs w:val="24"/>
              </w:rPr>
              <w:t>6</w:t>
            </w:r>
          </w:p>
          <w:p w:rsidR="00CF0B36" w:rsidRPr="00952CCE" w:rsidRDefault="00CF0B36" w:rsidP="00474274">
            <w:pPr>
              <w:jc w:val="both"/>
              <w:rPr>
                <w:rFonts w:ascii="Arial" w:hAnsi="Arial" w:cs="Arial"/>
                <w:b/>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B677B7" w:rsidRDefault="00B677B7" w:rsidP="0045618C">
            <w:pPr>
              <w:jc w:val="both"/>
              <w:rPr>
                <w:rFonts w:ascii="Arial" w:hAnsi="Arial" w:cs="Arial"/>
                <w:szCs w:val="24"/>
              </w:rPr>
            </w:pPr>
          </w:p>
          <w:p w:rsidR="0045618C" w:rsidRDefault="00B677B7" w:rsidP="0045618C">
            <w:pPr>
              <w:jc w:val="both"/>
              <w:rPr>
                <w:rFonts w:ascii="Arial" w:hAnsi="Arial" w:cs="Arial"/>
                <w:color w:val="000000"/>
                <w:szCs w:val="24"/>
              </w:rPr>
            </w:pPr>
            <w:r>
              <w:rPr>
                <w:rFonts w:ascii="Arial" w:hAnsi="Arial" w:cs="Arial"/>
                <w:szCs w:val="24"/>
              </w:rPr>
              <w:t>T</w:t>
            </w:r>
            <w:r w:rsidR="0045618C" w:rsidRPr="003253D5">
              <w:rPr>
                <w:rFonts w:ascii="Arial" w:hAnsi="Arial" w:cs="Arial"/>
                <w:szCs w:val="24"/>
              </w:rPr>
              <w:t>he repo</w:t>
            </w:r>
            <w:r w:rsidR="00CF0B36">
              <w:rPr>
                <w:rFonts w:ascii="Arial" w:hAnsi="Arial" w:cs="Arial"/>
                <w:szCs w:val="24"/>
              </w:rPr>
              <w:t>r</w:t>
            </w:r>
            <w:r w:rsidR="0045618C" w:rsidRPr="003253D5">
              <w:rPr>
                <w:rFonts w:ascii="Arial" w:hAnsi="Arial" w:cs="Arial"/>
                <w:szCs w:val="24"/>
              </w:rPr>
              <w:t xml:space="preserve">t to Directors covering the last quarter gave a total establishment figure of </w:t>
            </w:r>
            <w:r w:rsidR="007C51AA" w:rsidRPr="005F2FBF">
              <w:rPr>
                <w:rFonts w:ascii="Arial" w:hAnsi="Arial" w:cs="Arial"/>
                <w:color w:val="000000" w:themeColor="text1"/>
                <w:szCs w:val="24"/>
              </w:rPr>
              <w:t>505.4</w:t>
            </w:r>
            <w:r w:rsidR="00324BD2">
              <w:rPr>
                <w:rFonts w:ascii="Arial" w:hAnsi="Arial" w:cs="Arial"/>
                <w:color w:val="000000" w:themeColor="text1"/>
                <w:szCs w:val="24"/>
              </w:rPr>
              <w:t>3</w:t>
            </w:r>
            <w:r w:rsidR="007C51AA" w:rsidRPr="005F2FBF">
              <w:rPr>
                <w:rFonts w:ascii="Arial" w:hAnsi="Arial" w:cs="Arial"/>
                <w:color w:val="000000" w:themeColor="text1"/>
                <w:szCs w:val="24"/>
              </w:rPr>
              <w:t xml:space="preserve"> </w:t>
            </w:r>
            <w:r w:rsidR="00F2342F" w:rsidRPr="005F2FBF">
              <w:rPr>
                <w:rFonts w:ascii="Arial" w:hAnsi="Arial" w:cs="Arial"/>
                <w:color w:val="000000" w:themeColor="text1"/>
                <w:szCs w:val="24"/>
              </w:rPr>
              <w:t>FTE (</w:t>
            </w:r>
            <w:r w:rsidR="007C51AA" w:rsidRPr="005F2FBF">
              <w:rPr>
                <w:rFonts w:ascii="Arial" w:hAnsi="Arial" w:cs="Arial"/>
                <w:color w:val="000000" w:themeColor="text1"/>
                <w:szCs w:val="24"/>
              </w:rPr>
              <w:t>599.6</w:t>
            </w:r>
            <w:r w:rsidR="00324BD2">
              <w:rPr>
                <w:rFonts w:ascii="Arial" w:hAnsi="Arial" w:cs="Arial"/>
                <w:color w:val="000000" w:themeColor="text1"/>
                <w:szCs w:val="24"/>
              </w:rPr>
              <w:t>4</w:t>
            </w:r>
            <w:r w:rsidR="007C51AA" w:rsidRPr="005F2FBF">
              <w:rPr>
                <w:rFonts w:ascii="Arial" w:hAnsi="Arial" w:cs="Arial"/>
                <w:color w:val="000000" w:themeColor="text1"/>
                <w:szCs w:val="24"/>
              </w:rPr>
              <w:t xml:space="preserve"> </w:t>
            </w:r>
            <w:r w:rsidR="00F2342F" w:rsidRPr="00B35E26">
              <w:rPr>
                <w:rFonts w:ascii="Arial" w:hAnsi="Arial" w:cs="Arial"/>
                <w:szCs w:val="24"/>
              </w:rPr>
              <w:t>FTE</w:t>
            </w:r>
            <w:r w:rsidR="00F2342F">
              <w:rPr>
                <w:rFonts w:ascii="Arial" w:hAnsi="Arial" w:cs="Arial"/>
                <w:szCs w:val="24"/>
              </w:rPr>
              <w:t xml:space="preserve"> inclusive of Inverness Leisure)</w:t>
            </w:r>
            <w:r w:rsidR="00F2342F" w:rsidRPr="00B35E26">
              <w:rPr>
                <w:rFonts w:ascii="Arial" w:hAnsi="Arial" w:cs="Arial"/>
                <w:szCs w:val="24"/>
              </w:rPr>
              <w:t>.</w:t>
            </w:r>
          </w:p>
          <w:p w:rsidR="0045618C" w:rsidRDefault="0045618C" w:rsidP="0045618C">
            <w:pPr>
              <w:jc w:val="both"/>
              <w:rPr>
                <w:rFonts w:ascii="Arial" w:hAnsi="Arial" w:cs="Arial"/>
                <w:color w:val="000000"/>
                <w:szCs w:val="24"/>
              </w:rPr>
            </w:pPr>
          </w:p>
          <w:p w:rsidR="00493EDC" w:rsidRPr="008A431C" w:rsidRDefault="0045618C" w:rsidP="0045618C">
            <w:pPr>
              <w:jc w:val="both"/>
              <w:rPr>
                <w:rFonts w:ascii="Arial" w:hAnsi="Arial" w:cs="Arial"/>
                <w:szCs w:val="24"/>
              </w:rPr>
            </w:pPr>
            <w:r w:rsidRPr="003253D5">
              <w:rPr>
                <w:rFonts w:ascii="Arial" w:hAnsi="Arial" w:cs="Arial"/>
                <w:szCs w:val="24"/>
              </w:rPr>
              <w:t xml:space="preserve">The change to the establishment </w:t>
            </w:r>
            <w:r>
              <w:rPr>
                <w:rFonts w:ascii="Arial" w:hAnsi="Arial" w:cs="Arial"/>
                <w:szCs w:val="24"/>
              </w:rPr>
              <w:t>during</w:t>
            </w:r>
            <w:r w:rsidRPr="003253D5">
              <w:rPr>
                <w:rFonts w:ascii="Arial" w:hAnsi="Arial" w:cs="Arial"/>
                <w:szCs w:val="24"/>
              </w:rPr>
              <w:t xml:space="preserve"> </w:t>
            </w:r>
            <w:r w:rsidR="00CF0B36">
              <w:rPr>
                <w:rFonts w:ascii="Arial" w:hAnsi="Arial" w:cs="Arial"/>
                <w:szCs w:val="24"/>
              </w:rPr>
              <w:t>q</w:t>
            </w:r>
            <w:r w:rsidRPr="003253D5">
              <w:rPr>
                <w:rFonts w:ascii="Arial" w:hAnsi="Arial" w:cs="Arial"/>
                <w:szCs w:val="24"/>
              </w:rPr>
              <w:t xml:space="preserve">uarter </w:t>
            </w:r>
            <w:r w:rsidR="004823C2">
              <w:rPr>
                <w:rFonts w:ascii="Arial" w:hAnsi="Arial" w:cs="Arial"/>
                <w:szCs w:val="24"/>
              </w:rPr>
              <w:t>3</w:t>
            </w:r>
            <w:r w:rsidRPr="003253D5">
              <w:rPr>
                <w:rFonts w:ascii="Arial" w:hAnsi="Arial" w:cs="Arial"/>
                <w:szCs w:val="24"/>
              </w:rPr>
              <w:t> (</w:t>
            </w:r>
            <w:r w:rsidR="004823C2">
              <w:rPr>
                <w:rFonts w:ascii="Arial" w:hAnsi="Arial" w:cs="Arial"/>
                <w:szCs w:val="24"/>
              </w:rPr>
              <w:t>October to December</w:t>
            </w:r>
            <w:r w:rsidR="00347734">
              <w:rPr>
                <w:rFonts w:ascii="Arial" w:hAnsi="Arial" w:cs="Arial"/>
                <w:szCs w:val="24"/>
              </w:rPr>
              <w:t xml:space="preserve"> 2016</w:t>
            </w:r>
            <w:r w:rsidRPr="003253D5">
              <w:rPr>
                <w:rFonts w:ascii="Arial" w:hAnsi="Arial" w:cs="Arial"/>
                <w:szCs w:val="24"/>
              </w:rPr>
              <w:t xml:space="preserve">) has been an </w:t>
            </w:r>
            <w:r w:rsidRPr="00B35E26">
              <w:rPr>
                <w:rFonts w:ascii="Arial" w:hAnsi="Arial" w:cs="Arial"/>
                <w:szCs w:val="24"/>
              </w:rPr>
              <w:t xml:space="preserve">overall </w:t>
            </w:r>
            <w:r w:rsidRPr="00891BE6">
              <w:rPr>
                <w:rFonts w:ascii="Arial" w:hAnsi="Arial" w:cs="Arial"/>
                <w:szCs w:val="24"/>
              </w:rPr>
              <w:t xml:space="preserve">increase of </w:t>
            </w:r>
            <w:r w:rsidR="00324BD2">
              <w:rPr>
                <w:rFonts w:ascii="Arial" w:hAnsi="Arial" w:cs="Arial"/>
                <w:szCs w:val="24"/>
              </w:rPr>
              <w:t>1.07</w:t>
            </w:r>
            <w:r w:rsidR="00891BE6" w:rsidRPr="00891BE6">
              <w:rPr>
                <w:rFonts w:ascii="Arial" w:hAnsi="Arial" w:cs="Arial"/>
                <w:szCs w:val="24"/>
              </w:rPr>
              <w:t xml:space="preserve"> </w:t>
            </w:r>
            <w:r>
              <w:rPr>
                <w:rFonts w:ascii="Arial" w:hAnsi="Arial" w:cs="Arial"/>
                <w:szCs w:val="24"/>
              </w:rPr>
              <w:t xml:space="preserve">FTE.  </w:t>
            </w:r>
          </w:p>
          <w:p w:rsidR="00CE7C25" w:rsidRDefault="00CE7C25" w:rsidP="00474274">
            <w:pPr>
              <w:jc w:val="both"/>
              <w:rPr>
                <w:rFonts w:ascii="Arial" w:hAnsi="Arial" w:cs="Arial"/>
                <w:szCs w:val="24"/>
              </w:rPr>
            </w:pPr>
          </w:p>
          <w:p w:rsidR="00EB524F" w:rsidRDefault="00EB524F" w:rsidP="00474274">
            <w:pPr>
              <w:jc w:val="both"/>
              <w:rPr>
                <w:rFonts w:ascii="Arial" w:hAnsi="Arial" w:cs="Arial"/>
                <w:szCs w:val="24"/>
              </w:rPr>
            </w:pPr>
          </w:p>
          <w:p w:rsidR="0070412A" w:rsidRDefault="00463BDA" w:rsidP="00474274">
            <w:pPr>
              <w:jc w:val="both"/>
              <w:rPr>
                <w:rFonts w:ascii="Arial" w:hAnsi="Arial" w:cs="Arial"/>
                <w:szCs w:val="24"/>
              </w:rPr>
            </w:pPr>
            <w:r>
              <w:rPr>
                <w:rFonts w:ascii="Arial" w:hAnsi="Arial" w:cs="Arial"/>
                <w:szCs w:val="24"/>
              </w:rPr>
              <w:lastRenderedPageBreak/>
              <w:t>T</w:t>
            </w:r>
            <w:r w:rsidR="00493EDC">
              <w:rPr>
                <w:rFonts w:ascii="Arial" w:hAnsi="Arial" w:cs="Arial"/>
                <w:szCs w:val="24"/>
              </w:rPr>
              <w:t xml:space="preserve">he changes over quarter </w:t>
            </w:r>
            <w:r w:rsidR="004823C2">
              <w:rPr>
                <w:rFonts w:ascii="Arial" w:hAnsi="Arial" w:cs="Arial"/>
                <w:szCs w:val="24"/>
              </w:rPr>
              <w:t>3</w:t>
            </w:r>
            <w:r w:rsidR="0045618C">
              <w:rPr>
                <w:rFonts w:ascii="Arial" w:hAnsi="Arial" w:cs="Arial"/>
                <w:szCs w:val="24"/>
              </w:rPr>
              <w:t xml:space="preserve"> </w:t>
            </w:r>
            <w:r w:rsidR="0045618C" w:rsidRPr="00B35E26">
              <w:rPr>
                <w:rFonts w:ascii="Arial" w:hAnsi="Arial" w:cs="Arial"/>
                <w:szCs w:val="24"/>
              </w:rPr>
              <w:t>can be summarised as:-</w:t>
            </w:r>
          </w:p>
          <w:p w:rsidR="00493EDC" w:rsidRPr="007214D1" w:rsidRDefault="00493EDC" w:rsidP="00474274">
            <w:pPr>
              <w:jc w:val="both"/>
              <w:rPr>
                <w:rFonts w:ascii="Arial" w:hAnsi="Arial" w:cs="Arial"/>
                <w:szCs w:val="24"/>
              </w:rPr>
            </w:pPr>
          </w:p>
        </w:tc>
      </w:tr>
      <w:tr w:rsidR="006F5801" w:rsidRPr="007214D1" w:rsidTr="00460F18">
        <w:trPr>
          <w:trHeight w:val="589"/>
        </w:trPr>
        <w:tc>
          <w:tcPr>
            <w:tcW w:w="817" w:type="dxa"/>
          </w:tcPr>
          <w:p w:rsidR="0084209E" w:rsidRPr="007214D1" w:rsidRDefault="00DD7EFF" w:rsidP="00493EDC">
            <w:pPr>
              <w:rPr>
                <w:rFonts w:ascii="Arial" w:hAnsi="Arial" w:cs="Arial"/>
                <w:szCs w:val="24"/>
              </w:rPr>
            </w:pPr>
            <w:r>
              <w:rPr>
                <w:rFonts w:ascii="Arial" w:hAnsi="Arial" w:cs="Arial"/>
                <w:szCs w:val="24"/>
              </w:rPr>
              <w:lastRenderedPageBreak/>
              <w:t>3.1.4</w:t>
            </w:r>
          </w:p>
        </w:tc>
        <w:tc>
          <w:tcPr>
            <w:tcW w:w="8647" w:type="dxa"/>
          </w:tcPr>
          <w:tbl>
            <w:tblPr>
              <w:tblW w:w="18509" w:type="dxa"/>
              <w:tblLayout w:type="fixed"/>
              <w:tblLook w:val="04A0" w:firstRow="1" w:lastRow="0" w:firstColumn="1" w:lastColumn="0" w:noHBand="0" w:noVBand="1"/>
            </w:tblPr>
            <w:tblGrid>
              <w:gridCol w:w="6129"/>
              <w:gridCol w:w="2116"/>
              <w:gridCol w:w="1480"/>
              <w:gridCol w:w="4076"/>
              <w:gridCol w:w="1436"/>
              <w:gridCol w:w="1156"/>
              <w:gridCol w:w="2116"/>
            </w:tblGrid>
            <w:tr w:rsidR="006E3CFD" w:rsidRPr="006E3CFD" w:rsidTr="006E3CFD">
              <w:trPr>
                <w:gridAfter w:val="5"/>
                <w:wAfter w:w="10264" w:type="dxa"/>
                <w:trHeight w:val="600"/>
              </w:trPr>
              <w:tc>
                <w:tcPr>
                  <w:tcW w:w="6129" w:type="dxa"/>
                  <w:tcBorders>
                    <w:top w:val="nil"/>
                    <w:left w:val="nil"/>
                    <w:bottom w:val="nil"/>
                    <w:right w:val="nil"/>
                  </w:tcBorders>
                  <w:shd w:val="clear" w:color="auto" w:fill="auto"/>
                  <w:noWrap/>
                  <w:vAlign w:val="center"/>
                  <w:hideMark/>
                </w:tcPr>
                <w:p w:rsidR="006E3CFD" w:rsidRPr="006E3CFD" w:rsidRDefault="006E3CFD" w:rsidP="00EB524F">
                  <w:pPr>
                    <w:rPr>
                      <w:rFonts w:ascii="Arial" w:hAnsi="Arial" w:cs="Arial"/>
                      <w:color w:val="000000"/>
                      <w:szCs w:val="24"/>
                    </w:rPr>
                  </w:pPr>
                  <w:r w:rsidRPr="006E3CFD">
                    <w:rPr>
                      <w:rFonts w:ascii="Arial" w:hAnsi="Arial" w:cs="Arial"/>
                      <w:color w:val="000000"/>
                      <w:szCs w:val="24"/>
                    </w:rPr>
                    <w:t>Assistant Youth Worker (Library Volunteer Development</w:t>
                  </w:r>
                  <w:r w:rsidR="00C46B5F">
                    <w:rPr>
                      <w:rFonts w:ascii="Arial" w:hAnsi="Arial" w:cs="Arial"/>
                      <w:color w:val="000000"/>
                      <w:szCs w:val="24"/>
                    </w:rPr>
                    <w:t>)</w:t>
                  </w:r>
                  <w:r w:rsidR="00CE7C25">
                    <w:rPr>
                      <w:rFonts w:ascii="Arial" w:hAnsi="Arial" w:cs="Arial"/>
                      <w:color w:val="000000"/>
                      <w:szCs w:val="24"/>
                    </w:rPr>
                    <w:t xml:space="preserve"> (</w:t>
                  </w:r>
                  <w:r w:rsidR="00EB524F">
                    <w:rPr>
                      <w:rFonts w:ascii="Arial" w:hAnsi="Arial" w:cs="Arial"/>
                      <w:color w:val="000000"/>
                      <w:szCs w:val="24"/>
                    </w:rPr>
                    <w:t xml:space="preserve">Fully funded temporary </w:t>
                  </w:r>
                  <w:r w:rsidR="00CE7C25">
                    <w:rPr>
                      <w:rFonts w:ascii="Arial" w:hAnsi="Arial" w:cs="Arial"/>
                      <w:color w:val="000000"/>
                      <w:szCs w:val="24"/>
                    </w:rPr>
                    <w:t>1 year post)</w:t>
                  </w:r>
                </w:p>
              </w:tc>
              <w:tc>
                <w:tcPr>
                  <w:tcW w:w="2116" w:type="dxa"/>
                  <w:tcBorders>
                    <w:top w:val="nil"/>
                    <w:left w:val="nil"/>
                    <w:bottom w:val="nil"/>
                    <w:right w:val="nil"/>
                  </w:tcBorders>
                  <w:shd w:val="clear" w:color="auto" w:fill="auto"/>
                  <w:noWrap/>
                  <w:vAlign w:val="center"/>
                  <w:hideMark/>
                </w:tcPr>
                <w:p w:rsidR="006E3CFD" w:rsidRPr="006E3CFD" w:rsidRDefault="00C46B5F" w:rsidP="006E3CFD">
                  <w:pPr>
                    <w:jc w:val="center"/>
                    <w:rPr>
                      <w:rFonts w:ascii="Arial" w:hAnsi="Arial" w:cs="Arial"/>
                      <w:color w:val="000000"/>
                      <w:szCs w:val="24"/>
                    </w:rPr>
                  </w:pPr>
                  <w:r>
                    <w:rPr>
                      <w:rFonts w:ascii="Arial" w:hAnsi="Arial" w:cs="Arial"/>
                      <w:color w:val="000000"/>
                      <w:szCs w:val="24"/>
                    </w:rPr>
                    <w:t xml:space="preserve"> </w:t>
                  </w:r>
                  <w:r w:rsidR="006E3CFD" w:rsidRPr="006E3CFD">
                    <w:rPr>
                      <w:rFonts w:ascii="Arial" w:hAnsi="Arial" w:cs="Arial"/>
                      <w:color w:val="000000"/>
                      <w:szCs w:val="24"/>
                    </w:rPr>
                    <w:t>0.5</w:t>
                  </w:r>
                </w:p>
              </w:tc>
            </w:tr>
            <w:tr w:rsidR="006E3CFD" w:rsidRPr="006E3CFD" w:rsidTr="006E3CFD">
              <w:trPr>
                <w:gridAfter w:val="5"/>
                <w:wAfter w:w="10264" w:type="dxa"/>
                <w:trHeight w:val="300"/>
              </w:trPr>
              <w:tc>
                <w:tcPr>
                  <w:tcW w:w="6129" w:type="dxa"/>
                  <w:tcBorders>
                    <w:top w:val="nil"/>
                    <w:left w:val="nil"/>
                    <w:bottom w:val="nil"/>
                    <w:right w:val="nil"/>
                  </w:tcBorders>
                  <w:shd w:val="clear" w:color="auto" w:fill="auto"/>
                  <w:noWrap/>
                  <w:vAlign w:val="center"/>
                  <w:hideMark/>
                </w:tcPr>
                <w:p w:rsidR="006E3CFD" w:rsidRPr="006E3CFD" w:rsidRDefault="006E3CFD" w:rsidP="006E3CFD">
                  <w:pPr>
                    <w:rPr>
                      <w:rFonts w:ascii="Arial" w:hAnsi="Arial" w:cs="Arial"/>
                      <w:color w:val="000000"/>
                      <w:szCs w:val="24"/>
                    </w:rPr>
                  </w:pPr>
                  <w:r w:rsidRPr="006E3CFD">
                    <w:rPr>
                      <w:rFonts w:ascii="Arial" w:hAnsi="Arial" w:cs="Arial"/>
                      <w:color w:val="000000"/>
                      <w:szCs w:val="24"/>
                    </w:rPr>
                    <w:t>Network Librarian</w:t>
                  </w:r>
                  <w:r>
                    <w:rPr>
                      <w:rFonts w:ascii="Arial" w:hAnsi="Arial" w:cs="Arial"/>
                      <w:color w:val="000000"/>
                      <w:szCs w:val="24"/>
                    </w:rPr>
                    <w:t xml:space="preserve">, </w:t>
                  </w:r>
                  <w:r w:rsidRPr="006E3CFD">
                    <w:rPr>
                      <w:rFonts w:ascii="Arial" w:hAnsi="Arial" w:cs="Arial"/>
                      <w:color w:val="000000"/>
                      <w:szCs w:val="24"/>
                    </w:rPr>
                    <w:t>Gairloch Library</w:t>
                  </w:r>
                </w:p>
              </w:tc>
              <w:tc>
                <w:tcPr>
                  <w:tcW w:w="2116" w:type="dxa"/>
                  <w:tcBorders>
                    <w:top w:val="nil"/>
                    <w:left w:val="nil"/>
                    <w:bottom w:val="nil"/>
                    <w:right w:val="nil"/>
                  </w:tcBorders>
                  <w:shd w:val="clear" w:color="auto" w:fill="auto"/>
                  <w:noWrap/>
                  <w:vAlign w:val="center"/>
                  <w:hideMark/>
                </w:tcPr>
                <w:p w:rsidR="006E3CFD" w:rsidRPr="006E3CFD" w:rsidRDefault="006E3CFD" w:rsidP="006E3CFD">
                  <w:pPr>
                    <w:jc w:val="center"/>
                    <w:rPr>
                      <w:rFonts w:ascii="Arial" w:hAnsi="Arial" w:cs="Arial"/>
                      <w:color w:val="000000"/>
                      <w:szCs w:val="24"/>
                    </w:rPr>
                  </w:pPr>
                  <w:r w:rsidRPr="006E3CFD">
                    <w:rPr>
                      <w:rFonts w:ascii="Arial" w:hAnsi="Arial" w:cs="Arial"/>
                      <w:color w:val="000000"/>
                      <w:szCs w:val="24"/>
                    </w:rPr>
                    <w:t>-0.5</w:t>
                  </w:r>
                </w:p>
              </w:tc>
            </w:tr>
            <w:tr w:rsidR="006E3CFD" w:rsidRPr="006E3CFD" w:rsidTr="006E3CFD">
              <w:trPr>
                <w:gridAfter w:val="5"/>
                <w:wAfter w:w="10264" w:type="dxa"/>
                <w:trHeight w:val="300"/>
              </w:trPr>
              <w:tc>
                <w:tcPr>
                  <w:tcW w:w="6129" w:type="dxa"/>
                  <w:tcBorders>
                    <w:top w:val="nil"/>
                    <w:left w:val="nil"/>
                    <w:bottom w:val="nil"/>
                    <w:right w:val="nil"/>
                  </w:tcBorders>
                  <w:shd w:val="clear" w:color="auto" w:fill="auto"/>
                  <w:noWrap/>
                  <w:vAlign w:val="center"/>
                  <w:hideMark/>
                </w:tcPr>
                <w:p w:rsidR="006E3CFD" w:rsidRPr="006E3CFD" w:rsidRDefault="006E3CFD" w:rsidP="00CE7C25">
                  <w:pPr>
                    <w:rPr>
                      <w:rFonts w:ascii="Arial" w:hAnsi="Arial" w:cs="Arial"/>
                      <w:color w:val="000000"/>
                      <w:szCs w:val="24"/>
                    </w:rPr>
                  </w:pPr>
                  <w:r w:rsidRPr="006E3CFD">
                    <w:rPr>
                      <w:rFonts w:ascii="Arial" w:hAnsi="Arial" w:cs="Arial"/>
                      <w:color w:val="000000"/>
                      <w:szCs w:val="24"/>
                    </w:rPr>
                    <w:t>Library Assistant</w:t>
                  </w:r>
                  <w:r>
                    <w:rPr>
                      <w:rFonts w:ascii="Arial" w:hAnsi="Arial" w:cs="Arial"/>
                      <w:color w:val="000000"/>
                      <w:szCs w:val="24"/>
                    </w:rPr>
                    <w:t>,</w:t>
                  </w:r>
                  <w:r w:rsidRPr="006E3CFD">
                    <w:rPr>
                      <w:rFonts w:ascii="Arial" w:hAnsi="Arial" w:cs="Arial"/>
                      <w:color w:val="000000"/>
                      <w:szCs w:val="24"/>
                    </w:rPr>
                    <w:t xml:space="preserve"> Gairloch Library</w:t>
                  </w:r>
                </w:p>
              </w:tc>
              <w:tc>
                <w:tcPr>
                  <w:tcW w:w="2116" w:type="dxa"/>
                  <w:tcBorders>
                    <w:top w:val="nil"/>
                    <w:left w:val="nil"/>
                    <w:bottom w:val="nil"/>
                    <w:right w:val="nil"/>
                  </w:tcBorders>
                  <w:shd w:val="clear" w:color="auto" w:fill="auto"/>
                  <w:noWrap/>
                  <w:vAlign w:val="center"/>
                  <w:hideMark/>
                </w:tcPr>
                <w:p w:rsidR="006E3CFD" w:rsidRPr="006E3CFD" w:rsidRDefault="00C46B5F" w:rsidP="006E3CFD">
                  <w:pPr>
                    <w:jc w:val="center"/>
                    <w:rPr>
                      <w:rFonts w:ascii="Arial" w:hAnsi="Arial" w:cs="Arial"/>
                      <w:color w:val="000000"/>
                      <w:szCs w:val="24"/>
                    </w:rPr>
                  </w:pPr>
                  <w:r>
                    <w:rPr>
                      <w:rFonts w:ascii="Arial" w:hAnsi="Arial" w:cs="Arial"/>
                      <w:color w:val="000000"/>
                      <w:szCs w:val="24"/>
                    </w:rPr>
                    <w:t xml:space="preserve"> </w:t>
                  </w:r>
                  <w:r w:rsidR="006E3CFD" w:rsidRPr="006E3CFD">
                    <w:rPr>
                      <w:rFonts w:ascii="Arial" w:hAnsi="Arial" w:cs="Arial"/>
                      <w:color w:val="000000"/>
                      <w:szCs w:val="24"/>
                    </w:rPr>
                    <w:t>-0.22</w:t>
                  </w:r>
                </w:p>
              </w:tc>
            </w:tr>
            <w:tr w:rsidR="006E3CFD" w:rsidRPr="006E3CFD" w:rsidTr="006E3CFD">
              <w:trPr>
                <w:gridAfter w:val="5"/>
                <w:wAfter w:w="10264" w:type="dxa"/>
                <w:trHeight w:val="300"/>
              </w:trPr>
              <w:tc>
                <w:tcPr>
                  <w:tcW w:w="6129" w:type="dxa"/>
                  <w:tcBorders>
                    <w:top w:val="nil"/>
                    <w:left w:val="nil"/>
                    <w:bottom w:val="nil"/>
                    <w:right w:val="nil"/>
                  </w:tcBorders>
                  <w:shd w:val="clear" w:color="auto" w:fill="auto"/>
                  <w:noWrap/>
                  <w:vAlign w:val="center"/>
                  <w:hideMark/>
                </w:tcPr>
                <w:p w:rsidR="006E3CFD" w:rsidRPr="006E3CFD" w:rsidRDefault="006E3CFD" w:rsidP="006E3CFD">
                  <w:pPr>
                    <w:rPr>
                      <w:rFonts w:ascii="Arial" w:hAnsi="Arial" w:cs="Arial"/>
                      <w:color w:val="000000"/>
                      <w:szCs w:val="24"/>
                    </w:rPr>
                  </w:pPr>
                  <w:r w:rsidRPr="006E3CFD">
                    <w:rPr>
                      <w:rFonts w:ascii="Arial" w:hAnsi="Arial" w:cs="Arial"/>
                      <w:color w:val="000000"/>
                      <w:szCs w:val="24"/>
                    </w:rPr>
                    <w:t>Library Assistant (PT/term time only)</w:t>
                  </w:r>
                  <w:r>
                    <w:rPr>
                      <w:rFonts w:ascii="Arial" w:hAnsi="Arial" w:cs="Arial"/>
                      <w:color w:val="000000"/>
                      <w:szCs w:val="24"/>
                    </w:rPr>
                    <w:t>, Gairloch Library</w:t>
                  </w:r>
                </w:p>
              </w:tc>
              <w:tc>
                <w:tcPr>
                  <w:tcW w:w="2116" w:type="dxa"/>
                  <w:tcBorders>
                    <w:top w:val="nil"/>
                    <w:left w:val="nil"/>
                    <w:bottom w:val="nil"/>
                    <w:right w:val="nil"/>
                  </w:tcBorders>
                  <w:shd w:val="clear" w:color="auto" w:fill="auto"/>
                  <w:noWrap/>
                  <w:vAlign w:val="center"/>
                  <w:hideMark/>
                </w:tcPr>
                <w:p w:rsidR="006E3CFD" w:rsidRPr="006E3CFD" w:rsidRDefault="00324BD2" w:rsidP="00324BD2">
                  <w:pPr>
                    <w:jc w:val="center"/>
                    <w:rPr>
                      <w:rFonts w:ascii="Arial" w:hAnsi="Arial" w:cs="Arial"/>
                      <w:color w:val="000000"/>
                      <w:szCs w:val="24"/>
                    </w:rPr>
                  </w:pPr>
                  <w:r>
                    <w:rPr>
                      <w:rFonts w:ascii="Arial" w:hAnsi="Arial" w:cs="Arial"/>
                      <w:color w:val="000000"/>
                      <w:szCs w:val="24"/>
                    </w:rPr>
                    <w:t xml:space="preserve">  </w:t>
                  </w:r>
                  <w:r w:rsidR="006E3CFD" w:rsidRPr="006E3CFD">
                    <w:rPr>
                      <w:rFonts w:ascii="Arial" w:hAnsi="Arial" w:cs="Arial"/>
                      <w:color w:val="000000"/>
                      <w:szCs w:val="24"/>
                    </w:rPr>
                    <w:t>0.4</w:t>
                  </w:r>
                  <w:r>
                    <w:rPr>
                      <w:rFonts w:ascii="Arial" w:hAnsi="Arial" w:cs="Arial"/>
                      <w:color w:val="000000"/>
                      <w:szCs w:val="24"/>
                    </w:rPr>
                    <w:t>9</w:t>
                  </w:r>
                </w:p>
              </w:tc>
            </w:tr>
            <w:tr w:rsidR="006E3CFD" w:rsidRPr="006E3CFD" w:rsidTr="006E3CFD">
              <w:trPr>
                <w:gridAfter w:val="5"/>
                <w:wAfter w:w="10264" w:type="dxa"/>
                <w:trHeight w:val="300"/>
              </w:trPr>
              <w:tc>
                <w:tcPr>
                  <w:tcW w:w="6129" w:type="dxa"/>
                  <w:tcBorders>
                    <w:top w:val="nil"/>
                    <w:left w:val="nil"/>
                    <w:bottom w:val="nil"/>
                    <w:right w:val="nil"/>
                  </w:tcBorders>
                  <w:shd w:val="clear" w:color="auto" w:fill="auto"/>
                  <w:noWrap/>
                  <w:vAlign w:val="center"/>
                  <w:hideMark/>
                </w:tcPr>
                <w:p w:rsidR="006E3CFD" w:rsidRPr="006E3CFD" w:rsidRDefault="006E3CFD" w:rsidP="00CE7C25">
                  <w:pPr>
                    <w:rPr>
                      <w:rFonts w:ascii="Arial" w:hAnsi="Arial" w:cs="Arial"/>
                      <w:color w:val="000000"/>
                      <w:szCs w:val="24"/>
                    </w:rPr>
                  </w:pPr>
                  <w:r w:rsidRPr="006E3CFD">
                    <w:rPr>
                      <w:rFonts w:ascii="Arial" w:hAnsi="Arial" w:cs="Arial"/>
                      <w:color w:val="000000"/>
                      <w:szCs w:val="24"/>
                    </w:rPr>
                    <w:t>Community Learning and Development Support Officer</w:t>
                  </w:r>
                  <w:r w:rsidR="00CE7C25">
                    <w:rPr>
                      <w:rFonts w:ascii="Arial" w:hAnsi="Arial" w:cs="Arial"/>
                      <w:color w:val="000000"/>
                      <w:szCs w:val="24"/>
                    </w:rPr>
                    <w:t xml:space="preserve"> </w:t>
                  </w:r>
                  <w:r w:rsidR="00EB524F">
                    <w:rPr>
                      <w:rFonts w:ascii="Arial" w:hAnsi="Arial" w:cs="Arial"/>
                      <w:color w:val="000000"/>
                      <w:szCs w:val="24"/>
                    </w:rPr>
                    <w:t>(fully funded)</w:t>
                  </w:r>
                </w:p>
              </w:tc>
              <w:tc>
                <w:tcPr>
                  <w:tcW w:w="2116" w:type="dxa"/>
                  <w:tcBorders>
                    <w:top w:val="nil"/>
                    <w:left w:val="nil"/>
                    <w:bottom w:val="nil"/>
                    <w:right w:val="nil"/>
                  </w:tcBorders>
                  <w:shd w:val="clear" w:color="auto" w:fill="auto"/>
                  <w:noWrap/>
                  <w:vAlign w:val="center"/>
                  <w:hideMark/>
                </w:tcPr>
                <w:p w:rsidR="006E3CFD" w:rsidRPr="006E3CFD" w:rsidRDefault="006E3CFD" w:rsidP="006E3CFD">
                  <w:pPr>
                    <w:jc w:val="center"/>
                    <w:rPr>
                      <w:rFonts w:ascii="Arial" w:hAnsi="Arial" w:cs="Arial"/>
                      <w:color w:val="000000"/>
                      <w:szCs w:val="24"/>
                    </w:rPr>
                  </w:pPr>
                  <w:r w:rsidRPr="006E3CFD">
                    <w:rPr>
                      <w:rFonts w:ascii="Arial" w:hAnsi="Arial" w:cs="Arial"/>
                      <w:color w:val="000000"/>
                      <w:szCs w:val="24"/>
                    </w:rPr>
                    <w:t>0.8</w:t>
                  </w:r>
                </w:p>
              </w:tc>
            </w:tr>
            <w:tr w:rsidR="006E3CFD" w:rsidRPr="006E3CFD" w:rsidTr="006E3CFD">
              <w:trPr>
                <w:trHeight w:val="312"/>
              </w:trPr>
              <w:tc>
                <w:tcPr>
                  <w:tcW w:w="6129" w:type="dxa"/>
                  <w:tcBorders>
                    <w:top w:val="nil"/>
                    <w:left w:val="nil"/>
                    <w:bottom w:val="nil"/>
                    <w:right w:val="nil"/>
                  </w:tcBorders>
                  <w:shd w:val="clear" w:color="auto" w:fill="auto"/>
                  <w:noWrap/>
                  <w:vAlign w:val="center"/>
                  <w:hideMark/>
                </w:tcPr>
                <w:p w:rsidR="006E3CFD" w:rsidRPr="006E3CFD" w:rsidRDefault="00C46B5F" w:rsidP="006E3CFD">
                  <w:pPr>
                    <w:rPr>
                      <w:rFonts w:ascii="Arial" w:hAnsi="Arial" w:cs="Arial"/>
                      <w:b/>
                      <w:color w:val="000000"/>
                      <w:szCs w:val="24"/>
                    </w:rPr>
                  </w:pPr>
                  <w:r w:rsidRPr="00C46B5F">
                    <w:rPr>
                      <w:rFonts w:ascii="Arial" w:hAnsi="Arial" w:cs="Arial"/>
                      <w:b/>
                      <w:color w:val="000000"/>
                      <w:szCs w:val="24"/>
                    </w:rPr>
                    <w:t>Total Change over quarter 3</w:t>
                  </w:r>
                </w:p>
              </w:tc>
              <w:tc>
                <w:tcPr>
                  <w:tcW w:w="3596" w:type="dxa"/>
                  <w:gridSpan w:val="2"/>
                  <w:tcBorders>
                    <w:top w:val="nil"/>
                    <w:left w:val="nil"/>
                    <w:bottom w:val="nil"/>
                    <w:right w:val="nil"/>
                  </w:tcBorders>
                  <w:shd w:val="clear" w:color="auto" w:fill="auto"/>
                  <w:noWrap/>
                  <w:vAlign w:val="center"/>
                  <w:hideMark/>
                </w:tcPr>
                <w:p w:rsidR="006E3CFD" w:rsidRPr="006E3CFD" w:rsidRDefault="00C46B5F" w:rsidP="00324BD2">
                  <w:pPr>
                    <w:rPr>
                      <w:rFonts w:ascii="Arial" w:hAnsi="Arial" w:cs="Arial"/>
                      <w:b/>
                      <w:color w:val="000000"/>
                      <w:szCs w:val="24"/>
                    </w:rPr>
                  </w:pPr>
                  <w:r w:rsidRPr="00C46B5F">
                    <w:rPr>
                      <w:rFonts w:ascii="Arial" w:hAnsi="Arial" w:cs="Arial"/>
                      <w:b/>
                      <w:color w:val="000000"/>
                      <w:szCs w:val="24"/>
                    </w:rPr>
                    <w:t xml:space="preserve">            1.0</w:t>
                  </w:r>
                  <w:r w:rsidR="00324BD2">
                    <w:rPr>
                      <w:rFonts w:ascii="Arial" w:hAnsi="Arial" w:cs="Arial"/>
                      <w:b/>
                      <w:color w:val="000000"/>
                      <w:szCs w:val="24"/>
                    </w:rPr>
                    <w:t>7</w:t>
                  </w:r>
                </w:p>
              </w:tc>
              <w:tc>
                <w:tcPr>
                  <w:tcW w:w="4076" w:type="dxa"/>
                  <w:tcBorders>
                    <w:top w:val="nil"/>
                    <w:left w:val="nil"/>
                    <w:bottom w:val="nil"/>
                    <w:right w:val="nil"/>
                  </w:tcBorders>
                  <w:shd w:val="clear" w:color="auto" w:fill="auto"/>
                  <w:noWrap/>
                  <w:vAlign w:val="center"/>
                  <w:hideMark/>
                </w:tcPr>
                <w:p w:rsidR="006E3CFD" w:rsidRPr="006E3CFD" w:rsidRDefault="006E3CFD" w:rsidP="006E3CFD">
                  <w:pPr>
                    <w:rPr>
                      <w:rFonts w:ascii="Arial" w:hAnsi="Arial" w:cs="Arial"/>
                      <w:color w:val="000000"/>
                      <w:szCs w:val="24"/>
                    </w:rPr>
                  </w:pPr>
                </w:p>
              </w:tc>
              <w:tc>
                <w:tcPr>
                  <w:tcW w:w="1436" w:type="dxa"/>
                  <w:tcBorders>
                    <w:top w:val="nil"/>
                    <w:left w:val="nil"/>
                    <w:bottom w:val="nil"/>
                    <w:right w:val="nil"/>
                  </w:tcBorders>
                  <w:shd w:val="clear" w:color="000000" w:fill="EEECE1"/>
                  <w:noWrap/>
                  <w:vAlign w:val="center"/>
                  <w:hideMark/>
                </w:tcPr>
                <w:p w:rsidR="006E3CFD" w:rsidRPr="006E3CFD" w:rsidRDefault="006E3CFD" w:rsidP="006E3CFD">
                  <w:pPr>
                    <w:rPr>
                      <w:rFonts w:ascii="Arial" w:hAnsi="Arial" w:cs="Arial"/>
                      <w:color w:val="000000"/>
                      <w:szCs w:val="24"/>
                    </w:rPr>
                  </w:pPr>
                  <w:r w:rsidRPr="006E3CFD">
                    <w:rPr>
                      <w:rFonts w:ascii="Arial" w:hAnsi="Arial" w:cs="Arial"/>
                      <w:color w:val="000000"/>
                      <w:szCs w:val="24"/>
                    </w:rPr>
                    <w:t> </w:t>
                  </w:r>
                </w:p>
              </w:tc>
              <w:tc>
                <w:tcPr>
                  <w:tcW w:w="1156" w:type="dxa"/>
                  <w:tcBorders>
                    <w:top w:val="nil"/>
                    <w:left w:val="nil"/>
                    <w:bottom w:val="nil"/>
                    <w:right w:val="nil"/>
                  </w:tcBorders>
                  <w:shd w:val="clear" w:color="auto" w:fill="auto"/>
                  <w:noWrap/>
                  <w:vAlign w:val="center"/>
                  <w:hideMark/>
                </w:tcPr>
                <w:p w:rsidR="006E3CFD" w:rsidRPr="006E3CFD" w:rsidRDefault="006E3CFD" w:rsidP="006E3CFD">
                  <w:pPr>
                    <w:jc w:val="center"/>
                    <w:rPr>
                      <w:rFonts w:ascii="Arial" w:hAnsi="Arial" w:cs="Arial"/>
                      <w:color w:val="000000"/>
                      <w:szCs w:val="24"/>
                    </w:rPr>
                  </w:pPr>
                </w:p>
              </w:tc>
              <w:tc>
                <w:tcPr>
                  <w:tcW w:w="2116" w:type="dxa"/>
                  <w:tcBorders>
                    <w:top w:val="nil"/>
                    <w:left w:val="nil"/>
                    <w:bottom w:val="nil"/>
                    <w:right w:val="nil"/>
                  </w:tcBorders>
                  <w:shd w:val="clear" w:color="auto" w:fill="auto"/>
                  <w:noWrap/>
                  <w:vAlign w:val="center"/>
                  <w:hideMark/>
                </w:tcPr>
                <w:p w:rsidR="006E3CFD" w:rsidRPr="006E3CFD" w:rsidRDefault="006E3CFD" w:rsidP="006E3CFD">
                  <w:pPr>
                    <w:jc w:val="center"/>
                    <w:rPr>
                      <w:rFonts w:ascii="Arial" w:hAnsi="Arial" w:cs="Arial"/>
                      <w:b/>
                      <w:bCs/>
                      <w:color w:val="000000"/>
                      <w:szCs w:val="24"/>
                    </w:rPr>
                  </w:pPr>
                  <w:r w:rsidRPr="006E3CFD">
                    <w:rPr>
                      <w:rFonts w:ascii="Arial" w:hAnsi="Arial" w:cs="Arial"/>
                      <w:b/>
                      <w:bCs/>
                      <w:color w:val="000000"/>
                      <w:szCs w:val="24"/>
                    </w:rPr>
                    <w:t>2.065</w:t>
                  </w:r>
                </w:p>
              </w:tc>
            </w:tr>
          </w:tbl>
          <w:tbl>
            <w:tblPr>
              <w:tblStyle w:val="TableGrid1"/>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709"/>
            </w:tblGrid>
            <w:tr w:rsidR="006E3CFD" w:rsidRPr="004823C2" w:rsidTr="00C46B5F">
              <w:trPr>
                <w:trHeight w:val="315"/>
              </w:trPr>
              <w:tc>
                <w:tcPr>
                  <w:tcW w:w="7830" w:type="dxa"/>
                  <w:noWrap/>
                </w:tcPr>
                <w:p w:rsidR="006E3CFD" w:rsidRPr="004823C2" w:rsidRDefault="006E3CFD" w:rsidP="00FA72F6">
                  <w:pPr>
                    <w:rPr>
                      <w:rFonts w:ascii="Arial" w:hAnsi="Arial" w:cs="Arial"/>
                      <w:b/>
                      <w:color w:val="FF0000"/>
                      <w:szCs w:val="24"/>
                    </w:rPr>
                  </w:pPr>
                </w:p>
              </w:tc>
              <w:tc>
                <w:tcPr>
                  <w:tcW w:w="709" w:type="dxa"/>
                  <w:noWrap/>
                </w:tcPr>
                <w:p w:rsidR="006E3CFD" w:rsidRPr="004823C2" w:rsidRDefault="006E3CFD" w:rsidP="00C46B5F">
                  <w:pPr>
                    <w:rPr>
                      <w:rFonts w:ascii="Arial" w:hAnsi="Arial" w:cs="Arial"/>
                      <w:b/>
                      <w:color w:val="FF0000"/>
                      <w:szCs w:val="24"/>
                    </w:rPr>
                  </w:pPr>
                </w:p>
              </w:tc>
            </w:tr>
          </w:tbl>
          <w:p w:rsidR="0070412A" w:rsidRPr="008A431C" w:rsidRDefault="004E4B5E" w:rsidP="0070412A">
            <w:pPr>
              <w:jc w:val="both"/>
              <w:rPr>
                <w:rFonts w:ascii="Arial" w:hAnsi="Arial" w:cs="Arial"/>
                <w:szCs w:val="24"/>
              </w:rPr>
            </w:pPr>
            <w:r>
              <w:rPr>
                <w:rFonts w:ascii="Arial" w:hAnsi="Arial" w:cs="Arial"/>
                <w:szCs w:val="24"/>
              </w:rPr>
              <w:t xml:space="preserve">The staffing establishment </w:t>
            </w:r>
            <w:r w:rsidR="0070412A" w:rsidRPr="00B35E26">
              <w:rPr>
                <w:rFonts w:ascii="Arial" w:hAnsi="Arial" w:cs="Arial"/>
                <w:szCs w:val="24"/>
              </w:rPr>
              <w:t xml:space="preserve">at the end of </w:t>
            </w:r>
            <w:r w:rsidR="00CF0B36">
              <w:rPr>
                <w:rFonts w:ascii="Arial" w:hAnsi="Arial" w:cs="Arial"/>
                <w:szCs w:val="24"/>
              </w:rPr>
              <w:t>q</w:t>
            </w:r>
            <w:r w:rsidR="0070412A" w:rsidRPr="00B35E26">
              <w:rPr>
                <w:rFonts w:ascii="Arial" w:hAnsi="Arial" w:cs="Arial"/>
                <w:szCs w:val="24"/>
              </w:rPr>
              <w:t xml:space="preserve">uarter </w:t>
            </w:r>
            <w:r w:rsidR="004823C2">
              <w:rPr>
                <w:rFonts w:ascii="Arial" w:hAnsi="Arial" w:cs="Arial"/>
                <w:szCs w:val="24"/>
              </w:rPr>
              <w:t>3</w:t>
            </w:r>
            <w:r w:rsidR="0070412A" w:rsidRPr="00B35E26">
              <w:rPr>
                <w:rFonts w:ascii="Arial" w:hAnsi="Arial" w:cs="Arial"/>
                <w:szCs w:val="24"/>
              </w:rPr>
              <w:t xml:space="preserve"> is therefore </w:t>
            </w:r>
            <w:r w:rsidR="00493EDC" w:rsidRPr="008A431C">
              <w:rPr>
                <w:rFonts w:ascii="Arial" w:hAnsi="Arial" w:cs="Arial"/>
                <w:szCs w:val="24"/>
              </w:rPr>
              <w:t>50</w:t>
            </w:r>
            <w:r w:rsidR="00891BE6" w:rsidRPr="008A431C">
              <w:rPr>
                <w:rFonts w:ascii="Arial" w:hAnsi="Arial" w:cs="Arial"/>
                <w:szCs w:val="24"/>
              </w:rPr>
              <w:t>6</w:t>
            </w:r>
            <w:r w:rsidR="00493EDC" w:rsidRPr="008A431C">
              <w:rPr>
                <w:rFonts w:ascii="Arial" w:hAnsi="Arial" w:cs="Arial"/>
                <w:szCs w:val="24"/>
              </w:rPr>
              <w:t>.</w:t>
            </w:r>
            <w:r w:rsidR="00324BD2">
              <w:rPr>
                <w:rFonts w:ascii="Arial" w:hAnsi="Arial" w:cs="Arial"/>
                <w:szCs w:val="24"/>
              </w:rPr>
              <w:t xml:space="preserve">5 </w:t>
            </w:r>
            <w:r w:rsidR="00952CCE" w:rsidRPr="008A431C">
              <w:rPr>
                <w:rFonts w:ascii="Arial" w:hAnsi="Arial" w:cs="Arial"/>
                <w:szCs w:val="24"/>
              </w:rPr>
              <w:t>FTE (</w:t>
            </w:r>
            <w:r w:rsidR="00891BE6" w:rsidRPr="008A431C">
              <w:rPr>
                <w:rFonts w:ascii="Arial" w:hAnsi="Arial" w:cs="Arial"/>
                <w:szCs w:val="24"/>
              </w:rPr>
              <w:t>600.7</w:t>
            </w:r>
            <w:r w:rsidR="0070412A" w:rsidRPr="008A431C">
              <w:rPr>
                <w:rFonts w:ascii="Arial" w:hAnsi="Arial" w:cs="Arial"/>
                <w:szCs w:val="24"/>
              </w:rPr>
              <w:t xml:space="preserve"> FTE</w:t>
            </w:r>
            <w:r w:rsidR="00952CCE" w:rsidRPr="008A431C">
              <w:rPr>
                <w:rFonts w:ascii="Arial" w:hAnsi="Arial" w:cs="Arial"/>
                <w:szCs w:val="24"/>
              </w:rPr>
              <w:t xml:space="preserve"> inclusive of Inverness Leisure)</w:t>
            </w:r>
            <w:r w:rsidR="0070412A" w:rsidRPr="008A431C">
              <w:rPr>
                <w:rFonts w:ascii="Arial" w:hAnsi="Arial" w:cs="Arial"/>
                <w:szCs w:val="24"/>
              </w:rPr>
              <w:t>.</w:t>
            </w:r>
          </w:p>
          <w:p w:rsidR="0045618C" w:rsidRPr="007214D1" w:rsidRDefault="0070412A" w:rsidP="0070412A">
            <w:pPr>
              <w:jc w:val="both"/>
              <w:rPr>
                <w:rFonts w:ascii="Arial" w:hAnsi="Arial" w:cs="Arial"/>
                <w:szCs w:val="24"/>
              </w:rPr>
            </w:pPr>
            <w:r w:rsidRPr="007214D1">
              <w:rPr>
                <w:rFonts w:ascii="Arial" w:hAnsi="Arial" w:cs="Arial"/>
                <w:szCs w:val="24"/>
              </w:rPr>
              <w:t xml:space="preserve"> </w:t>
            </w:r>
          </w:p>
        </w:tc>
      </w:tr>
      <w:tr w:rsidR="006F5801" w:rsidRPr="007214D1" w:rsidTr="0045618C">
        <w:trPr>
          <w:trHeight w:val="2551"/>
        </w:trPr>
        <w:tc>
          <w:tcPr>
            <w:tcW w:w="817" w:type="dxa"/>
          </w:tcPr>
          <w:p w:rsidR="006F5801" w:rsidRDefault="006F5801" w:rsidP="00416BFF">
            <w:pPr>
              <w:rPr>
                <w:rFonts w:ascii="Arial" w:hAnsi="Arial" w:cs="Arial"/>
                <w:szCs w:val="24"/>
              </w:rPr>
            </w:pPr>
            <w:r>
              <w:rPr>
                <w:rFonts w:ascii="Arial" w:hAnsi="Arial" w:cs="Arial"/>
                <w:szCs w:val="24"/>
              </w:rPr>
              <w:t>3.2</w:t>
            </w:r>
          </w:p>
          <w:p w:rsidR="006F5801" w:rsidRDefault="006F5801"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3.2.1</w:t>
            </w: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E442C" w:rsidRDefault="005E442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200C8E" w:rsidRDefault="00200C8E" w:rsidP="00416BFF">
            <w:pPr>
              <w:rPr>
                <w:rFonts w:ascii="Arial" w:hAnsi="Arial" w:cs="Arial"/>
                <w:szCs w:val="24"/>
              </w:rPr>
            </w:pPr>
          </w:p>
          <w:p w:rsidR="00200C8E" w:rsidRDefault="00200C8E" w:rsidP="00416BFF">
            <w:pPr>
              <w:rPr>
                <w:rFonts w:ascii="Arial" w:hAnsi="Arial" w:cs="Arial"/>
                <w:szCs w:val="24"/>
              </w:rPr>
            </w:pPr>
          </w:p>
          <w:p w:rsidR="00200C8E" w:rsidRDefault="00200C8E" w:rsidP="00416BFF">
            <w:pPr>
              <w:rPr>
                <w:rFonts w:ascii="Arial" w:hAnsi="Arial" w:cs="Arial"/>
                <w:szCs w:val="24"/>
              </w:rPr>
            </w:pPr>
          </w:p>
          <w:p w:rsidR="00200C8E" w:rsidRPr="00200C8E" w:rsidRDefault="00200C8E" w:rsidP="00416BFF">
            <w:pPr>
              <w:rPr>
                <w:rFonts w:ascii="Arial" w:hAnsi="Arial" w:cs="Arial"/>
                <w:sz w:val="18"/>
                <w:szCs w:val="24"/>
              </w:rPr>
            </w:pPr>
          </w:p>
          <w:p w:rsidR="00952CCE" w:rsidRDefault="00952CCE" w:rsidP="00416BFF">
            <w:pPr>
              <w:rPr>
                <w:rFonts w:ascii="Arial" w:hAnsi="Arial" w:cs="Arial"/>
                <w:szCs w:val="24"/>
              </w:rPr>
            </w:pPr>
          </w:p>
          <w:p w:rsidR="00952CCE" w:rsidRDefault="00952CCE" w:rsidP="00416BFF">
            <w:pPr>
              <w:rPr>
                <w:rFonts w:ascii="Arial" w:hAnsi="Arial" w:cs="Arial"/>
                <w:szCs w:val="24"/>
              </w:rPr>
            </w:pPr>
          </w:p>
          <w:p w:rsidR="00952CCE" w:rsidRDefault="00952CCE" w:rsidP="00416BFF">
            <w:pPr>
              <w:rPr>
                <w:rFonts w:ascii="Arial" w:hAnsi="Arial" w:cs="Arial"/>
                <w:szCs w:val="24"/>
              </w:rPr>
            </w:pPr>
          </w:p>
          <w:p w:rsidR="004823C2" w:rsidRDefault="004823C2"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200C8E" w:rsidRPr="00952CCE" w:rsidRDefault="00200C8E" w:rsidP="00416BFF">
            <w:pPr>
              <w:rPr>
                <w:rFonts w:ascii="Arial" w:hAnsi="Arial" w:cs="Arial"/>
                <w:szCs w:val="24"/>
              </w:rPr>
            </w:pPr>
          </w:p>
          <w:p w:rsidR="00324BD2" w:rsidRDefault="00324BD2"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2245D8" w:rsidRDefault="002245D8" w:rsidP="00416BFF">
            <w:pPr>
              <w:rPr>
                <w:rFonts w:ascii="Arial" w:hAnsi="Arial" w:cs="Arial"/>
                <w:szCs w:val="24"/>
              </w:rPr>
            </w:pPr>
          </w:p>
          <w:p w:rsidR="002245D8" w:rsidRDefault="002245D8" w:rsidP="00416BFF">
            <w:pPr>
              <w:rPr>
                <w:rFonts w:ascii="Arial" w:hAnsi="Arial" w:cs="Arial"/>
                <w:szCs w:val="24"/>
              </w:rPr>
            </w:pPr>
            <w:r>
              <w:rPr>
                <w:rFonts w:ascii="Arial" w:hAnsi="Arial" w:cs="Arial"/>
                <w:szCs w:val="24"/>
              </w:rPr>
              <w:t>3.2.4</w:t>
            </w:r>
          </w:p>
          <w:p w:rsidR="00E45F94" w:rsidRDefault="00E45F94" w:rsidP="00416BFF">
            <w:pPr>
              <w:rPr>
                <w:rFonts w:ascii="Arial" w:hAnsi="Arial" w:cs="Arial"/>
                <w:szCs w:val="24"/>
              </w:rPr>
            </w:pPr>
          </w:p>
          <w:p w:rsidR="00D03451" w:rsidRDefault="00D03451" w:rsidP="00416BFF">
            <w:pPr>
              <w:rPr>
                <w:rFonts w:ascii="Arial" w:hAnsi="Arial" w:cs="Arial"/>
                <w:szCs w:val="24"/>
              </w:rPr>
            </w:pPr>
          </w:p>
          <w:p w:rsidR="00EB524F" w:rsidRDefault="00EB524F"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lastRenderedPageBreak/>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AB772D" w:rsidRDefault="00AB772D"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465229" w:rsidRPr="007214D1" w:rsidRDefault="00465229" w:rsidP="00D46356">
            <w:pPr>
              <w:rPr>
                <w:rFonts w:ascii="Arial" w:hAnsi="Arial" w:cs="Arial"/>
                <w:szCs w:val="24"/>
              </w:rPr>
            </w:pPr>
          </w:p>
        </w:tc>
        <w:tc>
          <w:tcPr>
            <w:tcW w:w="8647" w:type="dxa"/>
          </w:tcPr>
          <w:p w:rsidR="006F5801" w:rsidRPr="00265F13" w:rsidRDefault="006F5801" w:rsidP="00474274">
            <w:pPr>
              <w:jc w:val="both"/>
              <w:rPr>
                <w:rFonts w:ascii="Arial" w:hAnsi="Arial" w:cs="Arial"/>
                <w:u w:val="single"/>
              </w:rPr>
            </w:pPr>
            <w:r w:rsidRPr="00265F13">
              <w:rPr>
                <w:rFonts w:ascii="Arial" w:hAnsi="Arial" w:cs="Arial"/>
                <w:u w:val="single"/>
              </w:rPr>
              <w:lastRenderedPageBreak/>
              <w:t xml:space="preserve">Absence Levels </w:t>
            </w:r>
          </w:p>
          <w:p w:rsidR="006F5801" w:rsidRDefault="006F5801" w:rsidP="00474274">
            <w:pPr>
              <w:jc w:val="both"/>
              <w:rPr>
                <w:rFonts w:ascii="Arial" w:hAnsi="Arial" w:cs="Arial"/>
              </w:rPr>
            </w:pPr>
          </w:p>
          <w:p w:rsidR="006F5801" w:rsidRDefault="00CF0B36" w:rsidP="007B3DC7">
            <w:pPr>
              <w:jc w:val="both"/>
              <w:rPr>
                <w:rFonts w:ascii="Arial" w:eastAsia="Calibri" w:hAnsi="Arial" w:cs="Arial"/>
                <w:szCs w:val="24"/>
                <w:lang w:eastAsia="en-US"/>
              </w:rPr>
            </w:pPr>
            <w:r>
              <w:rPr>
                <w:rFonts w:ascii="Arial" w:eastAsia="Calibri" w:hAnsi="Arial" w:cs="Arial"/>
                <w:szCs w:val="24"/>
                <w:lang w:eastAsia="en-US"/>
              </w:rPr>
              <w:t>The absence figures for q</w:t>
            </w:r>
            <w:r w:rsidR="006F5801" w:rsidRPr="007B3DC7">
              <w:rPr>
                <w:rFonts w:ascii="Arial" w:eastAsia="Calibri" w:hAnsi="Arial" w:cs="Arial"/>
                <w:szCs w:val="24"/>
                <w:lang w:eastAsia="en-US"/>
              </w:rPr>
              <w:t xml:space="preserve">uarter </w:t>
            </w:r>
            <w:r w:rsidR="004823C2">
              <w:rPr>
                <w:rFonts w:ascii="Arial" w:eastAsia="Calibri" w:hAnsi="Arial" w:cs="Arial"/>
                <w:szCs w:val="24"/>
                <w:lang w:eastAsia="en-US"/>
              </w:rPr>
              <w:t>3</w:t>
            </w:r>
            <w:r w:rsidR="006F5801" w:rsidRPr="007B3DC7">
              <w:rPr>
                <w:rFonts w:ascii="Arial" w:eastAsia="Calibri" w:hAnsi="Arial" w:cs="Arial"/>
                <w:szCs w:val="24"/>
                <w:lang w:eastAsia="en-US"/>
              </w:rPr>
              <w:t xml:space="preserve"> (</w:t>
            </w:r>
            <w:r w:rsidR="004823C2">
              <w:rPr>
                <w:rFonts w:ascii="Arial" w:eastAsia="Calibri" w:hAnsi="Arial" w:cs="Arial"/>
                <w:szCs w:val="24"/>
                <w:lang w:eastAsia="en-US"/>
              </w:rPr>
              <w:t>October to December</w:t>
            </w:r>
            <w:r w:rsidR="006C09E9">
              <w:rPr>
                <w:rFonts w:ascii="Arial" w:eastAsia="Calibri" w:hAnsi="Arial" w:cs="Arial"/>
                <w:szCs w:val="24"/>
                <w:lang w:eastAsia="en-US"/>
              </w:rPr>
              <w:t xml:space="preserve"> </w:t>
            </w:r>
            <w:r w:rsidR="006F5801" w:rsidRPr="007B3DC7">
              <w:rPr>
                <w:rFonts w:ascii="Arial" w:hAnsi="Arial" w:cs="Arial"/>
                <w:szCs w:val="24"/>
              </w:rPr>
              <w:t>201</w:t>
            </w:r>
            <w:r w:rsidR="00F55F2F">
              <w:rPr>
                <w:rFonts w:ascii="Arial" w:hAnsi="Arial" w:cs="Arial"/>
                <w:szCs w:val="24"/>
              </w:rPr>
              <w:t>6</w:t>
            </w:r>
            <w:r w:rsidR="006F5801" w:rsidRPr="007B3DC7">
              <w:rPr>
                <w:rFonts w:ascii="Arial" w:eastAsia="Calibri" w:hAnsi="Arial" w:cs="Arial"/>
                <w:szCs w:val="24"/>
                <w:lang w:eastAsia="en-US"/>
              </w:rPr>
              <w:t>) were as follows:</w:t>
            </w:r>
          </w:p>
          <w:p w:rsidR="0045618C" w:rsidRDefault="0045618C" w:rsidP="007B3DC7">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45618C" w:rsidRPr="00F37EB5" w:rsidTr="00324BD2">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 Absence Rates</w:t>
                  </w:r>
                </w:p>
                <w:p w:rsidR="0045618C" w:rsidRPr="00F37EB5" w:rsidRDefault="0045618C" w:rsidP="00A60358">
                  <w:pPr>
                    <w:spacing w:line="276" w:lineRule="auto"/>
                    <w:contextualSpacing/>
                    <w:jc w:val="center"/>
                    <w:rPr>
                      <w:rFonts w:ascii="Arial" w:eastAsia="Calibri" w:hAnsi="Arial" w:cs="Arial"/>
                      <w:b/>
                      <w:bCs/>
                      <w:szCs w:val="24"/>
                    </w:rPr>
                  </w:pPr>
                </w:p>
              </w:tc>
              <w:tc>
                <w:tcPr>
                  <w:tcW w:w="1034"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1</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Apr - Jun</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2</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Jul - Sep</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3</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Oct - Dec</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4</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Jan - Mar</w:t>
                  </w:r>
                </w:p>
              </w:tc>
            </w:tr>
            <w:tr w:rsidR="00324BD2" w:rsidRPr="00F37EB5" w:rsidTr="00324BD2">
              <w:tc>
                <w:tcPr>
                  <w:tcW w:w="868" w:type="pct"/>
                  <w:tcMar>
                    <w:top w:w="0" w:type="dxa"/>
                    <w:left w:w="108" w:type="dxa"/>
                    <w:bottom w:w="0" w:type="dxa"/>
                    <w:right w:w="108" w:type="dxa"/>
                  </w:tcMar>
                </w:tcPr>
                <w:p w:rsidR="00324BD2" w:rsidRPr="00F37EB5" w:rsidRDefault="00324BD2" w:rsidP="00A60358">
                  <w:pPr>
                    <w:spacing w:line="276" w:lineRule="auto"/>
                    <w:contextualSpacing/>
                    <w:jc w:val="center"/>
                    <w:rPr>
                      <w:rFonts w:ascii="Arial" w:eastAsia="Calibri" w:hAnsi="Arial" w:cs="Arial"/>
                      <w:b/>
                      <w:bCs/>
                      <w:szCs w:val="24"/>
                    </w:rPr>
                  </w:pPr>
                </w:p>
                <w:p w:rsidR="00324BD2" w:rsidRPr="00F37EB5" w:rsidRDefault="00324BD2"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2014/15</w:t>
                  </w:r>
                </w:p>
              </w:tc>
              <w:tc>
                <w:tcPr>
                  <w:tcW w:w="1034" w:type="pct"/>
                  <w:tcMar>
                    <w:top w:w="0" w:type="dxa"/>
                    <w:left w:w="108" w:type="dxa"/>
                    <w:bottom w:w="0" w:type="dxa"/>
                    <w:right w:w="108" w:type="dxa"/>
                  </w:tcMar>
                  <w:hideMark/>
                </w:tcPr>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2.91%</w:t>
                  </w:r>
                </w:p>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(1.80 days/FTE)</w:t>
                  </w:r>
                </w:p>
              </w:tc>
              <w:tc>
                <w:tcPr>
                  <w:tcW w:w="1033" w:type="pct"/>
                  <w:tcMar>
                    <w:top w:w="0" w:type="dxa"/>
                    <w:left w:w="108" w:type="dxa"/>
                    <w:bottom w:w="0" w:type="dxa"/>
                    <w:right w:w="108" w:type="dxa"/>
                  </w:tcMar>
                  <w:hideMark/>
                </w:tcPr>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2.72%</w:t>
                  </w:r>
                </w:p>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(1.79 days/FTE</w:t>
                  </w:r>
                </w:p>
              </w:tc>
              <w:tc>
                <w:tcPr>
                  <w:tcW w:w="1033" w:type="pct"/>
                  <w:tcMar>
                    <w:top w:w="0" w:type="dxa"/>
                    <w:left w:w="108" w:type="dxa"/>
                    <w:bottom w:w="0" w:type="dxa"/>
                    <w:right w:w="108" w:type="dxa"/>
                  </w:tcMar>
                </w:tcPr>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2.83%</w:t>
                  </w:r>
                </w:p>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(1.72 days/FTE)</w:t>
                  </w:r>
                </w:p>
              </w:tc>
              <w:tc>
                <w:tcPr>
                  <w:tcW w:w="1032" w:type="pct"/>
                  <w:tcMar>
                    <w:top w:w="0" w:type="dxa"/>
                    <w:left w:w="108" w:type="dxa"/>
                    <w:bottom w:w="0" w:type="dxa"/>
                    <w:right w:w="108" w:type="dxa"/>
                  </w:tcMar>
                </w:tcPr>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3.40%</w:t>
                  </w:r>
                </w:p>
                <w:p w:rsidR="00324BD2" w:rsidRPr="00F37EB5" w:rsidRDefault="00324BD2" w:rsidP="00A60358">
                  <w:pPr>
                    <w:spacing w:line="276" w:lineRule="auto"/>
                    <w:contextualSpacing/>
                    <w:jc w:val="center"/>
                    <w:rPr>
                      <w:rFonts w:ascii="Arial" w:eastAsia="Calibri" w:hAnsi="Arial" w:cs="Arial"/>
                      <w:szCs w:val="24"/>
                    </w:rPr>
                  </w:pPr>
                  <w:r w:rsidRPr="00F37EB5">
                    <w:rPr>
                      <w:rFonts w:ascii="Arial" w:eastAsia="Calibri" w:hAnsi="Arial" w:cs="Arial"/>
                      <w:szCs w:val="24"/>
                    </w:rPr>
                    <w:t>(2.10 days/FTE)</w:t>
                  </w:r>
                </w:p>
              </w:tc>
            </w:tr>
            <w:tr w:rsidR="00324BD2" w:rsidRPr="00F37EB5" w:rsidTr="00324BD2">
              <w:tc>
                <w:tcPr>
                  <w:tcW w:w="868" w:type="pct"/>
                  <w:tcMar>
                    <w:top w:w="0" w:type="dxa"/>
                    <w:left w:w="108" w:type="dxa"/>
                    <w:bottom w:w="0" w:type="dxa"/>
                    <w:right w:w="108" w:type="dxa"/>
                  </w:tcMar>
                </w:tcPr>
                <w:p w:rsidR="00324BD2" w:rsidRDefault="00324BD2" w:rsidP="00A60358">
                  <w:pPr>
                    <w:spacing w:line="276" w:lineRule="auto"/>
                    <w:contextualSpacing/>
                    <w:jc w:val="center"/>
                    <w:rPr>
                      <w:rFonts w:ascii="Arial" w:eastAsia="Calibri" w:hAnsi="Arial" w:cs="Arial"/>
                      <w:b/>
                      <w:bCs/>
                      <w:szCs w:val="24"/>
                    </w:rPr>
                  </w:pPr>
                </w:p>
                <w:p w:rsidR="00324BD2" w:rsidRPr="00F37EB5" w:rsidRDefault="00324BD2" w:rsidP="00A60358">
                  <w:pPr>
                    <w:spacing w:line="276" w:lineRule="auto"/>
                    <w:contextualSpacing/>
                    <w:jc w:val="center"/>
                    <w:rPr>
                      <w:rFonts w:ascii="Arial" w:eastAsia="Calibri" w:hAnsi="Arial" w:cs="Arial"/>
                      <w:b/>
                      <w:bCs/>
                      <w:szCs w:val="24"/>
                    </w:rPr>
                  </w:pPr>
                  <w:r>
                    <w:rPr>
                      <w:rFonts w:ascii="Arial" w:eastAsia="Calibri" w:hAnsi="Arial" w:cs="Arial"/>
                      <w:b/>
                      <w:bCs/>
                      <w:szCs w:val="24"/>
                    </w:rPr>
                    <w:t>2015/16</w:t>
                  </w:r>
                </w:p>
              </w:tc>
              <w:tc>
                <w:tcPr>
                  <w:tcW w:w="1034" w:type="pct"/>
                  <w:tcMar>
                    <w:top w:w="0" w:type="dxa"/>
                    <w:left w:w="108" w:type="dxa"/>
                    <w:bottom w:w="0" w:type="dxa"/>
                    <w:right w:w="108" w:type="dxa"/>
                  </w:tcMar>
                  <w:hideMark/>
                </w:tcPr>
                <w:p w:rsidR="00324BD2"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 xml:space="preserve">2.48% </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(1.51 days/FTE)</w:t>
                  </w:r>
                </w:p>
              </w:tc>
              <w:tc>
                <w:tcPr>
                  <w:tcW w:w="1033" w:type="pct"/>
                  <w:tcMar>
                    <w:top w:w="0" w:type="dxa"/>
                    <w:left w:w="108" w:type="dxa"/>
                    <w:bottom w:w="0" w:type="dxa"/>
                    <w:right w:w="108" w:type="dxa"/>
                  </w:tcMar>
                  <w:hideMark/>
                </w:tcPr>
                <w:p w:rsidR="00324BD2"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2.78%</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(1.83 days/FTE)</w:t>
                  </w:r>
                </w:p>
              </w:tc>
              <w:tc>
                <w:tcPr>
                  <w:tcW w:w="1033" w:type="pct"/>
                  <w:tcMar>
                    <w:top w:w="0" w:type="dxa"/>
                    <w:left w:w="108" w:type="dxa"/>
                    <w:bottom w:w="0" w:type="dxa"/>
                    <w:right w:w="108" w:type="dxa"/>
                  </w:tcMar>
                </w:tcPr>
                <w:p w:rsidR="00324BD2" w:rsidRPr="00682545" w:rsidRDefault="00324BD2" w:rsidP="00A60358">
                  <w:pPr>
                    <w:spacing w:line="276" w:lineRule="auto"/>
                    <w:contextualSpacing/>
                    <w:jc w:val="center"/>
                    <w:rPr>
                      <w:rFonts w:ascii="Arial" w:eastAsia="Calibri" w:hAnsi="Arial" w:cs="Arial"/>
                      <w:color w:val="000000" w:themeColor="text1"/>
                      <w:szCs w:val="24"/>
                    </w:rPr>
                  </w:pPr>
                  <w:r w:rsidRPr="00682545">
                    <w:rPr>
                      <w:rFonts w:ascii="Arial" w:eastAsia="Calibri" w:hAnsi="Arial" w:cs="Arial"/>
                      <w:color w:val="000000" w:themeColor="text1"/>
                      <w:szCs w:val="24"/>
                    </w:rPr>
                    <w:t>3.4%</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(2.1 days/FTE)</w:t>
                  </w:r>
                </w:p>
              </w:tc>
              <w:tc>
                <w:tcPr>
                  <w:tcW w:w="1032" w:type="pct"/>
                  <w:tcMar>
                    <w:top w:w="0" w:type="dxa"/>
                    <w:left w:w="108" w:type="dxa"/>
                    <w:bottom w:w="0" w:type="dxa"/>
                    <w:right w:w="108" w:type="dxa"/>
                  </w:tcMar>
                </w:tcPr>
                <w:p w:rsidR="00324BD2" w:rsidRDefault="00324BD2" w:rsidP="00CB7017">
                  <w:pPr>
                    <w:spacing w:line="276" w:lineRule="auto"/>
                    <w:contextualSpacing/>
                    <w:jc w:val="center"/>
                    <w:rPr>
                      <w:rFonts w:ascii="Arial" w:eastAsia="Calibri" w:hAnsi="Arial" w:cs="Arial"/>
                      <w:szCs w:val="24"/>
                    </w:rPr>
                  </w:pPr>
                  <w:r>
                    <w:rPr>
                      <w:rFonts w:ascii="Arial" w:eastAsia="Calibri" w:hAnsi="Arial" w:cs="Arial"/>
                      <w:szCs w:val="24"/>
                    </w:rPr>
                    <w:t>3.82%</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(2.48 days/FTE)</w:t>
                  </w:r>
                </w:p>
              </w:tc>
            </w:tr>
            <w:tr w:rsidR="00324BD2" w:rsidRPr="00F37EB5" w:rsidTr="00324BD2">
              <w:tc>
                <w:tcPr>
                  <w:tcW w:w="868"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b/>
                      <w:bCs/>
                      <w:szCs w:val="24"/>
                    </w:rPr>
                  </w:pPr>
                </w:p>
                <w:p w:rsidR="00324BD2" w:rsidRDefault="00324BD2" w:rsidP="00447EE9">
                  <w:pPr>
                    <w:spacing w:line="276" w:lineRule="auto"/>
                    <w:contextualSpacing/>
                    <w:jc w:val="center"/>
                    <w:rPr>
                      <w:rFonts w:ascii="Arial" w:eastAsia="Calibri" w:hAnsi="Arial" w:cs="Arial"/>
                      <w:b/>
                      <w:bCs/>
                      <w:szCs w:val="24"/>
                    </w:rPr>
                  </w:pPr>
                  <w:r>
                    <w:rPr>
                      <w:rFonts w:ascii="Arial" w:eastAsia="Calibri" w:hAnsi="Arial" w:cs="Arial"/>
                      <w:b/>
                      <w:bCs/>
                      <w:szCs w:val="24"/>
                    </w:rPr>
                    <w:t>2016/17</w:t>
                  </w:r>
                </w:p>
                <w:p w:rsidR="00324BD2" w:rsidRPr="00F37EB5" w:rsidRDefault="00324BD2" w:rsidP="00A60358">
                  <w:pPr>
                    <w:spacing w:line="276" w:lineRule="auto"/>
                    <w:contextualSpacing/>
                    <w:jc w:val="center"/>
                    <w:rPr>
                      <w:rFonts w:ascii="Arial" w:eastAsia="Calibri" w:hAnsi="Arial" w:cs="Arial"/>
                      <w:b/>
                      <w:bCs/>
                      <w:szCs w:val="24"/>
                    </w:rPr>
                  </w:pPr>
                </w:p>
              </w:tc>
              <w:tc>
                <w:tcPr>
                  <w:tcW w:w="1034"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szCs w:val="24"/>
                    </w:rPr>
                  </w:pPr>
                  <w:r>
                    <w:rPr>
                      <w:rFonts w:ascii="Arial" w:eastAsia="Calibri" w:hAnsi="Arial" w:cs="Arial"/>
                      <w:szCs w:val="24"/>
                    </w:rPr>
                    <w:t xml:space="preserve">3.23% </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(2.07 days/FTE)</w:t>
                  </w:r>
                </w:p>
              </w:tc>
              <w:tc>
                <w:tcPr>
                  <w:tcW w:w="1033"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szCs w:val="24"/>
                    </w:rPr>
                  </w:pPr>
                  <w:r>
                    <w:rPr>
                      <w:rFonts w:ascii="Arial" w:eastAsia="Calibri" w:hAnsi="Arial" w:cs="Arial"/>
                      <w:szCs w:val="24"/>
                    </w:rPr>
                    <w:t xml:space="preserve">2.77%  </w:t>
                  </w:r>
                </w:p>
                <w:p w:rsidR="00324BD2" w:rsidRPr="00F37EB5" w:rsidRDefault="00324BD2" w:rsidP="00A60358">
                  <w:pPr>
                    <w:spacing w:line="276" w:lineRule="auto"/>
                    <w:contextualSpacing/>
                    <w:jc w:val="center"/>
                    <w:rPr>
                      <w:rFonts w:ascii="Arial" w:eastAsia="Calibri" w:hAnsi="Arial" w:cs="Arial"/>
                      <w:szCs w:val="24"/>
                    </w:rPr>
                  </w:pPr>
                  <w:r>
                    <w:rPr>
                      <w:rFonts w:ascii="Arial" w:eastAsia="Calibri" w:hAnsi="Arial" w:cs="Arial"/>
                      <w:szCs w:val="24"/>
                    </w:rPr>
                    <w:t>(1.83 days/FTE)</w:t>
                  </w:r>
                </w:p>
              </w:tc>
              <w:tc>
                <w:tcPr>
                  <w:tcW w:w="1033"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2.</w:t>
                  </w:r>
                  <w:r w:rsidR="0099290A">
                    <w:rPr>
                      <w:rFonts w:ascii="Arial" w:eastAsia="Calibri" w:hAnsi="Arial" w:cs="Arial"/>
                      <w:color w:val="000000" w:themeColor="text1"/>
                      <w:szCs w:val="24"/>
                    </w:rPr>
                    <w:t>78</w:t>
                  </w:r>
                  <w:r>
                    <w:rPr>
                      <w:rFonts w:ascii="Arial" w:eastAsia="Calibri" w:hAnsi="Arial" w:cs="Arial"/>
                      <w:color w:val="000000" w:themeColor="text1"/>
                      <w:szCs w:val="24"/>
                    </w:rPr>
                    <w:t>%</w:t>
                  </w:r>
                </w:p>
                <w:p w:rsidR="00324BD2" w:rsidRDefault="00324BD2" w:rsidP="00447EE9">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(1.</w:t>
                  </w:r>
                  <w:r w:rsidR="0099290A">
                    <w:rPr>
                      <w:rFonts w:ascii="Arial" w:eastAsia="Calibri" w:hAnsi="Arial" w:cs="Arial"/>
                      <w:color w:val="000000" w:themeColor="text1"/>
                      <w:szCs w:val="24"/>
                    </w:rPr>
                    <w:t>81</w:t>
                  </w:r>
                  <w:r>
                    <w:rPr>
                      <w:rFonts w:ascii="Arial" w:eastAsia="Calibri" w:hAnsi="Arial" w:cs="Arial"/>
                      <w:color w:val="000000" w:themeColor="text1"/>
                      <w:szCs w:val="24"/>
                    </w:rPr>
                    <w:t xml:space="preserve"> days/FTE)</w:t>
                  </w:r>
                </w:p>
                <w:p w:rsidR="00324BD2" w:rsidRPr="00F37EB5" w:rsidRDefault="00324BD2" w:rsidP="0045618C">
                  <w:pPr>
                    <w:spacing w:line="276" w:lineRule="auto"/>
                    <w:contextualSpacing/>
                    <w:jc w:val="center"/>
                    <w:rPr>
                      <w:rFonts w:ascii="Arial" w:eastAsia="Calibri" w:hAnsi="Arial" w:cs="Arial"/>
                      <w:szCs w:val="24"/>
                    </w:rPr>
                  </w:pPr>
                </w:p>
              </w:tc>
              <w:tc>
                <w:tcPr>
                  <w:tcW w:w="1032"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szCs w:val="24"/>
                    </w:rPr>
                  </w:pPr>
                </w:p>
                <w:p w:rsidR="00324BD2" w:rsidRDefault="00324BD2" w:rsidP="00447EE9">
                  <w:pPr>
                    <w:spacing w:line="276" w:lineRule="auto"/>
                    <w:contextualSpacing/>
                    <w:jc w:val="center"/>
                    <w:rPr>
                      <w:rFonts w:ascii="Arial" w:eastAsia="Calibri" w:hAnsi="Arial" w:cs="Arial"/>
                      <w:szCs w:val="24"/>
                    </w:rPr>
                  </w:pPr>
                  <w:r>
                    <w:rPr>
                      <w:rFonts w:ascii="Arial" w:eastAsia="Calibri" w:hAnsi="Arial" w:cs="Arial"/>
                      <w:szCs w:val="24"/>
                    </w:rPr>
                    <w:t>-</w:t>
                  </w:r>
                </w:p>
                <w:p w:rsidR="00324BD2" w:rsidRPr="00F37EB5" w:rsidRDefault="00324BD2" w:rsidP="00CB7017">
                  <w:pPr>
                    <w:spacing w:line="276" w:lineRule="auto"/>
                    <w:contextualSpacing/>
                    <w:jc w:val="center"/>
                    <w:rPr>
                      <w:rFonts w:ascii="Arial" w:eastAsia="Calibri" w:hAnsi="Arial" w:cs="Arial"/>
                      <w:szCs w:val="24"/>
                    </w:rPr>
                  </w:pPr>
                </w:p>
              </w:tc>
            </w:tr>
            <w:tr w:rsidR="00324BD2" w:rsidRPr="00F37EB5" w:rsidTr="00324BD2">
              <w:tc>
                <w:tcPr>
                  <w:tcW w:w="868" w:type="pct"/>
                  <w:tcMar>
                    <w:top w:w="0" w:type="dxa"/>
                    <w:left w:w="108" w:type="dxa"/>
                    <w:bottom w:w="0" w:type="dxa"/>
                    <w:right w:w="108" w:type="dxa"/>
                  </w:tcMar>
                </w:tcPr>
                <w:p w:rsidR="00324BD2" w:rsidRPr="00324BD2" w:rsidRDefault="00324BD2" w:rsidP="00BB0395">
                  <w:pPr>
                    <w:spacing w:line="276" w:lineRule="auto"/>
                    <w:contextualSpacing/>
                    <w:rPr>
                      <w:rFonts w:ascii="Arial" w:eastAsia="Calibri" w:hAnsi="Arial" w:cs="Arial"/>
                      <w:bCs/>
                      <w:i/>
                      <w:szCs w:val="24"/>
                    </w:rPr>
                  </w:pPr>
                  <w:r w:rsidRPr="00BB0395">
                    <w:rPr>
                      <w:rFonts w:ascii="Arial" w:eastAsia="Calibri" w:hAnsi="Arial" w:cs="Arial"/>
                      <w:bCs/>
                      <w:i/>
                      <w:szCs w:val="24"/>
                    </w:rPr>
                    <w:t>(2016/17 inclusive of IL)</w:t>
                  </w:r>
                </w:p>
              </w:tc>
              <w:tc>
                <w:tcPr>
                  <w:tcW w:w="1034" w:type="pct"/>
                  <w:tcMar>
                    <w:top w:w="0" w:type="dxa"/>
                    <w:left w:w="108" w:type="dxa"/>
                    <w:bottom w:w="0" w:type="dxa"/>
                    <w:right w:w="108" w:type="dxa"/>
                  </w:tcMar>
                </w:tcPr>
                <w:p w:rsidR="00324BD2" w:rsidRPr="00BB0395" w:rsidRDefault="00324BD2" w:rsidP="00447EE9">
                  <w:pPr>
                    <w:spacing w:line="276" w:lineRule="auto"/>
                    <w:contextualSpacing/>
                    <w:jc w:val="center"/>
                    <w:rPr>
                      <w:rFonts w:ascii="Arial" w:eastAsia="Calibri" w:hAnsi="Arial" w:cs="Arial"/>
                      <w:i/>
                      <w:szCs w:val="24"/>
                    </w:rPr>
                  </w:pPr>
                  <w:r w:rsidRPr="00BB0395">
                    <w:rPr>
                      <w:rFonts w:ascii="Arial" w:eastAsia="Calibri" w:hAnsi="Arial" w:cs="Arial"/>
                      <w:i/>
                      <w:szCs w:val="24"/>
                    </w:rPr>
                    <w:t>3.59%</w:t>
                  </w:r>
                </w:p>
                <w:p w:rsidR="00324BD2" w:rsidRDefault="00324BD2" w:rsidP="00BB0395">
                  <w:pPr>
                    <w:spacing w:line="276" w:lineRule="auto"/>
                    <w:contextualSpacing/>
                    <w:jc w:val="center"/>
                    <w:rPr>
                      <w:rFonts w:ascii="Arial" w:eastAsia="Calibri" w:hAnsi="Arial" w:cs="Arial"/>
                      <w:i/>
                      <w:szCs w:val="24"/>
                    </w:rPr>
                  </w:pPr>
                  <w:r w:rsidRPr="00BB0395">
                    <w:rPr>
                      <w:rFonts w:ascii="Arial" w:eastAsia="Calibri" w:hAnsi="Arial" w:cs="Arial"/>
                      <w:i/>
                      <w:szCs w:val="24"/>
                    </w:rPr>
                    <w:t>(2.30 days/FTE)</w:t>
                  </w:r>
                </w:p>
                <w:p w:rsidR="00324BD2" w:rsidRDefault="00324BD2" w:rsidP="00324BD2">
                  <w:pPr>
                    <w:spacing w:line="276" w:lineRule="auto"/>
                    <w:contextualSpacing/>
                    <w:rPr>
                      <w:rFonts w:ascii="Arial" w:eastAsia="Calibri" w:hAnsi="Arial" w:cs="Arial"/>
                      <w:szCs w:val="24"/>
                    </w:rPr>
                  </w:pPr>
                </w:p>
              </w:tc>
              <w:tc>
                <w:tcPr>
                  <w:tcW w:w="1033" w:type="pct"/>
                  <w:tcMar>
                    <w:top w:w="0" w:type="dxa"/>
                    <w:left w:w="108" w:type="dxa"/>
                    <w:bottom w:w="0" w:type="dxa"/>
                    <w:right w:w="108" w:type="dxa"/>
                  </w:tcMar>
                </w:tcPr>
                <w:p w:rsidR="00324BD2" w:rsidRDefault="00324BD2" w:rsidP="00E62C70">
                  <w:pPr>
                    <w:spacing w:line="276" w:lineRule="auto"/>
                    <w:contextualSpacing/>
                    <w:jc w:val="center"/>
                    <w:rPr>
                      <w:rFonts w:ascii="Arial" w:eastAsia="Calibri" w:hAnsi="Arial" w:cs="Arial"/>
                      <w:szCs w:val="24"/>
                    </w:rPr>
                  </w:pPr>
                  <w:r>
                    <w:rPr>
                      <w:rFonts w:ascii="Arial" w:eastAsia="Calibri" w:hAnsi="Arial" w:cs="Arial"/>
                      <w:szCs w:val="24"/>
                    </w:rPr>
                    <w:t xml:space="preserve">3.09% </w:t>
                  </w:r>
                </w:p>
                <w:p w:rsidR="00324BD2" w:rsidRDefault="00324BD2" w:rsidP="00E62C70">
                  <w:pPr>
                    <w:spacing w:line="276" w:lineRule="auto"/>
                    <w:contextualSpacing/>
                    <w:jc w:val="center"/>
                    <w:rPr>
                      <w:rFonts w:ascii="Arial" w:eastAsia="Calibri" w:hAnsi="Arial" w:cs="Arial"/>
                      <w:szCs w:val="24"/>
                    </w:rPr>
                  </w:pPr>
                  <w:r>
                    <w:rPr>
                      <w:rFonts w:ascii="Arial" w:eastAsia="Calibri" w:hAnsi="Arial" w:cs="Arial"/>
                      <w:szCs w:val="24"/>
                    </w:rPr>
                    <w:t>(2.04 days/FTE)</w:t>
                  </w:r>
                </w:p>
                <w:p w:rsidR="00324BD2" w:rsidRDefault="00324BD2" w:rsidP="00324BD2">
                  <w:pPr>
                    <w:spacing w:line="276" w:lineRule="auto"/>
                    <w:contextualSpacing/>
                    <w:rPr>
                      <w:rFonts w:ascii="Arial" w:eastAsia="Calibri" w:hAnsi="Arial" w:cs="Arial"/>
                      <w:szCs w:val="24"/>
                    </w:rPr>
                  </w:pPr>
                </w:p>
              </w:tc>
              <w:tc>
                <w:tcPr>
                  <w:tcW w:w="1033" w:type="pct"/>
                  <w:tcMar>
                    <w:top w:w="0" w:type="dxa"/>
                    <w:left w:w="108" w:type="dxa"/>
                    <w:bottom w:w="0" w:type="dxa"/>
                    <w:right w:w="108" w:type="dxa"/>
                  </w:tcMar>
                </w:tcPr>
                <w:p w:rsidR="00324BD2" w:rsidRDefault="0099290A" w:rsidP="00447EE9">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3.02</w:t>
                  </w:r>
                  <w:r w:rsidR="00324BD2">
                    <w:rPr>
                      <w:rFonts w:ascii="Arial" w:eastAsia="Calibri" w:hAnsi="Arial" w:cs="Arial"/>
                      <w:color w:val="000000" w:themeColor="text1"/>
                      <w:szCs w:val="24"/>
                    </w:rPr>
                    <w:t>%</w:t>
                  </w:r>
                </w:p>
                <w:p w:rsidR="00324BD2" w:rsidRDefault="00324BD2" w:rsidP="00324BD2">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(1.</w:t>
                  </w:r>
                  <w:r w:rsidR="0099290A">
                    <w:rPr>
                      <w:rFonts w:ascii="Arial" w:eastAsia="Calibri" w:hAnsi="Arial" w:cs="Arial"/>
                      <w:color w:val="000000" w:themeColor="text1"/>
                      <w:szCs w:val="24"/>
                    </w:rPr>
                    <w:t>96</w:t>
                  </w:r>
                  <w:r>
                    <w:rPr>
                      <w:rFonts w:ascii="Arial" w:eastAsia="Calibri" w:hAnsi="Arial" w:cs="Arial"/>
                      <w:color w:val="000000" w:themeColor="text1"/>
                      <w:szCs w:val="24"/>
                    </w:rPr>
                    <w:t xml:space="preserve"> days/FTE)</w:t>
                  </w:r>
                </w:p>
                <w:p w:rsidR="00324BD2" w:rsidRPr="00682545" w:rsidRDefault="00324BD2" w:rsidP="00324BD2">
                  <w:pPr>
                    <w:spacing w:line="276" w:lineRule="auto"/>
                    <w:contextualSpacing/>
                    <w:rPr>
                      <w:rFonts w:ascii="Arial" w:eastAsia="Calibri" w:hAnsi="Arial" w:cs="Arial"/>
                      <w:color w:val="000000" w:themeColor="text1"/>
                      <w:szCs w:val="24"/>
                    </w:rPr>
                  </w:pPr>
                </w:p>
              </w:tc>
              <w:tc>
                <w:tcPr>
                  <w:tcW w:w="1032" w:type="pct"/>
                  <w:tcMar>
                    <w:top w:w="0" w:type="dxa"/>
                    <w:left w:w="108" w:type="dxa"/>
                    <w:bottom w:w="0" w:type="dxa"/>
                    <w:right w:w="108" w:type="dxa"/>
                  </w:tcMar>
                </w:tcPr>
                <w:p w:rsidR="00324BD2" w:rsidRDefault="00324BD2" w:rsidP="00447EE9">
                  <w:pPr>
                    <w:spacing w:line="276" w:lineRule="auto"/>
                    <w:contextualSpacing/>
                    <w:jc w:val="center"/>
                    <w:rPr>
                      <w:rFonts w:ascii="Arial" w:eastAsia="Calibri" w:hAnsi="Arial" w:cs="Arial"/>
                      <w:szCs w:val="24"/>
                    </w:rPr>
                  </w:pPr>
                </w:p>
                <w:p w:rsidR="00324BD2" w:rsidRDefault="00324BD2" w:rsidP="00324BD2">
                  <w:pPr>
                    <w:spacing w:line="276" w:lineRule="auto"/>
                    <w:contextualSpacing/>
                    <w:jc w:val="center"/>
                    <w:rPr>
                      <w:rFonts w:ascii="Arial" w:eastAsia="Calibri" w:hAnsi="Arial" w:cs="Arial"/>
                      <w:szCs w:val="24"/>
                    </w:rPr>
                  </w:pPr>
                  <w:r>
                    <w:rPr>
                      <w:rFonts w:ascii="Arial" w:eastAsia="Calibri" w:hAnsi="Arial" w:cs="Arial"/>
                      <w:szCs w:val="24"/>
                    </w:rPr>
                    <w:t>-</w:t>
                  </w:r>
                </w:p>
                <w:p w:rsidR="00324BD2" w:rsidRDefault="00324BD2" w:rsidP="00324BD2">
                  <w:pPr>
                    <w:spacing w:line="276" w:lineRule="auto"/>
                    <w:contextualSpacing/>
                    <w:rPr>
                      <w:rFonts w:ascii="Arial" w:eastAsia="Calibri" w:hAnsi="Arial" w:cs="Arial"/>
                      <w:szCs w:val="24"/>
                    </w:rPr>
                  </w:pPr>
                </w:p>
              </w:tc>
            </w:tr>
          </w:tbl>
          <w:p w:rsidR="0045618C" w:rsidRDefault="0045618C" w:rsidP="00324BD2">
            <w:pPr>
              <w:jc w:val="both"/>
              <w:rPr>
                <w:rFonts w:ascii="Arial" w:eastAsia="Calibri" w:hAnsi="Arial" w:cs="Arial"/>
                <w:szCs w:val="24"/>
                <w:lang w:eastAsia="en-US"/>
              </w:rPr>
            </w:pPr>
          </w:p>
          <w:p w:rsidR="008A431C" w:rsidRDefault="008A431C" w:rsidP="00324BD2">
            <w:pPr>
              <w:jc w:val="both"/>
              <w:rPr>
                <w:rFonts w:ascii="Arial" w:eastAsia="Calibri" w:hAnsi="Arial" w:cs="Arial"/>
                <w:szCs w:val="24"/>
                <w:lang w:eastAsia="en-US"/>
              </w:rPr>
            </w:pPr>
          </w:p>
          <w:p w:rsidR="00E45F94" w:rsidRPr="002579AF" w:rsidRDefault="002A51F9" w:rsidP="00E75F39">
            <w:pPr>
              <w:jc w:val="both"/>
              <w:rPr>
                <w:rFonts w:ascii="Arial" w:eastAsia="Calibri" w:hAnsi="Arial" w:cs="Arial"/>
                <w:szCs w:val="24"/>
                <w:lang w:eastAsia="en-US"/>
              </w:rPr>
            </w:pPr>
            <w:r w:rsidRPr="002579AF">
              <w:rPr>
                <w:rFonts w:ascii="Arial" w:eastAsia="Calibri" w:hAnsi="Arial" w:cs="Arial"/>
                <w:szCs w:val="24"/>
                <w:lang w:eastAsia="en-US"/>
              </w:rPr>
              <w:t>In 2016/17, q</w:t>
            </w:r>
            <w:r w:rsidR="00D23435" w:rsidRPr="002579AF">
              <w:rPr>
                <w:rFonts w:ascii="Arial" w:eastAsia="Calibri" w:hAnsi="Arial" w:cs="Arial"/>
                <w:szCs w:val="24"/>
                <w:lang w:eastAsia="en-US"/>
              </w:rPr>
              <w:t xml:space="preserve">uarter </w:t>
            </w:r>
            <w:r w:rsidR="004823C2" w:rsidRPr="002579AF">
              <w:rPr>
                <w:rFonts w:ascii="Arial" w:eastAsia="Calibri" w:hAnsi="Arial" w:cs="Arial"/>
                <w:szCs w:val="24"/>
                <w:lang w:eastAsia="en-US"/>
              </w:rPr>
              <w:t>3</w:t>
            </w:r>
            <w:r w:rsidR="00D23435" w:rsidRPr="002579AF">
              <w:rPr>
                <w:rFonts w:ascii="Arial" w:eastAsia="Calibri" w:hAnsi="Arial" w:cs="Arial"/>
                <w:szCs w:val="24"/>
                <w:lang w:eastAsia="en-US"/>
              </w:rPr>
              <w:t xml:space="preserve"> has shown a</w:t>
            </w:r>
            <w:r w:rsidR="00200C8E" w:rsidRPr="002579AF">
              <w:rPr>
                <w:rFonts w:ascii="Arial" w:eastAsia="Calibri" w:hAnsi="Arial" w:cs="Arial"/>
                <w:szCs w:val="24"/>
                <w:lang w:eastAsia="en-US"/>
              </w:rPr>
              <w:t xml:space="preserve"> </w:t>
            </w:r>
            <w:r w:rsidR="0099290A">
              <w:rPr>
                <w:rFonts w:ascii="Arial" w:eastAsia="Calibri" w:hAnsi="Arial" w:cs="Arial"/>
                <w:szCs w:val="24"/>
                <w:lang w:eastAsia="en-US"/>
              </w:rPr>
              <w:t xml:space="preserve">slight </w:t>
            </w:r>
            <w:r w:rsidR="00460F18" w:rsidRPr="002579AF">
              <w:rPr>
                <w:rFonts w:ascii="Arial" w:eastAsia="Calibri" w:hAnsi="Arial" w:cs="Arial"/>
                <w:szCs w:val="24"/>
                <w:lang w:eastAsia="en-US"/>
              </w:rPr>
              <w:t>reduction</w:t>
            </w:r>
            <w:r w:rsidR="00D23435" w:rsidRPr="002579AF">
              <w:rPr>
                <w:rFonts w:ascii="Arial" w:eastAsia="Calibri" w:hAnsi="Arial" w:cs="Arial"/>
                <w:szCs w:val="24"/>
                <w:lang w:eastAsia="en-US"/>
              </w:rPr>
              <w:t xml:space="preserve"> in the absence rate </w:t>
            </w:r>
            <w:r w:rsidR="00C3461A" w:rsidRPr="002579AF">
              <w:rPr>
                <w:rFonts w:ascii="Arial" w:eastAsia="Calibri" w:hAnsi="Arial" w:cs="Arial"/>
                <w:szCs w:val="24"/>
                <w:lang w:eastAsia="en-US"/>
              </w:rPr>
              <w:t xml:space="preserve">of </w:t>
            </w:r>
            <w:r w:rsidR="00BB0395" w:rsidRPr="0099290A">
              <w:rPr>
                <w:rFonts w:ascii="Arial" w:eastAsia="Calibri" w:hAnsi="Arial" w:cs="Arial"/>
                <w:szCs w:val="24"/>
                <w:lang w:eastAsia="en-US"/>
              </w:rPr>
              <w:t>0.</w:t>
            </w:r>
            <w:r w:rsidR="0099290A">
              <w:rPr>
                <w:rFonts w:ascii="Arial" w:eastAsia="Calibri" w:hAnsi="Arial" w:cs="Arial"/>
                <w:szCs w:val="24"/>
                <w:lang w:eastAsia="en-US"/>
              </w:rPr>
              <w:t>07</w:t>
            </w:r>
            <w:r w:rsidR="00BB0395" w:rsidRPr="002579AF">
              <w:rPr>
                <w:rFonts w:ascii="Arial" w:eastAsia="Calibri" w:hAnsi="Arial" w:cs="Arial"/>
                <w:szCs w:val="24"/>
                <w:lang w:eastAsia="en-US"/>
              </w:rPr>
              <w:t>% (</w:t>
            </w:r>
            <w:r w:rsidR="0099290A">
              <w:rPr>
                <w:rFonts w:ascii="Arial" w:eastAsia="Calibri" w:hAnsi="Arial" w:cs="Arial"/>
                <w:szCs w:val="24"/>
                <w:lang w:eastAsia="en-US"/>
              </w:rPr>
              <w:t xml:space="preserve">and a very slight increase of </w:t>
            </w:r>
            <w:r w:rsidR="00C3461A" w:rsidRPr="002579AF">
              <w:rPr>
                <w:rFonts w:ascii="Arial" w:eastAsia="Calibri" w:hAnsi="Arial" w:cs="Arial"/>
                <w:szCs w:val="24"/>
                <w:lang w:eastAsia="en-US"/>
              </w:rPr>
              <w:t>0.</w:t>
            </w:r>
            <w:r w:rsidR="0099290A">
              <w:rPr>
                <w:rFonts w:ascii="Arial" w:eastAsia="Calibri" w:hAnsi="Arial" w:cs="Arial"/>
                <w:szCs w:val="24"/>
                <w:lang w:eastAsia="en-US"/>
              </w:rPr>
              <w:t>01</w:t>
            </w:r>
            <w:r w:rsidR="00C3461A" w:rsidRPr="002579AF">
              <w:rPr>
                <w:rFonts w:ascii="Arial" w:eastAsia="Calibri" w:hAnsi="Arial" w:cs="Arial"/>
                <w:szCs w:val="24"/>
                <w:lang w:eastAsia="en-US"/>
              </w:rPr>
              <w:t>%</w:t>
            </w:r>
            <w:r w:rsidR="00BB0395" w:rsidRPr="002579AF">
              <w:rPr>
                <w:rFonts w:ascii="Arial" w:eastAsia="Calibri" w:hAnsi="Arial" w:cs="Arial"/>
                <w:szCs w:val="24"/>
                <w:lang w:eastAsia="en-US"/>
              </w:rPr>
              <w:t xml:space="preserve"> if Inverness Leisure is excluded)</w:t>
            </w:r>
            <w:r w:rsidR="00D23435" w:rsidRPr="002579AF">
              <w:rPr>
                <w:rFonts w:ascii="Arial" w:eastAsia="Calibri" w:hAnsi="Arial" w:cs="Arial"/>
                <w:szCs w:val="24"/>
                <w:lang w:eastAsia="en-US"/>
              </w:rPr>
              <w:t xml:space="preserve"> </w:t>
            </w:r>
            <w:r w:rsidR="0042698E" w:rsidRPr="002579AF">
              <w:rPr>
                <w:rFonts w:ascii="Arial" w:eastAsia="Calibri" w:hAnsi="Arial" w:cs="Arial"/>
                <w:szCs w:val="24"/>
                <w:lang w:eastAsia="en-US"/>
              </w:rPr>
              <w:t>from the previous quarter</w:t>
            </w:r>
            <w:r w:rsidR="00C3461A" w:rsidRPr="002579AF">
              <w:rPr>
                <w:rFonts w:ascii="Arial" w:eastAsia="Calibri" w:hAnsi="Arial" w:cs="Arial"/>
                <w:szCs w:val="24"/>
                <w:lang w:eastAsia="en-US"/>
              </w:rPr>
              <w:t xml:space="preserve"> to </w:t>
            </w:r>
            <w:r w:rsidR="0099290A">
              <w:rPr>
                <w:rFonts w:ascii="Arial" w:eastAsia="Calibri" w:hAnsi="Arial" w:cs="Arial"/>
                <w:szCs w:val="24"/>
                <w:lang w:eastAsia="en-US"/>
              </w:rPr>
              <w:t>3.02</w:t>
            </w:r>
            <w:r w:rsidR="00C3461A" w:rsidRPr="002579AF">
              <w:rPr>
                <w:rFonts w:ascii="Arial" w:eastAsia="Calibri" w:hAnsi="Arial" w:cs="Arial"/>
                <w:szCs w:val="24"/>
                <w:lang w:eastAsia="en-US"/>
              </w:rPr>
              <w:t>%</w:t>
            </w:r>
            <w:r w:rsidR="00BB0395" w:rsidRPr="002579AF">
              <w:rPr>
                <w:rFonts w:ascii="Arial" w:eastAsia="Calibri" w:hAnsi="Arial" w:cs="Arial"/>
                <w:szCs w:val="24"/>
                <w:lang w:eastAsia="en-US"/>
              </w:rPr>
              <w:t xml:space="preserve"> (</w:t>
            </w:r>
            <w:r w:rsidR="002579AF" w:rsidRPr="002579AF">
              <w:rPr>
                <w:rFonts w:ascii="Arial" w:eastAsia="Calibri" w:hAnsi="Arial" w:cs="Arial"/>
                <w:szCs w:val="24"/>
                <w:lang w:eastAsia="en-US"/>
              </w:rPr>
              <w:t>2.</w:t>
            </w:r>
            <w:r w:rsidR="0099290A">
              <w:rPr>
                <w:rFonts w:ascii="Arial" w:eastAsia="Calibri" w:hAnsi="Arial" w:cs="Arial"/>
                <w:szCs w:val="24"/>
                <w:lang w:eastAsia="en-US"/>
              </w:rPr>
              <w:t>78</w:t>
            </w:r>
            <w:r w:rsidR="00BB0395" w:rsidRPr="002579AF">
              <w:rPr>
                <w:rFonts w:ascii="Arial" w:eastAsia="Calibri" w:hAnsi="Arial" w:cs="Arial"/>
                <w:szCs w:val="24"/>
                <w:lang w:eastAsia="en-US"/>
              </w:rPr>
              <w:t>%)</w:t>
            </w:r>
            <w:r w:rsidR="00D23435" w:rsidRPr="002579AF">
              <w:rPr>
                <w:rFonts w:ascii="Arial" w:eastAsia="Calibri" w:hAnsi="Arial" w:cs="Arial"/>
                <w:szCs w:val="24"/>
                <w:lang w:eastAsia="en-US"/>
              </w:rPr>
              <w:t>.</w:t>
            </w:r>
          </w:p>
          <w:p w:rsidR="002A51F9" w:rsidRDefault="002A51F9" w:rsidP="00200C8E">
            <w:pPr>
              <w:jc w:val="both"/>
              <w:rPr>
                <w:rFonts w:ascii="Arial" w:eastAsia="Calibri" w:hAnsi="Arial" w:cs="Arial"/>
                <w:szCs w:val="24"/>
                <w:lang w:eastAsia="en-US"/>
              </w:rPr>
            </w:pPr>
          </w:p>
          <w:p w:rsidR="00200C8E" w:rsidRPr="00920271" w:rsidRDefault="00E45F94" w:rsidP="00200C8E">
            <w:pPr>
              <w:jc w:val="both"/>
              <w:rPr>
                <w:rFonts w:ascii="Arial" w:eastAsia="Calibri" w:hAnsi="Arial" w:cs="Arial"/>
                <w:szCs w:val="24"/>
                <w:lang w:eastAsia="en-US"/>
              </w:rPr>
            </w:pPr>
            <w:r>
              <w:rPr>
                <w:rFonts w:ascii="Arial" w:eastAsia="Calibri" w:hAnsi="Arial" w:cs="Arial"/>
                <w:szCs w:val="24"/>
                <w:lang w:eastAsia="en-US"/>
              </w:rPr>
              <w:t>O</w:t>
            </w:r>
            <w:r w:rsidR="002245D8">
              <w:rPr>
                <w:rFonts w:ascii="Arial" w:eastAsia="Calibri" w:hAnsi="Arial" w:cs="Arial"/>
                <w:szCs w:val="24"/>
                <w:lang w:eastAsia="en-US"/>
              </w:rPr>
              <w:t xml:space="preserve">f the </w:t>
            </w:r>
            <w:r w:rsidR="0099290A">
              <w:rPr>
                <w:rFonts w:ascii="Arial" w:eastAsia="Calibri" w:hAnsi="Arial" w:cs="Arial"/>
                <w:szCs w:val="24"/>
                <w:lang w:eastAsia="en-US"/>
              </w:rPr>
              <w:t>3.02</w:t>
            </w:r>
            <w:r w:rsidR="002245D8" w:rsidRPr="002579AF">
              <w:rPr>
                <w:rFonts w:ascii="Arial" w:eastAsia="Calibri" w:hAnsi="Arial" w:cs="Arial"/>
                <w:szCs w:val="24"/>
                <w:lang w:eastAsia="en-US"/>
              </w:rPr>
              <w:t xml:space="preserve">% </w:t>
            </w:r>
            <w:r w:rsidR="002245D8">
              <w:rPr>
                <w:rFonts w:ascii="Arial" w:eastAsia="Calibri" w:hAnsi="Arial" w:cs="Arial"/>
                <w:szCs w:val="24"/>
                <w:lang w:eastAsia="en-US"/>
              </w:rPr>
              <w:t xml:space="preserve">headline </w:t>
            </w:r>
            <w:r w:rsidR="002245D8" w:rsidRPr="002579AF">
              <w:rPr>
                <w:rFonts w:ascii="Arial" w:eastAsia="Calibri" w:hAnsi="Arial" w:cs="Arial"/>
                <w:szCs w:val="24"/>
                <w:lang w:eastAsia="en-US"/>
              </w:rPr>
              <w:t xml:space="preserve">figure, </w:t>
            </w:r>
            <w:r w:rsidR="0099290A">
              <w:rPr>
                <w:rFonts w:ascii="Arial" w:eastAsia="Calibri" w:hAnsi="Arial" w:cs="Arial"/>
                <w:szCs w:val="24"/>
                <w:lang w:eastAsia="en-US"/>
              </w:rPr>
              <w:t>2.12</w:t>
            </w:r>
            <w:r w:rsidR="002245D8" w:rsidRPr="002579AF">
              <w:rPr>
                <w:rFonts w:ascii="Arial" w:eastAsia="Calibri" w:hAnsi="Arial" w:cs="Arial"/>
                <w:szCs w:val="24"/>
                <w:lang w:eastAsia="en-US"/>
              </w:rPr>
              <w:t xml:space="preserve">% </w:t>
            </w:r>
            <w:r w:rsidR="002245D8">
              <w:rPr>
                <w:rFonts w:ascii="Arial" w:eastAsia="Calibri" w:hAnsi="Arial" w:cs="Arial"/>
                <w:szCs w:val="24"/>
                <w:lang w:eastAsia="en-US"/>
              </w:rPr>
              <w:t xml:space="preserve">was due to long term absence (10 consecutive work days </w:t>
            </w:r>
            <w:r w:rsidR="005F4B50">
              <w:rPr>
                <w:rFonts w:ascii="Arial" w:eastAsia="Calibri" w:hAnsi="Arial" w:cs="Arial"/>
                <w:szCs w:val="24"/>
                <w:lang w:eastAsia="en-US"/>
              </w:rPr>
              <w:t xml:space="preserve">or more).  </w:t>
            </w:r>
            <w:r w:rsidR="002245D8">
              <w:rPr>
                <w:rFonts w:ascii="Arial" w:eastAsia="Calibri" w:hAnsi="Arial" w:cs="Arial"/>
                <w:szCs w:val="24"/>
                <w:lang w:eastAsia="en-US"/>
              </w:rPr>
              <w:t xml:space="preserve">  </w:t>
            </w:r>
          </w:p>
          <w:p w:rsidR="00E45F94" w:rsidRDefault="00E45F94" w:rsidP="00E75F39">
            <w:pPr>
              <w:jc w:val="both"/>
              <w:rPr>
                <w:rFonts w:ascii="Arial" w:eastAsia="Calibri" w:hAnsi="Arial" w:cs="Arial"/>
                <w:szCs w:val="24"/>
                <w:lang w:eastAsia="en-US"/>
              </w:rPr>
            </w:pPr>
            <w:r>
              <w:rPr>
                <w:rFonts w:ascii="Arial" w:eastAsia="Calibri" w:hAnsi="Arial" w:cs="Arial"/>
                <w:szCs w:val="24"/>
                <w:lang w:eastAsia="en-US"/>
              </w:rPr>
              <w:t xml:space="preserve"> </w:t>
            </w:r>
          </w:p>
          <w:p w:rsidR="00F77121" w:rsidRDefault="0042698E" w:rsidP="00E75F39">
            <w:pPr>
              <w:jc w:val="both"/>
              <w:rPr>
                <w:rFonts w:ascii="Arial" w:eastAsia="Calibri" w:hAnsi="Arial" w:cs="Arial"/>
                <w:szCs w:val="24"/>
                <w:lang w:eastAsia="en-US"/>
              </w:rPr>
            </w:pPr>
            <w:r w:rsidRPr="00920271">
              <w:rPr>
                <w:rFonts w:ascii="Arial" w:eastAsia="Calibri" w:hAnsi="Arial" w:cs="Arial"/>
                <w:szCs w:val="24"/>
                <w:lang w:eastAsia="en-US"/>
              </w:rPr>
              <w:t>Line Managers, with the support of HR and Occupational Health</w:t>
            </w:r>
            <w:r w:rsidR="004E4B5E">
              <w:rPr>
                <w:rFonts w:ascii="Arial" w:eastAsia="Calibri" w:hAnsi="Arial" w:cs="Arial"/>
                <w:szCs w:val="24"/>
                <w:lang w:eastAsia="en-US"/>
              </w:rPr>
              <w:t>,</w:t>
            </w:r>
            <w:r w:rsidRPr="00920271">
              <w:rPr>
                <w:rFonts w:ascii="Arial" w:eastAsia="Calibri" w:hAnsi="Arial" w:cs="Arial"/>
                <w:szCs w:val="24"/>
                <w:lang w:eastAsia="en-US"/>
              </w:rPr>
              <w:t xml:space="preserve"> continue to manage each absence according</w:t>
            </w:r>
            <w:r w:rsidR="007E7860" w:rsidRPr="00920271">
              <w:rPr>
                <w:rFonts w:ascii="Arial" w:eastAsia="Calibri" w:hAnsi="Arial" w:cs="Arial"/>
                <w:szCs w:val="24"/>
                <w:lang w:eastAsia="en-US"/>
              </w:rPr>
              <w:t xml:space="preserve"> to their individual circumstances.</w:t>
            </w:r>
            <w:r w:rsidR="008F66E6">
              <w:rPr>
                <w:rFonts w:ascii="Arial" w:eastAsia="Calibri" w:hAnsi="Arial" w:cs="Arial"/>
                <w:szCs w:val="24"/>
                <w:lang w:eastAsia="en-US"/>
              </w:rPr>
              <w:t xml:space="preserve">  </w:t>
            </w:r>
          </w:p>
          <w:p w:rsidR="0002167E" w:rsidRDefault="0002167E" w:rsidP="00474274">
            <w:pPr>
              <w:jc w:val="both"/>
              <w:rPr>
                <w:rFonts w:ascii="Arial" w:hAnsi="Arial" w:cs="Arial"/>
                <w:szCs w:val="24"/>
                <w:u w:val="single"/>
              </w:rPr>
            </w:pPr>
          </w:p>
          <w:p w:rsidR="00EB524F" w:rsidRDefault="00EB524F" w:rsidP="00474274">
            <w:pPr>
              <w:jc w:val="both"/>
              <w:rPr>
                <w:rFonts w:ascii="Arial" w:hAnsi="Arial" w:cs="Arial"/>
                <w:szCs w:val="24"/>
                <w:u w:val="single"/>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lastRenderedPageBreak/>
              <w:t>Discipline</w:t>
            </w:r>
          </w:p>
          <w:p w:rsidR="0002167E" w:rsidRDefault="0002167E" w:rsidP="00474274">
            <w:pPr>
              <w:jc w:val="both"/>
              <w:rPr>
                <w:rFonts w:ascii="Arial" w:hAnsi="Arial" w:cs="Arial"/>
                <w:color w:val="FF0000"/>
                <w:szCs w:val="24"/>
              </w:rPr>
            </w:pPr>
          </w:p>
          <w:p w:rsidR="0002167E" w:rsidRPr="0002167E" w:rsidRDefault="006F5801" w:rsidP="00474274">
            <w:pPr>
              <w:jc w:val="both"/>
              <w:rPr>
                <w:rFonts w:ascii="Arial" w:hAnsi="Arial" w:cs="Arial"/>
                <w:szCs w:val="24"/>
              </w:rPr>
            </w:pPr>
            <w:r w:rsidRPr="0002167E">
              <w:rPr>
                <w:rFonts w:ascii="Arial" w:hAnsi="Arial" w:cs="Arial"/>
                <w:szCs w:val="24"/>
              </w:rPr>
              <w:t>There w</w:t>
            </w:r>
            <w:r w:rsidR="00C14B28" w:rsidRPr="0002167E">
              <w:rPr>
                <w:rFonts w:ascii="Arial" w:hAnsi="Arial" w:cs="Arial"/>
                <w:szCs w:val="24"/>
              </w:rPr>
              <w:t>ere</w:t>
            </w:r>
            <w:r w:rsidR="00610457" w:rsidRPr="0002167E">
              <w:rPr>
                <w:rFonts w:ascii="Arial" w:hAnsi="Arial" w:cs="Arial"/>
                <w:szCs w:val="24"/>
              </w:rPr>
              <w:t xml:space="preserve"> </w:t>
            </w:r>
            <w:r w:rsidR="0002167E" w:rsidRPr="0002167E">
              <w:rPr>
                <w:rFonts w:ascii="Arial" w:hAnsi="Arial" w:cs="Arial"/>
                <w:szCs w:val="24"/>
              </w:rPr>
              <w:t>2</w:t>
            </w:r>
            <w:r w:rsidRPr="0002167E">
              <w:rPr>
                <w:rFonts w:ascii="Arial" w:hAnsi="Arial" w:cs="Arial"/>
                <w:szCs w:val="24"/>
              </w:rPr>
              <w:t xml:space="preserve"> disciplinary </w:t>
            </w:r>
            <w:r w:rsidR="004F64EA" w:rsidRPr="0002167E">
              <w:rPr>
                <w:rFonts w:ascii="Arial" w:hAnsi="Arial" w:cs="Arial"/>
                <w:szCs w:val="24"/>
              </w:rPr>
              <w:t>issues</w:t>
            </w:r>
            <w:r w:rsidR="006C09E9" w:rsidRPr="0002167E">
              <w:rPr>
                <w:rFonts w:ascii="Arial" w:hAnsi="Arial" w:cs="Arial"/>
                <w:szCs w:val="24"/>
              </w:rPr>
              <w:t xml:space="preserve"> that arose</w:t>
            </w:r>
            <w:r w:rsidR="00CF0B36" w:rsidRPr="0002167E">
              <w:rPr>
                <w:rFonts w:ascii="Arial" w:hAnsi="Arial" w:cs="Arial"/>
                <w:szCs w:val="24"/>
              </w:rPr>
              <w:t xml:space="preserve"> </w:t>
            </w:r>
            <w:r w:rsidR="002A51F9" w:rsidRPr="0002167E">
              <w:rPr>
                <w:rFonts w:ascii="Arial" w:hAnsi="Arial" w:cs="Arial"/>
                <w:szCs w:val="24"/>
              </w:rPr>
              <w:t>during</w:t>
            </w:r>
            <w:r w:rsidR="00CF0B36" w:rsidRPr="0002167E">
              <w:rPr>
                <w:rFonts w:ascii="Arial" w:hAnsi="Arial" w:cs="Arial"/>
                <w:szCs w:val="24"/>
              </w:rPr>
              <w:t xml:space="preserve"> quarter </w:t>
            </w:r>
            <w:r w:rsidR="004823C2" w:rsidRPr="0002167E">
              <w:rPr>
                <w:rFonts w:ascii="Arial" w:hAnsi="Arial" w:cs="Arial"/>
                <w:szCs w:val="24"/>
              </w:rPr>
              <w:t>3</w:t>
            </w:r>
            <w:r w:rsidRPr="0002167E">
              <w:rPr>
                <w:rFonts w:ascii="Arial" w:hAnsi="Arial" w:cs="Arial"/>
                <w:szCs w:val="24"/>
              </w:rPr>
              <w:t xml:space="preserve"> </w:t>
            </w:r>
            <w:r w:rsidR="00200C8E" w:rsidRPr="0002167E">
              <w:rPr>
                <w:rFonts w:ascii="Arial" w:hAnsi="Arial" w:cs="Arial"/>
                <w:szCs w:val="24"/>
              </w:rPr>
              <w:t>2016/17</w:t>
            </w:r>
            <w:r w:rsidRPr="0002167E">
              <w:rPr>
                <w:rFonts w:ascii="Arial" w:hAnsi="Arial" w:cs="Arial"/>
                <w:szCs w:val="24"/>
              </w:rPr>
              <w:t xml:space="preserve">. </w:t>
            </w:r>
            <w:r w:rsidR="006C09E9" w:rsidRPr="0002167E">
              <w:rPr>
                <w:rFonts w:ascii="Arial" w:hAnsi="Arial" w:cs="Arial"/>
                <w:szCs w:val="24"/>
              </w:rPr>
              <w:t xml:space="preserve"> </w:t>
            </w:r>
            <w:r w:rsidR="0002167E" w:rsidRPr="0002167E">
              <w:rPr>
                <w:rFonts w:ascii="Arial" w:hAnsi="Arial" w:cs="Arial"/>
                <w:szCs w:val="24"/>
              </w:rPr>
              <w:t>Both were dealt with informally with no further action required.</w:t>
            </w:r>
          </w:p>
          <w:p w:rsidR="0002167E" w:rsidRDefault="0002167E" w:rsidP="00474274">
            <w:pPr>
              <w:jc w:val="both"/>
              <w:rPr>
                <w:rFonts w:ascii="Arial" w:hAnsi="Arial" w:cs="Arial"/>
                <w:color w:val="FF0000"/>
                <w:szCs w:val="24"/>
              </w:rPr>
            </w:pPr>
          </w:p>
          <w:p w:rsidR="006F5801" w:rsidRPr="0002167E" w:rsidRDefault="006F5801" w:rsidP="00474274">
            <w:pPr>
              <w:jc w:val="both"/>
              <w:rPr>
                <w:rFonts w:ascii="Arial" w:hAnsi="Arial" w:cs="Arial"/>
                <w:szCs w:val="24"/>
              </w:rPr>
            </w:pPr>
            <w:r w:rsidRPr="00265F13">
              <w:rPr>
                <w:rFonts w:ascii="Arial" w:hAnsi="Arial" w:cs="Arial"/>
                <w:szCs w:val="24"/>
                <w:u w:val="single"/>
              </w:rPr>
              <w:t>Grievance</w:t>
            </w:r>
          </w:p>
          <w:p w:rsidR="0002167E" w:rsidRDefault="0002167E" w:rsidP="006C09E9">
            <w:pPr>
              <w:jc w:val="both"/>
              <w:rPr>
                <w:rFonts w:ascii="Arial" w:hAnsi="Arial" w:cs="Arial"/>
                <w:color w:val="FF0000"/>
                <w:szCs w:val="24"/>
              </w:rPr>
            </w:pPr>
          </w:p>
          <w:p w:rsidR="00810982" w:rsidRPr="0002167E" w:rsidRDefault="006F5801" w:rsidP="006C09E9">
            <w:pPr>
              <w:jc w:val="both"/>
              <w:rPr>
                <w:rFonts w:ascii="Arial" w:hAnsi="Arial" w:cs="Arial"/>
                <w:szCs w:val="24"/>
              </w:rPr>
            </w:pPr>
            <w:r w:rsidRPr="0002167E">
              <w:rPr>
                <w:rFonts w:ascii="Arial" w:hAnsi="Arial" w:cs="Arial"/>
                <w:szCs w:val="24"/>
              </w:rPr>
              <w:t xml:space="preserve">There </w:t>
            </w:r>
            <w:r w:rsidR="00610457" w:rsidRPr="0002167E">
              <w:rPr>
                <w:rFonts w:ascii="Arial" w:hAnsi="Arial" w:cs="Arial"/>
                <w:szCs w:val="24"/>
              </w:rPr>
              <w:t>w</w:t>
            </w:r>
            <w:r w:rsidR="00AB772D" w:rsidRPr="0002167E">
              <w:rPr>
                <w:rFonts w:ascii="Arial" w:hAnsi="Arial" w:cs="Arial"/>
                <w:szCs w:val="24"/>
              </w:rPr>
              <w:t>ere</w:t>
            </w:r>
            <w:r w:rsidR="00A01760" w:rsidRPr="0002167E">
              <w:rPr>
                <w:rFonts w:ascii="Arial" w:hAnsi="Arial" w:cs="Arial"/>
                <w:szCs w:val="24"/>
              </w:rPr>
              <w:t xml:space="preserve"> </w:t>
            </w:r>
            <w:r w:rsidR="00AB772D" w:rsidRPr="0002167E">
              <w:rPr>
                <w:rFonts w:ascii="Arial" w:hAnsi="Arial" w:cs="Arial"/>
                <w:szCs w:val="24"/>
              </w:rPr>
              <w:t>no</w:t>
            </w:r>
            <w:r w:rsidRPr="0002167E">
              <w:rPr>
                <w:rFonts w:ascii="Arial" w:hAnsi="Arial" w:cs="Arial"/>
                <w:szCs w:val="24"/>
              </w:rPr>
              <w:t xml:space="preserve"> </w:t>
            </w:r>
            <w:r w:rsidR="007B2FE1" w:rsidRPr="0002167E">
              <w:rPr>
                <w:rFonts w:ascii="Arial" w:hAnsi="Arial" w:cs="Arial"/>
                <w:szCs w:val="24"/>
              </w:rPr>
              <w:t xml:space="preserve">formal </w:t>
            </w:r>
            <w:r w:rsidRPr="0002167E">
              <w:rPr>
                <w:rFonts w:ascii="Arial" w:hAnsi="Arial" w:cs="Arial"/>
                <w:szCs w:val="24"/>
              </w:rPr>
              <w:t xml:space="preserve">grievance </w:t>
            </w:r>
            <w:r w:rsidR="00AB772D" w:rsidRPr="0002167E">
              <w:rPr>
                <w:rFonts w:ascii="Arial" w:hAnsi="Arial" w:cs="Arial"/>
                <w:szCs w:val="24"/>
              </w:rPr>
              <w:t xml:space="preserve">issues </w:t>
            </w:r>
            <w:r w:rsidR="006C09E9" w:rsidRPr="0002167E">
              <w:rPr>
                <w:rFonts w:ascii="Arial" w:hAnsi="Arial" w:cs="Arial"/>
                <w:szCs w:val="24"/>
              </w:rPr>
              <w:t>raised during</w:t>
            </w:r>
            <w:r w:rsidRPr="0002167E">
              <w:rPr>
                <w:rFonts w:ascii="Arial" w:hAnsi="Arial" w:cs="Arial"/>
                <w:szCs w:val="24"/>
              </w:rPr>
              <w:t xml:space="preserve"> </w:t>
            </w:r>
            <w:r w:rsidR="00CF0B36" w:rsidRPr="0002167E">
              <w:rPr>
                <w:rFonts w:ascii="Arial" w:hAnsi="Arial" w:cs="Arial"/>
                <w:szCs w:val="24"/>
              </w:rPr>
              <w:t xml:space="preserve">quarter </w:t>
            </w:r>
            <w:r w:rsidR="0002167E" w:rsidRPr="0002167E">
              <w:rPr>
                <w:rFonts w:ascii="Arial" w:hAnsi="Arial" w:cs="Arial"/>
                <w:szCs w:val="24"/>
              </w:rPr>
              <w:t xml:space="preserve">3 </w:t>
            </w:r>
            <w:r w:rsidRPr="0002167E">
              <w:rPr>
                <w:rFonts w:ascii="Arial" w:hAnsi="Arial" w:cs="Arial"/>
                <w:szCs w:val="24"/>
              </w:rPr>
              <w:t>201</w:t>
            </w:r>
            <w:r w:rsidR="008F66E6" w:rsidRPr="0002167E">
              <w:rPr>
                <w:rFonts w:ascii="Arial" w:hAnsi="Arial" w:cs="Arial"/>
                <w:szCs w:val="24"/>
              </w:rPr>
              <w:t>6</w:t>
            </w:r>
            <w:r w:rsidR="00200C8E" w:rsidRPr="0002167E">
              <w:rPr>
                <w:rFonts w:ascii="Arial" w:hAnsi="Arial" w:cs="Arial"/>
                <w:szCs w:val="24"/>
              </w:rPr>
              <w:t>/17</w:t>
            </w:r>
            <w:r w:rsidRPr="0002167E">
              <w:rPr>
                <w:rFonts w:ascii="Arial" w:hAnsi="Arial" w:cs="Arial"/>
                <w:szCs w:val="24"/>
              </w:rPr>
              <w:t xml:space="preserve">.  </w:t>
            </w:r>
          </w:p>
          <w:p w:rsidR="00465229" w:rsidRPr="007214D1" w:rsidRDefault="00465229" w:rsidP="002959EE">
            <w:pPr>
              <w:jc w:val="both"/>
              <w:rPr>
                <w:rFonts w:ascii="Arial" w:hAnsi="Arial" w:cs="Arial"/>
                <w:szCs w:val="24"/>
              </w:rPr>
            </w:pPr>
          </w:p>
        </w:tc>
      </w:tr>
      <w:tr w:rsidR="002959EE" w:rsidRPr="007214D1" w:rsidTr="002959EE">
        <w:trPr>
          <w:trHeight w:val="984"/>
        </w:trPr>
        <w:tc>
          <w:tcPr>
            <w:tcW w:w="817" w:type="dxa"/>
          </w:tcPr>
          <w:p w:rsidR="002959EE" w:rsidRDefault="002959EE" w:rsidP="00416BFF">
            <w:pPr>
              <w:rPr>
                <w:rFonts w:ascii="Arial" w:hAnsi="Arial" w:cs="Arial"/>
                <w:szCs w:val="24"/>
              </w:rPr>
            </w:pPr>
            <w:r>
              <w:rPr>
                <w:rFonts w:ascii="Arial" w:hAnsi="Arial" w:cs="Arial"/>
                <w:szCs w:val="24"/>
              </w:rPr>
              <w:lastRenderedPageBreak/>
              <w:t>3.5</w:t>
            </w:r>
          </w:p>
          <w:p w:rsidR="002959EE" w:rsidRDefault="002959EE" w:rsidP="00416BFF">
            <w:pPr>
              <w:rPr>
                <w:rFonts w:ascii="Arial" w:hAnsi="Arial" w:cs="Arial"/>
                <w:szCs w:val="24"/>
              </w:rPr>
            </w:pPr>
          </w:p>
          <w:p w:rsidR="002959EE" w:rsidRDefault="002959EE" w:rsidP="00416BFF">
            <w:pPr>
              <w:rPr>
                <w:rFonts w:ascii="Arial" w:hAnsi="Arial" w:cs="Arial"/>
                <w:szCs w:val="24"/>
              </w:rPr>
            </w:pPr>
            <w:r>
              <w:rPr>
                <w:rFonts w:ascii="Arial" w:hAnsi="Arial" w:cs="Arial"/>
                <w:szCs w:val="24"/>
              </w:rPr>
              <w:t>3.5.1</w:t>
            </w:r>
          </w:p>
        </w:tc>
        <w:tc>
          <w:tcPr>
            <w:tcW w:w="8647" w:type="dxa"/>
          </w:tcPr>
          <w:p w:rsidR="002959EE" w:rsidRPr="00265F13" w:rsidRDefault="002959EE" w:rsidP="002959EE">
            <w:pPr>
              <w:jc w:val="both"/>
              <w:rPr>
                <w:rFonts w:ascii="Arial" w:hAnsi="Arial" w:cs="Arial"/>
                <w:szCs w:val="24"/>
                <w:u w:val="single"/>
              </w:rPr>
            </w:pPr>
            <w:r w:rsidRPr="00265F13">
              <w:rPr>
                <w:rFonts w:ascii="Arial" w:hAnsi="Arial" w:cs="Arial"/>
                <w:szCs w:val="24"/>
                <w:u w:val="single"/>
              </w:rPr>
              <w:t>Harassment</w:t>
            </w:r>
          </w:p>
          <w:p w:rsidR="002959EE" w:rsidRDefault="002959EE" w:rsidP="002959EE">
            <w:pPr>
              <w:jc w:val="both"/>
              <w:rPr>
                <w:rFonts w:ascii="Arial" w:hAnsi="Arial" w:cs="Arial"/>
                <w:szCs w:val="24"/>
              </w:rPr>
            </w:pPr>
          </w:p>
          <w:p w:rsidR="002959EE" w:rsidRDefault="002959EE" w:rsidP="002959EE">
            <w:pPr>
              <w:jc w:val="both"/>
              <w:rPr>
                <w:rFonts w:ascii="Arial" w:hAnsi="Arial" w:cs="Arial"/>
                <w:szCs w:val="24"/>
              </w:rPr>
            </w:pPr>
            <w:r w:rsidRPr="00791D36">
              <w:rPr>
                <w:rFonts w:ascii="Arial" w:hAnsi="Arial" w:cs="Arial"/>
                <w:szCs w:val="24"/>
              </w:rPr>
              <w:t>There were no h</w:t>
            </w:r>
            <w:r>
              <w:rPr>
                <w:rFonts w:ascii="Arial" w:hAnsi="Arial" w:cs="Arial"/>
                <w:szCs w:val="24"/>
              </w:rPr>
              <w:t xml:space="preserve">arassment issues raised during quarter </w:t>
            </w:r>
            <w:r w:rsidR="004823C2">
              <w:rPr>
                <w:rFonts w:ascii="Arial" w:hAnsi="Arial" w:cs="Arial"/>
                <w:szCs w:val="24"/>
              </w:rPr>
              <w:t>3</w:t>
            </w:r>
            <w:r w:rsidRPr="00791D36">
              <w:rPr>
                <w:rFonts w:ascii="Arial" w:hAnsi="Arial" w:cs="Arial"/>
                <w:szCs w:val="24"/>
              </w:rPr>
              <w:t xml:space="preserve"> in 201</w:t>
            </w:r>
            <w:r>
              <w:rPr>
                <w:rFonts w:ascii="Arial" w:hAnsi="Arial" w:cs="Arial"/>
                <w:szCs w:val="24"/>
              </w:rPr>
              <w:t>6/17</w:t>
            </w:r>
            <w:r w:rsidRPr="00791D36">
              <w:rPr>
                <w:rFonts w:ascii="Arial" w:hAnsi="Arial" w:cs="Arial"/>
                <w:szCs w:val="24"/>
              </w:rPr>
              <w:t>.</w:t>
            </w:r>
          </w:p>
          <w:p w:rsidR="002959EE" w:rsidRPr="00265F13" w:rsidRDefault="002959EE" w:rsidP="00EF53CD">
            <w:pPr>
              <w:jc w:val="both"/>
              <w:rPr>
                <w:rFonts w:ascii="Arial" w:hAnsi="Arial" w:cs="Arial"/>
                <w:u w:val="single"/>
              </w:rPr>
            </w:pPr>
          </w:p>
        </w:tc>
      </w:tr>
      <w:tr w:rsidR="002959EE" w:rsidRPr="007214D1" w:rsidTr="0045618C">
        <w:trPr>
          <w:trHeight w:val="2551"/>
        </w:trPr>
        <w:tc>
          <w:tcPr>
            <w:tcW w:w="817" w:type="dxa"/>
          </w:tcPr>
          <w:p w:rsidR="002959EE" w:rsidRDefault="002959EE" w:rsidP="00AE7A25">
            <w:pPr>
              <w:rPr>
                <w:rFonts w:ascii="Arial" w:hAnsi="Arial" w:cs="Arial"/>
                <w:szCs w:val="24"/>
              </w:rPr>
            </w:pPr>
            <w:r>
              <w:rPr>
                <w:rFonts w:ascii="Arial" w:hAnsi="Arial" w:cs="Arial"/>
                <w:szCs w:val="24"/>
              </w:rPr>
              <w:t>3.6</w:t>
            </w: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3.6.1</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A51F9" w:rsidRDefault="002A51F9"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3.6.2</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3.6.3</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3.6.4</w:t>
            </w:r>
          </w:p>
          <w:p w:rsidR="002308FC" w:rsidRDefault="002308FC" w:rsidP="00AE7A25">
            <w:pPr>
              <w:rPr>
                <w:rFonts w:ascii="Arial" w:hAnsi="Arial" w:cs="Arial"/>
                <w:szCs w:val="24"/>
              </w:rPr>
            </w:pPr>
          </w:p>
          <w:p w:rsidR="002308FC" w:rsidRPr="002308FC" w:rsidRDefault="002308FC" w:rsidP="00AE7A25">
            <w:pPr>
              <w:rPr>
                <w:rFonts w:ascii="Arial" w:hAnsi="Arial" w:cs="Arial"/>
                <w:b/>
                <w:szCs w:val="24"/>
              </w:rPr>
            </w:pPr>
          </w:p>
        </w:tc>
        <w:tc>
          <w:tcPr>
            <w:tcW w:w="8647" w:type="dxa"/>
          </w:tcPr>
          <w:p w:rsidR="002959EE" w:rsidRPr="00265F13" w:rsidRDefault="002959EE" w:rsidP="00AE7A25">
            <w:pPr>
              <w:jc w:val="both"/>
              <w:rPr>
                <w:rFonts w:ascii="Arial" w:hAnsi="Arial" w:cs="Arial"/>
                <w:szCs w:val="24"/>
                <w:u w:val="single"/>
              </w:rPr>
            </w:pPr>
            <w:r w:rsidRPr="00265F13">
              <w:rPr>
                <w:rFonts w:ascii="Arial" w:hAnsi="Arial" w:cs="Arial"/>
                <w:szCs w:val="24"/>
                <w:u w:val="single"/>
              </w:rPr>
              <w:t xml:space="preserve">Employee relations </w:t>
            </w:r>
          </w:p>
          <w:p w:rsidR="002959EE" w:rsidRDefault="002959EE" w:rsidP="00AE7A25">
            <w:pPr>
              <w:jc w:val="both"/>
              <w:rPr>
                <w:rFonts w:ascii="Arial" w:hAnsi="Arial" w:cs="Arial"/>
                <w:szCs w:val="24"/>
              </w:rPr>
            </w:pPr>
          </w:p>
          <w:p w:rsidR="002959EE" w:rsidRPr="004823C2" w:rsidRDefault="002959EE" w:rsidP="00AE7A25">
            <w:pPr>
              <w:jc w:val="both"/>
              <w:rPr>
                <w:rFonts w:ascii="Arial" w:hAnsi="Arial" w:cs="Arial"/>
                <w:color w:val="FF0000"/>
                <w:szCs w:val="24"/>
              </w:rPr>
            </w:pPr>
            <w:r>
              <w:rPr>
                <w:rFonts w:ascii="Arial" w:hAnsi="Arial" w:cs="Arial"/>
                <w:szCs w:val="24"/>
              </w:rPr>
              <w:t xml:space="preserve">The Company has </w:t>
            </w:r>
            <w:r w:rsidR="002A51F9">
              <w:rPr>
                <w:rFonts w:ascii="Arial" w:hAnsi="Arial" w:cs="Arial"/>
                <w:szCs w:val="24"/>
              </w:rPr>
              <w:t xml:space="preserve">recognised and </w:t>
            </w:r>
            <w:r>
              <w:rPr>
                <w:rFonts w:ascii="Arial" w:hAnsi="Arial" w:cs="Arial"/>
                <w:szCs w:val="24"/>
              </w:rPr>
              <w:t>engaged with three Trade Unions that have members within the organisation, namely Unison, Unite and GMB.  The Company deals with the T</w:t>
            </w:r>
            <w:r w:rsidR="002A51F9">
              <w:rPr>
                <w:rFonts w:ascii="Arial" w:hAnsi="Arial" w:cs="Arial"/>
                <w:szCs w:val="24"/>
              </w:rPr>
              <w:t xml:space="preserve">rade </w:t>
            </w:r>
            <w:r>
              <w:rPr>
                <w:rFonts w:ascii="Arial" w:hAnsi="Arial" w:cs="Arial"/>
                <w:szCs w:val="24"/>
              </w:rPr>
              <w:t>U</w:t>
            </w:r>
            <w:r w:rsidR="002A51F9">
              <w:rPr>
                <w:rFonts w:ascii="Arial" w:hAnsi="Arial" w:cs="Arial"/>
                <w:szCs w:val="24"/>
              </w:rPr>
              <w:t>nion</w:t>
            </w:r>
            <w:r>
              <w:rPr>
                <w:rFonts w:ascii="Arial" w:hAnsi="Arial" w:cs="Arial"/>
                <w:szCs w:val="24"/>
              </w:rPr>
              <w:t xml:space="preserve">s formally through the Joint Consultation </w:t>
            </w:r>
            <w:r w:rsidRPr="00A47B94">
              <w:rPr>
                <w:rFonts w:ascii="Arial" w:hAnsi="Arial" w:cs="Arial"/>
                <w:szCs w:val="24"/>
              </w:rPr>
              <w:t xml:space="preserve">Forum (JCF) which meets quarterly, the last meeting was held on </w:t>
            </w:r>
            <w:r w:rsidR="00324BD2">
              <w:rPr>
                <w:rFonts w:ascii="Arial" w:hAnsi="Arial" w:cs="Arial"/>
                <w:szCs w:val="24"/>
              </w:rPr>
              <w:t>6 December</w:t>
            </w:r>
            <w:r w:rsidR="0002167E">
              <w:rPr>
                <w:rFonts w:ascii="Arial" w:hAnsi="Arial" w:cs="Arial"/>
                <w:szCs w:val="24"/>
              </w:rPr>
              <w:t xml:space="preserve"> 201</w:t>
            </w:r>
            <w:r w:rsidR="00324BD2">
              <w:rPr>
                <w:rFonts w:ascii="Arial" w:hAnsi="Arial" w:cs="Arial"/>
                <w:szCs w:val="24"/>
              </w:rPr>
              <w:t>6</w:t>
            </w:r>
          </w:p>
          <w:p w:rsidR="002959EE" w:rsidRDefault="002959EE" w:rsidP="00AE7A25">
            <w:pPr>
              <w:jc w:val="both"/>
              <w:rPr>
                <w:rFonts w:ascii="Arial" w:hAnsi="Arial" w:cs="Arial"/>
                <w:szCs w:val="24"/>
              </w:rPr>
            </w:pPr>
          </w:p>
          <w:p w:rsidR="002959EE" w:rsidRPr="002308FC" w:rsidRDefault="002959EE" w:rsidP="00AE7A25">
            <w:pPr>
              <w:jc w:val="both"/>
              <w:rPr>
                <w:rFonts w:ascii="Arial" w:hAnsi="Arial" w:cs="Arial"/>
                <w:szCs w:val="24"/>
              </w:rPr>
            </w:pPr>
            <w:r w:rsidRPr="002308FC">
              <w:rPr>
                <w:rFonts w:ascii="Arial" w:hAnsi="Arial" w:cs="Arial"/>
                <w:szCs w:val="24"/>
              </w:rPr>
              <w:t xml:space="preserve">The main discussion areas at this meeting were the </w:t>
            </w:r>
            <w:r w:rsidR="006716D2" w:rsidRPr="002308FC">
              <w:rPr>
                <w:rFonts w:ascii="Arial" w:hAnsi="Arial" w:cs="Arial"/>
                <w:szCs w:val="24"/>
              </w:rPr>
              <w:t>possible</w:t>
            </w:r>
            <w:r w:rsidR="00B03B53" w:rsidRPr="002308FC">
              <w:rPr>
                <w:rFonts w:ascii="Arial" w:hAnsi="Arial" w:cs="Arial"/>
                <w:szCs w:val="24"/>
              </w:rPr>
              <w:t xml:space="preserve"> budget pressures arising from the Council’s financial plan</w:t>
            </w:r>
            <w:r w:rsidR="006716D2" w:rsidRPr="002308FC">
              <w:rPr>
                <w:rFonts w:ascii="Arial" w:hAnsi="Arial" w:cs="Arial"/>
                <w:szCs w:val="24"/>
              </w:rPr>
              <w:t xml:space="preserve">, </w:t>
            </w:r>
            <w:r w:rsidR="002308FC" w:rsidRPr="002308FC">
              <w:rPr>
                <w:rFonts w:ascii="Arial" w:hAnsi="Arial" w:cs="Arial"/>
                <w:szCs w:val="24"/>
              </w:rPr>
              <w:t>some minor issues regarding swim teaching and Christmas closures at Inverness Leisure and proposed updates to the Company’s disciplinary levels of authority.</w:t>
            </w:r>
          </w:p>
          <w:p w:rsidR="006716D2" w:rsidRDefault="006716D2" w:rsidP="00AE7A25">
            <w:pPr>
              <w:jc w:val="both"/>
              <w:rPr>
                <w:rFonts w:ascii="Arial" w:hAnsi="Arial" w:cs="Arial"/>
                <w:szCs w:val="24"/>
              </w:rPr>
            </w:pPr>
          </w:p>
          <w:p w:rsidR="002959EE" w:rsidRDefault="002959EE" w:rsidP="00AE7A25">
            <w:pPr>
              <w:jc w:val="both"/>
              <w:rPr>
                <w:rFonts w:ascii="Arial" w:hAnsi="Arial" w:cs="Arial"/>
                <w:szCs w:val="24"/>
              </w:rPr>
            </w:pPr>
            <w:r w:rsidRPr="004438C9">
              <w:rPr>
                <w:rFonts w:ascii="Arial" w:hAnsi="Arial" w:cs="Arial"/>
                <w:szCs w:val="24"/>
              </w:rPr>
              <w:t>In addition</w:t>
            </w:r>
            <w:r>
              <w:rPr>
                <w:rFonts w:ascii="Arial" w:hAnsi="Arial" w:cs="Arial"/>
                <w:szCs w:val="24"/>
              </w:rPr>
              <w:t xml:space="preserve"> to the JCF</w:t>
            </w:r>
            <w:r w:rsidRPr="004438C9">
              <w:rPr>
                <w:rFonts w:ascii="Arial" w:hAnsi="Arial" w:cs="Arial"/>
                <w:szCs w:val="24"/>
              </w:rPr>
              <w:t xml:space="preserve">, the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 represented on the staff Health and Safety Committee.</w:t>
            </w:r>
            <w:r>
              <w:rPr>
                <w:rFonts w:ascii="Arial" w:hAnsi="Arial" w:cs="Arial"/>
                <w:szCs w:val="24"/>
              </w:rPr>
              <w:t xml:space="preserve">  </w:t>
            </w:r>
          </w:p>
          <w:p w:rsidR="002959EE" w:rsidRDefault="002959EE" w:rsidP="00AE7A25">
            <w:pPr>
              <w:jc w:val="both"/>
              <w:rPr>
                <w:rFonts w:ascii="Arial" w:hAnsi="Arial" w:cs="Arial"/>
                <w:szCs w:val="24"/>
              </w:rPr>
            </w:pPr>
          </w:p>
          <w:p w:rsidR="002959EE" w:rsidRDefault="002959EE" w:rsidP="00AE7A25">
            <w:pPr>
              <w:jc w:val="both"/>
              <w:rPr>
                <w:rFonts w:ascii="Arial" w:hAnsi="Arial" w:cs="Arial"/>
                <w:szCs w:val="24"/>
              </w:rPr>
            </w:pPr>
            <w:r>
              <w:rPr>
                <w:rFonts w:ascii="Arial" w:hAnsi="Arial" w:cs="Arial"/>
                <w:szCs w:val="24"/>
              </w:rPr>
              <w:t>Management also meet with the TUs regularly to discuss other issues (e.g. restructuring proposals, updated working practices, etc.).</w:t>
            </w:r>
          </w:p>
          <w:p w:rsidR="002959EE" w:rsidRPr="00F1364E" w:rsidRDefault="002959EE" w:rsidP="00AE7A25">
            <w:pPr>
              <w:jc w:val="both"/>
              <w:rPr>
                <w:rFonts w:ascii="Arial" w:hAnsi="Arial" w:cs="Arial"/>
                <w:color w:val="00B050"/>
                <w:u w:val="single"/>
              </w:rPr>
            </w:pPr>
          </w:p>
        </w:tc>
      </w:tr>
      <w:tr w:rsidR="00671B47" w:rsidRPr="007214D1" w:rsidTr="00380CDF">
        <w:trPr>
          <w:trHeight w:val="80"/>
        </w:trPr>
        <w:tc>
          <w:tcPr>
            <w:tcW w:w="817" w:type="dxa"/>
          </w:tcPr>
          <w:p w:rsidR="00671B47" w:rsidRDefault="00671B47" w:rsidP="007F57B7">
            <w:pPr>
              <w:rPr>
                <w:rFonts w:ascii="Arial" w:hAnsi="Arial" w:cs="Arial"/>
                <w:b/>
                <w:szCs w:val="24"/>
              </w:rPr>
            </w:pPr>
            <w:r>
              <w:rPr>
                <w:rFonts w:ascii="Arial" w:hAnsi="Arial" w:cs="Arial"/>
                <w:b/>
                <w:szCs w:val="24"/>
              </w:rPr>
              <w:t>4.</w:t>
            </w:r>
          </w:p>
        </w:tc>
        <w:tc>
          <w:tcPr>
            <w:tcW w:w="8647" w:type="dxa"/>
          </w:tcPr>
          <w:p w:rsidR="00671B47" w:rsidRDefault="00671B47" w:rsidP="00FB17D4">
            <w:pPr>
              <w:rPr>
                <w:rFonts w:ascii="Arial" w:eastAsia="Arial" w:hAnsi="Arial"/>
                <w:b/>
                <w:szCs w:val="22"/>
                <w:lang w:eastAsia="en-US"/>
              </w:rPr>
            </w:pPr>
            <w:r>
              <w:rPr>
                <w:rFonts w:ascii="Arial" w:eastAsia="Arial" w:hAnsi="Arial"/>
                <w:b/>
                <w:szCs w:val="22"/>
                <w:lang w:eastAsia="en-US"/>
              </w:rPr>
              <w:t>Staff Recognition Scheme</w:t>
            </w:r>
          </w:p>
          <w:p w:rsidR="00671B47" w:rsidRPr="007F57B7" w:rsidRDefault="00671B47" w:rsidP="00FB17D4">
            <w:pPr>
              <w:rPr>
                <w:rFonts w:ascii="Arial" w:eastAsia="Arial" w:hAnsi="Arial"/>
                <w:b/>
                <w:szCs w:val="22"/>
                <w:lang w:eastAsia="en-US"/>
              </w:rPr>
            </w:pPr>
          </w:p>
        </w:tc>
      </w:tr>
      <w:tr w:rsidR="00671B47" w:rsidRPr="007214D1" w:rsidTr="00380CDF">
        <w:trPr>
          <w:trHeight w:val="80"/>
        </w:trPr>
        <w:tc>
          <w:tcPr>
            <w:tcW w:w="817" w:type="dxa"/>
          </w:tcPr>
          <w:p w:rsidR="00671B47" w:rsidRDefault="00671B47" w:rsidP="007F57B7">
            <w:pPr>
              <w:rPr>
                <w:rFonts w:ascii="Arial" w:hAnsi="Arial" w:cs="Arial"/>
                <w:szCs w:val="24"/>
              </w:rPr>
            </w:pPr>
            <w:r w:rsidRPr="00671B47">
              <w:rPr>
                <w:rFonts w:ascii="Arial" w:hAnsi="Arial" w:cs="Arial"/>
                <w:szCs w:val="24"/>
              </w:rPr>
              <w:t>4.1</w:t>
            </w: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r>
              <w:rPr>
                <w:rFonts w:ascii="Arial" w:hAnsi="Arial" w:cs="Arial"/>
                <w:szCs w:val="24"/>
              </w:rPr>
              <w:t>4.2</w:t>
            </w: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2B7F08" w:rsidRDefault="002B7F08" w:rsidP="007F57B7">
            <w:pPr>
              <w:rPr>
                <w:rFonts w:ascii="Arial" w:hAnsi="Arial" w:cs="Arial"/>
                <w:szCs w:val="24"/>
              </w:rPr>
            </w:pPr>
          </w:p>
          <w:p w:rsidR="002B7F08" w:rsidRDefault="002B7F08" w:rsidP="007F57B7">
            <w:pPr>
              <w:rPr>
                <w:rFonts w:ascii="Arial" w:hAnsi="Arial" w:cs="Arial"/>
                <w:szCs w:val="24"/>
              </w:rPr>
            </w:pPr>
          </w:p>
          <w:p w:rsidR="002B7F08" w:rsidRDefault="002B7F08" w:rsidP="007F57B7">
            <w:pPr>
              <w:rPr>
                <w:rFonts w:ascii="Arial" w:hAnsi="Arial" w:cs="Arial"/>
                <w:szCs w:val="24"/>
              </w:rPr>
            </w:pPr>
          </w:p>
          <w:p w:rsidR="002B7F08" w:rsidRDefault="002B7F08" w:rsidP="007F57B7">
            <w:pPr>
              <w:rPr>
                <w:rFonts w:ascii="Arial" w:hAnsi="Arial" w:cs="Arial"/>
                <w:szCs w:val="24"/>
              </w:rPr>
            </w:pPr>
          </w:p>
          <w:p w:rsidR="00671B47" w:rsidRDefault="00671B47" w:rsidP="007F57B7">
            <w:pPr>
              <w:rPr>
                <w:rFonts w:ascii="Arial" w:hAnsi="Arial" w:cs="Arial"/>
                <w:szCs w:val="24"/>
              </w:rPr>
            </w:pPr>
            <w:r>
              <w:rPr>
                <w:rFonts w:ascii="Arial" w:hAnsi="Arial" w:cs="Arial"/>
                <w:szCs w:val="24"/>
              </w:rPr>
              <w:lastRenderedPageBreak/>
              <w:t>4.3</w:t>
            </w: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2B7F08" w:rsidP="007F57B7">
            <w:pPr>
              <w:rPr>
                <w:rFonts w:ascii="Arial" w:hAnsi="Arial" w:cs="Arial"/>
                <w:szCs w:val="24"/>
              </w:rPr>
            </w:pPr>
            <w:r w:rsidRPr="002B7F08">
              <w:rPr>
                <w:rFonts w:ascii="Arial" w:hAnsi="Arial" w:cs="Arial"/>
                <w:szCs w:val="24"/>
              </w:rPr>
              <w:t>4</w:t>
            </w:r>
            <w:r w:rsidR="00671B47">
              <w:rPr>
                <w:rFonts w:ascii="Arial" w:hAnsi="Arial" w:cs="Arial"/>
                <w:szCs w:val="24"/>
              </w:rPr>
              <w:t>.4</w:t>
            </w: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Default="00671B47" w:rsidP="007F57B7">
            <w:pPr>
              <w:rPr>
                <w:rFonts w:ascii="Arial" w:hAnsi="Arial" w:cs="Arial"/>
                <w:szCs w:val="24"/>
              </w:rPr>
            </w:pPr>
          </w:p>
          <w:p w:rsidR="00671B47" w:rsidRPr="00671B47" w:rsidRDefault="00671B47" w:rsidP="007F57B7">
            <w:pPr>
              <w:rPr>
                <w:rFonts w:ascii="Arial" w:hAnsi="Arial" w:cs="Arial"/>
                <w:szCs w:val="24"/>
              </w:rPr>
            </w:pPr>
          </w:p>
        </w:tc>
        <w:tc>
          <w:tcPr>
            <w:tcW w:w="8647" w:type="dxa"/>
          </w:tcPr>
          <w:p w:rsidR="00671B47" w:rsidRPr="00671B47" w:rsidRDefault="00384B52" w:rsidP="00671B47">
            <w:pPr>
              <w:jc w:val="both"/>
              <w:rPr>
                <w:rFonts w:ascii="Arial" w:eastAsiaTheme="minorHAnsi" w:hAnsi="Arial" w:cs="Arial"/>
                <w:szCs w:val="24"/>
                <w:lang w:eastAsia="en-US"/>
              </w:rPr>
            </w:pPr>
            <w:r>
              <w:rPr>
                <w:rFonts w:ascii="Arial" w:eastAsiaTheme="minorHAnsi" w:hAnsi="Arial" w:cs="Arial"/>
                <w:szCs w:val="24"/>
                <w:lang w:eastAsia="en-US"/>
              </w:rPr>
              <w:lastRenderedPageBreak/>
              <w:t xml:space="preserve">This quarter, </w:t>
            </w:r>
            <w:r w:rsidR="00671B47" w:rsidRPr="00671B47">
              <w:rPr>
                <w:rFonts w:ascii="Arial" w:eastAsiaTheme="minorHAnsi" w:hAnsi="Arial" w:cs="Arial"/>
                <w:szCs w:val="24"/>
                <w:lang w:eastAsia="en-US"/>
              </w:rPr>
              <w:t xml:space="preserve">despite several reminders, there have only been 6 returns for this </w:t>
            </w:r>
            <w:r>
              <w:rPr>
                <w:rFonts w:ascii="Arial" w:eastAsiaTheme="minorHAnsi" w:hAnsi="Arial" w:cs="Arial"/>
                <w:szCs w:val="24"/>
                <w:lang w:eastAsia="en-US"/>
              </w:rPr>
              <w:t xml:space="preserve">period’s </w:t>
            </w:r>
            <w:r w:rsidR="00671B47" w:rsidRPr="00671B47">
              <w:rPr>
                <w:rFonts w:ascii="Arial" w:eastAsiaTheme="minorHAnsi" w:hAnsi="Arial" w:cs="Arial"/>
                <w:szCs w:val="24"/>
                <w:lang w:eastAsia="en-US"/>
              </w:rPr>
              <w:t xml:space="preserve">“successes”.   To </w:t>
            </w:r>
            <w:r>
              <w:rPr>
                <w:rFonts w:ascii="Arial" w:eastAsiaTheme="minorHAnsi" w:hAnsi="Arial" w:cs="Arial"/>
                <w:szCs w:val="24"/>
                <w:lang w:eastAsia="en-US"/>
              </w:rPr>
              <w:t xml:space="preserve">establish a possible reason for </w:t>
            </w:r>
            <w:r w:rsidR="00671B47" w:rsidRPr="00671B47">
              <w:rPr>
                <w:rFonts w:ascii="Arial" w:eastAsiaTheme="minorHAnsi" w:hAnsi="Arial" w:cs="Arial"/>
                <w:szCs w:val="24"/>
                <w:lang w:eastAsia="en-US"/>
              </w:rPr>
              <w:t xml:space="preserve">the drop off in interest, </w:t>
            </w:r>
            <w:r>
              <w:rPr>
                <w:rFonts w:ascii="Arial" w:eastAsiaTheme="minorHAnsi" w:hAnsi="Arial" w:cs="Arial"/>
                <w:szCs w:val="24"/>
                <w:lang w:eastAsia="en-US"/>
              </w:rPr>
              <w:t xml:space="preserve">the </w:t>
            </w:r>
            <w:r w:rsidR="00671B47">
              <w:rPr>
                <w:rFonts w:ascii="Arial" w:eastAsiaTheme="minorHAnsi" w:hAnsi="Arial" w:cs="Arial"/>
                <w:szCs w:val="24"/>
                <w:lang w:eastAsia="en-US"/>
              </w:rPr>
              <w:t>representatives</w:t>
            </w:r>
            <w:r w:rsidR="00671B47" w:rsidRPr="00671B47">
              <w:rPr>
                <w:rFonts w:ascii="Arial" w:eastAsiaTheme="minorHAnsi" w:hAnsi="Arial" w:cs="Arial"/>
                <w:szCs w:val="24"/>
                <w:lang w:eastAsia="en-US"/>
              </w:rPr>
              <w:t xml:space="preserve"> who </w:t>
            </w:r>
            <w:r>
              <w:rPr>
                <w:rFonts w:ascii="Arial" w:eastAsiaTheme="minorHAnsi" w:hAnsi="Arial" w:cs="Arial"/>
                <w:szCs w:val="24"/>
                <w:lang w:eastAsia="en-US"/>
              </w:rPr>
              <w:t>represented their sections</w:t>
            </w:r>
            <w:r w:rsidR="00671B47" w:rsidRPr="00671B47">
              <w:rPr>
                <w:rFonts w:ascii="Arial" w:eastAsiaTheme="minorHAnsi" w:hAnsi="Arial" w:cs="Arial"/>
                <w:szCs w:val="24"/>
                <w:lang w:eastAsia="en-US"/>
              </w:rPr>
              <w:t xml:space="preserve"> </w:t>
            </w:r>
            <w:r>
              <w:rPr>
                <w:rFonts w:ascii="Arial" w:eastAsiaTheme="minorHAnsi" w:hAnsi="Arial" w:cs="Arial"/>
                <w:szCs w:val="24"/>
                <w:lang w:eastAsia="en-US"/>
              </w:rPr>
              <w:t>at the meetings with Directors Ella MacRae and Mark Tate</w:t>
            </w:r>
            <w:r w:rsidR="00671B47" w:rsidRPr="00671B47">
              <w:rPr>
                <w:rFonts w:ascii="Arial" w:eastAsiaTheme="minorHAnsi" w:hAnsi="Arial" w:cs="Arial"/>
                <w:szCs w:val="24"/>
                <w:lang w:eastAsia="en-US"/>
              </w:rPr>
              <w:t xml:space="preserve"> the meetings where the scheme was redesigned</w:t>
            </w:r>
            <w:r>
              <w:rPr>
                <w:rFonts w:ascii="Arial" w:eastAsiaTheme="minorHAnsi" w:hAnsi="Arial" w:cs="Arial"/>
                <w:szCs w:val="24"/>
                <w:lang w:eastAsia="en-US"/>
              </w:rPr>
              <w:t xml:space="preserve"> were contacted.</w:t>
            </w:r>
          </w:p>
          <w:p w:rsidR="00671B47" w:rsidRPr="00671B47" w:rsidRDefault="00671B47" w:rsidP="00671B47">
            <w:pPr>
              <w:jc w:val="both"/>
              <w:rPr>
                <w:rFonts w:ascii="Arial" w:eastAsiaTheme="minorHAnsi" w:hAnsi="Arial" w:cs="Arial"/>
                <w:szCs w:val="24"/>
                <w:lang w:eastAsia="en-US"/>
              </w:rPr>
            </w:pPr>
          </w:p>
          <w:p w:rsidR="002B7F08" w:rsidRDefault="00671B47" w:rsidP="00671B47">
            <w:pPr>
              <w:jc w:val="both"/>
              <w:rPr>
                <w:rFonts w:ascii="Arial" w:eastAsiaTheme="minorHAnsi" w:hAnsi="Arial" w:cs="Arial"/>
                <w:szCs w:val="24"/>
                <w:lang w:eastAsia="en-US"/>
              </w:rPr>
            </w:pPr>
            <w:r w:rsidRPr="00671B47">
              <w:rPr>
                <w:rFonts w:ascii="Arial" w:eastAsiaTheme="minorHAnsi" w:hAnsi="Arial" w:cs="Arial"/>
                <w:szCs w:val="24"/>
                <w:lang w:eastAsia="en-US"/>
              </w:rPr>
              <w:t>The feedback ranged from “yes, we see the email reminders but never get round to it” to “staff report that their reward is doing a good job, they don’t feel they need an award”.  The issue was discussed at the monthly SMT meeting</w:t>
            </w:r>
            <w:r>
              <w:rPr>
                <w:rFonts w:ascii="Arial" w:eastAsiaTheme="minorHAnsi" w:hAnsi="Arial" w:cs="Arial"/>
                <w:szCs w:val="24"/>
                <w:lang w:eastAsia="en-US"/>
              </w:rPr>
              <w:t xml:space="preserve"> in February</w:t>
            </w:r>
            <w:r w:rsidRPr="00671B47">
              <w:rPr>
                <w:rFonts w:ascii="Arial" w:eastAsiaTheme="minorHAnsi" w:hAnsi="Arial" w:cs="Arial"/>
                <w:szCs w:val="24"/>
                <w:lang w:eastAsia="en-US"/>
              </w:rPr>
              <w:t xml:space="preserve"> where it was nevertheless felt that the collation of successes is import</w:t>
            </w:r>
            <w:r w:rsidR="00384B52">
              <w:rPr>
                <w:rFonts w:ascii="Arial" w:eastAsiaTheme="minorHAnsi" w:hAnsi="Arial" w:cs="Arial"/>
                <w:szCs w:val="24"/>
                <w:lang w:eastAsia="en-US"/>
              </w:rPr>
              <w:t xml:space="preserve">ant </w:t>
            </w:r>
            <w:r w:rsidR="002B7F08">
              <w:rPr>
                <w:rFonts w:ascii="Arial" w:eastAsiaTheme="minorHAnsi" w:hAnsi="Arial" w:cs="Arial"/>
                <w:szCs w:val="24"/>
                <w:lang w:eastAsia="en-US"/>
              </w:rPr>
              <w:t>because-</w:t>
            </w:r>
          </w:p>
          <w:p w:rsidR="007F127B" w:rsidRDefault="007F127B" w:rsidP="00671B47">
            <w:pPr>
              <w:jc w:val="both"/>
              <w:rPr>
                <w:rFonts w:ascii="Arial" w:eastAsiaTheme="minorHAnsi" w:hAnsi="Arial" w:cs="Arial"/>
                <w:szCs w:val="24"/>
                <w:lang w:eastAsia="en-US"/>
              </w:rPr>
            </w:pPr>
          </w:p>
          <w:p w:rsidR="002B7F08" w:rsidRPr="002B7F08" w:rsidRDefault="002B7F08" w:rsidP="00876F99">
            <w:pPr>
              <w:pStyle w:val="ListParagraph"/>
              <w:numPr>
                <w:ilvl w:val="0"/>
                <w:numId w:val="23"/>
              </w:numPr>
              <w:spacing w:line="240" w:lineRule="auto"/>
              <w:jc w:val="both"/>
              <w:rPr>
                <w:rFonts w:ascii="Arial" w:eastAsiaTheme="minorHAnsi" w:hAnsi="Arial" w:cs="Arial"/>
                <w:sz w:val="24"/>
                <w:szCs w:val="24"/>
              </w:rPr>
            </w:pPr>
            <w:r w:rsidRPr="002B7F08">
              <w:rPr>
                <w:rFonts w:ascii="Arial" w:eastAsiaTheme="minorHAnsi" w:hAnsi="Arial" w:cs="Arial"/>
                <w:sz w:val="24"/>
                <w:szCs w:val="24"/>
              </w:rPr>
              <w:t xml:space="preserve">It is important to </w:t>
            </w:r>
            <w:r w:rsidR="00384B52" w:rsidRPr="002B7F08">
              <w:rPr>
                <w:rFonts w:ascii="Arial" w:eastAsiaTheme="minorHAnsi" w:hAnsi="Arial" w:cs="Arial"/>
                <w:sz w:val="24"/>
                <w:szCs w:val="24"/>
              </w:rPr>
              <w:t>ensure staff receive</w:t>
            </w:r>
            <w:r w:rsidR="00671B47" w:rsidRPr="002B7F08">
              <w:rPr>
                <w:rFonts w:ascii="Arial" w:eastAsiaTheme="minorHAnsi" w:hAnsi="Arial" w:cs="Arial"/>
                <w:sz w:val="24"/>
                <w:szCs w:val="24"/>
              </w:rPr>
              <w:t xml:space="preserve"> due recognition</w:t>
            </w:r>
          </w:p>
          <w:p w:rsidR="002B7F08" w:rsidRPr="002B7F08" w:rsidRDefault="00671B47" w:rsidP="00876F99">
            <w:pPr>
              <w:pStyle w:val="ListParagraph"/>
              <w:numPr>
                <w:ilvl w:val="0"/>
                <w:numId w:val="23"/>
              </w:numPr>
              <w:spacing w:line="240" w:lineRule="auto"/>
              <w:jc w:val="both"/>
              <w:rPr>
                <w:rFonts w:ascii="Arial" w:eastAsiaTheme="minorHAnsi" w:hAnsi="Arial" w:cs="Arial"/>
                <w:sz w:val="24"/>
                <w:szCs w:val="24"/>
              </w:rPr>
            </w:pPr>
            <w:r w:rsidRPr="002B7F08">
              <w:rPr>
                <w:rFonts w:ascii="Arial" w:eastAsiaTheme="minorHAnsi" w:hAnsi="Arial" w:cs="Arial"/>
                <w:sz w:val="24"/>
                <w:szCs w:val="24"/>
              </w:rPr>
              <w:t>it is a good way of keeping Directors up to speed with good practi</w:t>
            </w:r>
            <w:r w:rsidR="007F127B">
              <w:rPr>
                <w:rFonts w:ascii="Arial" w:eastAsiaTheme="minorHAnsi" w:hAnsi="Arial" w:cs="Arial"/>
                <w:sz w:val="24"/>
                <w:szCs w:val="24"/>
              </w:rPr>
              <w:t>c</w:t>
            </w:r>
            <w:r w:rsidRPr="002B7F08">
              <w:rPr>
                <w:rFonts w:ascii="Arial" w:eastAsiaTheme="minorHAnsi" w:hAnsi="Arial" w:cs="Arial"/>
                <w:sz w:val="24"/>
                <w:szCs w:val="24"/>
              </w:rPr>
              <w:t>e [</w:t>
            </w:r>
            <w:r w:rsidR="002B7F08" w:rsidRPr="002B7F08">
              <w:rPr>
                <w:rFonts w:ascii="Arial" w:eastAsiaTheme="minorHAnsi" w:hAnsi="Arial" w:cs="Arial"/>
                <w:sz w:val="24"/>
                <w:szCs w:val="24"/>
              </w:rPr>
              <w:t xml:space="preserve">and because </w:t>
            </w:r>
            <w:r w:rsidRPr="002B7F08">
              <w:rPr>
                <w:rFonts w:ascii="Arial" w:eastAsiaTheme="minorHAnsi" w:hAnsi="Arial" w:cs="Arial"/>
                <w:sz w:val="24"/>
                <w:szCs w:val="24"/>
              </w:rPr>
              <w:t xml:space="preserve">Directors </w:t>
            </w:r>
            <w:r w:rsidR="002B7F08" w:rsidRPr="002B7F08">
              <w:rPr>
                <w:rFonts w:ascii="Arial" w:eastAsiaTheme="minorHAnsi" w:hAnsi="Arial" w:cs="Arial"/>
                <w:sz w:val="24"/>
                <w:szCs w:val="24"/>
              </w:rPr>
              <w:t>express a keenness to see them</w:t>
            </w:r>
            <w:r w:rsidRPr="002B7F08">
              <w:rPr>
                <w:rFonts w:ascii="Arial" w:eastAsiaTheme="minorHAnsi" w:hAnsi="Arial" w:cs="Arial"/>
                <w:sz w:val="24"/>
                <w:szCs w:val="24"/>
              </w:rPr>
              <w:t>]</w:t>
            </w:r>
          </w:p>
          <w:p w:rsidR="00671B47" w:rsidRPr="002B7F08" w:rsidRDefault="002B7F08" w:rsidP="00876F99">
            <w:pPr>
              <w:pStyle w:val="ListParagraph"/>
              <w:numPr>
                <w:ilvl w:val="0"/>
                <w:numId w:val="23"/>
              </w:numPr>
              <w:spacing w:line="240" w:lineRule="auto"/>
              <w:jc w:val="both"/>
              <w:rPr>
                <w:rFonts w:ascii="Arial" w:eastAsiaTheme="minorHAnsi" w:hAnsi="Arial" w:cs="Arial"/>
                <w:sz w:val="24"/>
                <w:szCs w:val="24"/>
              </w:rPr>
            </w:pPr>
            <w:r w:rsidRPr="002B7F08">
              <w:rPr>
                <w:rFonts w:ascii="Arial" w:eastAsiaTheme="minorHAnsi" w:hAnsi="Arial" w:cs="Arial"/>
                <w:sz w:val="24"/>
                <w:szCs w:val="24"/>
              </w:rPr>
              <w:t>successes</w:t>
            </w:r>
            <w:r>
              <w:rPr>
                <w:rFonts w:ascii="Arial" w:eastAsiaTheme="minorHAnsi" w:hAnsi="Arial" w:cs="Arial"/>
                <w:sz w:val="24"/>
                <w:szCs w:val="24"/>
              </w:rPr>
              <w:t xml:space="preserve"> are a good way of timeously</w:t>
            </w:r>
            <w:r w:rsidR="00671B47" w:rsidRPr="002B7F08">
              <w:rPr>
                <w:rFonts w:ascii="Arial" w:eastAsiaTheme="minorHAnsi" w:hAnsi="Arial" w:cs="Arial"/>
                <w:sz w:val="24"/>
                <w:szCs w:val="24"/>
              </w:rPr>
              <w:t xml:space="preserve"> recording areas of good practice that could potentially be rolled out to other teams</w:t>
            </w:r>
          </w:p>
          <w:p w:rsidR="002B7F08" w:rsidRPr="002B7F08" w:rsidRDefault="002B7F08" w:rsidP="00876F99">
            <w:pPr>
              <w:pStyle w:val="ListParagraph"/>
              <w:numPr>
                <w:ilvl w:val="0"/>
                <w:numId w:val="23"/>
              </w:numPr>
              <w:spacing w:line="240" w:lineRule="auto"/>
              <w:jc w:val="both"/>
              <w:rPr>
                <w:rFonts w:ascii="Arial" w:eastAsiaTheme="minorHAnsi" w:hAnsi="Arial" w:cs="Arial"/>
                <w:sz w:val="24"/>
                <w:szCs w:val="24"/>
              </w:rPr>
            </w:pPr>
            <w:proofErr w:type="gramStart"/>
            <w:r w:rsidRPr="002B7F08">
              <w:rPr>
                <w:rFonts w:ascii="Arial" w:eastAsiaTheme="minorHAnsi" w:hAnsi="Arial" w:cs="Arial"/>
                <w:sz w:val="24"/>
                <w:szCs w:val="24"/>
              </w:rPr>
              <w:t>the</w:t>
            </w:r>
            <w:proofErr w:type="gramEnd"/>
            <w:r w:rsidRPr="002B7F08">
              <w:rPr>
                <w:rFonts w:ascii="Arial" w:eastAsiaTheme="minorHAnsi" w:hAnsi="Arial" w:cs="Arial"/>
                <w:sz w:val="24"/>
                <w:szCs w:val="24"/>
              </w:rPr>
              <w:t xml:space="preserve"> content can be used without further effort, in presentations to partners such as the Council, the NHS and other organisations</w:t>
            </w:r>
            <w:r w:rsidR="007F127B">
              <w:rPr>
                <w:rFonts w:ascii="Arial" w:eastAsiaTheme="minorHAnsi" w:hAnsi="Arial" w:cs="Arial"/>
                <w:sz w:val="24"/>
                <w:szCs w:val="24"/>
              </w:rPr>
              <w:t>.</w:t>
            </w:r>
          </w:p>
          <w:p w:rsidR="00671B47" w:rsidRPr="00671B47" w:rsidRDefault="00671B47" w:rsidP="00671B47">
            <w:pPr>
              <w:jc w:val="both"/>
              <w:rPr>
                <w:rFonts w:ascii="Arial" w:eastAsiaTheme="minorHAnsi" w:hAnsi="Arial" w:cs="Arial"/>
                <w:szCs w:val="24"/>
                <w:lang w:eastAsia="en-US"/>
              </w:rPr>
            </w:pPr>
            <w:r w:rsidRPr="00671B47">
              <w:rPr>
                <w:rFonts w:ascii="Arial" w:eastAsiaTheme="minorHAnsi" w:hAnsi="Arial" w:cs="Arial"/>
                <w:szCs w:val="24"/>
                <w:lang w:eastAsia="en-US"/>
              </w:rPr>
              <w:lastRenderedPageBreak/>
              <w:t>The SMT meeting suggests</w:t>
            </w:r>
            <w:r w:rsidR="00AB44CE">
              <w:rPr>
                <w:rFonts w:ascii="Arial" w:eastAsiaTheme="minorHAnsi" w:hAnsi="Arial" w:cs="Arial"/>
                <w:szCs w:val="24"/>
                <w:lang w:eastAsia="en-US"/>
              </w:rPr>
              <w:t>:</w:t>
            </w:r>
            <w:r w:rsidRPr="00671B47">
              <w:rPr>
                <w:rFonts w:ascii="Arial" w:eastAsiaTheme="minorHAnsi" w:hAnsi="Arial" w:cs="Arial"/>
                <w:szCs w:val="24"/>
                <w:lang w:eastAsia="en-US"/>
              </w:rPr>
              <w:t>-</w:t>
            </w:r>
          </w:p>
          <w:p w:rsidR="00671B47" w:rsidRPr="00671B47" w:rsidRDefault="00671B47" w:rsidP="00671B47">
            <w:pPr>
              <w:jc w:val="both"/>
              <w:rPr>
                <w:rFonts w:ascii="Arial" w:eastAsiaTheme="minorHAnsi" w:hAnsi="Arial" w:cs="Arial"/>
                <w:szCs w:val="24"/>
                <w:lang w:eastAsia="en-US"/>
              </w:rPr>
            </w:pPr>
          </w:p>
          <w:p w:rsidR="00671B47" w:rsidRPr="00671B47" w:rsidRDefault="00671B47" w:rsidP="00671B47">
            <w:pPr>
              <w:numPr>
                <w:ilvl w:val="0"/>
                <w:numId w:val="22"/>
              </w:numPr>
              <w:contextualSpacing/>
              <w:jc w:val="both"/>
              <w:rPr>
                <w:rFonts w:ascii="Arial" w:eastAsiaTheme="minorHAnsi" w:hAnsi="Arial" w:cs="Arial"/>
                <w:szCs w:val="24"/>
                <w:lang w:eastAsia="en-US"/>
              </w:rPr>
            </w:pPr>
            <w:r w:rsidRPr="00671B47">
              <w:rPr>
                <w:rFonts w:ascii="Arial" w:eastAsiaTheme="minorHAnsi" w:hAnsi="Arial" w:cs="Arial"/>
                <w:szCs w:val="24"/>
                <w:lang w:eastAsia="en-US"/>
              </w:rPr>
              <w:t xml:space="preserve">To </w:t>
            </w:r>
            <w:r w:rsidR="002B7F08">
              <w:rPr>
                <w:rFonts w:ascii="Arial" w:eastAsiaTheme="minorHAnsi" w:hAnsi="Arial" w:cs="Arial"/>
                <w:szCs w:val="24"/>
                <w:lang w:eastAsia="en-US"/>
              </w:rPr>
              <w:t>"</w:t>
            </w:r>
            <w:r w:rsidRPr="00671B47">
              <w:rPr>
                <w:rFonts w:ascii="Arial" w:eastAsiaTheme="minorHAnsi" w:hAnsi="Arial" w:cs="Arial"/>
                <w:szCs w:val="24"/>
                <w:lang w:eastAsia="en-US"/>
              </w:rPr>
              <w:t>park</w:t>
            </w:r>
            <w:r w:rsidR="002B7F08">
              <w:rPr>
                <w:rFonts w:ascii="Arial" w:eastAsiaTheme="minorHAnsi" w:hAnsi="Arial" w:cs="Arial"/>
                <w:szCs w:val="24"/>
                <w:lang w:eastAsia="en-US"/>
              </w:rPr>
              <w:t>”</w:t>
            </w:r>
            <w:r w:rsidRPr="00671B47">
              <w:rPr>
                <w:rFonts w:ascii="Arial" w:eastAsiaTheme="minorHAnsi" w:hAnsi="Arial" w:cs="Arial"/>
                <w:szCs w:val="24"/>
                <w:lang w:eastAsia="en-US"/>
              </w:rPr>
              <w:t xml:space="preserve"> the quarterly trawl for Collaboration, Innovation and Role Model </w:t>
            </w:r>
            <w:r w:rsidR="002B7F08" w:rsidRPr="00671B47">
              <w:rPr>
                <w:rFonts w:ascii="Arial" w:eastAsiaTheme="minorHAnsi" w:hAnsi="Arial" w:cs="Arial"/>
                <w:szCs w:val="24"/>
                <w:lang w:eastAsia="en-US"/>
              </w:rPr>
              <w:t xml:space="preserve">submissions </w:t>
            </w:r>
            <w:r w:rsidRPr="00671B47">
              <w:rPr>
                <w:rFonts w:ascii="Arial" w:eastAsiaTheme="minorHAnsi" w:hAnsi="Arial" w:cs="Arial"/>
                <w:szCs w:val="24"/>
                <w:lang w:eastAsia="en-US"/>
              </w:rPr>
              <w:t xml:space="preserve">for now and fit those selected year to date [and those 6 for this time] as </w:t>
            </w:r>
            <w:r>
              <w:rPr>
                <w:rFonts w:ascii="Arial" w:eastAsiaTheme="minorHAnsi" w:hAnsi="Arial" w:cs="Arial"/>
                <w:szCs w:val="24"/>
                <w:lang w:eastAsia="en-US"/>
              </w:rPr>
              <w:t>far as</w:t>
            </w:r>
            <w:r w:rsidRPr="00671B47">
              <w:rPr>
                <w:rFonts w:ascii="Arial" w:eastAsiaTheme="minorHAnsi" w:hAnsi="Arial" w:cs="Arial"/>
                <w:szCs w:val="24"/>
                <w:lang w:eastAsia="en-US"/>
              </w:rPr>
              <w:t xml:space="preserve"> possible </w:t>
            </w:r>
            <w:r>
              <w:rPr>
                <w:rFonts w:ascii="Arial" w:eastAsiaTheme="minorHAnsi" w:hAnsi="Arial" w:cs="Arial"/>
                <w:szCs w:val="24"/>
                <w:lang w:eastAsia="en-US"/>
              </w:rPr>
              <w:t>into</w:t>
            </w:r>
            <w:r w:rsidR="002B7F08">
              <w:rPr>
                <w:rFonts w:ascii="Arial" w:eastAsiaTheme="minorHAnsi" w:hAnsi="Arial" w:cs="Arial"/>
                <w:szCs w:val="24"/>
                <w:lang w:eastAsia="en-US"/>
              </w:rPr>
              <w:t xml:space="preserve"> the annual</w:t>
            </w:r>
            <w:r>
              <w:rPr>
                <w:rFonts w:ascii="Arial" w:eastAsiaTheme="minorHAnsi" w:hAnsi="Arial" w:cs="Arial"/>
                <w:szCs w:val="24"/>
                <w:lang w:eastAsia="en-US"/>
              </w:rPr>
              <w:t xml:space="preserve"> </w:t>
            </w:r>
            <w:r w:rsidRPr="00671B47">
              <w:rPr>
                <w:rFonts w:ascii="Arial" w:eastAsiaTheme="minorHAnsi" w:hAnsi="Arial" w:cs="Arial"/>
                <w:szCs w:val="24"/>
                <w:lang w:eastAsia="en-US"/>
              </w:rPr>
              <w:t>Individual and Team categories</w:t>
            </w:r>
            <w:r w:rsidR="007F127B">
              <w:rPr>
                <w:rFonts w:ascii="Arial" w:eastAsiaTheme="minorHAnsi" w:hAnsi="Arial" w:cs="Arial"/>
                <w:szCs w:val="24"/>
                <w:lang w:eastAsia="en-US"/>
              </w:rPr>
              <w:t>.</w:t>
            </w:r>
          </w:p>
          <w:p w:rsidR="00671B47" w:rsidRPr="00671B47" w:rsidRDefault="00671B47" w:rsidP="00671B47">
            <w:pPr>
              <w:numPr>
                <w:ilvl w:val="0"/>
                <w:numId w:val="22"/>
              </w:numPr>
              <w:contextualSpacing/>
              <w:jc w:val="both"/>
              <w:rPr>
                <w:rFonts w:ascii="Arial" w:eastAsiaTheme="minorHAnsi" w:hAnsi="Arial" w:cs="Arial"/>
                <w:szCs w:val="24"/>
                <w:lang w:eastAsia="en-US"/>
              </w:rPr>
            </w:pPr>
            <w:r w:rsidRPr="00671B47">
              <w:rPr>
                <w:rFonts w:ascii="Arial" w:eastAsiaTheme="minorHAnsi" w:hAnsi="Arial" w:cs="Arial"/>
                <w:szCs w:val="24"/>
                <w:lang w:eastAsia="en-US"/>
              </w:rPr>
              <w:t>To continue with the one off annual trawl for volunteers</w:t>
            </w:r>
            <w:r w:rsidR="007F127B">
              <w:rPr>
                <w:rFonts w:ascii="Arial" w:eastAsiaTheme="minorHAnsi" w:hAnsi="Arial" w:cs="Arial"/>
                <w:szCs w:val="24"/>
                <w:lang w:eastAsia="en-US"/>
              </w:rPr>
              <w:t>.</w:t>
            </w:r>
          </w:p>
          <w:p w:rsidR="00671B47" w:rsidRPr="00671B47" w:rsidRDefault="00671B47" w:rsidP="00671B47">
            <w:pPr>
              <w:numPr>
                <w:ilvl w:val="0"/>
                <w:numId w:val="22"/>
              </w:numPr>
              <w:contextualSpacing/>
              <w:jc w:val="both"/>
              <w:rPr>
                <w:rFonts w:ascii="Arial" w:eastAsiaTheme="minorHAnsi" w:hAnsi="Arial" w:cs="Arial"/>
                <w:szCs w:val="24"/>
                <w:lang w:eastAsia="en-US"/>
              </w:rPr>
            </w:pPr>
            <w:r w:rsidRPr="00671B47">
              <w:rPr>
                <w:rFonts w:ascii="Arial" w:eastAsiaTheme="minorHAnsi" w:hAnsi="Arial" w:cs="Arial"/>
                <w:szCs w:val="24"/>
                <w:lang w:eastAsia="en-US"/>
              </w:rPr>
              <w:t>To continue with the one off annual individual and team awards</w:t>
            </w:r>
            <w:r w:rsidR="007F127B">
              <w:rPr>
                <w:rFonts w:ascii="Arial" w:eastAsiaTheme="minorHAnsi" w:hAnsi="Arial" w:cs="Arial"/>
                <w:szCs w:val="24"/>
                <w:lang w:eastAsia="en-US"/>
              </w:rPr>
              <w:t>.</w:t>
            </w:r>
          </w:p>
          <w:p w:rsidR="00671B47" w:rsidRPr="002B7F08" w:rsidRDefault="00671B47" w:rsidP="00671B47">
            <w:pPr>
              <w:numPr>
                <w:ilvl w:val="0"/>
                <w:numId w:val="22"/>
              </w:numPr>
              <w:contextualSpacing/>
              <w:jc w:val="both"/>
              <w:rPr>
                <w:rFonts w:ascii="Arial" w:eastAsiaTheme="minorHAnsi" w:hAnsi="Arial" w:cs="Arial"/>
                <w:szCs w:val="24"/>
                <w:lang w:eastAsia="en-US"/>
              </w:rPr>
            </w:pPr>
            <w:r w:rsidRPr="002B7F08">
              <w:rPr>
                <w:rFonts w:ascii="Arial" w:eastAsiaTheme="minorHAnsi" w:hAnsi="Arial" w:cs="Arial"/>
                <w:szCs w:val="24"/>
                <w:lang w:eastAsia="en-US"/>
              </w:rPr>
              <w:t>To continue with the annual event.</w:t>
            </w:r>
          </w:p>
          <w:p w:rsidR="00671B47" w:rsidRPr="00671B47" w:rsidRDefault="00671B47" w:rsidP="00671B47">
            <w:pPr>
              <w:jc w:val="both"/>
              <w:rPr>
                <w:rFonts w:ascii="Arial" w:eastAsiaTheme="minorHAnsi" w:hAnsi="Arial" w:cs="Arial"/>
                <w:szCs w:val="24"/>
                <w:lang w:eastAsia="en-US"/>
              </w:rPr>
            </w:pPr>
          </w:p>
          <w:p w:rsidR="00671B47" w:rsidRPr="007F57B7" w:rsidRDefault="002B7F08" w:rsidP="00457DF5">
            <w:pPr>
              <w:jc w:val="both"/>
              <w:rPr>
                <w:rFonts w:ascii="Arial" w:eastAsia="Arial" w:hAnsi="Arial"/>
                <w:b/>
                <w:szCs w:val="22"/>
                <w:lang w:eastAsia="en-US"/>
              </w:rPr>
            </w:pPr>
            <w:r>
              <w:rPr>
                <w:rFonts w:ascii="Arial" w:eastAsiaTheme="minorHAnsi" w:hAnsi="Arial" w:cs="Arial"/>
                <w:szCs w:val="24"/>
                <w:lang w:eastAsia="en-US"/>
              </w:rPr>
              <w:t xml:space="preserve">It is </w:t>
            </w:r>
            <w:r w:rsidR="00671B47" w:rsidRPr="00671B47">
              <w:rPr>
                <w:rFonts w:ascii="Arial" w:eastAsiaTheme="minorHAnsi" w:hAnsi="Arial" w:cs="Arial"/>
                <w:szCs w:val="24"/>
                <w:lang w:eastAsia="en-US"/>
              </w:rPr>
              <w:t>suggest</w:t>
            </w:r>
            <w:r>
              <w:rPr>
                <w:rFonts w:ascii="Arial" w:eastAsiaTheme="minorHAnsi" w:hAnsi="Arial" w:cs="Arial"/>
                <w:szCs w:val="24"/>
                <w:lang w:eastAsia="en-US"/>
              </w:rPr>
              <w:t xml:space="preserve">ed that Directors agree the four points above for the rest of the financial year and that next year, rather than being promoted to individual staff members, the </w:t>
            </w:r>
            <w:r w:rsidR="00671B47" w:rsidRPr="00671B47">
              <w:rPr>
                <w:rFonts w:ascii="Arial" w:eastAsiaTheme="minorHAnsi" w:hAnsi="Arial" w:cs="Arial"/>
                <w:szCs w:val="24"/>
                <w:lang w:eastAsia="en-US"/>
              </w:rPr>
              <w:t xml:space="preserve">scheme becomes part of future local team meeting discussions, with an expected outcome of regular submissions - where teams understand the wider reasons for contributing </w:t>
            </w:r>
            <w:r w:rsidR="00457DF5">
              <w:rPr>
                <w:rFonts w:ascii="Arial" w:eastAsiaTheme="minorHAnsi" w:hAnsi="Arial" w:cs="Arial"/>
                <w:szCs w:val="24"/>
                <w:lang w:eastAsia="en-US"/>
              </w:rPr>
              <w:t>and are encourage</w:t>
            </w:r>
            <w:r w:rsidR="00AB44CE">
              <w:rPr>
                <w:rFonts w:ascii="Arial" w:eastAsiaTheme="minorHAnsi" w:hAnsi="Arial" w:cs="Arial"/>
                <w:szCs w:val="24"/>
                <w:lang w:eastAsia="en-US"/>
              </w:rPr>
              <w:t>d</w:t>
            </w:r>
            <w:r w:rsidR="00457DF5">
              <w:rPr>
                <w:rFonts w:ascii="Arial" w:eastAsiaTheme="minorHAnsi" w:hAnsi="Arial" w:cs="Arial"/>
                <w:szCs w:val="24"/>
                <w:lang w:eastAsia="en-US"/>
              </w:rPr>
              <w:t xml:space="preserve"> to participate.</w:t>
            </w:r>
          </w:p>
        </w:tc>
      </w:tr>
      <w:tr w:rsidR="002959EE" w:rsidRPr="007214D1" w:rsidTr="00380CDF">
        <w:trPr>
          <w:trHeight w:val="80"/>
        </w:trPr>
        <w:tc>
          <w:tcPr>
            <w:tcW w:w="817" w:type="dxa"/>
          </w:tcPr>
          <w:p w:rsidR="002959EE" w:rsidRDefault="002A51F9" w:rsidP="007F57B7">
            <w:pPr>
              <w:rPr>
                <w:rFonts w:ascii="Arial" w:hAnsi="Arial" w:cs="Arial"/>
                <w:b/>
                <w:szCs w:val="24"/>
              </w:rPr>
            </w:pPr>
            <w:r>
              <w:rPr>
                <w:rFonts w:ascii="Arial" w:hAnsi="Arial" w:cs="Arial"/>
                <w:b/>
                <w:szCs w:val="24"/>
              </w:rPr>
              <w:lastRenderedPageBreak/>
              <w:t>5</w:t>
            </w:r>
          </w:p>
          <w:p w:rsidR="002959EE" w:rsidRDefault="002959EE" w:rsidP="007F57B7">
            <w:pPr>
              <w:rPr>
                <w:rFonts w:ascii="Arial" w:hAnsi="Arial" w:cs="Arial"/>
                <w:szCs w:val="24"/>
              </w:rPr>
            </w:pPr>
          </w:p>
          <w:p w:rsidR="002959EE" w:rsidRPr="00FB17D4" w:rsidRDefault="002A51F9" w:rsidP="007F57B7">
            <w:pPr>
              <w:rPr>
                <w:rFonts w:ascii="Arial" w:hAnsi="Arial" w:cs="Arial"/>
                <w:szCs w:val="24"/>
              </w:rPr>
            </w:pPr>
            <w:r>
              <w:rPr>
                <w:rFonts w:ascii="Arial" w:hAnsi="Arial" w:cs="Arial"/>
                <w:szCs w:val="24"/>
              </w:rPr>
              <w:t>5</w:t>
            </w:r>
            <w:r w:rsidR="002959EE" w:rsidRPr="00FB17D4">
              <w:rPr>
                <w:rFonts w:ascii="Arial" w:hAnsi="Arial" w:cs="Arial"/>
                <w:szCs w:val="24"/>
              </w:rPr>
              <w:t>.1</w:t>
            </w:r>
          </w:p>
        </w:tc>
        <w:tc>
          <w:tcPr>
            <w:tcW w:w="8647" w:type="dxa"/>
          </w:tcPr>
          <w:p w:rsidR="002959EE" w:rsidRDefault="002959EE" w:rsidP="00FB17D4">
            <w:pPr>
              <w:rPr>
                <w:rFonts w:ascii="Arial" w:eastAsia="Arial" w:hAnsi="Arial"/>
                <w:b/>
                <w:szCs w:val="22"/>
                <w:lang w:eastAsia="en-US"/>
              </w:rPr>
            </w:pPr>
            <w:r w:rsidRPr="007F57B7">
              <w:rPr>
                <w:rFonts w:ascii="Arial" w:eastAsia="Arial" w:hAnsi="Arial"/>
                <w:b/>
                <w:szCs w:val="22"/>
                <w:lang w:eastAsia="en-US"/>
              </w:rPr>
              <w:t>Policies update</w:t>
            </w:r>
          </w:p>
          <w:p w:rsidR="002959EE" w:rsidRPr="007F57B7" w:rsidRDefault="002959EE" w:rsidP="00FB17D4">
            <w:pPr>
              <w:rPr>
                <w:rFonts w:ascii="Arial" w:eastAsia="Arial" w:hAnsi="Arial"/>
                <w:b/>
                <w:szCs w:val="22"/>
                <w:lang w:eastAsia="en-US"/>
              </w:rPr>
            </w:pPr>
          </w:p>
          <w:p w:rsidR="00C86369" w:rsidRPr="00EF53CD" w:rsidRDefault="00C86369" w:rsidP="00EF53CD">
            <w:pPr>
              <w:jc w:val="both"/>
              <w:rPr>
                <w:rFonts w:ascii="Arial" w:eastAsia="Arial" w:hAnsi="Arial"/>
                <w:szCs w:val="22"/>
                <w:lang w:eastAsia="en-US"/>
              </w:rPr>
            </w:pPr>
            <w:r w:rsidRPr="00EF53CD">
              <w:rPr>
                <w:rFonts w:ascii="Arial" w:eastAsia="Arial" w:hAnsi="Arial"/>
                <w:szCs w:val="22"/>
                <w:lang w:eastAsia="en-US"/>
              </w:rPr>
              <w:t xml:space="preserve">The Special Leave, Whistleblowing, Overtime and Redeployment and Redundancy policies were reviewed with </w:t>
            </w:r>
            <w:r w:rsidR="00EF53CD" w:rsidRPr="00EF53CD">
              <w:rPr>
                <w:rFonts w:ascii="Arial" w:eastAsia="Arial" w:hAnsi="Arial"/>
                <w:szCs w:val="22"/>
                <w:lang w:eastAsia="en-US"/>
              </w:rPr>
              <w:t xml:space="preserve">no changes made. </w:t>
            </w:r>
          </w:p>
          <w:p w:rsidR="002959EE" w:rsidRPr="00751A5C" w:rsidRDefault="002959EE" w:rsidP="00FB17D4">
            <w:pPr>
              <w:rPr>
                <w:rFonts w:ascii="Arial" w:hAnsi="Arial" w:cs="Arial"/>
                <w:b/>
              </w:rPr>
            </w:pPr>
          </w:p>
        </w:tc>
      </w:tr>
      <w:tr w:rsidR="002959EE" w:rsidRPr="007214D1" w:rsidTr="00380CDF">
        <w:trPr>
          <w:trHeight w:val="80"/>
        </w:trPr>
        <w:tc>
          <w:tcPr>
            <w:tcW w:w="817" w:type="dxa"/>
          </w:tcPr>
          <w:p w:rsidR="002959EE" w:rsidRDefault="002A51F9" w:rsidP="007F57B7">
            <w:pPr>
              <w:rPr>
                <w:rFonts w:ascii="Arial" w:hAnsi="Arial" w:cs="Arial"/>
                <w:b/>
                <w:szCs w:val="24"/>
              </w:rPr>
            </w:pPr>
            <w:r>
              <w:rPr>
                <w:rFonts w:ascii="Arial" w:hAnsi="Arial" w:cs="Arial"/>
                <w:b/>
                <w:szCs w:val="24"/>
              </w:rPr>
              <w:t>6</w:t>
            </w:r>
          </w:p>
          <w:p w:rsidR="002959EE" w:rsidRDefault="002959EE" w:rsidP="007F57B7">
            <w:pPr>
              <w:rPr>
                <w:rFonts w:ascii="Arial" w:hAnsi="Arial" w:cs="Arial"/>
                <w:b/>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.1</w:t>
            </w:r>
          </w:p>
          <w:p w:rsidR="002959EE" w:rsidRDefault="002959EE" w:rsidP="007F57B7">
            <w:pPr>
              <w:rPr>
                <w:rFonts w:ascii="Arial" w:hAnsi="Arial" w:cs="Arial"/>
                <w:szCs w:val="24"/>
              </w:rPr>
            </w:pPr>
          </w:p>
          <w:p w:rsidR="002959EE" w:rsidRDefault="002959EE" w:rsidP="007F57B7">
            <w:pPr>
              <w:rPr>
                <w:rFonts w:ascii="Arial" w:hAnsi="Arial" w:cs="Arial"/>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.2</w:t>
            </w:r>
          </w:p>
          <w:p w:rsidR="002959EE" w:rsidRDefault="002959EE" w:rsidP="007F57B7">
            <w:pPr>
              <w:rPr>
                <w:rFonts w:ascii="Arial" w:hAnsi="Arial" w:cs="Arial"/>
                <w:szCs w:val="24"/>
              </w:rPr>
            </w:pPr>
          </w:p>
          <w:p w:rsidR="002959EE" w:rsidRDefault="002959EE" w:rsidP="007F57B7">
            <w:pPr>
              <w:rPr>
                <w:rFonts w:ascii="Arial" w:hAnsi="Arial" w:cs="Arial"/>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.3</w:t>
            </w:r>
          </w:p>
          <w:p w:rsidR="002959EE" w:rsidRDefault="002959EE" w:rsidP="00416BFF">
            <w:pPr>
              <w:rPr>
                <w:rFonts w:ascii="Arial" w:hAnsi="Arial" w:cs="Arial"/>
                <w:szCs w:val="24"/>
              </w:rPr>
            </w:pPr>
          </w:p>
          <w:p w:rsidR="002959EE" w:rsidRPr="00380CDF" w:rsidRDefault="002959EE" w:rsidP="00416BFF">
            <w:pPr>
              <w:rPr>
                <w:rFonts w:ascii="Arial" w:hAnsi="Arial" w:cs="Arial"/>
                <w:szCs w:val="24"/>
              </w:rPr>
            </w:pPr>
          </w:p>
        </w:tc>
        <w:tc>
          <w:tcPr>
            <w:tcW w:w="8647" w:type="dxa"/>
          </w:tcPr>
          <w:p w:rsidR="002959EE" w:rsidRDefault="002959EE" w:rsidP="00D11FA1">
            <w:pPr>
              <w:autoSpaceDE w:val="0"/>
              <w:autoSpaceDN w:val="0"/>
              <w:adjustRightInd w:val="0"/>
              <w:jc w:val="both"/>
              <w:rPr>
                <w:rFonts w:ascii="Arial" w:hAnsi="Arial" w:cs="Arial"/>
                <w:b/>
              </w:rPr>
            </w:pPr>
            <w:r w:rsidRPr="00751A5C">
              <w:rPr>
                <w:rFonts w:ascii="Arial" w:hAnsi="Arial" w:cs="Arial"/>
                <w:b/>
              </w:rPr>
              <w:t>Implications</w:t>
            </w:r>
          </w:p>
          <w:p w:rsidR="002959EE" w:rsidRDefault="002959EE" w:rsidP="00D11FA1">
            <w:pPr>
              <w:autoSpaceDE w:val="0"/>
              <w:autoSpaceDN w:val="0"/>
              <w:adjustRightInd w:val="0"/>
              <w:jc w:val="both"/>
              <w:rPr>
                <w:rFonts w:ascii="Arial" w:hAnsi="Arial" w:cs="Arial"/>
                <w:b/>
              </w:rPr>
            </w:pPr>
          </w:p>
          <w:p w:rsidR="002959EE" w:rsidRDefault="002959EE" w:rsidP="00D11FA1">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2959EE" w:rsidRDefault="002959EE" w:rsidP="00D11FA1">
            <w:pPr>
              <w:autoSpaceDE w:val="0"/>
              <w:autoSpaceDN w:val="0"/>
              <w:adjustRightInd w:val="0"/>
              <w:jc w:val="both"/>
              <w:rPr>
                <w:rFonts w:ascii="Arial" w:hAnsi="Arial" w:cs="Arial"/>
              </w:rPr>
            </w:pPr>
          </w:p>
          <w:p w:rsidR="002959EE" w:rsidRDefault="002959EE" w:rsidP="00D11FA1">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2959EE" w:rsidRDefault="002959EE" w:rsidP="00D11FA1">
            <w:pPr>
              <w:autoSpaceDE w:val="0"/>
              <w:autoSpaceDN w:val="0"/>
              <w:adjustRightInd w:val="0"/>
              <w:jc w:val="both"/>
              <w:rPr>
                <w:rFonts w:ascii="Arial" w:hAnsi="Arial" w:cs="Arial"/>
              </w:rPr>
            </w:pPr>
          </w:p>
          <w:p w:rsidR="002959EE" w:rsidRPr="00232563" w:rsidRDefault="002959EE" w:rsidP="00380CDF">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2959EE" w:rsidRPr="00721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2959EE" w:rsidRPr="009C18DA" w:rsidRDefault="002959EE" w:rsidP="00380CDF">
            <w:pPr>
              <w:autoSpaceDE w:val="0"/>
              <w:autoSpaceDN w:val="0"/>
              <w:adjustRightInd w:val="0"/>
              <w:jc w:val="both"/>
              <w:rPr>
                <w:rFonts w:ascii="Arial" w:hAnsi="Arial" w:cs="Arial"/>
                <w:b/>
                <w:szCs w:val="24"/>
              </w:rPr>
            </w:pPr>
            <w:r w:rsidRPr="009C18DA">
              <w:rPr>
                <w:rFonts w:ascii="Arial" w:hAnsi="Arial" w:cs="Arial"/>
                <w:b/>
                <w:szCs w:val="24"/>
              </w:rPr>
              <w:t>Recommendation</w:t>
            </w:r>
          </w:p>
          <w:p w:rsidR="002959EE" w:rsidRPr="009C18DA" w:rsidRDefault="002959EE" w:rsidP="00380CDF">
            <w:pPr>
              <w:autoSpaceDE w:val="0"/>
              <w:autoSpaceDN w:val="0"/>
              <w:adjustRightInd w:val="0"/>
              <w:jc w:val="both"/>
              <w:rPr>
                <w:rFonts w:ascii="Arial" w:hAnsi="Arial" w:cs="Arial"/>
                <w:szCs w:val="24"/>
              </w:rPr>
            </w:pPr>
          </w:p>
          <w:p w:rsidR="002959EE" w:rsidRPr="007D45D7" w:rsidRDefault="002959EE" w:rsidP="00460F18">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2959EE" w:rsidRDefault="002959EE" w:rsidP="00460F18">
            <w:pPr>
              <w:jc w:val="both"/>
              <w:rPr>
                <w:rFonts w:ascii="Arial" w:hAnsi="Arial" w:cs="Arial"/>
                <w:szCs w:val="24"/>
              </w:rPr>
            </w:pPr>
          </w:p>
          <w:p w:rsidR="002959EE" w:rsidRPr="00DD7EFF" w:rsidRDefault="002959EE" w:rsidP="00352FB4">
            <w:pPr>
              <w:numPr>
                <w:ilvl w:val="0"/>
                <w:numId w:val="12"/>
              </w:numPr>
              <w:autoSpaceDE w:val="0"/>
              <w:autoSpaceDN w:val="0"/>
              <w:adjustRightInd w:val="0"/>
              <w:jc w:val="both"/>
              <w:rPr>
                <w:rFonts w:ascii="Arial" w:hAnsi="Arial" w:cs="Arial"/>
                <w:szCs w:val="24"/>
                <w:u w:val="single"/>
              </w:rPr>
            </w:pPr>
            <w:r w:rsidRPr="00DD7EFF">
              <w:rPr>
                <w:rFonts w:ascii="Arial" w:hAnsi="Arial" w:cs="Arial"/>
              </w:rPr>
              <w:t xml:space="preserve">note the content of the quarterly report including the update on the staffing establishment; and </w:t>
            </w:r>
          </w:p>
          <w:p w:rsidR="002959EE" w:rsidRPr="007214D1" w:rsidRDefault="002D1FF2" w:rsidP="00C8089F">
            <w:pPr>
              <w:pStyle w:val="ListParagraph"/>
              <w:numPr>
                <w:ilvl w:val="0"/>
                <w:numId w:val="12"/>
              </w:numPr>
            </w:pPr>
            <w:proofErr w:type="gramStart"/>
            <w:r w:rsidRPr="00C8089F">
              <w:rPr>
                <w:rFonts w:ascii="Arial" w:eastAsia="Times New Roman" w:hAnsi="Arial" w:cs="Arial"/>
                <w:sz w:val="24"/>
                <w:szCs w:val="24"/>
                <w:lang w:eastAsia="en-GB"/>
              </w:rPr>
              <w:t>a</w:t>
            </w:r>
            <w:r w:rsidR="00457DF5" w:rsidRPr="00F31CA1">
              <w:rPr>
                <w:rFonts w:ascii="Arial" w:hAnsi="Arial" w:cs="Arial"/>
                <w:sz w:val="24"/>
                <w:szCs w:val="24"/>
              </w:rPr>
              <w:t>gree</w:t>
            </w:r>
            <w:proofErr w:type="gramEnd"/>
            <w:r w:rsidR="00457DF5" w:rsidRPr="00F31CA1">
              <w:rPr>
                <w:rFonts w:ascii="Arial" w:hAnsi="Arial" w:cs="Arial"/>
                <w:sz w:val="24"/>
                <w:szCs w:val="24"/>
              </w:rPr>
              <w:t xml:space="preserve"> changes to the Staff Recognition Scheme</w:t>
            </w:r>
            <w:r>
              <w:rPr>
                <w:rFonts w:ascii="Arial" w:eastAsia="Times New Roman" w:hAnsi="Arial" w:cs="Arial"/>
                <w:sz w:val="24"/>
                <w:szCs w:val="24"/>
                <w:lang w:eastAsia="en-GB"/>
              </w:rPr>
              <w:t>.</w:t>
            </w:r>
          </w:p>
        </w:tc>
      </w:tr>
    </w:tbl>
    <w:p w:rsidR="006F4934" w:rsidRDefault="006F4934" w:rsidP="00416BFF">
      <w:pPr>
        <w:rPr>
          <w:rFonts w:ascii="Arial" w:hAnsi="Arial" w:cs="Arial"/>
          <w:szCs w:val="24"/>
        </w:rPr>
      </w:pPr>
    </w:p>
    <w:p w:rsidR="000817F9" w:rsidRDefault="000817F9"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2D1FF2">
        <w:rPr>
          <w:rFonts w:ascii="Arial" w:hAnsi="Arial" w:cs="Arial"/>
          <w:szCs w:val="24"/>
        </w:rPr>
        <w:t>6 March 2017</w:t>
      </w:r>
    </w:p>
    <w:p w:rsidR="005C6B41" w:rsidRDefault="005C6B41" w:rsidP="00380CDF">
      <w:pPr>
        <w:rPr>
          <w:rFonts w:ascii="Arial" w:hAnsi="Arial" w:cs="Arial"/>
          <w:szCs w:val="24"/>
        </w:rPr>
      </w:pPr>
    </w:p>
    <w:p w:rsidR="001E41AE" w:rsidRPr="001E41AE" w:rsidRDefault="002E7918" w:rsidP="002E7918">
      <w:r w:rsidRPr="001E41AE">
        <w:t xml:space="preserve"> </w:t>
      </w:r>
    </w:p>
    <w:p w:rsidR="00DF5CE2" w:rsidRDefault="00DF5CE2" w:rsidP="00C8089F">
      <w:pPr>
        <w:rPr>
          <w:rFonts w:ascii="Arial" w:eastAsia="Calibri" w:hAnsi="Arial" w:cs="Arial"/>
          <w:b/>
          <w:szCs w:val="24"/>
          <w:lang w:eastAsia="en-US"/>
        </w:rPr>
      </w:pPr>
    </w:p>
    <w:sectPr w:rsidR="00DF5CE2" w:rsidSect="00CF0B36">
      <w:pgSz w:w="11906" w:h="16838"/>
      <w:pgMar w:top="851"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C1" w:rsidRDefault="00AE65C1">
      <w:r>
        <w:separator/>
      </w:r>
    </w:p>
  </w:endnote>
  <w:endnote w:type="continuationSeparator" w:id="0">
    <w:p w:rsidR="00AE65C1" w:rsidRDefault="00AE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C1" w:rsidRDefault="00AE65C1">
      <w:r>
        <w:separator/>
      </w:r>
    </w:p>
  </w:footnote>
  <w:footnote w:type="continuationSeparator" w:id="0">
    <w:p w:rsidR="00AE65C1" w:rsidRDefault="00AE6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53"/>
    <w:multiLevelType w:val="multilevel"/>
    <w:tmpl w:val="54E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531D1"/>
    <w:multiLevelType w:val="multilevel"/>
    <w:tmpl w:val="D9C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741D4"/>
    <w:multiLevelType w:val="hybridMultilevel"/>
    <w:tmpl w:val="5650D2E6"/>
    <w:lvl w:ilvl="0" w:tplc="10DA02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A61D1"/>
    <w:multiLevelType w:val="hybridMultilevel"/>
    <w:tmpl w:val="A08E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1087D"/>
    <w:multiLevelType w:val="multilevel"/>
    <w:tmpl w:val="CDD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334963"/>
    <w:multiLevelType w:val="hybridMultilevel"/>
    <w:tmpl w:val="281AE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27F47EB4"/>
    <w:multiLevelType w:val="multilevel"/>
    <w:tmpl w:val="3D8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2721F7"/>
    <w:multiLevelType w:val="multilevel"/>
    <w:tmpl w:val="93E2E358"/>
    <w:lvl w:ilvl="0">
      <w:start w:val="4"/>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8">
    <w:nsid w:val="32510FEE"/>
    <w:multiLevelType w:val="hybridMultilevel"/>
    <w:tmpl w:val="BC84B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B901E3"/>
    <w:multiLevelType w:val="multilevel"/>
    <w:tmpl w:val="00B2101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0">
    <w:nsid w:val="38B65C65"/>
    <w:multiLevelType w:val="multilevel"/>
    <w:tmpl w:val="8E6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D91B23"/>
    <w:multiLevelType w:val="multilevel"/>
    <w:tmpl w:val="818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7D07BC"/>
    <w:multiLevelType w:val="hybridMultilevel"/>
    <w:tmpl w:val="490CE0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nsid w:val="42D23F15"/>
    <w:multiLevelType w:val="hybridMultilevel"/>
    <w:tmpl w:val="8B82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1740DDF"/>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1F04CA"/>
    <w:multiLevelType w:val="hybridMultilevel"/>
    <w:tmpl w:val="276CE0B2"/>
    <w:lvl w:ilvl="0" w:tplc="0409000F">
      <w:start w:val="1"/>
      <w:numFmt w:val="decimal"/>
      <w:lvlText w:val="%1."/>
      <w:lvlJc w:val="left"/>
      <w:pPr>
        <w:tabs>
          <w:tab w:val="num" w:pos="720"/>
        </w:tabs>
        <w:ind w:left="720" w:hanging="360"/>
      </w:pPr>
    </w:lvl>
    <w:lvl w:ilvl="1" w:tplc="2B6EA80C">
      <w:start w:val="1"/>
      <w:numFmt w:val="bullet"/>
      <w:lvlText w:val=""/>
      <w:lvlJc w:val="left"/>
      <w:pPr>
        <w:tabs>
          <w:tab w:val="num" w:pos="1080"/>
        </w:tabs>
        <w:ind w:left="1437" w:hanging="35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AF685E"/>
    <w:multiLevelType w:val="hybridMultilevel"/>
    <w:tmpl w:val="501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ED2DCD"/>
    <w:multiLevelType w:val="hybridMultilevel"/>
    <w:tmpl w:val="B642A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844675"/>
    <w:multiLevelType w:val="hybridMultilevel"/>
    <w:tmpl w:val="C64E2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CAF2490"/>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C841CD"/>
    <w:multiLevelType w:val="hybridMultilevel"/>
    <w:tmpl w:val="D7D8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7"/>
  </w:num>
  <w:num w:numId="6">
    <w:abstractNumId w:val="8"/>
  </w:num>
  <w:num w:numId="7">
    <w:abstractNumId w:val="13"/>
  </w:num>
  <w:num w:numId="8">
    <w:abstractNumId w:val="9"/>
  </w:num>
  <w:num w:numId="9">
    <w:abstractNumId w:val="5"/>
  </w:num>
  <w:num w:numId="10">
    <w:abstractNumId w:val="12"/>
  </w:num>
  <w:num w:numId="11">
    <w:abstractNumId w:val="2"/>
  </w:num>
  <w:num w:numId="12">
    <w:abstractNumId w:val="21"/>
  </w:num>
  <w:num w:numId="13">
    <w:abstractNumId w:val="17"/>
  </w:num>
  <w:num w:numId="14">
    <w:abstractNumId w:val="1"/>
  </w:num>
  <w:num w:numId="15">
    <w:abstractNumId w:val="0"/>
  </w:num>
  <w:num w:numId="16">
    <w:abstractNumId w:val="6"/>
  </w:num>
  <w:num w:numId="17">
    <w:abstractNumId w:val="11"/>
  </w:num>
  <w:num w:numId="18">
    <w:abstractNumId w:val="4"/>
  </w:num>
  <w:num w:numId="19">
    <w:abstractNumId w:val="10"/>
  </w:num>
  <w:num w:numId="20">
    <w:abstractNumId w:val="22"/>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4F33"/>
    <w:rsid w:val="00015F4F"/>
    <w:rsid w:val="00017D2E"/>
    <w:rsid w:val="0002167E"/>
    <w:rsid w:val="00021A73"/>
    <w:rsid w:val="00026EA5"/>
    <w:rsid w:val="00053FE4"/>
    <w:rsid w:val="00054DE1"/>
    <w:rsid w:val="000764B4"/>
    <w:rsid w:val="00077197"/>
    <w:rsid w:val="000817F9"/>
    <w:rsid w:val="0008795E"/>
    <w:rsid w:val="000975F9"/>
    <w:rsid w:val="000B0D29"/>
    <w:rsid w:val="000B744A"/>
    <w:rsid w:val="000D0794"/>
    <w:rsid w:val="000D245B"/>
    <w:rsid w:val="000D620F"/>
    <w:rsid w:val="000E00E2"/>
    <w:rsid w:val="000E5B8A"/>
    <w:rsid w:val="000E6453"/>
    <w:rsid w:val="000F274B"/>
    <w:rsid w:val="000F6071"/>
    <w:rsid w:val="000F6FD8"/>
    <w:rsid w:val="001065FE"/>
    <w:rsid w:val="001072B4"/>
    <w:rsid w:val="0010757C"/>
    <w:rsid w:val="001100A3"/>
    <w:rsid w:val="00116689"/>
    <w:rsid w:val="00120225"/>
    <w:rsid w:val="00132839"/>
    <w:rsid w:val="00144164"/>
    <w:rsid w:val="00153171"/>
    <w:rsid w:val="0015326F"/>
    <w:rsid w:val="0017766C"/>
    <w:rsid w:val="00177A7B"/>
    <w:rsid w:val="00192FBE"/>
    <w:rsid w:val="001A7AF1"/>
    <w:rsid w:val="001B1FC0"/>
    <w:rsid w:val="001C41BF"/>
    <w:rsid w:val="001D1D38"/>
    <w:rsid w:val="001D2FE9"/>
    <w:rsid w:val="001D541F"/>
    <w:rsid w:val="001E41AE"/>
    <w:rsid w:val="00200C8E"/>
    <w:rsid w:val="002029D7"/>
    <w:rsid w:val="00220164"/>
    <w:rsid w:val="00220978"/>
    <w:rsid w:val="002245D8"/>
    <w:rsid w:val="00227DC9"/>
    <w:rsid w:val="002308FC"/>
    <w:rsid w:val="00232563"/>
    <w:rsid w:val="0024033E"/>
    <w:rsid w:val="00241F01"/>
    <w:rsid w:val="00247212"/>
    <w:rsid w:val="002507EF"/>
    <w:rsid w:val="00255FC0"/>
    <w:rsid w:val="002579AF"/>
    <w:rsid w:val="00261D72"/>
    <w:rsid w:val="00261E11"/>
    <w:rsid w:val="00262480"/>
    <w:rsid w:val="002654E9"/>
    <w:rsid w:val="00265F13"/>
    <w:rsid w:val="002829AC"/>
    <w:rsid w:val="00286A03"/>
    <w:rsid w:val="002959EE"/>
    <w:rsid w:val="002A5188"/>
    <w:rsid w:val="002A51F9"/>
    <w:rsid w:val="002B36C8"/>
    <w:rsid w:val="002B7DC4"/>
    <w:rsid w:val="002B7F08"/>
    <w:rsid w:val="002D1539"/>
    <w:rsid w:val="002D1FF2"/>
    <w:rsid w:val="002D5EDE"/>
    <w:rsid w:val="002D7DD6"/>
    <w:rsid w:val="002E6C9F"/>
    <w:rsid w:val="002E7918"/>
    <w:rsid w:val="002F215D"/>
    <w:rsid w:val="002F4DC9"/>
    <w:rsid w:val="00303143"/>
    <w:rsid w:val="00304F4D"/>
    <w:rsid w:val="003114C4"/>
    <w:rsid w:val="00313EC9"/>
    <w:rsid w:val="00324BD2"/>
    <w:rsid w:val="0032786E"/>
    <w:rsid w:val="0034569A"/>
    <w:rsid w:val="00345B42"/>
    <w:rsid w:val="00347734"/>
    <w:rsid w:val="00352FB4"/>
    <w:rsid w:val="003551D4"/>
    <w:rsid w:val="00356B53"/>
    <w:rsid w:val="00360402"/>
    <w:rsid w:val="003649D9"/>
    <w:rsid w:val="00371EFA"/>
    <w:rsid w:val="00372702"/>
    <w:rsid w:val="00373E7E"/>
    <w:rsid w:val="00380A34"/>
    <w:rsid w:val="00380CDF"/>
    <w:rsid w:val="00381B81"/>
    <w:rsid w:val="00384B52"/>
    <w:rsid w:val="003917DC"/>
    <w:rsid w:val="0039450A"/>
    <w:rsid w:val="003B62D6"/>
    <w:rsid w:val="003C4EA9"/>
    <w:rsid w:val="003C7AFE"/>
    <w:rsid w:val="003D2CBE"/>
    <w:rsid w:val="003D5C03"/>
    <w:rsid w:val="003E0170"/>
    <w:rsid w:val="003F321A"/>
    <w:rsid w:val="00401608"/>
    <w:rsid w:val="00407982"/>
    <w:rsid w:val="00416BFF"/>
    <w:rsid w:val="0042698E"/>
    <w:rsid w:val="00432FF9"/>
    <w:rsid w:val="004375DD"/>
    <w:rsid w:val="004403F8"/>
    <w:rsid w:val="004438C9"/>
    <w:rsid w:val="00444E77"/>
    <w:rsid w:val="00447EE9"/>
    <w:rsid w:val="0045580C"/>
    <w:rsid w:val="0045618C"/>
    <w:rsid w:val="00457DF5"/>
    <w:rsid w:val="00460DE4"/>
    <w:rsid w:val="00460F18"/>
    <w:rsid w:val="00463BDA"/>
    <w:rsid w:val="00465229"/>
    <w:rsid w:val="00466CDA"/>
    <w:rsid w:val="00474274"/>
    <w:rsid w:val="004770AD"/>
    <w:rsid w:val="00477C58"/>
    <w:rsid w:val="004823C2"/>
    <w:rsid w:val="004843C9"/>
    <w:rsid w:val="00484E83"/>
    <w:rsid w:val="00493EDC"/>
    <w:rsid w:val="004A5372"/>
    <w:rsid w:val="004A5E30"/>
    <w:rsid w:val="004A6C41"/>
    <w:rsid w:val="004A7F5F"/>
    <w:rsid w:val="004B2287"/>
    <w:rsid w:val="004B7E68"/>
    <w:rsid w:val="004C3A30"/>
    <w:rsid w:val="004D6EED"/>
    <w:rsid w:val="004E08EF"/>
    <w:rsid w:val="004E241D"/>
    <w:rsid w:val="004E4B5E"/>
    <w:rsid w:val="004E5019"/>
    <w:rsid w:val="004F08B1"/>
    <w:rsid w:val="004F2C6F"/>
    <w:rsid w:val="004F64EA"/>
    <w:rsid w:val="005047A4"/>
    <w:rsid w:val="005047F6"/>
    <w:rsid w:val="0050754F"/>
    <w:rsid w:val="0051080D"/>
    <w:rsid w:val="0051107E"/>
    <w:rsid w:val="00511496"/>
    <w:rsid w:val="005179D9"/>
    <w:rsid w:val="00520DB0"/>
    <w:rsid w:val="00521295"/>
    <w:rsid w:val="005258F0"/>
    <w:rsid w:val="00526DF1"/>
    <w:rsid w:val="0053594A"/>
    <w:rsid w:val="00543F05"/>
    <w:rsid w:val="00544A3E"/>
    <w:rsid w:val="005540B4"/>
    <w:rsid w:val="0055493F"/>
    <w:rsid w:val="00555643"/>
    <w:rsid w:val="00563DC7"/>
    <w:rsid w:val="00571965"/>
    <w:rsid w:val="00576B2E"/>
    <w:rsid w:val="00590C36"/>
    <w:rsid w:val="00592F39"/>
    <w:rsid w:val="0059426B"/>
    <w:rsid w:val="005950EE"/>
    <w:rsid w:val="005B4AAD"/>
    <w:rsid w:val="005C565B"/>
    <w:rsid w:val="005C6B41"/>
    <w:rsid w:val="005C76D1"/>
    <w:rsid w:val="005D37D5"/>
    <w:rsid w:val="005D450E"/>
    <w:rsid w:val="005D4C2B"/>
    <w:rsid w:val="005D58DB"/>
    <w:rsid w:val="005D6F6C"/>
    <w:rsid w:val="005E23D5"/>
    <w:rsid w:val="005E442C"/>
    <w:rsid w:val="005E5FCC"/>
    <w:rsid w:val="005E77BC"/>
    <w:rsid w:val="005F09BC"/>
    <w:rsid w:val="005F24B2"/>
    <w:rsid w:val="005F268F"/>
    <w:rsid w:val="005F2FBF"/>
    <w:rsid w:val="005F4B50"/>
    <w:rsid w:val="0060090F"/>
    <w:rsid w:val="00600CE7"/>
    <w:rsid w:val="00605C08"/>
    <w:rsid w:val="00610457"/>
    <w:rsid w:val="006130E7"/>
    <w:rsid w:val="006207E6"/>
    <w:rsid w:val="00623941"/>
    <w:rsid w:val="006314BD"/>
    <w:rsid w:val="00647FE6"/>
    <w:rsid w:val="00660A42"/>
    <w:rsid w:val="00663093"/>
    <w:rsid w:val="006658B6"/>
    <w:rsid w:val="006716D2"/>
    <w:rsid w:val="00671B47"/>
    <w:rsid w:val="0067538A"/>
    <w:rsid w:val="00682545"/>
    <w:rsid w:val="00686716"/>
    <w:rsid w:val="00690634"/>
    <w:rsid w:val="006925F5"/>
    <w:rsid w:val="00693BFC"/>
    <w:rsid w:val="006A1248"/>
    <w:rsid w:val="006A3AC2"/>
    <w:rsid w:val="006B06E6"/>
    <w:rsid w:val="006B3C26"/>
    <w:rsid w:val="006C09E9"/>
    <w:rsid w:val="006C0AEA"/>
    <w:rsid w:val="006C2F41"/>
    <w:rsid w:val="006D0028"/>
    <w:rsid w:val="006D3293"/>
    <w:rsid w:val="006D44D7"/>
    <w:rsid w:val="006E3CFD"/>
    <w:rsid w:val="006F4934"/>
    <w:rsid w:val="006F5801"/>
    <w:rsid w:val="006F5F8F"/>
    <w:rsid w:val="00703673"/>
    <w:rsid w:val="0070412A"/>
    <w:rsid w:val="007053BE"/>
    <w:rsid w:val="00707C87"/>
    <w:rsid w:val="00720B5B"/>
    <w:rsid w:val="007214D1"/>
    <w:rsid w:val="00726B31"/>
    <w:rsid w:val="00727D67"/>
    <w:rsid w:val="007310D7"/>
    <w:rsid w:val="00731E93"/>
    <w:rsid w:val="00742B9E"/>
    <w:rsid w:val="0074360E"/>
    <w:rsid w:val="00751A5C"/>
    <w:rsid w:val="00755820"/>
    <w:rsid w:val="00766BAD"/>
    <w:rsid w:val="00766EF9"/>
    <w:rsid w:val="00767B29"/>
    <w:rsid w:val="00776348"/>
    <w:rsid w:val="00784401"/>
    <w:rsid w:val="00791D36"/>
    <w:rsid w:val="00794A0C"/>
    <w:rsid w:val="007A2F50"/>
    <w:rsid w:val="007B2FE1"/>
    <w:rsid w:val="007B3DC7"/>
    <w:rsid w:val="007C13C5"/>
    <w:rsid w:val="007C51AA"/>
    <w:rsid w:val="007C7B5A"/>
    <w:rsid w:val="007D4675"/>
    <w:rsid w:val="007E7860"/>
    <w:rsid w:val="007F127B"/>
    <w:rsid w:val="007F17B4"/>
    <w:rsid w:val="007F57B7"/>
    <w:rsid w:val="007F78AE"/>
    <w:rsid w:val="00805D7B"/>
    <w:rsid w:val="00810982"/>
    <w:rsid w:val="00825FD9"/>
    <w:rsid w:val="00826907"/>
    <w:rsid w:val="00834E2D"/>
    <w:rsid w:val="0083644A"/>
    <w:rsid w:val="00841643"/>
    <w:rsid w:val="0084209E"/>
    <w:rsid w:val="00847811"/>
    <w:rsid w:val="00876F99"/>
    <w:rsid w:val="00891BE6"/>
    <w:rsid w:val="008A1F14"/>
    <w:rsid w:val="008A431C"/>
    <w:rsid w:val="008A4522"/>
    <w:rsid w:val="008C03E3"/>
    <w:rsid w:val="008C1B47"/>
    <w:rsid w:val="008C3C98"/>
    <w:rsid w:val="008D61AA"/>
    <w:rsid w:val="008F5A22"/>
    <w:rsid w:val="008F66E6"/>
    <w:rsid w:val="008F74CA"/>
    <w:rsid w:val="00912498"/>
    <w:rsid w:val="00920271"/>
    <w:rsid w:val="00924053"/>
    <w:rsid w:val="00941073"/>
    <w:rsid w:val="00952CCE"/>
    <w:rsid w:val="00962E81"/>
    <w:rsid w:val="00985181"/>
    <w:rsid w:val="00985DE5"/>
    <w:rsid w:val="00987DFB"/>
    <w:rsid w:val="00990CFB"/>
    <w:rsid w:val="00991247"/>
    <w:rsid w:val="0099290A"/>
    <w:rsid w:val="00995C74"/>
    <w:rsid w:val="009A2020"/>
    <w:rsid w:val="009C0A57"/>
    <w:rsid w:val="009C77CF"/>
    <w:rsid w:val="009D3236"/>
    <w:rsid w:val="009D691A"/>
    <w:rsid w:val="009D6A45"/>
    <w:rsid w:val="009E0A66"/>
    <w:rsid w:val="009E1C50"/>
    <w:rsid w:val="009E7E1D"/>
    <w:rsid w:val="009F0139"/>
    <w:rsid w:val="00A01760"/>
    <w:rsid w:val="00A035C1"/>
    <w:rsid w:val="00A03B68"/>
    <w:rsid w:val="00A06051"/>
    <w:rsid w:val="00A06F5D"/>
    <w:rsid w:val="00A1003D"/>
    <w:rsid w:val="00A105B9"/>
    <w:rsid w:val="00A1733F"/>
    <w:rsid w:val="00A252F3"/>
    <w:rsid w:val="00A265AA"/>
    <w:rsid w:val="00A44B54"/>
    <w:rsid w:val="00A47A09"/>
    <w:rsid w:val="00A47B94"/>
    <w:rsid w:val="00A506DE"/>
    <w:rsid w:val="00A60358"/>
    <w:rsid w:val="00A701E8"/>
    <w:rsid w:val="00A813FC"/>
    <w:rsid w:val="00A8159A"/>
    <w:rsid w:val="00A852FC"/>
    <w:rsid w:val="00A95347"/>
    <w:rsid w:val="00AA15DA"/>
    <w:rsid w:val="00AA6A6A"/>
    <w:rsid w:val="00AB3D83"/>
    <w:rsid w:val="00AB44CE"/>
    <w:rsid w:val="00AB772D"/>
    <w:rsid w:val="00AC5BBD"/>
    <w:rsid w:val="00AD0D67"/>
    <w:rsid w:val="00AD33D1"/>
    <w:rsid w:val="00AE3455"/>
    <w:rsid w:val="00AE44B9"/>
    <w:rsid w:val="00AE65C1"/>
    <w:rsid w:val="00AF02B6"/>
    <w:rsid w:val="00AF5408"/>
    <w:rsid w:val="00B0019E"/>
    <w:rsid w:val="00B03B53"/>
    <w:rsid w:val="00B06F13"/>
    <w:rsid w:val="00B15C2E"/>
    <w:rsid w:val="00B26FB4"/>
    <w:rsid w:val="00B356DC"/>
    <w:rsid w:val="00B35E26"/>
    <w:rsid w:val="00B43CE9"/>
    <w:rsid w:val="00B4511E"/>
    <w:rsid w:val="00B50D69"/>
    <w:rsid w:val="00B50E9D"/>
    <w:rsid w:val="00B56CDC"/>
    <w:rsid w:val="00B6149F"/>
    <w:rsid w:val="00B63E1F"/>
    <w:rsid w:val="00B64394"/>
    <w:rsid w:val="00B677B7"/>
    <w:rsid w:val="00B76CAE"/>
    <w:rsid w:val="00B84929"/>
    <w:rsid w:val="00B86838"/>
    <w:rsid w:val="00B87B5D"/>
    <w:rsid w:val="00B90704"/>
    <w:rsid w:val="00BA01AD"/>
    <w:rsid w:val="00BA2BC7"/>
    <w:rsid w:val="00BB0395"/>
    <w:rsid w:val="00BB4A08"/>
    <w:rsid w:val="00BC1EB4"/>
    <w:rsid w:val="00BE6360"/>
    <w:rsid w:val="00C14B28"/>
    <w:rsid w:val="00C15B6B"/>
    <w:rsid w:val="00C214F8"/>
    <w:rsid w:val="00C3461A"/>
    <w:rsid w:val="00C351C8"/>
    <w:rsid w:val="00C360E6"/>
    <w:rsid w:val="00C44DE0"/>
    <w:rsid w:val="00C456FE"/>
    <w:rsid w:val="00C46B5F"/>
    <w:rsid w:val="00C60663"/>
    <w:rsid w:val="00C61237"/>
    <w:rsid w:val="00C71EF3"/>
    <w:rsid w:val="00C72B73"/>
    <w:rsid w:val="00C8005D"/>
    <w:rsid w:val="00C8089F"/>
    <w:rsid w:val="00C86369"/>
    <w:rsid w:val="00C973BB"/>
    <w:rsid w:val="00C978E0"/>
    <w:rsid w:val="00CA4B02"/>
    <w:rsid w:val="00CB5374"/>
    <w:rsid w:val="00CB56B9"/>
    <w:rsid w:val="00CB7017"/>
    <w:rsid w:val="00CE716D"/>
    <w:rsid w:val="00CE7C25"/>
    <w:rsid w:val="00CF0B36"/>
    <w:rsid w:val="00D03451"/>
    <w:rsid w:val="00D038C4"/>
    <w:rsid w:val="00D11FA1"/>
    <w:rsid w:val="00D12180"/>
    <w:rsid w:val="00D20EFC"/>
    <w:rsid w:val="00D23370"/>
    <w:rsid w:val="00D23435"/>
    <w:rsid w:val="00D30472"/>
    <w:rsid w:val="00D45787"/>
    <w:rsid w:val="00D4627A"/>
    <w:rsid w:val="00D46356"/>
    <w:rsid w:val="00D57CDF"/>
    <w:rsid w:val="00D6031D"/>
    <w:rsid w:val="00D604A7"/>
    <w:rsid w:val="00D658D1"/>
    <w:rsid w:val="00D65A67"/>
    <w:rsid w:val="00D66EB1"/>
    <w:rsid w:val="00D75FFC"/>
    <w:rsid w:val="00D842DB"/>
    <w:rsid w:val="00D906F4"/>
    <w:rsid w:val="00D93D96"/>
    <w:rsid w:val="00DA1988"/>
    <w:rsid w:val="00DB3601"/>
    <w:rsid w:val="00DB3CD6"/>
    <w:rsid w:val="00DC17DA"/>
    <w:rsid w:val="00DC4937"/>
    <w:rsid w:val="00DD0516"/>
    <w:rsid w:val="00DD614F"/>
    <w:rsid w:val="00DD7EFF"/>
    <w:rsid w:val="00DE07A3"/>
    <w:rsid w:val="00DE1942"/>
    <w:rsid w:val="00DE1E6C"/>
    <w:rsid w:val="00DE2B44"/>
    <w:rsid w:val="00DE5F32"/>
    <w:rsid w:val="00DF1F68"/>
    <w:rsid w:val="00DF55D6"/>
    <w:rsid w:val="00DF5CE2"/>
    <w:rsid w:val="00DF6E1D"/>
    <w:rsid w:val="00E0196C"/>
    <w:rsid w:val="00E04193"/>
    <w:rsid w:val="00E04751"/>
    <w:rsid w:val="00E11B89"/>
    <w:rsid w:val="00E16021"/>
    <w:rsid w:val="00E1614A"/>
    <w:rsid w:val="00E216D0"/>
    <w:rsid w:val="00E25FDA"/>
    <w:rsid w:val="00E26FC7"/>
    <w:rsid w:val="00E3069B"/>
    <w:rsid w:val="00E345B1"/>
    <w:rsid w:val="00E355EE"/>
    <w:rsid w:val="00E45F94"/>
    <w:rsid w:val="00E523CD"/>
    <w:rsid w:val="00E52B44"/>
    <w:rsid w:val="00E62C70"/>
    <w:rsid w:val="00E66429"/>
    <w:rsid w:val="00E75F39"/>
    <w:rsid w:val="00E75F6B"/>
    <w:rsid w:val="00E92F59"/>
    <w:rsid w:val="00EA6559"/>
    <w:rsid w:val="00EA6C6E"/>
    <w:rsid w:val="00EB228F"/>
    <w:rsid w:val="00EB524F"/>
    <w:rsid w:val="00EC095C"/>
    <w:rsid w:val="00EC259F"/>
    <w:rsid w:val="00EC47E3"/>
    <w:rsid w:val="00EE63AE"/>
    <w:rsid w:val="00EF4F9D"/>
    <w:rsid w:val="00EF53CD"/>
    <w:rsid w:val="00F06261"/>
    <w:rsid w:val="00F1364E"/>
    <w:rsid w:val="00F20271"/>
    <w:rsid w:val="00F2111F"/>
    <w:rsid w:val="00F2342F"/>
    <w:rsid w:val="00F25E7E"/>
    <w:rsid w:val="00F31CA1"/>
    <w:rsid w:val="00F32954"/>
    <w:rsid w:val="00F42CF3"/>
    <w:rsid w:val="00F469C4"/>
    <w:rsid w:val="00F503ED"/>
    <w:rsid w:val="00F55F2F"/>
    <w:rsid w:val="00F63E64"/>
    <w:rsid w:val="00F76AA4"/>
    <w:rsid w:val="00F77121"/>
    <w:rsid w:val="00FA053D"/>
    <w:rsid w:val="00FA2E74"/>
    <w:rsid w:val="00FA5259"/>
    <w:rsid w:val="00FA7DA7"/>
    <w:rsid w:val="00FB0F87"/>
    <w:rsid w:val="00FB17D4"/>
    <w:rsid w:val="00FC0CB0"/>
    <w:rsid w:val="00FC1D3E"/>
    <w:rsid w:val="00FC2545"/>
    <w:rsid w:val="00FC2B80"/>
    <w:rsid w:val="00FD1D44"/>
    <w:rsid w:val="00FD2BFB"/>
    <w:rsid w:val="00FD3F7E"/>
    <w:rsid w:val="00FE2E2B"/>
    <w:rsid w:val="00FE3A29"/>
    <w:rsid w:val="00FE4D79"/>
    <w:rsid w:val="00FE65CF"/>
    <w:rsid w:val="00FF110F"/>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9">
    <w:name w:val="heading 9"/>
    <w:basedOn w:val="Normal"/>
    <w:next w:val="Normal"/>
    <w:link w:val="Heading9Char"/>
    <w:uiPriority w:val="9"/>
    <w:semiHidden/>
    <w:unhideWhenUsed/>
    <w:qFormat/>
    <w:rsid w:val="0068671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86716"/>
    <w:rPr>
      <w:rFonts w:asciiTheme="majorHAnsi" w:eastAsiaTheme="majorEastAsia" w:hAnsiTheme="majorHAnsi" w:cstheme="majorBidi"/>
      <w:sz w:val="22"/>
      <w:szCs w:val="22"/>
    </w:rPr>
  </w:style>
  <w:style w:type="paragraph" w:styleId="BodyText2">
    <w:name w:val="Body Text 2"/>
    <w:basedOn w:val="Normal"/>
    <w:link w:val="BodyText2Char"/>
    <w:uiPriority w:val="99"/>
    <w:semiHidden/>
    <w:unhideWhenUsed/>
    <w:rsid w:val="00686716"/>
    <w:pPr>
      <w:spacing w:after="120" w:line="480" w:lineRule="auto"/>
    </w:pPr>
  </w:style>
  <w:style w:type="character" w:customStyle="1" w:styleId="BodyText2Char">
    <w:name w:val="Body Text 2 Char"/>
    <w:basedOn w:val="DefaultParagraphFont"/>
    <w:link w:val="BodyText2"/>
    <w:uiPriority w:val="99"/>
    <w:semiHidden/>
    <w:rsid w:val="00686716"/>
    <w:rPr>
      <w:sz w:val="24"/>
    </w:rPr>
  </w:style>
  <w:style w:type="table" w:customStyle="1" w:styleId="TableGrid2">
    <w:name w:val="Table Grid2"/>
    <w:basedOn w:val="TableNormal"/>
    <w:next w:val="TableGrid"/>
    <w:uiPriority w:val="59"/>
    <w:rsid w:val="006867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9">
    <w:name w:val="heading 9"/>
    <w:basedOn w:val="Normal"/>
    <w:next w:val="Normal"/>
    <w:link w:val="Heading9Char"/>
    <w:uiPriority w:val="9"/>
    <w:semiHidden/>
    <w:unhideWhenUsed/>
    <w:qFormat/>
    <w:rsid w:val="0068671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86716"/>
    <w:rPr>
      <w:rFonts w:asciiTheme="majorHAnsi" w:eastAsiaTheme="majorEastAsia" w:hAnsiTheme="majorHAnsi" w:cstheme="majorBidi"/>
      <w:sz w:val="22"/>
      <w:szCs w:val="22"/>
    </w:rPr>
  </w:style>
  <w:style w:type="paragraph" w:styleId="BodyText2">
    <w:name w:val="Body Text 2"/>
    <w:basedOn w:val="Normal"/>
    <w:link w:val="BodyText2Char"/>
    <w:uiPriority w:val="99"/>
    <w:semiHidden/>
    <w:unhideWhenUsed/>
    <w:rsid w:val="00686716"/>
    <w:pPr>
      <w:spacing w:after="120" w:line="480" w:lineRule="auto"/>
    </w:pPr>
  </w:style>
  <w:style w:type="character" w:customStyle="1" w:styleId="BodyText2Char">
    <w:name w:val="Body Text 2 Char"/>
    <w:basedOn w:val="DefaultParagraphFont"/>
    <w:link w:val="BodyText2"/>
    <w:uiPriority w:val="99"/>
    <w:semiHidden/>
    <w:rsid w:val="00686716"/>
    <w:rPr>
      <w:sz w:val="24"/>
    </w:rPr>
  </w:style>
  <w:style w:type="table" w:customStyle="1" w:styleId="TableGrid2">
    <w:name w:val="Table Grid2"/>
    <w:basedOn w:val="TableNormal"/>
    <w:next w:val="TableGrid"/>
    <w:uiPriority w:val="59"/>
    <w:rsid w:val="006867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39056148">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234046605">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09277671">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B471-45F6-478F-89F7-65426AA1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2017-03-08T10:13:00Z</cp:lastPrinted>
  <dcterms:created xsi:type="dcterms:W3CDTF">2017-03-23T13:03:00Z</dcterms:created>
  <dcterms:modified xsi:type="dcterms:W3CDTF">2017-03-23T13:03:00Z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1902912727</vt:i4>
  </property>
  <property fmtid="{D5CDD505-2E9C-101B-9397-08002B2CF9AE}" pid="3" name="_NewReviewCycle">
    <vt:lpwstr/>
  </property>
  <property fmtid="{D5CDD505-2E9C-101B-9397-08002B2CF9AE}" pid="4" name="_EmailSubject">
    <vt:lpwstr>HUMAN RESOURCES REPORT FOR HLH BOARD 2 OCTOBER</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425220563</vt:i4>
  </property>
  <property fmtid="{D5CDD505-2E9C-101B-9397-08002B2CF9AE}" pid="8" name="_ReviewingToolsShownOnce">
    <vt:lpwstr/>
  </property>
</Properties>
</file>