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7214D1" w:rsidTr="00DE1E6C">
        <w:trPr>
          <w:cantSplit/>
          <w:trHeight w:val="993"/>
        </w:trPr>
        <w:tc>
          <w:tcPr>
            <w:tcW w:w="6629" w:type="dxa"/>
          </w:tcPr>
          <w:p w:rsidR="00DE1E6C" w:rsidRDefault="00B84929" w:rsidP="002B7DC4">
            <w:pPr>
              <w:pStyle w:val="BodyText"/>
              <w:jc w:val="left"/>
              <w:rPr>
                <w:rFonts w:ascii="Arial" w:hAnsi="Arial" w:cs="Arial"/>
                <w:szCs w:val="24"/>
              </w:rPr>
            </w:pPr>
            <w:r>
              <w:rPr>
                <w:rFonts w:ascii="Arial" w:hAnsi="Arial" w:cs="Arial"/>
                <w:szCs w:val="24"/>
              </w:rPr>
              <w:t xml:space="preserve">HIGH LIFE HIGHLAND </w:t>
            </w:r>
          </w:p>
          <w:p w:rsidR="002B7DC4" w:rsidRDefault="00DE1E6C" w:rsidP="002B7DC4">
            <w:pPr>
              <w:pStyle w:val="BodyText"/>
              <w:jc w:val="left"/>
              <w:rPr>
                <w:rFonts w:ascii="Arial" w:hAnsi="Arial" w:cs="Arial"/>
                <w:szCs w:val="24"/>
              </w:rPr>
            </w:pPr>
            <w:r>
              <w:rPr>
                <w:rFonts w:ascii="Arial" w:hAnsi="Arial" w:cs="Arial"/>
                <w:szCs w:val="24"/>
              </w:rPr>
              <w:t>REPORT TO BOARD OF DIRECTORS</w:t>
            </w:r>
          </w:p>
          <w:p w:rsidR="00017D2E" w:rsidRDefault="00BD7355" w:rsidP="002B7DC4">
            <w:pPr>
              <w:pStyle w:val="BodyText"/>
              <w:jc w:val="left"/>
              <w:rPr>
                <w:rFonts w:ascii="Arial" w:hAnsi="Arial" w:cs="Arial"/>
                <w:szCs w:val="24"/>
              </w:rPr>
            </w:pPr>
            <w:r>
              <w:rPr>
                <w:rFonts w:ascii="Arial" w:hAnsi="Arial" w:cs="Arial"/>
                <w:szCs w:val="24"/>
              </w:rPr>
              <w:t>22 March 2018</w:t>
            </w:r>
          </w:p>
          <w:p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35" w:type="dxa"/>
          </w:tcPr>
          <w:p w:rsidR="00B84929" w:rsidRPr="007214D1" w:rsidRDefault="004C3A30" w:rsidP="00C8211A">
            <w:pPr>
              <w:rPr>
                <w:rFonts w:ascii="Arial" w:hAnsi="Arial" w:cs="Arial"/>
                <w:szCs w:val="24"/>
              </w:rPr>
            </w:pPr>
            <w:r>
              <w:rPr>
                <w:rFonts w:ascii="Arial" w:hAnsi="Arial" w:cs="Arial"/>
                <w:szCs w:val="24"/>
              </w:rPr>
              <w:t>AGENDA ITEM</w:t>
            </w:r>
            <w:r w:rsidR="00AB2B69">
              <w:rPr>
                <w:rFonts w:ascii="Arial" w:hAnsi="Arial" w:cs="Arial"/>
                <w:szCs w:val="24"/>
              </w:rPr>
              <w:t xml:space="preserve"> 12</w:t>
            </w:r>
            <w:r>
              <w:rPr>
                <w:rFonts w:ascii="Arial" w:hAnsi="Arial" w:cs="Arial"/>
                <w:szCs w:val="24"/>
              </w:rPr>
              <w:t xml:space="preserve"> </w:t>
            </w:r>
            <w:r w:rsidR="00B84929">
              <w:rPr>
                <w:rFonts w:ascii="Arial" w:hAnsi="Arial" w:cs="Arial"/>
                <w:szCs w:val="24"/>
              </w:rPr>
              <w:t xml:space="preserve"> REPORT No HLH</w:t>
            </w:r>
            <w:r w:rsidR="00C8211A">
              <w:rPr>
                <w:rFonts w:ascii="Arial" w:hAnsi="Arial" w:cs="Arial"/>
                <w:szCs w:val="24"/>
              </w:rPr>
              <w:t>6</w:t>
            </w:r>
            <w:r w:rsidR="0042698E">
              <w:rPr>
                <w:rFonts w:ascii="Arial" w:hAnsi="Arial" w:cs="Arial"/>
                <w:szCs w:val="24"/>
              </w:rPr>
              <w:t>/1</w:t>
            </w:r>
            <w:r w:rsidR="00BD7355">
              <w:rPr>
                <w:rFonts w:ascii="Arial" w:hAnsi="Arial" w:cs="Arial"/>
                <w:szCs w:val="24"/>
              </w:rPr>
              <w:t>8</w:t>
            </w:r>
          </w:p>
        </w:tc>
      </w:tr>
    </w:tbl>
    <w:p w:rsidR="0039450A" w:rsidRPr="007214D1" w:rsidRDefault="00F42CF3" w:rsidP="00DE1E6C">
      <w:pPr>
        <w:pStyle w:val="Heading2"/>
        <w:rPr>
          <w:rFonts w:ascii="Arial" w:hAnsi="Arial" w:cs="Arial"/>
          <w:b/>
          <w:szCs w:val="24"/>
          <w:u w:val="none"/>
        </w:rPr>
      </w:pPr>
      <w:r w:rsidRPr="00F42CF3">
        <w:rPr>
          <w:rFonts w:ascii="Arial" w:hAnsi="Arial" w:cs="Arial"/>
          <w:b/>
          <w:szCs w:val="24"/>
          <w:u w:val="none"/>
        </w:rPr>
        <w:t xml:space="preserve">HUMAN RESOURCES </w:t>
      </w:r>
      <w:r>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trPr>
          <w:cantSplit/>
        </w:trPr>
        <w:tc>
          <w:tcPr>
            <w:tcW w:w="9464" w:type="dxa"/>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r w:rsidR="00720B5B">
              <w:rPr>
                <w:rFonts w:ascii="Arial" w:hAnsi="Arial" w:cs="Arial"/>
                <w:b/>
                <w:szCs w:val="24"/>
                <w:u w:val="none"/>
              </w:rPr>
              <w:t xml:space="preserve"> </w:t>
            </w:r>
          </w:p>
          <w:p w:rsidR="002B7DC4" w:rsidRDefault="002B7DC4" w:rsidP="002B7DC4"/>
          <w:p w:rsidR="001C41BF" w:rsidRDefault="00460DE4" w:rsidP="00AB2B69">
            <w:pPr>
              <w:spacing w:before="100" w:beforeAutospacing="1" w:after="100" w:afterAutospacing="1"/>
              <w:jc w:val="both"/>
              <w:rPr>
                <w:rFonts w:ascii="Arial" w:hAnsi="Arial" w:cs="Arial"/>
              </w:rPr>
            </w:pPr>
            <w:r>
              <w:rPr>
                <w:rFonts w:ascii="Arial" w:hAnsi="Arial" w:cs="Arial"/>
              </w:rPr>
              <w:t>The purpose of this report is to update Directors on Human Resources activity</w:t>
            </w:r>
            <w:r w:rsidR="00C44DE0">
              <w:rPr>
                <w:rFonts w:ascii="Arial" w:hAnsi="Arial" w:cs="Arial"/>
              </w:rPr>
              <w:t xml:space="preserve"> for </w:t>
            </w:r>
            <w:r w:rsidR="00BD7355">
              <w:rPr>
                <w:rFonts w:ascii="Arial" w:hAnsi="Arial" w:cs="Arial"/>
              </w:rPr>
              <w:t>October</w:t>
            </w:r>
            <w:r w:rsidR="00E74E2C">
              <w:rPr>
                <w:rFonts w:ascii="Arial" w:hAnsi="Arial" w:cs="Arial"/>
              </w:rPr>
              <w:t xml:space="preserve"> to </w:t>
            </w:r>
            <w:r w:rsidR="00BD7355">
              <w:rPr>
                <w:rFonts w:ascii="Arial" w:hAnsi="Arial" w:cs="Arial"/>
              </w:rPr>
              <w:t>December</w:t>
            </w:r>
            <w:r w:rsidR="005D6F6C">
              <w:rPr>
                <w:rFonts w:ascii="Arial" w:hAnsi="Arial" w:cs="Arial"/>
              </w:rPr>
              <w:t xml:space="preserve"> 201</w:t>
            </w:r>
            <w:r w:rsidR="000C6FDE">
              <w:rPr>
                <w:rFonts w:ascii="Arial" w:hAnsi="Arial" w:cs="Arial"/>
              </w:rPr>
              <w:t>7</w:t>
            </w:r>
            <w:r>
              <w:rPr>
                <w:rFonts w:ascii="Arial" w:hAnsi="Arial" w:cs="Arial"/>
              </w:rPr>
              <w:t xml:space="preserve"> including a quarterly report on absence, disciplinary and grievance issues.  </w:t>
            </w:r>
          </w:p>
          <w:p w:rsidR="00754394" w:rsidRDefault="00460DE4" w:rsidP="00AB2B69">
            <w:pPr>
              <w:spacing w:before="100" w:beforeAutospacing="1" w:after="100" w:afterAutospacing="1"/>
              <w:jc w:val="both"/>
              <w:rPr>
                <w:rFonts w:ascii="Arial" w:hAnsi="Arial" w:cs="Arial"/>
                <w:szCs w:val="24"/>
              </w:rPr>
            </w:pPr>
            <w:r>
              <w:rPr>
                <w:rFonts w:ascii="Arial" w:hAnsi="Arial" w:cs="Arial"/>
              </w:rPr>
              <w:t>It is recommen</w:t>
            </w:r>
            <w:r w:rsidRPr="007D45D7">
              <w:rPr>
                <w:rFonts w:ascii="Arial" w:hAnsi="Arial" w:cs="Arial"/>
                <w:szCs w:val="24"/>
              </w:rPr>
              <w:t>ded that Directors</w:t>
            </w:r>
            <w:r w:rsidR="00754394">
              <w:rPr>
                <w:rFonts w:ascii="Arial" w:hAnsi="Arial" w:cs="Arial"/>
                <w:szCs w:val="24"/>
              </w:rPr>
              <w:t>:</w:t>
            </w:r>
          </w:p>
          <w:p w:rsidR="0039450A" w:rsidRDefault="00460DE4" w:rsidP="00AB2B69">
            <w:pPr>
              <w:pStyle w:val="ListParagraph"/>
              <w:numPr>
                <w:ilvl w:val="0"/>
                <w:numId w:val="4"/>
              </w:numPr>
              <w:spacing w:before="100" w:beforeAutospacing="1" w:after="100" w:afterAutospacing="1" w:line="240" w:lineRule="auto"/>
              <w:ind w:left="567" w:hanging="283"/>
              <w:jc w:val="both"/>
              <w:rPr>
                <w:rFonts w:ascii="Arial" w:hAnsi="Arial" w:cs="Arial"/>
                <w:sz w:val="24"/>
                <w:szCs w:val="24"/>
              </w:rPr>
            </w:pPr>
            <w:r w:rsidRPr="008F41D8">
              <w:rPr>
                <w:rFonts w:ascii="Arial" w:hAnsi="Arial" w:cs="Arial"/>
                <w:sz w:val="24"/>
                <w:szCs w:val="24"/>
              </w:rPr>
              <w:t xml:space="preserve">note </w:t>
            </w:r>
            <w:r w:rsidR="00E45F94" w:rsidRPr="008F41D8">
              <w:rPr>
                <w:rFonts w:ascii="Arial" w:hAnsi="Arial" w:cs="Arial"/>
                <w:sz w:val="24"/>
                <w:szCs w:val="24"/>
              </w:rPr>
              <w:t xml:space="preserve">and comment on </w:t>
            </w:r>
            <w:r w:rsidRPr="008F41D8">
              <w:rPr>
                <w:rFonts w:ascii="Arial" w:hAnsi="Arial" w:cs="Arial"/>
                <w:sz w:val="24"/>
                <w:szCs w:val="24"/>
              </w:rPr>
              <w:t xml:space="preserve">the content of the quarterly </w:t>
            </w:r>
            <w:r w:rsidR="008F41D8">
              <w:rPr>
                <w:rFonts w:ascii="Arial" w:hAnsi="Arial" w:cs="Arial"/>
                <w:sz w:val="24"/>
                <w:szCs w:val="24"/>
              </w:rPr>
              <w:t xml:space="preserve">HR </w:t>
            </w:r>
            <w:r w:rsidRPr="008F41D8">
              <w:rPr>
                <w:rFonts w:ascii="Arial" w:hAnsi="Arial" w:cs="Arial"/>
                <w:sz w:val="24"/>
                <w:szCs w:val="24"/>
              </w:rPr>
              <w:t>report including the update on the staffing establishment</w:t>
            </w:r>
            <w:r w:rsidR="00721569">
              <w:rPr>
                <w:rFonts w:ascii="Arial" w:hAnsi="Arial" w:cs="Arial"/>
                <w:sz w:val="24"/>
                <w:szCs w:val="24"/>
              </w:rPr>
              <w:t>; and</w:t>
            </w:r>
          </w:p>
          <w:p w:rsidR="00721569" w:rsidRPr="00AB2B69" w:rsidRDefault="00721569" w:rsidP="00AB2B69">
            <w:pPr>
              <w:pStyle w:val="ListParagraph"/>
              <w:numPr>
                <w:ilvl w:val="0"/>
                <w:numId w:val="4"/>
              </w:numPr>
              <w:spacing w:before="100" w:beforeAutospacing="1" w:after="100" w:afterAutospacing="1" w:line="240" w:lineRule="auto"/>
              <w:ind w:left="567" w:hanging="283"/>
              <w:jc w:val="both"/>
              <w:rPr>
                <w:rFonts w:ascii="Arial" w:hAnsi="Arial" w:cs="Arial"/>
                <w:sz w:val="24"/>
                <w:szCs w:val="24"/>
              </w:rPr>
            </w:pPr>
            <w:proofErr w:type="gramStart"/>
            <w:r w:rsidRPr="00AB2B69">
              <w:rPr>
                <w:rFonts w:ascii="Arial" w:hAnsi="Arial" w:cs="Arial"/>
                <w:sz w:val="24"/>
                <w:szCs w:val="24"/>
              </w:rPr>
              <w:t>note</w:t>
            </w:r>
            <w:proofErr w:type="gramEnd"/>
            <w:r w:rsidRPr="00AB2B69">
              <w:rPr>
                <w:rFonts w:ascii="Arial" w:hAnsi="Arial" w:cs="Arial"/>
                <w:sz w:val="24"/>
                <w:szCs w:val="24"/>
              </w:rPr>
              <w:t xml:space="preserve"> the progress to date relating to the implementation of the General Data Protection </w:t>
            </w:r>
            <w:r w:rsidR="008E3C2A" w:rsidRPr="00AB2B69">
              <w:rPr>
                <w:rFonts w:ascii="Arial" w:hAnsi="Arial" w:cs="Arial"/>
                <w:sz w:val="24"/>
                <w:szCs w:val="24"/>
              </w:rPr>
              <w:t>Regulation.</w:t>
            </w:r>
            <w:r w:rsidRPr="00AB2B69">
              <w:rPr>
                <w:rFonts w:ascii="Arial" w:hAnsi="Arial" w:cs="Arial"/>
                <w:sz w:val="24"/>
                <w:szCs w:val="24"/>
              </w:rPr>
              <w:t xml:space="preserve"> </w:t>
            </w:r>
          </w:p>
        </w:tc>
      </w:tr>
    </w:tbl>
    <w:p w:rsidR="0039450A" w:rsidRPr="007214D1" w:rsidRDefault="0039450A"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6F5801" w:rsidRPr="007214D1" w:rsidTr="00BA0979">
        <w:tc>
          <w:tcPr>
            <w:tcW w:w="817" w:type="dxa"/>
          </w:tcPr>
          <w:p w:rsidR="006F5801" w:rsidRPr="007214D1" w:rsidRDefault="006F5801" w:rsidP="00416BFF">
            <w:pPr>
              <w:rPr>
                <w:rFonts w:ascii="Arial" w:hAnsi="Arial" w:cs="Arial"/>
                <w:b/>
                <w:szCs w:val="24"/>
              </w:rPr>
            </w:pPr>
            <w:r>
              <w:rPr>
                <w:rFonts w:ascii="Arial" w:hAnsi="Arial" w:cs="Arial"/>
                <w:b/>
                <w:szCs w:val="24"/>
              </w:rPr>
              <w:t>1.</w:t>
            </w:r>
          </w:p>
        </w:tc>
        <w:tc>
          <w:tcPr>
            <w:tcW w:w="8647" w:type="dxa"/>
          </w:tcPr>
          <w:p w:rsidR="006F5801" w:rsidRDefault="006F5801" w:rsidP="006F5801">
            <w:pPr>
              <w:jc w:val="both"/>
              <w:rPr>
                <w:rFonts w:ascii="Arial" w:hAnsi="Arial" w:cs="Arial"/>
                <w:b/>
                <w:szCs w:val="24"/>
              </w:rPr>
            </w:pPr>
            <w:r w:rsidRPr="00E66429">
              <w:rPr>
                <w:rFonts w:ascii="Arial" w:hAnsi="Arial" w:cs="Arial"/>
                <w:b/>
                <w:szCs w:val="24"/>
              </w:rPr>
              <w:t>Business Plan Contribution</w:t>
            </w:r>
          </w:p>
          <w:p w:rsidR="006F5801" w:rsidRPr="007214D1" w:rsidRDefault="006F5801" w:rsidP="00474274">
            <w:pPr>
              <w:pStyle w:val="Heading3"/>
              <w:rPr>
                <w:rFonts w:ascii="Arial" w:hAnsi="Arial" w:cs="Arial"/>
                <w:b/>
                <w:szCs w:val="24"/>
                <w:u w:val="none"/>
              </w:rPr>
            </w:pPr>
          </w:p>
        </w:tc>
      </w:tr>
      <w:tr w:rsidR="006F5801" w:rsidRPr="007214D1" w:rsidTr="00BA0979">
        <w:tc>
          <w:tcPr>
            <w:tcW w:w="817" w:type="dxa"/>
          </w:tcPr>
          <w:p w:rsidR="006F5801" w:rsidRPr="006F5801" w:rsidRDefault="006F5801" w:rsidP="00416BFF">
            <w:pPr>
              <w:rPr>
                <w:rFonts w:ascii="Arial" w:hAnsi="Arial" w:cs="Arial"/>
                <w:szCs w:val="24"/>
              </w:rPr>
            </w:pPr>
            <w:r w:rsidRPr="006F5801">
              <w:rPr>
                <w:rFonts w:ascii="Arial" w:hAnsi="Arial" w:cs="Arial"/>
                <w:szCs w:val="24"/>
              </w:rPr>
              <w:t>1.1</w:t>
            </w:r>
          </w:p>
        </w:tc>
        <w:tc>
          <w:tcPr>
            <w:tcW w:w="8647" w:type="dxa"/>
          </w:tcPr>
          <w:p w:rsidR="009C0A57" w:rsidRPr="008C37C8" w:rsidRDefault="009C0A57" w:rsidP="009C0A57">
            <w:pPr>
              <w:jc w:val="both"/>
              <w:rPr>
                <w:rFonts w:ascii="Arial" w:hAnsi="Arial" w:cs="Arial"/>
              </w:rPr>
            </w:pPr>
            <w:r w:rsidRPr="008C37C8">
              <w:rPr>
                <w:rFonts w:ascii="Arial" w:hAnsi="Arial" w:cs="Arial"/>
              </w:rPr>
              <w:t>This report supports the highlighted Business Outcomes from the High Life Highland (HLH) Business Plan:</w:t>
            </w:r>
          </w:p>
          <w:p w:rsidR="009C0A57" w:rsidRPr="008C37C8" w:rsidRDefault="009C0A57" w:rsidP="009C0A57">
            <w:pPr>
              <w:jc w:val="both"/>
              <w:rPr>
                <w:rFonts w:ascii="Arial" w:hAnsi="Arial" w:cs="Arial"/>
              </w:rPr>
            </w:pP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To advance sustainable growth and financial sustainability</w:t>
            </w:r>
          </w:p>
          <w:p w:rsidR="00C3461A" w:rsidRPr="0068065F" w:rsidRDefault="00C3461A" w:rsidP="00A45F54">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Deliver the Service Delivery Contract with THC</w:t>
            </w:r>
          </w:p>
          <w:p w:rsidR="00C3461A" w:rsidRPr="0068065F" w:rsidRDefault="00C3461A" w:rsidP="00A45F54">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Improving staff satisfaction</w:t>
            </w:r>
          </w:p>
          <w:p w:rsidR="00C3461A" w:rsidRPr="0068065F" w:rsidRDefault="00C3461A" w:rsidP="00A45F54">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Improving customer satisfaction</w:t>
            </w:r>
          </w:p>
          <w:p w:rsidR="00C3461A" w:rsidRPr="005A67CE" w:rsidRDefault="00C3461A" w:rsidP="00A45F54">
            <w:pPr>
              <w:pStyle w:val="ListParagraph"/>
              <w:numPr>
                <w:ilvl w:val="0"/>
                <w:numId w:val="1"/>
              </w:numPr>
              <w:spacing w:after="0" w:line="240" w:lineRule="auto"/>
              <w:jc w:val="both"/>
              <w:rPr>
                <w:rFonts w:ascii="Arial" w:hAnsi="Arial" w:cs="Arial"/>
                <w:b/>
                <w:sz w:val="24"/>
                <w:szCs w:val="24"/>
              </w:rPr>
            </w:pPr>
            <w:r w:rsidRPr="005A67CE">
              <w:rPr>
                <w:rFonts w:ascii="Arial" w:hAnsi="Arial" w:cs="Arial"/>
                <w:b/>
                <w:sz w:val="24"/>
                <w:szCs w:val="24"/>
              </w:rPr>
              <w:t>A positive company image</w:t>
            </w: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Services designed around customers and through market opportunities</w:t>
            </w: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Sustain a good health and safety performance</w:t>
            </w: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A trusted partner</w:t>
            </w:r>
          </w:p>
          <w:p w:rsidR="006F5801" w:rsidRPr="00460DE4" w:rsidRDefault="006F5801" w:rsidP="009C0A57">
            <w:pPr>
              <w:jc w:val="both"/>
              <w:rPr>
                <w:rFonts w:ascii="Arial" w:hAnsi="Arial" w:cs="Arial"/>
                <w:szCs w:val="24"/>
              </w:rPr>
            </w:pPr>
          </w:p>
        </w:tc>
      </w:tr>
      <w:tr w:rsidR="006F5801" w:rsidRPr="007214D1" w:rsidTr="00BA0979">
        <w:tc>
          <w:tcPr>
            <w:tcW w:w="817" w:type="dxa"/>
          </w:tcPr>
          <w:p w:rsidR="006F5801" w:rsidRPr="007214D1" w:rsidRDefault="006F5801" w:rsidP="00416BFF">
            <w:pPr>
              <w:rPr>
                <w:rFonts w:ascii="Arial" w:hAnsi="Arial" w:cs="Arial"/>
                <w:b/>
                <w:szCs w:val="24"/>
              </w:rPr>
            </w:pPr>
            <w:r>
              <w:rPr>
                <w:rFonts w:ascii="Arial" w:hAnsi="Arial" w:cs="Arial"/>
                <w:b/>
                <w:szCs w:val="24"/>
              </w:rPr>
              <w:t>2</w:t>
            </w:r>
            <w:r w:rsidRPr="007214D1">
              <w:rPr>
                <w:rFonts w:ascii="Arial" w:hAnsi="Arial" w:cs="Arial"/>
                <w:b/>
                <w:szCs w:val="24"/>
              </w:rPr>
              <w:t>.</w:t>
            </w:r>
          </w:p>
        </w:tc>
        <w:tc>
          <w:tcPr>
            <w:tcW w:w="8647" w:type="dxa"/>
          </w:tcPr>
          <w:p w:rsidR="006F5801" w:rsidRDefault="006F5801" w:rsidP="00474274">
            <w:pPr>
              <w:pStyle w:val="Heading3"/>
              <w:rPr>
                <w:rFonts w:ascii="Arial" w:hAnsi="Arial" w:cs="Arial"/>
                <w:b/>
                <w:szCs w:val="24"/>
                <w:u w:val="none"/>
              </w:rPr>
            </w:pPr>
            <w:r w:rsidRPr="007214D1">
              <w:rPr>
                <w:rFonts w:ascii="Arial" w:hAnsi="Arial" w:cs="Arial"/>
                <w:b/>
                <w:szCs w:val="24"/>
                <w:u w:val="none"/>
              </w:rPr>
              <w:t>Background</w:t>
            </w:r>
          </w:p>
          <w:p w:rsidR="006F5801" w:rsidRPr="00474274" w:rsidRDefault="006F5801" w:rsidP="00474274">
            <w:pPr>
              <w:jc w:val="both"/>
            </w:pPr>
          </w:p>
        </w:tc>
      </w:tr>
      <w:tr w:rsidR="006F5801" w:rsidRPr="007214D1" w:rsidTr="00BA0979">
        <w:trPr>
          <w:trHeight w:val="542"/>
        </w:trPr>
        <w:tc>
          <w:tcPr>
            <w:tcW w:w="817" w:type="dxa"/>
          </w:tcPr>
          <w:p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42B9E" w:rsidRPr="00E66429" w:rsidRDefault="00742B9E" w:rsidP="00416BFF">
            <w:pPr>
              <w:rPr>
                <w:rFonts w:ascii="Arial" w:hAnsi="Arial" w:cs="Arial"/>
                <w:szCs w:val="24"/>
              </w:rPr>
            </w:pPr>
          </w:p>
        </w:tc>
        <w:tc>
          <w:tcPr>
            <w:tcW w:w="8647" w:type="dxa"/>
          </w:tcPr>
          <w:p w:rsidR="003C4EA9" w:rsidRDefault="006F5801" w:rsidP="00141185">
            <w:pPr>
              <w:jc w:val="both"/>
              <w:rPr>
                <w:rFonts w:ascii="Arial" w:hAnsi="Arial" w:cs="Arial"/>
                <w:szCs w:val="24"/>
              </w:rPr>
            </w:pPr>
            <w:r>
              <w:rPr>
                <w:rFonts w:ascii="Arial" w:hAnsi="Arial" w:cs="Arial"/>
                <w:szCs w:val="24"/>
              </w:rPr>
              <w:t xml:space="preserve">The quarterly Human Resources </w:t>
            </w:r>
            <w:r w:rsidR="00751A5C">
              <w:rPr>
                <w:rFonts w:ascii="Arial" w:hAnsi="Arial" w:cs="Arial"/>
                <w:szCs w:val="24"/>
              </w:rPr>
              <w:t xml:space="preserve">(HR) </w:t>
            </w:r>
            <w:r>
              <w:rPr>
                <w:rFonts w:ascii="Arial" w:hAnsi="Arial" w:cs="Arial"/>
                <w:szCs w:val="24"/>
              </w:rPr>
              <w:t xml:space="preserve">report is a </w:t>
            </w:r>
            <w:r w:rsidR="00141185">
              <w:rPr>
                <w:rFonts w:ascii="Arial" w:hAnsi="Arial" w:cs="Arial"/>
                <w:szCs w:val="24"/>
              </w:rPr>
              <w:t>summary</w:t>
            </w:r>
            <w:r>
              <w:rPr>
                <w:rFonts w:ascii="Arial" w:hAnsi="Arial" w:cs="Arial"/>
                <w:szCs w:val="24"/>
              </w:rPr>
              <w:t xml:space="preserve"> of </w:t>
            </w:r>
            <w:r w:rsidR="00751A5C">
              <w:rPr>
                <w:rFonts w:ascii="Arial" w:hAnsi="Arial" w:cs="Arial"/>
                <w:szCs w:val="24"/>
              </w:rPr>
              <w:t>HR</w:t>
            </w:r>
            <w:r>
              <w:rPr>
                <w:rFonts w:ascii="Arial" w:hAnsi="Arial" w:cs="Arial"/>
                <w:szCs w:val="24"/>
              </w:rPr>
              <w:t xml:space="preserve"> activity in the preceding quarter.  It gives an update on current staff numbers and any change from previous reports.  There is also a</w:t>
            </w:r>
            <w:r w:rsidR="00141185">
              <w:rPr>
                <w:rFonts w:ascii="Arial" w:hAnsi="Arial" w:cs="Arial"/>
                <w:szCs w:val="24"/>
              </w:rPr>
              <w:t>n outline of the absence levels; activity relating to</w:t>
            </w:r>
            <w:r>
              <w:rPr>
                <w:rFonts w:ascii="Arial" w:hAnsi="Arial" w:cs="Arial"/>
                <w:szCs w:val="24"/>
              </w:rPr>
              <w:t xml:space="preserve"> </w:t>
            </w:r>
            <w:r w:rsidR="00141185">
              <w:rPr>
                <w:rFonts w:ascii="Arial" w:hAnsi="Arial" w:cs="Arial"/>
                <w:szCs w:val="24"/>
              </w:rPr>
              <w:t xml:space="preserve">any </w:t>
            </w:r>
            <w:r>
              <w:rPr>
                <w:rFonts w:ascii="Arial" w:hAnsi="Arial" w:cs="Arial"/>
                <w:szCs w:val="24"/>
              </w:rPr>
              <w:t>disciplinary</w:t>
            </w:r>
            <w:r w:rsidR="00141185">
              <w:rPr>
                <w:rFonts w:ascii="Arial" w:hAnsi="Arial" w:cs="Arial"/>
                <w:szCs w:val="24"/>
              </w:rPr>
              <w:t>,</w:t>
            </w:r>
            <w:r>
              <w:rPr>
                <w:rFonts w:ascii="Arial" w:hAnsi="Arial" w:cs="Arial"/>
                <w:szCs w:val="24"/>
              </w:rPr>
              <w:t xml:space="preserve"> grievance</w:t>
            </w:r>
            <w:r w:rsidR="00141185">
              <w:rPr>
                <w:rFonts w:ascii="Arial" w:hAnsi="Arial" w:cs="Arial"/>
                <w:szCs w:val="24"/>
              </w:rPr>
              <w:t xml:space="preserve"> and </w:t>
            </w:r>
            <w:r>
              <w:rPr>
                <w:rFonts w:ascii="Arial" w:hAnsi="Arial" w:cs="Arial"/>
                <w:szCs w:val="24"/>
              </w:rPr>
              <w:t xml:space="preserve">harassment </w:t>
            </w:r>
            <w:r w:rsidR="00141185">
              <w:rPr>
                <w:rFonts w:ascii="Arial" w:hAnsi="Arial" w:cs="Arial"/>
                <w:szCs w:val="24"/>
              </w:rPr>
              <w:t>i</w:t>
            </w:r>
            <w:r>
              <w:rPr>
                <w:rFonts w:ascii="Arial" w:hAnsi="Arial" w:cs="Arial"/>
                <w:szCs w:val="24"/>
              </w:rPr>
              <w:t>ssues</w:t>
            </w:r>
            <w:r w:rsidR="00141185">
              <w:rPr>
                <w:rFonts w:ascii="Arial" w:hAnsi="Arial" w:cs="Arial"/>
                <w:szCs w:val="24"/>
              </w:rPr>
              <w:t>;</w:t>
            </w:r>
            <w:r>
              <w:rPr>
                <w:rFonts w:ascii="Arial" w:hAnsi="Arial" w:cs="Arial"/>
                <w:szCs w:val="24"/>
              </w:rPr>
              <w:t xml:space="preserve"> and an employee relations update.</w:t>
            </w:r>
          </w:p>
          <w:p w:rsidR="00782718" w:rsidRPr="007214D1" w:rsidRDefault="00782718" w:rsidP="00782718">
            <w:pPr>
              <w:jc w:val="both"/>
              <w:rPr>
                <w:rFonts w:ascii="Arial" w:hAnsi="Arial" w:cs="Arial"/>
                <w:szCs w:val="24"/>
              </w:rPr>
            </w:pPr>
          </w:p>
        </w:tc>
      </w:tr>
      <w:tr w:rsidR="006F5801" w:rsidRPr="007214D1" w:rsidTr="00BA0979">
        <w:tc>
          <w:tcPr>
            <w:tcW w:w="817" w:type="dxa"/>
          </w:tcPr>
          <w:p w:rsidR="006F5801" w:rsidRDefault="006F5801" w:rsidP="00416BFF">
            <w:pPr>
              <w:rPr>
                <w:rFonts w:ascii="Arial" w:hAnsi="Arial" w:cs="Arial"/>
                <w:b/>
                <w:szCs w:val="24"/>
              </w:rPr>
            </w:pPr>
            <w:r>
              <w:rPr>
                <w:rFonts w:ascii="Arial" w:hAnsi="Arial" w:cs="Arial"/>
                <w:b/>
                <w:szCs w:val="24"/>
              </w:rPr>
              <w:t>3</w:t>
            </w:r>
            <w:r w:rsidRPr="007214D1">
              <w:rPr>
                <w:rFonts w:ascii="Arial" w:hAnsi="Arial" w:cs="Arial"/>
                <w:b/>
                <w:szCs w:val="24"/>
              </w:rPr>
              <w:t>.</w:t>
            </w:r>
          </w:p>
          <w:p w:rsidR="0045618C" w:rsidRDefault="0045618C" w:rsidP="00416BFF">
            <w:pPr>
              <w:rPr>
                <w:rFonts w:ascii="Arial" w:hAnsi="Arial" w:cs="Arial"/>
                <w:b/>
                <w:szCs w:val="24"/>
              </w:rPr>
            </w:pPr>
          </w:p>
          <w:p w:rsidR="0045618C" w:rsidRPr="0045618C" w:rsidRDefault="0045618C" w:rsidP="00416BFF">
            <w:pPr>
              <w:rPr>
                <w:rFonts w:ascii="Arial" w:hAnsi="Arial" w:cs="Arial"/>
                <w:szCs w:val="24"/>
              </w:rPr>
            </w:pPr>
            <w:r w:rsidRPr="0045618C">
              <w:rPr>
                <w:rFonts w:ascii="Arial" w:hAnsi="Arial" w:cs="Arial"/>
                <w:szCs w:val="24"/>
              </w:rPr>
              <w:t>3.1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r w:rsidRPr="0045618C">
              <w:rPr>
                <w:rFonts w:ascii="Arial" w:hAnsi="Arial" w:cs="Arial"/>
                <w:szCs w:val="24"/>
              </w:rPr>
              <w:t>3.1.1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p>
          <w:p w:rsidR="000F5A33" w:rsidRDefault="000F5A33" w:rsidP="00416BFF">
            <w:pPr>
              <w:rPr>
                <w:rFonts w:ascii="Arial" w:hAnsi="Arial" w:cs="Arial"/>
                <w:szCs w:val="24"/>
              </w:rPr>
            </w:pPr>
          </w:p>
          <w:p w:rsidR="00AB4988" w:rsidRDefault="00AB4988" w:rsidP="00416BFF">
            <w:pPr>
              <w:rPr>
                <w:rFonts w:ascii="Arial" w:hAnsi="Arial" w:cs="Arial"/>
                <w:szCs w:val="24"/>
              </w:rPr>
            </w:pPr>
          </w:p>
          <w:p w:rsidR="00AB4988" w:rsidRDefault="00AB4988" w:rsidP="00416BFF">
            <w:pPr>
              <w:rPr>
                <w:rFonts w:ascii="Arial" w:hAnsi="Arial" w:cs="Arial"/>
                <w:szCs w:val="24"/>
              </w:rPr>
            </w:pPr>
          </w:p>
          <w:p w:rsidR="00AB4988" w:rsidRDefault="00AB4988" w:rsidP="00416BFF">
            <w:pPr>
              <w:rPr>
                <w:rFonts w:ascii="Arial" w:hAnsi="Arial" w:cs="Arial"/>
                <w:szCs w:val="24"/>
              </w:rPr>
            </w:pPr>
          </w:p>
          <w:p w:rsidR="0045618C" w:rsidRPr="007214D1" w:rsidRDefault="0045618C" w:rsidP="00416BFF">
            <w:pPr>
              <w:rPr>
                <w:rFonts w:ascii="Arial" w:hAnsi="Arial" w:cs="Arial"/>
                <w:b/>
                <w:szCs w:val="24"/>
              </w:rPr>
            </w:pPr>
            <w:r w:rsidRPr="0045618C">
              <w:rPr>
                <w:rFonts w:ascii="Arial" w:hAnsi="Arial" w:cs="Arial"/>
                <w:szCs w:val="24"/>
              </w:rPr>
              <w:lastRenderedPageBreak/>
              <w:t>3.1.2</w:t>
            </w:r>
          </w:p>
        </w:tc>
        <w:tc>
          <w:tcPr>
            <w:tcW w:w="8647" w:type="dxa"/>
          </w:tcPr>
          <w:p w:rsidR="006F5801" w:rsidRDefault="006F5801" w:rsidP="00474274">
            <w:pPr>
              <w:jc w:val="both"/>
              <w:rPr>
                <w:rFonts w:ascii="Arial" w:hAnsi="Arial" w:cs="Arial"/>
                <w:b/>
                <w:szCs w:val="24"/>
              </w:rPr>
            </w:pPr>
            <w:r>
              <w:rPr>
                <w:rFonts w:ascii="Arial" w:hAnsi="Arial" w:cs="Arial"/>
                <w:b/>
                <w:szCs w:val="24"/>
              </w:rPr>
              <w:lastRenderedPageBreak/>
              <w:t xml:space="preserve">Human Resources Report: </w:t>
            </w:r>
            <w:r w:rsidR="00804BA5">
              <w:rPr>
                <w:rFonts w:ascii="Arial" w:hAnsi="Arial" w:cs="Arial"/>
                <w:b/>
                <w:szCs w:val="24"/>
              </w:rPr>
              <w:t>October</w:t>
            </w:r>
            <w:r w:rsidR="00E52BA0">
              <w:rPr>
                <w:rFonts w:ascii="Arial" w:hAnsi="Arial" w:cs="Arial"/>
                <w:b/>
                <w:szCs w:val="24"/>
              </w:rPr>
              <w:t xml:space="preserve"> to </w:t>
            </w:r>
            <w:r w:rsidR="00804BA5">
              <w:rPr>
                <w:rFonts w:ascii="Arial" w:hAnsi="Arial" w:cs="Arial"/>
                <w:b/>
                <w:szCs w:val="24"/>
              </w:rPr>
              <w:t>December</w:t>
            </w:r>
            <w:r w:rsidR="004E08EF">
              <w:rPr>
                <w:rFonts w:ascii="Arial" w:hAnsi="Arial" w:cs="Arial"/>
                <w:b/>
                <w:szCs w:val="24"/>
              </w:rPr>
              <w:t xml:space="preserve"> 201</w:t>
            </w:r>
            <w:r w:rsidR="00705B99">
              <w:rPr>
                <w:rFonts w:ascii="Arial" w:hAnsi="Arial" w:cs="Arial"/>
                <w:b/>
                <w:szCs w:val="24"/>
              </w:rPr>
              <w:t>7</w:t>
            </w:r>
          </w:p>
          <w:p w:rsidR="006F5801" w:rsidRDefault="006F5801" w:rsidP="00474274">
            <w:pPr>
              <w:jc w:val="both"/>
              <w:rPr>
                <w:rFonts w:ascii="Arial" w:hAnsi="Arial" w:cs="Arial"/>
                <w:szCs w:val="24"/>
              </w:rPr>
            </w:pPr>
          </w:p>
          <w:p w:rsidR="0045618C" w:rsidRDefault="0045618C" w:rsidP="0045618C">
            <w:pPr>
              <w:jc w:val="both"/>
              <w:rPr>
                <w:rFonts w:ascii="Arial" w:hAnsi="Arial" w:cs="Arial"/>
                <w:szCs w:val="24"/>
                <w:u w:val="single"/>
              </w:rPr>
            </w:pPr>
            <w:r w:rsidRPr="00265F13">
              <w:rPr>
                <w:rFonts w:ascii="Arial" w:hAnsi="Arial" w:cs="Arial"/>
                <w:szCs w:val="24"/>
                <w:u w:val="single"/>
              </w:rPr>
              <w:t>Staff Establishment Numbers</w:t>
            </w:r>
          </w:p>
          <w:p w:rsidR="0045618C" w:rsidRDefault="0045618C" w:rsidP="0045618C">
            <w:pPr>
              <w:jc w:val="both"/>
              <w:rPr>
                <w:rFonts w:ascii="Arial" w:hAnsi="Arial" w:cs="Arial"/>
                <w:szCs w:val="24"/>
                <w:u w:val="single"/>
              </w:rPr>
            </w:pPr>
          </w:p>
          <w:p w:rsidR="000F5A33" w:rsidRDefault="000F5A33" w:rsidP="0045618C">
            <w:pPr>
              <w:jc w:val="both"/>
              <w:rPr>
                <w:rFonts w:ascii="Arial" w:hAnsi="Arial" w:cs="Arial"/>
                <w:szCs w:val="24"/>
              </w:rPr>
            </w:pPr>
            <w:r>
              <w:rPr>
                <w:rFonts w:ascii="Arial" w:hAnsi="Arial" w:cs="Arial"/>
                <w:szCs w:val="24"/>
              </w:rPr>
              <w:t>Directors should note the changes to establishment in full-time equivalents (FTE):</w:t>
            </w:r>
          </w:p>
          <w:p w:rsidR="000F5A33" w:rsidRDefault="000F5A33" w:rsidP="0045618C">
            <w:pPr>
              <w:jc w:val="both"/>
              <w:rPr>
                <w:rFonts w:ascii="Arial" w:hAnsi="Arial" w:cs="Arial"/>
                <w:szCs w:val="24"/>
              </w:rPr>
            </w:pPr>
          </w:p>
          <w:p w:rsidR="000F5A33" w:rsidRDefault="000F5A33" w:rsidP="0045618C">
            <w:pPr>
              <w:jc w:val="both"/>
              <w:rPr>
                <w:rFonts w:ascii="Arial" w:hAnsi="Arial" w:cs="Arial"/>
                <w:szCs w:val="24"/>
              </w:rPr>
            </w:pPr>
            <w:r>
              <w:rPr>
                <w:rFonts w:ascii="Arial" w:hAnsi="Arial" w:cs="Arial"/>
                <w:szCs w:val="24"/>
              </w:rPr>
              <w:t xml:space="preserve">Establishment at end of Quarter 2 </w:t>
            </w:r>
            <w:r w:rsidR="0099723B">
              <w:rPr>
                <w:rFonts w:ascii="Arial" w:hAnsi="Arial" w:cs="Arial"/>
                <w:szCs w:val="24"/>
              </w:rPr>
              <w:t>(</w:t>
            </w:r>
            <w:r w:rsidR="00843EEF">
              <w:rPr>
                <w:rFonts w:ascii="Arial" w:hAnsi="Arial" w:cs="Arial"/>
                <w:szCs w:val="24"/>
              </w:rPr>
              <w:t>July to September</w:t>
            </w:r>
            <w:r w:rsidR="00772596">
              <w:rPr>
                <w:rFonts w:ascii="Arial" w:hAnsi="Arial" w:cs="Arial"/>
                <w:szCs w:val="24"/>
              </w:rPr>
              <w:t xml:space="preserve"> 2017</w:t>
            </w:r>
            <w:r w:rsidR="0099723B">
              <w:rPr>
                <w:rFonts w:ascii="Arial" w:hAnsi="Arial" w:cs="Arial"/>
                <w:szCs w:val="24"/>
              </w:rPr>
              <w:t>)</w:t>
            </w:r>
            <w:r>
              <w:rPr>
                <w:rFonts w:ascii="Arial" w:hAnsi="Arial" w:cs="Arial"/>
                <w:szCs w:val="24"/>
              </w:rPr>
              <w:t xml:space="preserve"> </w:t>
            </w:r>
            <w:r w:rsidR="00CA6AB3">
              <w:rPr>
                <w:rFonts w:ascii="Arial" w:hAnsi="Arial" w:cs="Arial"/>
                <w:szCs w:val="24"/>
              </w:rPr>
              <w:t xml:space="preserve">     </w:t>
            </w:r>
            <w:r>
              <w:rPr>
                <w:rFonts w:ascii="Arial" w:hAnsi="Arial" w:cs="Arial"/>
                <w:szCs w:val="24"/>
              </w:rPr>
              <w:t xml:space="preserve">= </w:t>
            </w:r>
            <w:r w:rsidRPr="00AB4988">
              <w:rPr>
                <w:rFonts w:ascii="Arial" w:hAnsi="Arial" w:cs="Arial"/>
                <w:b/>
                <w:szCs w:val="24"/>
              </w:rPr>
              <w:t>616.75</w:t>
            </w:r>
          </w:p>
          <w:p w:rsidR="000F5A33" w:rsidRDefault="000F5A33" w:rsidP="0045618C">
            <w:pPr>
              <w:jc w:val="both"/>
              <w:rPr>
                <w:rFonts w:ascii="Arial" w:hAnsi="Arial" w:cs="Arial"/>
                <w:szCs w:val="24"/>
              </w:rPr>
            </w:pPr>
            <w:r>
              <w:rPr>
                <w:rFonts w:ascii="Arial" w:hAnsi="Arial" w:cs="Arial"/>
                <w:szCs w:val="24"/>
              </w:rPr>
              <w:t>Establishment at end of Quarter 3 (Oc</w:t>
            </w:r>
            <w:r w:rsidR="00AB4988">
              <w:rPr>
                <w:rFonts w:ascii="Arial" w:hAnsi="Arial" w:cs="Arial"/>
                <w:szCs w:val="24"/>
              </w:rPr>
              <w:t xml:space="preserve">tober to December 2017) = </w:t>
            </w:r>
            <w:r w:rsidR="00AB4988" w:rsidRPr="00AB4988">
              <w:rPr>
                <w:rFonts w:ascii="Arial" w:hAnsi="Arial" w:cs="Arial"/>
                <w:b/>
                <w:szCs w:val="24"/>
              </w:rPr>
              <w:t>623.3</w:t>
            </w:r>
          </w:p>
          <w:p w:rsidR="000F5A33" w:rsidRDefault="000F5A33" w:rsidP="0045618C">
            <w:pPr>
              <w:jc w:val="both"/>
              <w:rPr>
                <w:rFonts w:ascii="Arial" w:hAnsi="Arial" w:cs="Arial"/>
                <w:szCs w:val="24"/>
              </w:rPr>
            </w:pPr>
          </w:p>
          <w:p w:rsidR="0045618C" w:rsidRDefault="0045618C" w:rsidP="0045618C">
            <w:pPr>
              <w:jc w:val="both"/>
              <w:rPr>
                <w:rFonts w:ascii="Arial" w:hAnsi="Arial" w:cs="Arial"/>
                <w:color w:val="000000"/>
                <w:szCs w:val="24"/>
              </w:rPr>
            </w:pPr>
          </w:p>
          <w:p w:rsidR="000F5A33" w:rsidRDefault="000F5A33" w:rsidP="00F00F06">
            <w:pPr>
              <w:jc w:val="both"/>
              <w:rPr>
                <w:rFonts w:ascii="Arial" w:hAnsi="Arial" w:cs="Arial"/>
                <w:szCs w:val="24"/>
              </w:rPr>
            </w:pPr>
            <w:r>
              <w:rPr>
                <w:rFonts w:ascii="Arial" w:hAnsi="Arial" w:cs="Arial"/>
                <w:szCs w:val="24"/>
              </w:rPr>
              <w:lastRenderedPageBreak/>
              <w:t xml:space="preserve">Changes to the establishment in last Quarter </w:t>
            </w:r>
            <w:r w:rsidR="00C8333C">
              <w:rPr>
                <w:rFonts w:ascii="Arial" w:hAnsi="Arial" w:cs="Arial"/>
                <w:szCs w:val="24"/>
              </w:rPr>
              <w:t xml:space="preserve">detailed in </w:t>
            </w:r>
            <w:r w:rsidR="00C8333C" w:rsidRPr="00C8333C">
              <w:rPr>
                <w:rFonts w:ascii="Arial" w:hAnsi="Arial" w:cs="Arial"/>
                <w:b/>
                <w:szCs w:val="24"/>
              </w:rPr>
              <w:t>Appendix A</w:t>
            </w:r>
            <w:r w:rsidR="00C8333C">
              <w:rPr>
                <w:rFonts w:ascii="Arial" w:hAnsi="Arial" w:cs="Arial"/>
                <w:szCs w:val="24"/>
              </w:rPr>
              <w:t xml:space="preserve"> show an increase of </w:t>
            </w:r>
            <w:r w:rsidR="00C8333C" w:rsidRPr="00C8333C">
              <w:rPr>
                <w:rFonts w:ascii="Arial" w:hAnsi="Arial" w:cs="Arial"/>
                <w:b/>
                <w:szCs w:val="24"/>
              </w:rPr>
              <w:t>6</w:t>
            </w:r>
            <w:r w:rsidRPr="00C8333C">
              <w:rPr>
                <w:rFonts w:ascii="Arial" w:hAnsi="Arial" w:cs="Arial"/>
                <w:b/>
                <w:szCs w:val="24"/>
              </w:rPr>
              <w:t>.53</w:t>
            </w:r>
            <w:r>
              <w:rPr>
                <w:rFonts w:ascii="Arial" w:hAnsi="Arial" w:cs="Arial"/>
                <w:szCs w:val="24"/>
              </w:rPr>
              <w:t xml:space="preserve"> FTE</w:t>
            </w:r>
            <w:r w:rsidR="00C8333C">
              <w:rPr>
                <w:rFonts w:ascii="Arial" w:hAnsi="Arial" w:cs="Arial"/>
                <w:szCs w:val="24"/>
              </w:rPr>
              <w:t>.</w:t>
            </w:r>
          </w:p>
          <w:p w:rsidR="00F00F06" w:rsidRPr="007214D1" w:rsidRDefault="00F00F06" w:rsidP="00AB4988">
            <w:pPr>
              <w:jc w:val="both"/>
              <w:rPr>
                <w:rFonts w:ascii="Arial" w:hAnsi="Arial" w:cs="Arial"/>
                <w:szCs w:val="24"/>
              </w:rPr>
            </w:pPr>
          </w:p>
        </w:tc>
      </w:tr>
      <w:tr w:rsidR="00C8333C" w:rsidRPr="007214D1" w:rsidTr="00BA0979">
        <w:tc>
          <w:tcPr>
            <w:tcW w:w="817" w:type="dxa"/>
          </w:tcPr>
          <w:p w:rsidR="00C8333C" w:rsidRPr="00C8333C" w:rsidRDefault="00C8333C" w:rsidP="00416BFF">
            <w:pPr>
              <w:rPr>
                <w:rFonts w:ascii="Arial" w:hAnsi="Arial" w:cs="Arial"/>
                <w:szCs w:val="24"/>
              </w:rPr>
            </w:pPr>
            <w:r w:rsidRPr="00C8333C">
              <w:rPr>
                <w:rFonts w:ascii="Arial" w:hAnsi="Arial" w:cs="Arial"/>
                <w:szCs w:val="24"/>
              </w:rPr>
              <w:lastRenderedPageBreak/>
              <w:t>3.2</w:t>
            </w:r>
          </w:p>
        </w:tc>
        <w:tc>
          <w:tcPr>
            <w:tcW w:w="8647" w:type="dxa"/>
          </w:tcPr>
          <w:p w:rsidR="00C8333C" w:rsidRPr="009C1F2A" w:rsidRDefault="00C8333C" w:rsidP="00C8333C">
            <w:pPr>
              <w:jc w:val="both"/>
              <w:rPr>
                <w:rFonts w:ascii="Arial" w:hAnsi="Arial" w:cs="Arial"/>
                <w:u w:val="single"/>
              </w:rPr>
            </w:pPr>
            <w:r>
              <w:rPr>
                <w:rFonts w:ascii="Arial" w:hAnsi="Arial" w:cs="Arial"/>
                <w:u w:val="single"/>
              </w:rPr>
              <w:t>Attendance management</w:t>
            </w:r>
          </w:p>
          <w:p w:rsidR="00C8333C" w:rsidRDefault="00C8333C" w:rsidP="00474274">
            <w:pPr>
              <w:jc w:val="both"/>
              <w:rPr>
                <w:rFonts w:ascii="Arial" w:hAnsi="Arial" w:cs="Arial"/>
                <w:b/>
                <w:szCs w:val="24"/>
              </w:rPr>
            </w:pPr>
          </w:p>
        </w:tc>
      </w:tr>
      <w:tr w:rsidR="00C8333C" w:rsidRPr="007214D1" w:rsidTr="00BA0979">
        <w:tc>
          <w:tcPr>
            <w:tcW w:w="817" w:type="dxa"/>
          </w:tcPr>
          <w:p w:rsidR="00C8333C" w:rsidRPr="00C8333C" w:rsidRDefault="00C8333C" w:rsidP="00416BFF">
            <w:pPr>
              <w:rPr>
                <w:rFonts w:ascii="Arial" w:hAnsi="Arial" w:cs="Arial"/>
                <w:szCs w:val="24"/>
              </w:rPr>
            </w:pPr>
            <w:r>
              <w:rPr>
                <w:rFonts w:ascii="Arial" w:hAnsi="Arial" w:cs="Arial"/>
                <w:szCs w:val="24"/>
              </w:rPr>
              <w:t>3.2.1</w:t>
            </w:r>
          </w:p>
        </w:tc>
        <w:tc>
          <w:tcPr>
            <w:tcW w:w="8647" w:type="dxa"/>
          </w:tcPr>
          <w:p w:rsidR="00C8333C" w:rsidRPr="009C1F2A" w:rsidRDefault="00C8333C" w:rsidP="00C8333C">
            <w:pPr>
              <w:jc w:val="both"/>
              <w:rPr>
                <w:rFonts w:ascii="Arial" w:eastAsia="Calibri" w:hAnsi="Arial" w:cs="Arial"/>
                <w:szCs w:val="24"/>
                <w:lang w:eastAsia="en-US"/>
              </w:rPr>
            </w:pPr>
            <w:r w:rsidRPr="009C1F2A">
              <w:rPr>
                <w:rFonts w:ascii="Arial" w:eastAsia="Calibri" w:hAnsi="Arial" w:cs="Arial"/>
                <w:szCs w:val="24"/>
                <w:lang w:eastAsia="en-US"/>
              </w:rPr>
              <w:t>The absence figures up to the end of Quarter 3 were as follows:</w:t>
            </w:r>
          </w:p>
          <w:p w:rsidR="00C8333C" w:rsidRPr="009C1F2A" w:rsidRDefault="00C8333C" w:rsidP="00C8333C">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1741"/>
              <w:gridCol w:w="1740"/>
              <w:gridCol w:w="1740"/>
              <w:gridCol w:w="1738"/>
            </w:tblGrid>
            <w:tr w:rsidR="00C8333C" w:rsidRPr="009C1F2A" w:rsidTr="006E6248">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C8333C" w:rsidRPr="009C1F2A" w:rsidRDefault="00C8333C" w:rsidP="006E6248">
                  <w:pPr>
                    <w:spacing w:line="276" w:lineRule="auto"/>
                    <w:jc w:val="center"/>
                    <w:rPr>
                      <w:rFonts w:ascii="Arial" w:eastAsia="Calibri" w:hAnsi="Arial" w:cs="Arial"/>
                      <w:b/>
                      <w:bCs/>
                      <w:szCs w:val="24"/>
                    </w:rPr>
                  </w:pPr>
                  <w:r w:rsidRPr="009C1F2A">
                    <w:rPr>
                      <w:rFonts w:ascii="Arial" w:eastAsia="Calibri" w:hAnsi="Arial" w:cs="Arial"/>
                      <w:b/>
                      <w:bCs/>
                      <w:szCs w:val="24"/>
                    </w:rPr>
                    <w:t>% Absence Rates</w:t>
                  </w:r>
                </w:p>
                <w:p w:rsidR="00C8333C" w:rsidRPr="009C1F2A" w:rsidRDefault="00C8333C" w:rsidP="006E6248">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C8333C" w:rsidRPr="009C1F2A" w:rsidRDefault="00C8333C" w:rsidP="006E6248">
                  <w:pPr>
                    <w:spacing w:line="276" w:lineRule="auto"/>
                    <w:jc w:val="center"/>
                    <w:rPr>
                      <w:rFonts w:ascii="Arial" w:eastAsia="Calibri" w:hAnsi="Arial" w:cs="Arial"/>
                      <w:b/>
                      <w:bCs/>
                      <w:szCs w:val="24"/>
                    </w:rPr>
                  </w:pPr>
                </w:p>
                <w:p w:rsidR="00C8333C" w:rsidRPr="009C1F2A" w:rsidRDefault="00C8333C" w:rsidP="006E6248">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rsidR="00C8333C" w:rsidRPr="009C1F2A" w:rsidRDefault="00C8333C" w:rsidP="006E6248">
                  <w:pPr>
                    <w:spacing w:line="276" w:lineRule="auto"/>
                    <w:jc w:val="center"/>
                    <w:rPr>
                      <w:rFonts w:ascii="Arial" w:eastAsia="Calibri" w:hAnsi="Arial" w:cs="Arial"/>
                      <w:b/>
                      <w:bCs/>
                      <w:szCs w:val="24"/>
                    </w:rPr>
                  </w:pPr>
                  <w:r w:rsidRPr="009C1F2A">
                    <w:rPr>
                      <w:rFonts w:ascii="Arial" w:eastAsia="Calibri" w:hAnsi="Arial" w:cs="Arial"/>
                      <w:b/>
                      <w:bCs/>
                      <w:szCs w:val="24"/>
                    </w:rPr>
                    <w:t>Apr - Jun</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C8333C" w:rsidRPr="009C1F2A" w:rsidRDefault="00C8333C" w:rsidP="006E6248">
                  <w:pPr>
                    <w:spacing w:line="276" w:lineRule="auto"/>
                    <w:jc w:val="center"/>
                    <w:rPr>
                      <w:rFonts w:ascii="Arial" w:eastAsia="Calibri" w:hAnsi="Arial" w:cs="Arial"/>
                      <w:b/>
                      <w:bCs/>
                      <w:szCs w:val="24"/>
                    </w:rPr>
                  </w:pPr>
                </w:p>
                <w:p w:rsidR="00C8333C" w:rsidRPr="009C1F2A" w:rsidRDefault="00C8333C" w:rsidP="006E6248">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rsidR="00C8333C" w:rsidRPr="009C1F2A" w:rsidRDefault="00C8333C" w:rsidP="006E6248">
                  <w:pPr>
                    <w:spacing w:line="276" w:lineRule="auto"/>
                    <w:jc w:val="center"/>
                    <w:rPr>
                      <w:rFonts w:ascii="Arial" w:eastAsia="Calibri" w:hAnsi="Arial" w:cs="Arial"/>
                      <w:b/>
                      <w:bCs/>
                      <w:szCs w:val="24"/>
                    </w:rPr>
                  </w:pPr>
                  <w:r w:rsidRPr="009C1F2A">
                    <w:rPr>
                      <w:rFonts w:ascii="Arial" w:eastAsia="Calibri" w:hAnsi="Arial" w:cs="Arial"/>
                      <w:b/>
                      <w:bCs/>
                      <w:szCs w:val="24"/>
                    </w:rPr>
                    <w:t>Jul - Sep</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C8333C" w:rsidRPr="009C1F2A" w:rsidRDefault="00C8333C" w:rsidP="006E6248">
                  <w:pPr>
                    <w:spacing w:line="276" w:lineRule="auto"/>
                    <w:jc w:val="center"/>
                    <w:rPr>
                      <w:rFonts w:ascii="Arial" w:eastAsia="Calibri" w:hAnsi="Arial" w:cs="Arial"/>
                      <w:b/>
                      <w:bCs/>
                      <w:szCs w:val="24"/>
                    </w:rPr>
                  </w:pPr>
                </w:p>
                <w:p w:rsidR="00C8333C" w:rsidRPr="009C1F2A" w:rsidRDefault="00C8333C" w:rsidP="006E6248">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rsidR="00C8333C" w:rsidRPr="009C1F2A" w:rsidRDefault="00C8333C" w:rsidP="006E6248">
                  <w:pPr>
                    <w:spacing w:line="276" w:lineRule="auto"/>
                    <w:jc w:val="center"/>
                    <w:rPr>
                      <w:rFonts w:ascii="Arial" w:eastAsia="Calibri" w:hAnsi="Arial" w:cs="Arial"/>
                      <w:b/>
                      <w:bCs/>
                      <w:szCs w:val="24"/>
                    </w:rPr>
                  </w:pPr>
                  <w:r w:rsidRPr="009C1F2A">
                    <w:rPr>
                      <w:rFonts w:ascii="Arial" w:eastAsia="Calibri" w:hAnsi="Arial" w:cs="Arial"/>
                      <w:b/>
                      <w:bCs/>
                      <w:szCs w:val="24"/>
                    </w:rPr>
                    <w:t>Oct - Dec</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C8333C" w:rsidRPr="009C1F2A" w:rsidRDefault="00C8333C" w:rsidP="006E6248">
                  <w:pPr>
                    <w:spacing w:line="276" w:lineRule="auto"/>
                    <w:jc w:val="center"/>
                    <w:rPr>
                      <w:rFonts w:ascii="Arial" w:eastAsia="Calibri" w:hAnsi="Arial" w:cs="Arial"/>
                      <w:b/>
                      <w:bCs/>
                      <w:szCs w:val="24"/>
                    </w:rPr>
                  </w:pPr>
                </w:p>
                <w:p w:rsidR="00C8333C" w:rsidRPr="009C1F2A" w:rsidRDefault="00C8333C" w:rsidP="006E6248">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rsidR="00C8333C" w:rsidRPr="009C1F2A" w:rsidRDefault="00C8333C" w:rsidP="006E6248">
                  <w:pPr>
                    <w:spacing w:line="276" w:lineRule="auto"/>
                    <w:jc w:val="center"/>
                    <w:rPr>
                      <w:rFonts w:ascii="Arial" w:eastAsia="Calibri" w:hAnsi="Arial" w:cs="Arial"/>
                      <w:b/>
                      <w:bCs/>
                      <w:szCs w:val="24"/>
                    </w:rPr>
                  </w:pPr>
                  <w:r w:rsidRPr="009C1F2A">
                    <w:rPr>
                      <w:rFonts w:ascii="Arial" w:eastAsia="Calibri" w:hAnsi="Arial" w:cs="Arial"/>
                      <w:b/>
                      <w:bCs/>
                      <w:szCs w:val="24"/>
                    </w:rPr>
                    <w:t>Jan - Mar</w:t>
                  </w:r>
                </w:p>
              </w:tc>
            </w:tr>
            <w:tr w:rsidR="00C8333C" w:rsidRPr="009C1F2A" w:rsidTr="006E6248">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C8333C" w:rsidRPr="009C1F2A" w:rsidRDefault="00C8333C" w:rsidP="006E6248">
                  <w:pPr>
                    <w:spacing w:line="276" w:lineRule="auto"/>
                    <w:jc w:val="center"/>
                    <w:rPr>
                      <w:rFonts w:ascii="Arial" w:eastAsia="Calibri" w:hAnsi="Arial" w:cs="Arial"/>
                      <w:b/>
                      <w:bCs/>
                      <w:szCs w:val="24"/>
                    </w:rPr>
                  </w:pPr>
                  <w:r w:rsidRPr="009C1F2A">
                    <w:rPr>
                      <w:rFonts w:ascii="Arial" w:eastAsia="Calibri" w:hAnsi="Arial" w:cs="Arial"/>
                      <w:b/>
                      <w:bCs/>
                      <w:szCs w:val="24"/>
                    </w:rPr>
                    <w:t>2015/16</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2.48%</w:t>
                  </w:r>
                </w:p>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(1.51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2.78%</w:t>
                  </w:r>
                </w:p>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(1.83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3.4%</w:t>
                  </w:r>
                </w:p>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(2.1 days/FTE)</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3.82%</w:t>
                  </w:r>
                </w:p>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(2.48 days/FTE)</w:t>
                  </w:r>
                </w:p>
              </w:tc>
            </w:tr>
            <w:tr w:rsidR="00C8333C" w:rsidRPr="009C1F2A" w:rsidTr="006E6248">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C8333C" w:rsidRPr="009C1F2A" w:rsidRDefault="00C8333C" w:rsidP="006E6248">
                  <w:pPr>
                    <w:spacing w:line="276" w:lineRule="auto"/>
                    <w:jc w:val="center"/>
                    <w:rPr>
                      <w:rFonts w:ascii="Arial" w:eastAsia="Calibri" w:hAnsi="Arial" w:cs="Arial"/>
                      <w:b/>
                      <w:bCs/>
                      <w:szCs w:val="24"/>
                    </w:rPr>
                  </w:pPr>
                  <w:r w:rsidRPr="009C1F2A">
                    <w:rPr>
                      <w:rFonts w:ascii="Arial" w:eastAsia="Calibri" w:hAnsi="Arial" w:cs="Arial"/>
                      <w:b/>
                      <w:bCs/>
                      <w:szCs w:val="24"/>
                    </w:rPr>
                    <w:t>2016/17</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333C" w:rsidRPr="009C1F2A" w:rsidRDefault="00C8333C" w:rsidP="006E6248">
                  <w:pPr>
                    <w:spacing w:line="276" w:lineRule="auto"/>
                    <w:jc w:val="center"/>
                    <w:rPr>
                      <w:rFonts w:ascii="Arial" w:eastAsia="Calibri" w:hAnsi="Arial" w:cs="Arial"/>
                      <w:i/>
                      <w:szCs w:val="24"/>
                    </w:rPr>
                  </w:pPr>
                  <w:r w:rsidRPr="009C1F2A">
                    <w:rPr>
                      <w:rFonts w:ascii="Arial" w:eastAsia="Calibri" w:hAnsi="Arial" w:cs="Arial"/>
                      <w:i/>
                      <w:szCs w:val="24"/>
                    </w:rPr>
                    <w:t>3.59%</w:t>
                  </w:r>
                </w:p>
                <w:p w:rsidR="00C8333C" w:rsidRPr="009C1F2A" w:rsidRDefault="00C8333C" w:rsidP="006E6248">
                  <w:pPr>
                    <w:spacing w:line="276" w:lineRule="auto"/>
                    <w:jc w:val="center"/>
                    <w:rPr>
                      <w:rFonts w:ascii="Arial" w:eastAsia="Calibri" w:hAnsi="Arial" w:cs="Arial"/>
                      <w:i/>
                      <w:szCs w:val="24"/>
                    </w:rPr>
                  </w:pPr>
                  <w:r w:rsidRPr="009C1F2A">
                    <w:rPr>
                      <w:rFonts w:ascii="Arial" w:eastAsia="Calibri" w:hAnsi="Arial" w:cs="Arial"/>
                      <w:i/>
                      <w:szCs w:val="24"/>
                    </w:rPr>
                    <w:t>(2.30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3.09%</w:t>
                  </w:r>
                </w:p>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(2.04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3.02%</w:t>
                  </w:r>
                </w:p>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(1.96 days/FTE)</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3.83%</w:t>
                  </w:r>
                </w:p>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(2.49 days/FTE)</w:t>
                  </w:r>
                </w:p>
              </w:tc>
            </w:tr>
            <w:tr w:rsidR="00C8333C" w:rsidRPr="009C1F2A" w:rsidTr="006E6248">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rsidR="00C8333C" w:rsidRPr="009C1F2A" w:rsidRDefault="00C8333C" w:rsidP="006E6248">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3.60%</w:t>
                  </w:r>
                </w:p>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(2.30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3.35%</w:t>
                  </w:r>
                </w:p>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(2.17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3.99%</w:t>
                  </w:r>
                </w:p>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(2.39 days/FTE)</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333C" w:rsidRPr="009C1F2A" w:rsidRDefault="00C8333C" w:rsidP="006E6248">
                  <w:pPr>
                    <w:spacing w:line="276" w:lineRule="auto"/>
                    <w:jc w:val="center"/>
                    <w:rPr>
                      <w:rFonts w:ascii="Arial" w:eastAsia="Calibri" w:hAnsi="Arial" w:cs="Arial"/>
                      <w:szCs w:val="24"/>
                    </w:rPr>
                  </w:pPr>
                  <w:r w:rsidRPr="009C1F2A">
                    <w:rPr>
                      <w:rFonts w:ascii="Arial" w:eastAsia="Calibri" w:hAnsi="Arial" w:cs="Arial"/>
                      <w:szCs w:val="24"/>
                    </w:rPr>
                    <w:t>-</w:t>
                  </w:r>
                </w:p>
              </w:tc>
            </w:tr>
          </w:tbl>
          <w:p w:rsidR="00C8333C" w:rsidRDefault="00C8333C" w:rsidP="00C8333C">
            <w:pPr>
              <w:jc w:val="both"/>
              <w:rPr>
                <w:rFonts w:ascii="Arial" w:hAnsi="Arial" w:cs="Arial"/>
                <w:u w:val="single"/>
              </w:rPr>
            </w:pPr>
          </w:p>
        </w:tc>
      </w:tr>
      <w:tr w:rsidR="006F5801" w:rsidRPr="007214D1" w:rsidTr="009C1F2A">
        <w:trPr>
          <w:trHeight w:val="80"/>
        </w:trPr>
        <w:tc>
          <w:tcPr>
            <w:tcW w:w="817" w:type="dxa"/>
          </w:tcPr>
          <w:p w:rsidR="0045618C" w:rsidRDefault="0045618C" w:rsidP="00416BFF">
            <w:pPr>
              <w:rPr>
                <w:rFonts w:ascii="Arial" w:hAnsi="Arial" w:cs="Arial"/>
                <w:szCs w:val="24"/>
              </w:rPr>
            </w:pPr>
          </w:p>
          <w:p w:rsidR="006F5801" w:rsidRDefault="006F5801" w:rsidP="00416BFF">
            <w:pPr>
              <w:rPr>
                <w:rFonts w:ascii="Arial" w:hAnsi="Arial" w:cs="Arial"/>
                <w:szCs w:val="24"/>
              </w:rPr>
            </w:pPr>
            <w:r>
              <w:rPr>
                <w:rFonts w:ascii="Arial" w:hAnsi="Arial" w:cs="Arial"/>
                <w:szCs w:val="24"/>
              </w:rPr>
              <w:t>3.2.2</w:t>
            </w:r>
          </w:p>
          <w:p w:rsidR="00E11B89" w:rsidRDefault="00E11B89" w:rsidP="00416BFF">
            <w:pPr>
              <w:rPr>
                <w:rFonts w:ascii="Arial" w:hAnsi="Arial" w:cs="Arial"/>
                <w:szCs w:val="24"/>
              </w:rPr>
            </w:pPr>
          </w:p>
          <w:p w:rsidR="00344849" w:rsidRDefault="00344849" w:rsidP="00416BFF">
            <w:pPr>
              <w:rPr>
                <w:rFonts w:ascii="Arial" w:hAnsi="Arial" w:cs="Arial"/>
                <w:szCs w:val="24"/>
              </w:rPr>
            </w:pPr>
          </w:p>
          <w:p w:rsidR="00465229" w:rsidRPr="002245D8" w:rsidRDefault="002245D8" w:rsidP="00416BFF">
            <w:pPr>
              <w:rPr>
                <w:rFonts w:ascii="Arial" w:hAnsi="Arial" w:cs="Arial"/>
                <w:szCs w:val="24"/>
              </w:rPr>
            </w:pPr>
            <w:r w:rsidRPr="002245D8">
              <w:rPr>
                <w:rFonts w:ascii="Arial" w:hAnsi="Arial" w:cs="Arial"/>
                <w:szCs w:val="24"/>
              </w:rPr>
              <w:t>3.2.3</w:t>
            </w:r>
          </w:p>
          <w:p w:rsidR="007F57B7" w:rsidRDefault="007F57B7" w:rsidP="00416BFF">
            <w:pPr>
              <w:rPr>
                <w:rFonts w:ascii="Arial" w:hAnsi="Arial" w:cs="Arial"/>
                <w:szCs w:val="24"/>
              </w:rPr>
            </w:pPr>
          </w:p>
          <w:p w:rsidR="00D66EB7" w:rsidRDefault="00D66EB7" w:rsidP="00416BFF">
            <w:pPr>
              <w:rPr>
                <w:rFonts w:ascii="Arial" w:hAnsi="Arial" w:cs="Arial"/>
                <w:szCs w:val="24"/>
              </w:rPr>
            </w:pPr>
          </w:p>
          <w:p w:rsidR="00D66EB7" w:rsidRDefault="00D66EB7" w:rsidP="00416BFF">
            <w:pPr>
              <w:rPr>
                <w:rFonts w:ascii="Arial" w:hAnsi="Arial" w:cs="Arial"/>
                <w:szCs w:val="24"/>
              </w:rPr>
            </w:pPr>
          </w:p>
          <w:p w:rsidR="00462977" w:rsidRDefault="00462977" w:rsidP="00416BFF">
            <w:pPr>
              <w:rPr>
                <w:rFonts w:ascii="Arial" w:hAnsi="Arial" w:cs="Arial"/>
                <w:szCs w:val="24"/>
              </w:rPr>
            </w:pPr>
            <w:r>
              <w:rPr>
                <w:rFonts w:ascii="Arial" w:hAnsi="Arial" w:cs="Arial"/>
                <w:szCs w:val="24"/>
              </w:rPr>
              <w:t>3.2.4</w:t>
            </w:r>
          </w:p>
          <w:p w:rsidR="00462977" w:rsidRDefault="00462977" w:rsidP="00416BFF">
            <w:pPr>
              <w:rPr>
                <w:rFonts w:ascii="Arial" w:hAnsi="Arial" w:cs="Arial"/>
                <w:szCs w:val="24"/>
              </w:rPr>
            </w:pPr>
          </w:p>
          <w:p w:rsidR="00462977" w:rsidRDefault="00462977" w:rsidP="00416BFF">
            <w:pPr>
              <w:rPr>
                <w:rFonts w:ascii="Arial" w:hAnsi="Arial" w:cs="Arial"/>
                <w:szCs w:val="24"/>
              </w:rPr>
            </w:pPr>
          </w:p>
          <w:p w:rsidR="00462977" w:rsidRDefault="00462977" w:rsidP="00416BFF">
            <w:pPr>
              <w:rPr>
                <w:rFonts w:ascii="Arial" w:hAnsi="Arial" w:cs="Arial"/>
                <w:szCs w:val="24"/>
              </w:rPr>
            </w:pPr>
          </w:p>
          <w:p w:rsidR="00C8333C" w:rsidRDefault="00C8333C" w:rsidP="00416BFF">
            <w:pPr>
              <w:rPr>
                <w:rFonts w:ascii="Arial" w:hAnsi="Arial" w:cs="Arial"/>
                <w:szCs w:val="24"/>
              </w:rPr>
            </w:pPr>
            <w:r>
              <w:rPr>
                <w:rFonts w:ascii="Arial" w:hAnsi="Arial" w:cs="Arial"/>
                <w:szCs w:val="24"/>
              </w:rPr>
              <w:t>3.2.5</w:t>
            </w:r>
          </w:p>
          <w:p w:rsidR="00C8333C" w:rsidRDefault="00C8333C" w:rsidP="00416BFF">
            <w:pPr>
              <w:rPr>
                <w:rFonts w:ascii="Arial" w:hAnsi="Arial" w:cs="Arial"/>
                <w:szCs w:val="24"/>
              </w:rPr>
            </w:pPr>
          </w:p>
          <w:p w:rsidR="00C8333C" w:rsidRDefault="00C8333C" w:rsidP="00416BFF">
            <w:pPr>
              <w:rPr>
                <w:rFonts w:ascii="Arial" w:hAnsi="Arial" w:cs="Arial"/>
                <w:szCs w:val="24"/>
              </w:rPr>
            </w:pPr>
          </w:p>
          <w:p w:rsidR="00C8333C" w:rsidRDefault="00C8333C" w:rsidP="00416BFF">
            <w:pPr>
              <w:rPr>
                <w:rFonts w:ascii="Arial" w:hAnsi="Arial" w:cs="Arial"/>
                <w:szCs w:val="24"/>
              </w:rPr>
            </w:pPr>
          </w:p>
          <w:p w:rsidR="00C8333C" w:rsidRDefault="00C8333C" w:rsidP="00416BFF">
            <w:pPr>
              <w:rPr>
                <w:rFonts w:ascii="Arial" w:hAnsi="Arial" w:cs="Arial"/>
                <w:szCs w:val="24"/>
              </w:rPr>
            </w:pPr>
          </w:p>
          <w:p w:rsidR="006F5801" w:rsidRDefault="00766BAD" w:rsidP="00416BFF">
            <w:pPr>
              <w:rPr>
                <w:rFonts w:ascii="Arial" w:hAnsi="Arial" w:cs="Arial"/>
                <w:szCs w:val="24"/>
              </w:rPr>
            </w:pPr>
            <w:r>
              <w:rPr>
                <w:rFonts w:ascii="Arial" w:hAnsi="Arial" w:cs="Arial"/>
                <w:szCs w:val="24"/>
              </w:rPr>
              <w:t>3</w:t>
            </w:r>
            <w:r w:rsidR="00B76CAE">
              <w:rPr>
                <w:rFonts w:ascii="Arial" w:hAnsi="Arial" w:cs="Arial"/>
                <w:szCs w:val="24"/>
              </w:rPr>
              <w:t>.3.</w:t>
            </w:r>
          </w:p>
          <w:p w:rsidR="006F5801" w:rsidRDefault="006F5801" w:rsidP="00416BFF">
            <w:pPr>
              <w:rPr>
                <w:rFonts w:ascii="Arial" w:hAnsi="Arial" w:cs="Arial"/>
                <w:szCs w:val="24"/>
              </w:rPr>
            </w:pPr>
          </w:p>
          <w:p w:rsidR="008C03E3" w:rsidRDefault="008C03E3" w:rsidP="00416BFF">
            <w:pPr>
              <w:rPr>
                <w:rFonts w:ascii="Arial" w:hAnsi="Arial" w:cs="Arial"/>
                <w:szCs w:val="24"/>
              </w:rPr>
            </w:pPr>
            <w:r>
              <w:rPr>
                <w:rFonts w:ascii="Arial" w:hAnsi="Arial" w:cs="Arial"/>
                <w:szCs w:val="24"/>
              </w:rPr>
              <w:t>3.3.1</w:t>
            </w:r>
          </w:p>
          <w:p w:rsidR="008C03E3" w:rsidRDefault="008C03E3" w:rsidP="00416BFF">
            <w:pPr>
              <w:rPr>
                <w:rFonts w:ascii="Arial" w:hAnsi="Arial" w:cs="Arial"/>
                <w:szCs w:val="24"/>
              </w:rPr>
            </w:pPr>
          </w:p>
          <w:p w:rsidR="00C8333C" w:rsidRDefault="00C8333C" w:rsidP="00416BFF">
            <w:pPr>
              <w:rPr>
                <w:rFonts w:ascii="Arial" w:hAnsi="Arial" w:cs="Arial"/>
                <w:szCs w:val="24"/>
              </w:rPr>
            </w:pPr>
          </w:p>
          <w:p w:rsidR="00995C74" w:rsidRDefault="00995C74" w:rsidP="00416BFF">
            <w:pPr>
              <w:rPr>
                <w:rFonts w:ascii="Arial" w:hAnsi="Arial" w:cs="Arial"/>
                <w:szCs w:val="24"/>
              </w:rPr>
            </w:pPr>
            <w:r>
              <w:rPr>
                <w:rFonts w:ascii="Arial" w:hAnsi="Arial" w:cs="Arial"/>
                <w:szCs w:val="24"/>
              </w:rPr>
              <w:t>3.4</w:t>
            </w:r>
          </w:p>
          <w:p w:rsidR="008C03E3" w:rsidRDefault="008C03E3" w:rsidP="00416BFF">
            <w:pPr>
              <w:rPr>
                <w:rFonts w:ascii="Arial" w:hAnsi="Arial" w:cs="Arial"/>
                <w:szCs w:val="24"/>
              </w:rPr>
            </w:pPr>
          </w:p>
          <w:p w:rsidR="008C03E3" w:rsidRDefault="008C03E3" w:rsidP="00416BFF">
            <w:pPr>
              <w:rPr>
                <w:rFonts w:ascii="Arial" w:hAnsi="Arial" w:cs="Arial"/>
                <w:szCs w:val="24"/>
              </w:rPr>
            </w:pPr>
            <w:r>
              <w:rPr>
                <w:rFonts w:ascii="Arial" w:hAnsi="Arial" w:cs="Arial"/>
                <w:szCs w:val="24"/>
              </w:rPr>
              <w:t>3.4.1</w:t>
            </w:r>
          </w:p>
          <w:p w:rsidR="009C1F2A" w:rsidRDefault="009C1F2A" w:rsidP="00416BFF">
            <w:pPr>
              <w:rPr>
                <w:rFonts w:ascii="Arial" w:hAnsi="Arial" w:cs="Arial"/>
                <w:szCs w:val="24"/>
              </w:rPr>
            </w:pPr>
          </w:p>
          <w:p w:rsidR="00C8333C" w:rsidRDefault="00C8333C" w:rsidP="00D46356">
            <w:pPr>
              <w:rPr>
                <w:rFonts w:ascii="Arial" w:hAnsi="Arial" w:cs="Arial"/>
                <w:szCs w:val="24"/>
              </w:rPr>
            </w:pPr>
          </w:p>
          <w:p w:rsidR="00465229" w:rsidRDefault="00465229" w:rsidP="00D46356">
            <w:pPr>
              <w:rPr>
                <w:rFonts w:ascii="Arial" w:hAnsi="Arial" w:cs="Arial"/>
                <w:szCs w:val="24"/>
              </w:rPr>
            </w:pPr>
            <w:r>
              <w:rPr>
                <w:rFonts w:ascii="Arial" w:hAnsi="Arial" w:cs="Arial"/>
                <w:szCs w:val="24"/>
              </w:rPr>
              <w:t>3.5</w:t>
            </w:r>
          </w:p>
          <w:p w:rsidR="00465229" w:rsidRDefault="00465229" w:rsidP="00D46356">
            <w:pPr>
              <w:rPr>
                <w:rFonts w:ascii="Arial" w:hAnsi="Arial" w:cs="Arial"/>
                <w:szCs w:val="24"/>
              </w:rPr>
            </w:pPr>
          </w:p>
          <w:p w:rsidR="00465229" w:rsidRDefault="00F858E0" w:rsidP="00D46356">
            <w:pPr>
              <w:rPr>
                <w:rFonts w:ascii="Arial" w:hAnsi="Arial" w:cs="Arial"/>
                <w:szCs w:val="24"/>
              </w:rPr>
            </w:pPr>
            <w:r>
              <w:rPr>
                <w:rFonts w:ascii="Arial" w:hAnsi="Arial" w:cs="Arial"/>
                <w:szCs w:val="24"/>
              </w:rPr>
              <w:t>3.5.1</w:t>
            </w:r>
          </w:p>
          <w:p w:rsidR="00B237C2" w:rsidRDefault="00B237C2" w:rsidP="00D46356">
            <w:pPr>
              <w:rPr>
                <w:rFonts w:ascii="Arial" w:hAnsi="Arial" w:cs="Arial"/>
                <w:szCs w:val="24"/>
              </w:rPr>
            </w:pPr>
          </w:p>
          <w:p w:rsidR="007B64B5" w:rsidRDefault="007B64B5" w:rsidP="00D46356">
            <w:pPr>
              <w:rPr>
                <w:rFonts w:ascii="Arial" w:hAnsi="Arial" w:cs="Arial"/>
                <w:szCs w:val="24"/>
              </w:rPr>
            </w:pPr>
          </w:p>
          <w:p w:rsidR="007B64B5" w:rsidRPr="007214D1" w:rsidRDefault="007B64B5" w:rsidP="00D46356">
            <w:pPr>
              <w:rPr>
                <w:rFonts w:ascii="Arial" w:hAnsi="Arial" w:cs="Arial"/>
                <w:szCs w:val="24"/>
              </w:rPr>
            </w:pPr>
          </w:p>
        </w:tc>
        <w:tc>
          <w:tcPr>
            <w:tcW w:w="8647" w:type="dxa"/>
          </w:tcPr>
          <w:p w:rsidR="0045618C" w:rsidRPr="009C1F2A" w:rsidRDefault="0045618C" w:rsidP="007B3DC7">
            <w:pPr>
              <w:jc w:val="both"/>
              <w:rPr>
                <w:rFonts w:ascii="Arial" w:eastAsia="Calibri" w:hAnsi="Arial" w:cs="Arial"/>
                <w:szCs w:val="24"/>
                <w:lang w:eastAsia="en-US"/>
              </w:rPr>
            </w:pPr>
          </w:p>
          <w:p w:rsidR="00E45F94" w:rsidRPr="009C1F2A" w:rsidRDefault="00D23435" w:rsidP="00E75F39">
            <w:pPr>
              <w:jc w:val="both"/>
              <w:rPr>
                <w:rFonts w:ascii="Arial" w:eastAsia="Calibri" w:hAnsi="Arial" w:cs="Arial"/>
                <w:szCs w:val="24"/>
                <w:lang w:eastAsia="en-US"/>
              </w:rPr>
            </w:pPr>
            <w:r w:rsidRPr="009C1F2A">
              <w:rPr>
                <w:rFonts w:ascii="Arial" w:eastAsia="Calibri" w:hAnsi="Arial" w:cs="Arial"/>
                <w:szCs w:val="24"/>
                <w:lang w:eastAsia="en-US"/>
              </w:rPr>
              <w:t xml:space="preserve">Quarter </w:t>
            </w:r>
            <w:r w:rsidR="00AB4988" w:rsidRPr="009C1F2A">
              <w:rPr>
                <w:rFonts w:ascii="Arial" w:eastAsia="Calibri" w:hAnsi="Arial" w:cs="Arial"/>
                <w:szCs w:val="24"/>
                <w:lang w:eastAsia="en-US"/>
              </w:rPr>
              <w:t>3</w:t>
            </w:r>
            <w:r w:rsidRPr="009C1F2A">
              <w:rPr>
                <w:rFonts w:ascii="Arial" w:eastAsia="Calibri" w:hAnsi="Arial" w:cs="Arial"/>
                <w:szCs w:val="24"/>
                <w:lang w:eastAsia="en-US"/>
              </w:rPr>
              <w:t xml:space="preserve"> has shown </w:t>
            </w:r>
            <w:r w:rsidR="00445A72" w:rsidRPr="009C1F2A">
              <w:rPr>
                <w:rFonts w:ascii="Arial" w:eastAsia="Calibri" w:hAnsi="Arial" w:cs="Arial"/>
                <w:szCs w:val="24"/>
                <w:lang w:eastAsia="en-US"/>
              </w:rPr>
              <w:t>a</w:t>
            </w:r>
            <w:r w:rsidR="00344849" w:rsidRPr="009C1F2A">
              <w:rPr>
                <w:rFonts w:ascii="Arial" w:eastAsia="Calibri" w:hAnsi="Arial" w:cs="Arial"/>
                <w:szCs w:val="24"/>
                <w:lang w:eastAsia="en-US"/>
              </w:rPr>
              <w:t>n</w:t>
            </w:r>
            <w:r w:rsidR="00445A72" w:rsidRPr="009C1F2A">
              <w:rPr>
                <w:rFonts w:ascii="Arial" w:eastAsia="Calibri" w:hAnsi="Arial" w:cs="Arial"/>
                <w:szCs w:val="24"/>
                <w:lang w:eastAsia="en-US"/>
              </w:rPr>
              <w:t xml:space="preserve"> </w:t>
            </w:r>
            <w:r w:rsidR="00344849" w:rsidRPr="009C1F2A">
              <w:rPr>
                <w:rFonts w:ascii="Arial" w:eastAsia="Calibri" w:hAnsi="Arial" w:cs="Arial"/>
                <w:szCs w:val="24"/>
                <w:lang w:eastAsia="en-US"/>
              </w:rPr>
              <w:t>increase</w:t>
            </w:r>
            <w:r w:rsidR="00CE68AE" w:rsidRPr="009C1F2A">
              <w:rPr>
                <w:rFonts w:ascii="Arial" w:eastAsia="Calibri" w:hAnsi="Arial" w:cs="Arial"/>
                <w:szCs w:val="24"/>
                <w:lang w:eastAsia="en-US"/>
              </w:rPr>
              <w:t xml:space="preserve"> of </w:t>
            </w:r>
            <w:r w:rsidR="00190BC9" w:rsidRPr="009C1F2A">
              <w:rPr>
                <w:rFonts w:ascii="Arial" w:eastAsia="Calibri" w:hAnsi="Arial" w:cs="Arial"/>
                <w:szCs w:val="24"/>
                <w:lang w:eastAsia="en-US"/>
              </w:rPr>
              <w:t>0.</w:t>
            </w:r>
            <w:r w:rsidR="00344849" w:rsidRPr="009C1F2A">
              <w:rPr>
                <w:rFonts w:ascii="Arial" w:eastAsia="Calibri" w:hAnsi="Arial" w:cs="Arial"/>
                <w:szCs w:val="24"/>
                <w:lang w:eastAsia="en-US"/>
              </w:rPr>
              <w:t>64</w:t>
            </w:r>
            <w:r w:rsidR="00CE68AE" w:rsidRPr="009C1F2A">
              <w:rPr>
                <w:rFonts w:ascii="Arial" w:eastAsia="Calibri" w:hAnsi="Arial" w:cs="Arial"/>
                <w:szCs w:val="24"/>
                <w:lang w:eastAsia="en-US"/>
              </w:rPr>
              <w:t>%</w:t>
            </w:r>
            <w:r w:rsidRPr="009C1F2A">
              <w:rPr>
                <w:rFonts w:ascii="Arial" w:eastAsia="Calibri" w:hAnsi="Arial" w:cs="Arial"/>
                <w:szCs w:val="24"/>
                <w:lang w:eastAsia="en-US"/>
              </w:rPr>
              <w:t xml:space="preserve"> in the absence rate </w:t>
            </w:r>
            <w:r w:rsidR="0042698E" w:rsidRPr="009C1F2A">
              <w:rPr>
                <w:rFonts w:ascii="Arial" w:eastAsia="Calibri" w:hAnsi="Arial" w:cs="Arial"/>
                <w:szCs w:val="24"/>
                <w:lang w:eastAsia="en-US"/>
              </w:rPr>
              <w:t>from the previous quarter</w:t>
            </w:r>
            <w:r w:rsidRPr="009C1F2A">
              <w:rPr>
                <w:rFonts w:ascii="Arial" w:eastAsia="Calibri" w:hAnsi="Arial" w:cs="Arial"/>
                <w:szCs w:val="24"/>
                <w:lang w:eastAsia="en-US"/>
              </w:rPr>
              <w:t>.</w:t>
            </w:r>
            <w:r w:rsidR="007E7860" w:rsidRPr="009C1F2A">
              <w:rPr>
                <w:rFonts w:ascii="Arial" w:eastAsia="Calibri" w:hAnsi="Arial" w:cs="Arial"/>
                <w:szCs w:val="24"/>
                <w:lang w:eastAsia="en-US"/>
              </w:rPr>
              <w:t xml:space="preserve"> </w:t>
            </w:r>
          </w:p>
          <w:p w:rsidR="007B3C3E" w:rsidRPr="009C1F2A" w:rsidRDefault="007B3C3E" w:rsidP="00E75F39">
            <w:pPr>
              <w:jc w:val="both"/>
              <w:rPr>
                <w:rFonts w:ascii="Arial" w:eastAsia="Calibri" w:hAnsi="Arial" w:cs="Arial"/>
                <w:szCs w:val="24"/>
                <w:lang w:eastAsia="en-US"/>
              </w:rPr>
            </w:pPr>
          </w:p>
          <w:p w:rsidR="00D66EB7" w:rsidRPr="003702A5" w:rsidRDefault="00E45F94" w:rsidP="00186DF3">
            <w:pPr>
              <w:jc w:val="both"/>
              <w:rPr>
                <w:rFonts w:ascii="Arial" w:eastAsia="Calibri" w:hAnsi="Arial" w:cs="Arial"/>
                <w:szCs w:val="24"/>
                <w:lang w:eastAsia="en-US"/>
              </w:rPr>
            </w:pPr>
            <w:r w:rsidRPr="003A069E">
              <w:rPr>
                <w:rFonts w:ascii="Arial" w:eastAsia="Calibri" w:hAnsi="Arial" w:cs="Arial"/>
                <w:szCs w:val="24"/>
                <w:lang w:eastAsia="en-US"/>
              </w:rPr>
              <w:t>O</w:t>
            </w:r>
            <w:r w:rsidR="002245D8" w:rsidRPr="003A069E">
              <w:rPr>
                <w:rFonts w:ascii="Arial" w:eastAsia="Calibri" w:hAnsi="Arial" w:cs="Arial"/>
                <w:szCs w:val="24"/>
                <w:lang w:eastAsia="en-US"/>
              </w:rPr>
              <w:t xml:space="preserve">f the </w:t>
            </w:r>
            <w:r w:rsidR="00190BC9" w:rsidRPr="003A069E">
              <w:rPr>
                <w:rFonts w:ascii="Arial" w:eastAsia="Calibri" w:hAnsi="Arial" w:cs="Arial"/>
                <w:szCs w:val="24"/>
                <w:lang w:eastAsia="en-US"/>
              </w:rPr>
              <w:t>3.</w:t>
            </w:r>
            <w:r w:rsidR="00344849" w:rsidRPr="003A069E">
              <w:rPr>
                <w:rFonts w:ascii="Arial" w:eastAsia="Calibri" w:hAnsi="Arial" w:cs="Arial"/>
                <w:szCs w:val="24"/>
                <w:lang w:eastAsia="en-US"/>
              </w:rPr>
              <w:t>99</w:t>
            </w:r>
            <w:r w:rsidR="002245D8" w:rsidRPr="003A069E">
              <w:rPr>
                <w:rFonts w:ascii="Arial" w:eastAsia="Calibri" w:hAnsi="Arial" w:cs="Arial"/>
                <w:szCs w:val="24"/>
                <w:lang w:eastAsia="en-US"/>
              </w:rPr>
              <w:t xml:space="preserve">% headline figure, </w:t>
            </w:r>
            <w:r w:rsidR="00503FD6" w:rsidRPr="003A069E">
              <w:rPr>
                <w:rFonts w:ascii="Arial" w:eastAsia="Calibri" w:hAnsi="Arial" w:cs="Arial"/>
                <w:szCs w:val="24"/>
                <w:lang w:eastAsia="en-US"/>
              </w:rPr>
              <w:t>2.</w:t>
            </w:r>
            <w:r w:rsidR="00830CD4" w:rsidRPr="003A069E">
              <w:rPr>
                <w:rFonts w:ascii="Arial" w:eastAsia="Calibri" w:hAnsi="Arial" w:cs="Arial"/>
                <w:szCs w:val="24"/>
                <w:lang w:eastAsia="en-US"/>
              </w:rPr>
              <w:t>9</w:t>
            </w:r>
            <w:r w:rsidR="002245D8" w:rsidRPr="003A069E">
              <w:rPr>
                <w:rFonts w:ascii="Arial" w:eastAsia="Calibri" w:hAnsi="Arial" w:cs="Arial"/>
                <w:szCs w:val="24"/>
                <w:lang w:eastAsia="en-US"/>
              </w:rPr>
              <w:t xml:space="preserve">% was due to long term absence (10 consecutive work days </w:t>
            </w:r>
            <w:r w:rsidR="005F4B50" w:rsidRPr="003A069E">
              <w:rPr>
                <w:rFonts w:ascii="Arial" w:eastAsia="Calibri" w:hAnsi="Arial" w:cs="Arial"/>
                <w:szCs w:val="24"/>
                <w:lang w:eastAsia="en-US"/>
              </w:rPr>
              <w:t>or more)</w:t>
            </w:r>
            <w:r w:rsidR="00E25B8B" w:rsidRPr="003A069E">
              <w:rPr>
                <w:rFonts w:ascii="Arial" w:eastAsia="Calibri" w:hAnsi="Arial" w:cs="Arial"/>
                <w:szCs w:val="24"/>
                <w:lang w:eastAsia="en-US"/>
              </w:rPr>
              <w:t>.</w:t>
            </w:r>
            <w:r w:rsidR="00186DF3" w:rsidRPr="003A069E">
              <w:rPr>
                <w:rFonts w:ascii="Arial" w:eastAsia="Calibri" w:hAnsi="Arial" w:cs="Arial"/>
                <w:szCs w:val="24"/>
                <w:lang w:eastAsia="en-US"/>
              </w:rPr>
              <w:t xml:space="preserve"> </w:t>
            </w:r>
            <w:r w:rsidR="003A069E" w:rsidRPr="003A069E">
              <w:rPr>
                <w:rFonts w:ascii="Arial" w:eastAsia="Calibri" w:hAnsi="Arial" w:cs="Arial"/>
                <w:szCs w:val="24"/>
                <w:lang w:eastAsia="en-US"/>
              </w:rPr>
              <w:t>T</w:t>
            </w:r>
            <w:r w:rsidR="00D66EB7" w:rsidRPr="003A069E">
              <w:rPr>
                <w:rFonts w:ascii="Arial" w:eastAsia="Calibri" w:hAnsi="Arial" w:cs="Arial"/>
                <w:szCs w:val="24"/>
                <w:lang w:eastAsia="en-US"/>
              </w:rPr>
              <w:t xml:space="preserve">here </w:t>
            </w:r>
            <w:r w:rsidR="003A069E" w:rsidRPr="003A069E">
              <w:rPr>
                <w:rFonts w:ascii="Arial" w:eastAsia="Calibri" w:hAnsi="Arial" w:cs="Arial"/>
                <w:szCs w:val="24"/>
                <w:lang w:eastAsia="en-US"/>
              </w:rPr>
              <w:t>were</w:t>
            </w:r>
            <w:r w:rsidR="00D66EB7" w:rsidRPr="003A069E">
              <w:rPr>
                <w:rFonts w:ascii="Arial" w:eastAsia="Calibri" w:hAnsi="Arial" w:cs="Arial"/>
                <w:szCs w:val="24"/>
                <w:lang w:eastAsia="en-US"/>
              </w:rPr>
              <w:t xml:space="preserve"> 28 </w:t>
            </w:r>
            <w:r w:rsidR="003A069E" w:rsidRPr="003A069E">
              <w:rPr>
                <w:rFonts w:ascii="Arial" w:eastAsia="Calibri" w:hAnsi="Arial" w:cs="Arial"/>
                <w:szCs w:val="24"/>
                <w:lang w:eastAsia="en-US"/>
              </w:rPr>
              <w:t>long-term absences in the quarter</w:t>
            </w:r>
            <w:r w:rsidR="00D66EB7" w:rsidRPr="003A069E">
              <w:rPr>
                <w:rFonts w:ascii="Arial" w:eastAsia="Calibri" w:hAnsi="Arial" w:cs="Arial"/>
                <w:szCs w:val="24"/>
                <w:lang w:eastAsia="en-US"/>
              </w:rPr>
              <w:t xml:space="preserve"> of which only two remained absent at the start of Q4.</w:t>
            </w:r>
          </w:p>
          <w:p w:rsidR="00AB4988" w:rsidRPr="009C1F2A" w:rsidRDefault="00AB4988" w:rsidP="00186DF3">
            <w:pPr>
              <w:jc w:val="both"/>
              <w:rPr>
                <w:rFonts w:ascii="Arial" w:eastAsia="Calibri" w:hAnsi="Arial" w:cs="Arial"/>
                <w:szCs w:val="24"/>
                <w:lang w:eastAsia="en-US"/>
              </w:rPr>
            </w:pPr>
          </w:p>
          <w:p w:rsidR="00AB4988" w:rsidRPr="009C1F2A" w:rsidRDefault="00AB4988" w:rsidP="00186DF3">
            <w:pPr>
              <w:jc w:val="both"/>
              <w:rPr>
                <w:rFonts w:ascii="Arial" w:eastAsia="Calibri" w:hAnsi="Arial" w:cs="Arial"/>
                <w:szCs w:val="24"/>
                <w:lang w:eastAsia="en-US"/>
              </w:rPr>
            </w:pPr>
            <w:r w:rsidRPr="009C1F2A">
              <w:rPr>
                <w:rFonts w:ascii="Arial" w:eastAsia="Calibri" w:hAnsi="Arial" w:cs="Arial"/>
                <w:szCs w:val="24"/>
                <w:lang w:eastAsia="en-US"/>
              </w:rPr>
              <w:t xml:space="preserve">Directors should note that future reports will be amended to </w:t>
            </w:r>
            <w:r w:rsidR="00462977" w:rsidRPr="009C1F2A">
              <w:rPr>
                <w:rFonts w:ascii="Arial" w:eastAsia="Calibri" w:hAnsi="Arial" w:cs="Arial"/>
                <w:szCs w:val="24"/>
                <w:lang w:eastAsia="en-US"/>
              </w:rPr>
              <w:t xml:space="preserve">show </w:t>
            </w:r>
            <w:r w:rsidRPr="009C1F2A">
              <w:rPr>
                <w:rFonts w:ascii="Arial" w:eastAsia="Calibri" w:hAnsi="Arial" w:cs="Arial"/>
                <w:szCs w:val="24"/>
                <w:lang w:eastAsia="en-US"/>
              </w:rPr>
              <w:t>absence levels split between long-term absence (&gt;10</w:t>
            </w:r>
            <w:r w:rsidR="00462977" w:rsidRPr="009C1F2A">
              <w:rPr>
                <w:rFonts w:ascii="Arial" w:eastAsia="Calibri" w:hAnsi="Arial" w:cs="Arial"/>
                <w:szCs w:val="24"/>
                <w:lang w:eastAsia="en-US"/>
              </w:rPr>
              <w:t xml:space="preserve"> consecutive working</w:t>
            </w:r>
            <w:r w:rsidRPr="009C1F2A">
              <w:rPr>
                <w:rFonts w:ascii="Arial" w:eastAsia="Calibri" w:hAnsi="Arial" w:cs="Arial"/>
                <w:szCs w:val="24"/>
                <w:lang w:eastAsia="en-US"/>
              </w:rPr>
              <w:t xml:space="preserve"> days)</w:t>
            </w:r>
            <w:r w:rsidR="008E3C2A">
              <w:rPr>
                <w:rFonts w:ascii="Arial" w:eastAsia="Calibri" w:hAnsi="Arial" w:cs="Arial"/>
                <w:szCs w:val="24"/>
                <w:lang w:eastAsia="en-US"/>
              </w:rPr>
              <w:t xml:space="preserve"> and short-term absence (</w:t>
            </w:r>
            <w:r w:rsidR="00462977" w:rsidRPr="009C1F2A">
              <w:rPr>
                <w:rFonts w:ascii="Arial" w:eastAsia="Calibri" w:hAnsi="Arial" w:cs="Arial"/>
                <w:szCs w:val="24"/>
                <w:lang w:eastAsia="en-US"/>
              </w:rPr>
              <w:t>10 consecutive working days</w:t>
            </w:r>
            <w:r w:rsidR="008E3C2A">
              <w:rPr>
                <w:rFonts w:ascii="Arial" w:eastAsia="Calibri" w:hAnsi="Arial" w:cs="Arial"/>
                <w:szCs w:val="24"/>
                <w:lang w:eastAsia="en-US"/>
              </w:rPr>
              <w:t xml:space="preserve"> or less</w:t>
            </w:r>
            <w:r w:rsidR="00462977" w:rsidRPr="009C1F2A">
              <w:rPr>
                <w:rFonts w:ascii="Arial" w:eastAsia="Calibri" w:hAnsi="Arial" w:cs="Arial"/>
                <w:szCs w:val="24"/>
                <w:lang w:eastAsia="en-US"/>
              </w:rPr>
              <w:t>)</w:t>
            </w:r>
            <w:r w:rsidR="008E3C2A">
              <w:rPr>
                <w:rFonts w:ascii="Arial" w:eastAsia="Calibri" w:hAnsi="Arial" w:cs="Arial"/>
                <w:szCs w:val="24"/>
                <w:lang w:eastAsia="en-US"/>
              </w:rPr>
              <w:t>.</w:t>
            </w:r>
          </w:p>
          <w:p w:rsidR="00AB4988" w:rsidRPr="009C1F2A" w:rsidRDefault="00AB4988" w:rsidP="00E75F39">
            <w:pPr>
              <w:jc w:val="both"/>
              <w:rPr>
                <w:rFonts w:ascii="Arial" w:eastAsia="Calibri" w:hAnsi="Arial" w:cs="Arial"/>
                <w:szCs w:val="24"/>
                <w:lang w:eastAsia="en-US"/>
              </w:rPr>
            </w:pPr>
          </w:p>
          <w:p w:rsidR="00E45F94" w:rsidRPr="009C1F2A" w:rsidRDefault="00D230BF" w:rsidP="00E75F39">
            <w:pPr>
              <w:jc w:val="both"/>
              <w:rPr>
                <w:rFonts w:ascii="Arial" w:eastAsia="Calibri" w:hAnsi="Arial" w:cs="Arial"/>
                <w:szCs w:val="24"/>
                <w:lang w:eastAsia="en-US"/>
              </w:rPr>
            </w:pPr>
            <w:r w:rsidRPr="009C1F2A">
              <w:rPr>
                <w:rFonts w:ascii="Arial" w:eastAsia="Calibri" w:hAnsi="Arial" w:cs="Arial"/>
                <w:szCs w:val="24"/>
                <w:lang w:eastAsia="en-US"/>
              </w:rPr>
              <w:t>With the s</w:t>
            </w:r>
            <w:r w:rsidR="00CE68AE" w:rsidRPr="009C1F2A">
              <w:rPr>
                <w:rFonts w:ascii="Arial" w:eastAsia="Calibri" w:hAnsi="Arial" w:cs="Arial"/>
                <w:szCs w:val="24"/>
                <w:lang w:eastAsia="en-US"/>
              </w:rPr>
              <w:t xml:space="preserve">upport of HR, </w:t>
            </w:r>
            <w:r w:rsidRPr="009C1F2A">
              <w:rPr>
                <w:rFonts w:ascii="Arial" w:eastAsia="Calibri" w:hAnsi="Arial" w:cs="Arial"/>
                <w:szCs w:val="24"/>
                <w:lang w:eastAsia="en-US"/>
              </w:rPr>
              <w:t>i</w:t>
            </w:r>
            <w:r w:rsidR="009C7634" w:rsidRPr="009C1F2A">
              <w:rPr>
                <w:rFonts w:ascii="Arial" w:eastAsia="Calibri" w:hAnsi="Arial" w:cs="Arial"/>
                <w:szCs w:val="24"/>
                <w:lang w:eastAsia="en-US"/>
              </w:rPr>
              <w:t>ndividual</w:t>
            </w:r>
            <w:r w:rsidR="00CE68AE" w:rsidRPr="009C1F2A">
              <w:rPr>
                <w:rFonts w:ascii="Arial" w:eastAsia="Calibri" w:hAnsi="Arial" w:cs="Arial"/>
                <w:szCs w:val="24"/>
                <w:lang w:eastAsia="en-US"/>
              </w:rPr>
              <w:t xml:space="preserve"> line managers</w:t>
            </w:r>
            <w:r w:rsidR="000E0C6D" w:rsidRPr="009C1F2A">
              <w:rPr>
                <w:rFonts w:ascii="Arial" w:eastAsia="Calibri" w:hAnsi="Arial" w:cs="Arial"/>
                <w:szCs w:val="24"/>
                <w:lang w:eastAsia="en-US"/>
              </w:rPr>
              <w:t xml:space="preserve"> identify </w:t>
            </w:r>
            <w:r w:rsidR="009C1F2A">
              <w:rPr>
                <w:rFonts w:ascii="Arial" w:eastAsia="Calibri" w:hAnsi="Arial" w:cs="Arial"/>
                <w:szCs w:val="24"/>
                <w:lang w:eastAsia="en-US"/>
              </w:rPr>
              <w:t xml:space="preserve">attendance management issues </w:t>
            </w:r>
            <w:r w:rsidR="00141185" w:rsidRPr="009C1F2A">
              <w:rPr>
                <w:rFonts w:ascii="Arial" w:eastAsia="Calibri" w:hAnsi="Arial" w:cs="Arial"/>
                <w:szCs w:val="24"/>
                <w:lang w:eastAsia="en-US"/>
              </w:rPr>
              <w:t xml:space="preserve">which </w:t>
            </w:r>
            <w:r w:rsidR="009C1F2A">
              <w:rPr>
                <w:rFonts w:ascii="Arial" w:eastAsia="Calibri" w:hAnsi="Arial" w:cs="Arial"/>
                <w:szCs w:val="24"/>
                <w:lang w:eastAsia="en-US"/>
              </w:rPr>
              <w:t>may</w:t>
            </w:r>
            <w:r w:rsidR="00E45F94" w:rsidRPr="009C1F2A">
              <w:rPr>
                <w:rFonts w:ascii="Arial" w:eastAsia="Calibri" w:hAnsi="Arial" w:cs="Arial"/>
                <w:szCs w:val="24"/>
                <w:lang w:eastAsia="en-US"/>
              </w:rPr>
              <w:t xml:space="preserve"> require support and assistance</w:t>
            </w:r>
            <w:r w:rsidR="009C1F2A">
              <w:rPr>
                <w:rFonts w:ascii="Arial" w:eastAsia="Calibri" w:hAnsi="Arial" w:cs="Arial"/>
                <w:szCs w:val="24"/>
                <w:lang w:eastAsia="en-US"/>
              </w:rPr>
              <w:t xml:space="preserve"> through measures</w:t>
            </w:r>
            <w:r w:rsidR="00E45F94" w:rsidRPr="009C1F2A">
              <w:rPr>
                <w:rFonts w:ascii="Arial" w:eastAsia="Calibri" w:hAnsi="Arial" w:cs="Arial"/>
                <w:szCs w:val="24"/>
                <w:lang w:eastAsia="en-US"/>
              </w:rPr>
              <w:t xml:space="preserve"> such as referral to occupational health</w:t>
            </w:r>
            <w:r w:rsidR="009C1F2A">
              <w:rPr>
                <w:rFonts w:ascii="Arial" w:eastAsia="Calibri" w:hAnsi="Arial" w:cs="Arial"/>
                <w:szCs w:val="24"/>
                <w:lang w:eastAsia="en-US"/>
              </w:rPr>
              <w:t xml:space="preserve">, </w:t>
            </w:r>
            <w:r w:rsidR="000E0C6D" w:rsidRPr="009C1F2A">
              <w:rPr>
                <w:rFonts w:ascii="Arial" w:eastAsia="Calibri" w:hAnsi="Arial" w:cs="Arial"/>
                <w:szCs w:val="24"/>
                <w:lang w:eastAsia="en-US"/>
              </w:rPr>
              <w:t>counselling</w:t>
            </w:r>
            <w:r w:rsidR="009C1F2A">
              <w:rPr>
                <w:rFonts w:ascii="Arial" w:eastAsia="Calibri" w:hAnsi="Arial" w:cs="Arial"/>
                <w:szCs w:val="24"/>
                <w:lang w:eastAsia="en-US"/>
              </w:rPr>
              <w:t>, in-situ support/confidante</w:t>
            </w:r>
            <w:r w:rsidR="000E0C6D" w:rsidRPr="009C1F2A">
              <w:rPr>
                <w:rFonts w:ascii="Arial" w:eastAsia="Calibri" w:hAnsi="Arial" w:cs="Arial"/>
                <w:szCs w:val="24"/>
                <w:lang w:eastAsia="en-US"/>
              </w:rPr>
              <w:t>.</w:t>
            </w:r>
            <w:r w:rsidR="00E45F94" w:rsidRPr="009C1F2A">
              <w:rPr>
                <w:rFonts w:ascii="Arial" w:eastAsia="Calibri" w:hAnsi="Arial" w:cs="Arial"/>
                <w:szCs w:val="24"/>
                <w:lang w:eastAsia="en-US"/>
              </w:rPr>
              <w:t xml:space="preserve"> </w:t>
            </w:r>
          </w:p>
          <w:p w:rsidR="000E0C6D" w:rsidRPr="009C1F2A" w:rsidRDefault="000E0C6D" w:rsidP="00E75F39">
            <w:pPr>
              <w:jc w:val="both"/>
              <w:rPr>
                <w:rFonts w:ascii="Arial" w:eastAsia="Calibri" w:hAnsi="Arial" w:cs="Arial"/>
                <w:szCs w:val="24"/>
                <w:lang w:eastAsia="en-US"/>
              </w:rPr>
            </w:pPr>
          </w:p>
          <w:p w:rsidR="006F5801" w:rsidRPr="009C1F2A" w:rsidRDefault="006F5801" w:rsidP="00474274">
            <w:pPr>
              <w:jc w:val="both"/>
              <w:rPr>
                <w:rFonts w:ascii="Arial" w:hAnsi="Arial" w:cs="Arial"/>
                <w:szCs w:val="24"/>
                <w:u w:val="single"/>
              </w:rPr>
            </w:pPr>
            <w:r w:rsidRPr="009C1F2A">
              <w:rPr>
                <w:rFonts w:ascii="Arial" w:hAnsi="Arial" w:cs="Arial"/>
                <w:szCs w:val="24"/>
                <w:u w:val="single"/>
              </w:rPr>
              <w:t>Discipline</w:t>
            </w:r>
          </w:p>
          <w:p w:rsidR="006F5801" w:rsidRPr="009C1F2A" w:rsidRDefault="006F5801" w:rsidP="00474274">
            <w:pPr>
              <w:jc w:val="both"/>
              <w:rPr>
                <w:rFonts w:ascii="Arial" w:hAnsi="Arial" w:cs="Arial"/>
                <w:szCs w:val="24"/>
              </w:rPr>
            </w:pPr>
          </w:p>
          <w:p w:rsidR="00141185" w:rsidRPr="009C1F2A" w:rsidRDefault="00A067FA" w:rsidP="00474274">
            <w:pPr>
              <w:jc w:val="both"/>
              <w:rPr>
                <w:rFonts w:ascii="Arial" w:hAnsi="Arial" w:cs="Arial"/>
              </w:rPr>
            </w:pPr>
            <w:r w:rsidRPr="009C1F2A">
              <w:rPr>
                <w:rFonts w:ascii="Arial" w:hAnsi="Arial" w:cs="Arial"/>
              </w:rPr>
              <w:t xml:space="preserve">There were </w:t>
            </w:r>
            <w:r w:rsidR="00830CD4" w:rsidRPr="009C1F2A">
              <w:rPr>
                <w:rFonts w:ascii="Arial" w:hAnsi="Arial" w:cs="Arial"/>
              </w:rPr>
              <w:t>four</w:t>
            </w:r>
            <w:r w:rsidRPr="009C1F2A">
              <w:rPr>
                <w:rFonts w:ascii="Arial" w:hAnsi="Arial" w:cs="Arial"/>
              </w:rPr>
              <w:t xml:space="preserve"> issues considered under the charity’s disciplinary processes in Q</w:t>
            </w:r>
            <w:r w:rsidR="00830CD4" w:rsidRPr="009C1F2A">
              <w:rPr>
                <w:rFonts w:ascii="Arial" w:hAnsi="Arial" w:cs="Arial"/>
              </w:rPr>
              <w:t>3</w:t>
            </w:r>
            <w:r w:rsidRPr="009C1F2A">
              <w:rPr>
                <w:rFonts w:ascii="Arial" w:hAnsi="Arial" w:cs="Arial"/>
              </w:rPr>
              <w:t xml:space="preserve"> 201</w:t>
            </w:r>
            <w:r w:rsidR="00A44C7B" w:rsidRPr="009C1F2A">
              <w:rPr>
                <w:rFonts w:ascii="Arial" w:hAnsi="Arial" w:cs="Arial"/>
              </w:rPr>
              <w:t>7</w:t>
            </w:r>
            <w:r w:rsidRPr="009C1F2A">
              <w:rPr>
                <w:rFonts w:ascii="Arial" w:hAnsi="Arial" w:cs="Arial"/>
              </w:rPr>
              <w:t>/1</w:t>
            </w:r>
            <w:r w:rsidR="00A44C7B" w:rsidRPr="009C1F2A">
              <w:rPr>
                <w:rFonts w:ascii="Arial" w:hAnsi="Arial" w:cs="Arial"/>
              </w:rPr>
              <w:t>8</w:t>
            </w:r>
            <w:r w:rsidR="00FB7551" w:rsidRPr="009C1F2A">
              <w:rPr>
                <w:rFonts w:ascii="Arial" w:hAnsi="Arial" w:cs="Arial"/>
              </w:rPr>
              <w:t xml:space="preserve">, </w:t>
            </w:r>
            <w:r w:rsidR="00830CD4" w:rsidRPr="009C1F2A">
              <w:rPr>
                <w:rFonts w:ascii="Arial" w:hAnsi="Arial" w:cs="Arial"/>
              </w:rPr>
              <w:t>all</w:t>
            </w:r>
            <w:r w:rsidR="00FB7551" w:rsidRPr="009C1F2A">
              <w:rPr>
                <w:rFonts w:ascii="Arial" w:hAnsi="Arial" w:cs="Arial"/>
              </w:rPr>
              <w:t xml:space="preserve"> of which are now closed</w:t>
            </w:r>
            <w:r w:rsidR="00830CD4" w:rsidRPr="009C1F2A">
              <w:rPr>
                <w:rFonts w:ascii="Arial" w:hAnsi="Arial" w:cs="Arial"/>
              </w:rPr>
              <w:t>.</w:t>
            </w:r>
            <w:r w:rsidR="00FB7551" w:rsidRPr="009C1F2A">
              <w:rPr>
                <w:rFonts w:ascii="Arial" w:hAnsi="Arial" w:cs="Arial"/>
              </w:rPr>
              <w:t xml:space="preserve"> </w:t>
            </w:r>
          </w:p>
          <w:p w:rsidR="00830CD4" w:rsidRPr="009C1F2A" w:rsidRDefault="00830CD4" w:rsidP="00474274">
            <w:pPr>
              <w:jc w:val="both"/>
              <w:rPr>
                <w:rFonts w:ascii="Arial" w:hAnsi="Arial" w:cs="Arial"/>
                <w:szCs w:val="24"/>
                <w:u w:val="single"/>
              </w:rPr>
            </w:pPr>
          </w:p>
          <w:p w:rsidR="006F5801" w:rsidRPr="009C1F2A" w:rsidRDefault="006F5801" w:rsidP="00474274">
            <w:pPr>
              <w:jc w:val="both"/>
              <w:rPr>
                <w:rFonts w:ascii="Arial" w:hAnsi="Arial" w:cs="Arial"/>
                <w:szCs w:val="24"/>
                <w:u w:val="single"/>
              </w:rPr>
            </w:pPr>
            <w:r w:rsidRPr="009C1F2A">
              <w:rPr>
                <w:rFonts w:ascii="Arial" w:hAnsi="Arial" w:cs="Arial"/>
                <w:szCs w:val="24"/>
                <w:u w:val="single"/>
              </w:rPr>
              <w:t>Grievance</w:t>
            </w:r>
          </w:p>
          <w:p w:rsidR="00600CE7" w:rsidRPr="009C1F2A" w:rsidRDefault="00600CE7" w:rsidP="00474274">
            <w:pPr>
              <w:jc w:val="both"/>
              <w:rPr>
                <w:rFonts w:ascii="Arial" w:hAnsi="Arial" w:cs="Arial"/>
                <w:szCs w:val="24"/>
              </w:rPr>
            </w:pPr>
          </w:p>
          <w:p w:rsidR="00F858E0" w:rsidRPr="009C1F2A" w:rsidRDefault="00F858E0" w:rsidP="00A45F54">
            <w:pPr>
              <w:pStyle w:val="CommentText"/>
              <w:jc w:val="both"/>
              <w:rPr>
                <w:rFonts w:ascii="Arial" w:hAnsi="Arial" w:cs="Arial"/>
                <w:sz w:val="24"/>
                <w:szCs w:val="24"/>
              </w:rPr>
            </w:pPr>
            <w:r w:rsidRPr="009C1F2A">
              <w:rPr>
                <w:rFonts w:ascii="Arial" w:hAnsi="Arial" w:cs="Arial"/>
                <w:sz w:val="24"/>
                <w:szCs w:val="24"/>
              </w:rPr>
              <w:t xml:space="preserve">There </w:t>
            </w:r>
            <w:r w:rsidR="00A44C7B" w:rsidRPr="009C1F2A">
              <w:rPr>
                <w:rFonts w:ascii="Arial" w:hAnsi="Arial" w:cs="Arial"/>
                <w:sz w:val="24"/>
                <w:szCs w:val="24"/>
              </w:rPr>
              <w:t xml:space="preserve">was </w:t>
            </w:r>
            <w:r w:rsidR="007B64B5">
              <w:rPr>
                <w:rFonts w:ascii="Arial" w:hAnsi="Arial" w:cs="Arial"/>
                <w:sz w:val="24"/>
                <w:szCs w:val="24"/>
              </w:rPr>
              <w:t xml:space="preserve">one </w:t>
            </w:r>
            <w:r w:rsidR="00462977" w:rsidRPr="009C1F2A">
              <w:rPr>
                <w:rFonts w:ascii="Arial" w:hAnsi="Arial" w:cs="Arial"/>
                <w:sz w:val="24"/>
                <w:szCs w:val="24"/>
              </w:rPr>
              <w:t>matter considered under the chari</w:t>
            </w:r>
            <w:r w:rsidR="00CA6AB3">
              <w:rPr>
                <w:rFonts w:ascii="Arial" w:hAnsi="Arial" w:cs="Arial"/>
                <w:sz w:val="24"/>
                <w:szCs w:val="24"/>
              </w:rPr>
              <w:t>ty’s grievance procedure in Q3</w:t>
            </w:r>
            <w:r w:rsidR="00462977" w:rsidRPr="009C1F2A">
              <w:rPr>
                <w:rFonts w:ascii="Arial" w:hAnsi="Arial" w:cs="Arial"/>
                <w:sz w:val="24"/>
                <w:szCs w:val="24"/>
              </w:rPr>
              <w:t xml:space="preserve"> 2017/18. This issue has been addressed and resolved</w:t>
            </w:r>
            <w:r w:rsidR="00830CD4" w:rsidRPr="009C1F2A">
              <w:rPr>
                <w:rFonts w:ascii="Arial" w:hAnsi="Arial" w:cs="Arial"/>
                <w:sz w:val="24"/>
                <w:szCs w:val="24"/>
              </w:rPr>
              <w:t>.</w:t>
            </w:r>
            <w:r w:rsidR="00725270" w:rsidRPr="009C1F2A">
              <w:rPr>
                <w:rFonts w:ascii="Arial" w:hAnsi="Arial" w:cs="Arial"/>
                <w:sz w:val="24"/>
                <w:szCs w:val="24"/>
              </w:rPr>
              <w:t xml:space="preserve"> </w:t>
            </w:r>
          </w:p>
          <w:p w:rsidR="00C8333C" w:rsidRDefault="00C8333C" w:rsidP="005E442C">
            <w:pPr>
              <w:jc w:val="both"/>
              <w:rPr>
                <w:rFonts w:ascii="Arial" w:hAnsi="Arial" w:cs="Arial"/>
                <w:szCs w:val="24"/>
                <w:u w:val="single"/>
              </w:rPr>
            </w:pPr>
          </w:p>
          <w:p w:rsidR="005E442C" w:rsidRPr="00C8333C" w:rsidRDefault="005E442C" w:rsidP="005E442C">
            <w:pPr>
              <w:jc w:val="both"/>
              <w:rPr>
                <w:rFonts w:ascii="Arial" w:hAnsi="Arial" w:cs="Arial"/>
                <w:szCs w:val="24"/>
                <w:u w:val="single"/>
              </w:rPr>
            </w:pPr>
            <w:r w:rsidRPr="00C8333C">
              <w:rPr>
                <w:rFonts w:ascii="Arial" w:hAnsi="Arial" w:cs="Arial"/>
                <w:szCs w:val="24"/>
                <w:u w:val="single"/>
              </w:rPr>
              <w:t>Harassment</w:t>
            </w:r>
          </w:p>
          <w:p w:rsidR="005E442C" w:rsidRPr="009C1F2A" w:rsidRDefault="005E442C" w:rsidP="005E442C">
            <w:pPr>
              <w:jc w:val="both"/>
              <w:rPr>
                <w:rFonts w:ascii="Arial" w:hAnsi="Arial" w:cs="Arial"/>
                <w:b/>
                <w:szCs w:val="24"/>
              </w:rPr>
            </w:pPr>
          </w:p>
          <w:p w:rsidR="00465229" w:rsidRPr="009C1F2A" w:rsidRDefault="005E442C" w:rsidP="00830CD4">
            <w:pPr>
              <w:jc w:val="both"/>
              <w:rPr>
                <w:rFonts w:ascii="Arial" w:hAnsi="Arial" w:cs="Arial"/>
                <w:szCs w:val="24"/>
              </w:rPr>
            </w:pPr>
            <w:r w:rsidRPr="009C1F2A">
              <w:rPr>
                <w:rFonts w:ascii="Arial" w:hAnsi="Arial" w:cs="Arial"/>
                <w:szCs w:val="24"/>
              </w:rPr>
              <w:t xml:space="preserve">There were no harassment issues raised during </w:t>
            </w:r>
            <w:r w:rsidR="00A44C7B" w:rsidRPr="009C1F2A">
              <w:rPr>
                <w:rFonts w:ascii="Arial" w:hAnsi="Arial" w:cs="Arial"/>
                <w:szCs w:val="24"/>
              </w:rPr>
              <w:t>Q</w:t>
            </w:r>
            <w:r w:rsidR="001C29E2" w:rsidRPr="009C1F2A">
              <w:rPr>
                <w:rFonts w:ascii="Arial" w:hAnsi="Arial" w:cs="Arial"/>
                <w:szCs w:val="24"/>
              </w:rPr>
              <w:t>3</w:t>
            </w:r>
            <w:r w:rsidRPr="009C1F2A">
              <w:rPr>
                <w:rFonts w:ascii="Arial" w:hAnsi="Arial" w:cs="Arial"/>
                <w:szCs w:val="24"/>
              </w:rPr>
              <w:t xml:space="preserve"> in </w:t>
            </w:r>
            <w:r w:rsidR="003964ED" w:rsidRPr="009C1F2A">
              <w:rPr>
                <w:rFonts w:ascii="Arial" w:hAnsi="Arial" w:cs="Arial"/>
                <w:szCs w:val="24"/>
              </w:rPr>
              <w:t>201</w:t>
            </w:r>
            <w:r w:rsidR="00A44C7B" w:rsidRPr="009C1F2A">
              <w:rPr>
                <w:rFonts w:ascii="Arial" w:hAnsi="Arial" w:cs="Arial"/>
                <w:szCs w:val="24"/>
              </w:rPr>
              <w:t>7</w:t>
            </w:r>
            <w:r w:rsidR="003964ED" w:rsidRPr="009C1F2A">
              <w:rPr>
                <w:rFonts w:ascii="Arial" w:hAnsi="Arial" w:cs="Arial"/>
                <w:szCs w:val="24"/>
              </w:rPr>
              <w:t>/1</w:t>
            </w:r>
            <w:r w:rsidR="00A44C7B" w:rsidRPr="009C1F2A">
              <w:rPr>
                <w:rFonts w:ascii="Arial" w:hAnsi="Arial" w:cs="Arial"/>
                <w:szCs w:val="24"/>
              </w:rPr>
              <w:t>8</w:t>
            </w:r>
            <w:r w:rsidRPr="009C1F2A">
              <w:rPr>
                <w:rFonts w:ascii="Arial" w:hAnsi="Arial" w:cs="Arial"/>
                <w:szCs w:val="24"/>
              </w:rPr>
              <w:t>.</w:t>
            </w:r>
          </w:p>
        </w:tc>
      </w:tr>
      <w:tr w:rsidR="009D691A" w:rsidRPr="007214D1" w:rsidTr="00BA0979">
        <w:tc>
          <w:tcPr>
            <w:tcW w:w="817" w:type="dxa"/>
          </w:tcPr>
          <w:p w:rsidR="009D691A" w:rsidRDefault="00465229" w:rsidP="009D691A">
            <w:pPr>
              <w:rPr>
                <w:rFonts w:ascii="Arial" w:hAnsi="Arial" w:cs="Arial"/>
                <w:szCs w:val="24"/>
              </w:rPr>
            </w:pPr>
            <w:r>
              <w:rPr>
                <w:rFonts w:ascii="Arial" w:hAnsi="Arial" w:cs="Arial"/>
                <w:szCs w:val="24"/>
              </w:rPr>
              <w:lastRenderedPageBreak/>
              <w:t>3.6</w:t>
            </w:r>
          </w:p>
          <w:p w:rsidR="009D691A" w:rsidRDefault="009D691A" w:rsidP="00416BFF">
            <w:pPr>
              <w:rPr>
                <w:rFonts w:ascii="Arial" w:hAnsi="Arial" w:cs="Arial"/>
                <w:szCs w:val="24"/>
              </w:rPr>
            </w:pPr>
          </w:p>
          <w:p w:rsidR="00465229" w:rsidRDefault="00465229" w:rsidP="00416BFF">
            <w:pPr>
              <w:rPr>
                <w:rFonts w:ascii="Arial" w:hAnsi="Arial" w:cs="Arial"/>
                <w:szCs w:val="24"/>
              </w:rPr>
            </w:pPr>
            <w:r>
              <w:rPr>
                <w:rFonts w:ascii="Arial" w:hAnsi="Arial" w:cs="Arial"/>
                <w:szCs w:val="24"/>
              </w:rPr>
              <w:t>3.6.1</w:t>
            </w:r>
          </w:p>
          <w:p w:rsidR="009C77CF" w:rsidRDefault="009C77CF" w:rsidP="00416BFF">
            <w:pPr>
              <w:rPr>
                <w:rFonts w:ascii="Arial" w:hAnsi="Arial" w:cs="Arial"/>
                <w:szCs w:val="24"/>
              </w:rPr>
            </w:pPr>
          </w:p>
          <w:p w:rsidR="009C77CF" w:rsidRDefault="009C77CF" w:rsidP="00416BFF">
            <w:pPr>
              <w:rPr>
                <w:rFonts w:ascii="Arial" w:hAnsi="Arial" w:cs="Arial"/>
                <w:szCs w:val="24"/>
              </w:rPr>
            </w:pPr>
          </w:p>
          <w:p w:rsidR="009C77CF" w:rsidRDefault="009C77CF" w:rsidP="00416BFF">
            <w:pPr>
              <w:rPr>
                <w:rFonts w:ascii="Arial" w:hAnsi="Arial" w:cs="Arial"/>
                <w:szCs w:val="24"/>
              </w:rPr>
            </w:pPr>
          </w:p>
          <w:p w:rsidR="009C77CF" w:rsidRDefault="009C77CF" w:rsidP="00416BFF">
            <w:pPr>
              <w:rPr>
                <w:rFonts w:ascii="Arial" w:hAnsi="Arial" w:cs="Arial"/>
                <w:szCs w:val="24"/>
              </w:rPr>
            </w:pPr>
          </w:p>
          <w:p w:rsidR="009C77CF" w:rsidRDefault="009C77CF" w:rsidP="00416BFF">
            <w:pPr>
              <w:rPr>
                <w:rFonts w:ascii="Arial" w:hAnsi="Arial" w:cs="Arial"/>
                <w:szCs w:val="24"/>
              </w:rPr>
            </w:pPr>
            <w:r>
              <w:rPr>
                <w:rFonts w:ascii="Arial" w:hAnsi="Arial" w:cs="Arial"/>
                <w:szCs w:val="24"/>
              </w:rPr>
              <w:t>3.6.</w:t>
            </w:r>
            <w:r w:rsidR="009A2020">
              <w:rPr>
                <w:rFonts w:ascii="Arial" w:hAnsi="Arial" w:cs="Arial"/>
                <w:szCs w:val="24"/>
              </w:rPr>
              <w:t>2</w:t>
            </w:r>
          </w:p>
          <w:p w:rsidR="009A2020" w:rsidRDefault="009A2020" w:rsidP="00416BFF">
            <w:pPr>
              <w:rPr>
                <w:rFonts w:ascii="Arial" w:hAnsi="Arial" w:cs="Arial"/>
                <w:szCs w:val="24"/>
              </w:rPr>
            </w:pPr>
          </w:p>
          <w:p w:rsidR="009A2020" w:rsidRDefault="009A2020" w:rsidP="00416BFF">
            <w:pPr>
              <w:rPr>
                <w:rFonts w:ascii="Arial" w:hAnsi="Arial" w:cs="Arial"/>
                <w:szCs w:val="24"/>
              </w:rPr>
            </w:pPr>
          </w:p>
          <w:p w:rsidR="00462977" w:rsidRDefault="00462977" w:rsidP="00416BFF">
            <w:pPr>
              <w:rPr>
                <w:rFonts w:ascii="Arial" w:hAnsi="Arial" w:cs="Arial"/>
                <w:szCs w:val="24"/>
              </w:rPr>
            </w:pPr>
          </w:p>
          <w:p w:rsidR="00462977" w:rsidRDefault="00462977" w:rsidP="00416BFF">
            <w:pPr>
              <w:rPr>
                <w:rFonts w:ascii="Arial" w:hAnsi="Arial" w:cs="Arial"/>
                <w:szCs w:val="24"/>
              </w:rPr>
            </w:pPr>
          </w:p>
          <w:p w:rsidR="00462977" w:rsidRDefault="00462977" w:rsidP="00416BFF">
            <w:pPr>
              <w:rPr>
                <w:rFonts w:ascii="Arial" w:hAnsi="Arial" w:cs="Arial"/>
                <w:szCs w:val="24"/>
              </w:rPr>
            </w:pPr>
          </w:p>
          <w:p w:rsidR="00050D79" w:rsidRDefault="00050D79" w:rsidP="00416BFF">
            <w:pPr>
              <w:rPr>
                <w:rFonts w:ascii="Arial" w:hAnsi="Arial" w:cs="Arial"/>
                <w:szCs w:val="24"/>
              </w:rPr>
            </w:pPr>
          </w:p>
        </w:tc>
        <w:tc>
          <w:tcPr>
            <w:tcW w:w="8647" w:type="dxa"/>
          </w:tcPr>
          <w:p w:rsidR="005E442C" w:rsidRPr="00265F13" w:rsidRDefault="005E442C" w:rsidP="005E442C">
            <w:pPr>
              <w:jc w:val="both"/>
              <w:rPr>
                <w:rFonts w:ascii="Arial" w:hAnsi="Arial" w:cs="Arial"/>
                <w:szCs w:val="24"/>
                <w:u w:val="single"/>
              </w:rPr>
            </w:pPr>
            <w:r w:rsidRPr="00265F13">
              <w:rPr>
                <w:rFonts w:ascii="Arial" w:hAnsi="Arial" w:cs="Arial"/>
                <w:szCs w:val="24"/>
                <w:u w:val="single"/>
              </w:rPr>
              <w:t xml:space="preserve">Employee relations </w:t>
            </w:r>
          </w:p>
          <w:p w:rsidR="005E442C" w:rsidRDefault="005E442C" w:rsidP="005E442C">
            <w:pPr>
              <w:jc w:val="both"/>
              <w:rPr>
                <w:rFonts w:ascii="Arial" w:hAnsi="Arial" w:cs="Arial"/>
                <w:szCs w:val="24"/>
              </w:rPr>
            </w:pPr>
          </w:p>
          <w:p w:rsidR="009C77CF" w:rsidRDefault="005E442C" w:rsidP="00380CDF">
            <w:pPr>
              <w:jc w:val="both"/>
              <w:rPr>
                <w:rFonts w:ascii="Arial" w:hAnsi="Arial" w:cs="Arial"/>
                <w:szCs w:val="24"/>
              </w:rPr>
            </w:pPr>
            <w:r>
              <w:rPr>
                <w:rFonts w:ascii="Arial" w:hAnsi="Arial" w:cs="Arial"/>
                <w:szCs w:val="24"/>
              </w:rPr>
              <w:t xml:space="preserve">The Company has engaged with the </w:t>
            </w:r>
            <w:r w:rsidR="00F55F2F">
              <w:rPr>
                <w:rFonts w:ascii="Arial" w:hAnsi="Arial" w:cs="Arial"/>
                <w:szCs w:val="24"/>
              </w:rPr>
              <w:t>three</w:t>
            </w:r>
            <w:r>
              <w:rPr>
                <w:rFonts w:ascii="Arial" w:hAnsi="Arial" w:cs="Arial"/>
                <w:szCs w:val="24"/>
              </w:rPr>
              <w:t xml:space="preserve"> Trade Unions that have members within the organisation, namely Unison, Unite and GMB.  The Company deals with the TUs formally through the Joint Consultation Forum (JCF) which meets quarterly, the last meeting </w:t>
            </w:r>
            <w:r w:rsidRPr="008A57F3">
              <w:rPr>
                <w:rFonts w:ascii="Arial" w:hAnsi="Arial" w:cs="Arial"/>
                <w:szCs w:val="24"/>
              </w:rPr>
              <w:t xml:space="preserve">was held on </w:t>
            </w:r>
            <w:r w:rsidR="00C8333C">
              <w:rPr>
                <w:rFonts w:ascii="Arial" w:hAnsi="Arial" w:cs="Arial"/>
                <w:szCs w:val="24"/>
              </w:rPr>
              <w:t>11 December 2017</w:t>
            </w:r>
            <w:r w:rsidRPr="008A57F3">
              <w:rPr>
                <w:rFonts w:ascii="Arial" w:hAnsi="Arial" w:cs="Arial"/>
                <w:szCs w:val="24"/>
              </w:rPr>
              <w:t>.</w:t>
            </w:r>
            <w:r>
              <w:rPr>
                <w:rFonts w:ascii="Arial" w:hAnsi="Arial" w:cs="Arial"/>
                <w:szCs w:val="24"/>
              </w:rPr>
              <w:t xml:space="preserve">  </w:t>
            </w:r>
          </w:p>
          <w:p w:rsidR="009C77CF" w:rsidRDefault="009C77CF" w:rsidP="00380CDF">
            <w:pPr>
              <w:jc w:val="both"/>
              <w:rPr>
                <w:rFonts w:ascii="Arial" w:hAnsi="Arial" w:cs="Arial"/>
                <w:szCs w:val="24"/>
              </w:rPr>
            </w:pPr>
          </w:p>
          <w:p w:rsidR="00462977" w:rsidRPr="00462977" w:rsidRDefault="009C77CF" w:rsidP="00380CDF">
            <w:pPr>
              <w:jc w:val="both"/>
              <w:rPr>
                <w:rFonts w:ascii="Arial" w:hAnsi="Arial" w:cs="Arial"/>
                <w:szCs w:val="24"/>
              </w:rPr>
            </w:pPr>
            <w:r w:rsidRPr="00462977">
              <w:rPr>
                <w:rFonts w:ascii="Arial" w:hAnsi="Arial" w:cs="Arial"/>
                <w:szCs w:val="24"/>
              </w:rPr>
              <w:t>The main discussion areas at this meeting were</w:t>
            </w:r>
            <w:r w:rsidR="00462977" w:rsidRPr="00462977">
              <w:rPr>
                <w:rFonts w:ascii="Arial" w:hAnsi="Arial" w:cs="Arial"/>
                <w:szCs w:val="24"/>
              </w:rPr>
              <w:t>:</w:t>
            </w:r>
          </w:p>
          <w:p w:rsidR="00462977" w:rsidRPr="00462977" w:rsidRDefault="00462977" w:rsidP="00380CDF">
            <w:pPr>
              <w:jc w:val="both"/>
              <w:rPr>
                <w:rFonts w:ascii="Arial" w:hAnsi="Arial" w:cs="Arial"/>
                <w:szCs w:val="24"/>
              </w:rPr>
            </w:pPr>
          </w:p>
          <w:p w:rsidR="00462977" w:rsidRPr="00462977" w:rsidRDefault="00462977" w:rsidP="00462977">
            <w:pPr>
              <w:pStyle w:val="ListParagraph"/>
              <w:numPr>
                <w:ilvl w:val="0"/>
                <w:numId w:val="28"/>
              </w:numPr>
              <w:jc w:val="both"/>
              <w:rPr>
                <w:rFonts w:ascii="Arial" w:hAnsi="Arial" w:cs="Arial"/>
                <w:sz w:val="24"/>
                <w:szCs w:val="24"/>
              </w:rPr>
            </w:pPr>
            <w:r w:rsidRPr="00462977">
              <w:rPr>
                <w:rFonts w:ascii="Arial" w:hAnsi="Arial" w:cs="Arial"/>
                <w:sz w:val="24"/>
                <w:szCs w:val="24"/>
              </w:rPr>
              <w:t>Company developments,</w:t>
            </w:r>
          </w:p>
          <w:p w:rsidR="00462977" w:rsidRPr="00462977" w:rsidRDefault="00462977" w:rsidP="00462977">
            <w:pPr>
              <w:pStyle w:val="ListParagraph"/>
              <w:numPr>
                <w:ilvl w:val="0"/>
                <w:numId w:val="28"/>
              </w:numPr>
              <w:jc w:val="both"/>
              <w:rPr>
                <w:rFonts w:ascii="Arial" w:hAnsi="Arial" w:cs="Arial"/>
                <w:sz w:val="24"/>
                <w:szCs w:val="24"/>
              </w:rPr>
            </w:pPr>
            <w:r w:rsidRPr="00462977">
              <w:rPr>
                <w:rFonts w:ascii="Arial" w:hAnsi="Arial" w:cs="Arial"/>
                <w:sz w:val="24"/>
                <w:szCs w:val="24"/>
              </w:rPr>
              <w:t>TUPE of Countryside Rangers</w:t>
            </w:r>
          </w:p>
          <w:p w:rsidR="009C77CF" w:rsidRDefault="009526B8" w:rsidP="00462977">
            <w:pPr>
              <w:pStyle w:val="ListParagraph"/>
              <w:numPr>
                <w:ilvl w:val="0"/>
                <w:numId w:val="28"/>
              </w:numPr>
              <w:jc w:val="both"/>
              <w:rPr>
                <w:rFonts w:ascii="Arial" w:hAnsi="Arial" w:cs="Arial"/>
                <w:sz w:val="24"/>
                <w:szCs w:val="24"/>
              </w:rPr>
            </w:pPr>
            <w:r>
              <w:rPr>
                <w:rFonts w:ascii="Arial" w:hAnsi="Arial" w:cs="Arial"/>
                <w:sz w:val="24"/>
                <w:szCs w:val="24"/>
              </w:rPr>
              <w:t xml:space="preserve">TUPE of </w:t>
            </w:r>
            <w:r w:rsidR="00462977" w:rsidRPr="00462977">
              <w:rPr>
                <w:rFonts w:ascii="Arial" w:hAnsi="Arial" w:cs="Arial"/>
                <w:sz w:val="24"/>
                <w:szCs w:val="24"/>
              </w:rPr>
              <w:t>Invergordon Toilet staff</w:t>
            </w:r>
          </w:p>
          <w:p w:rsidR="009D691A" w:rsidRPr="00C8333C" w:rsidRDefault="00462977" w:rsidP="00C8333C">
            <w:pPr>
              <w:pStyle w:val="ListParagraph"/>
              <w:numPr>
                <w:ilvl w:val="0"/>
                <w:numId w:val="28"/>
              </w:numPr>
              <w:jc w:val="both"/>
              <w:rPr>
                <w:rFonts w:ascii="Arial" w:hAnsi="Arial" w:cs="Arial"/>
                <w:sz w:val="24"/>
                <w:szCs w:val="24"/>
              </w:rPr>
            </w:pPr>
            <w:r>
              <w:rPr>
                <w:rFonts w:ascii="Arial" w:hAnsi="Arial" w:cs="Arial"/>
                <w:sz w:val="24"/>
                <w:szCs w:val="24"/>
              </w:rPr>
              <w:t>A number of site specific</w:t>
            </w:r>
            <w:r w:rsidR="00DD5D75">
              <w:rPr>
                <w:rFonts w:ascii="Arial" w:hAnsi="Arial" w:cs="Arial"/>
                <w:sz w:val="24"/>
                <w:szCs w:val="24"/>
              </w:rPr>
              <w:t xml:space="preserve"> [operational]</w:t>
            </w:r>
            <w:r>
              <w:rPr>
                <w:rFonts w:ascii="Arial" w:hAnsi="Arial" w:cs="Arial"/>
                <w:sz w:val="24"/>
                <w:szCs w:val="24"/>
              </w:rPr>
              <w:t xml:space="preserve"> issues were raised by the Union represented.</w:t>
            </w:r>
          </w:p>
        </w:tc>
      </w:tr>
      <w:tr w:rsidR="00C8333C" w:rsidRPr="00717E7E" w:rsidTr="00BA0979">
        <w:trPr>
          <w:trHeight w:val="80"/>
        </w:trPr>
        <w:tc>
          <w:tcPr>
            <w:tcW w:w="817" w:type="dxa"/>
          </w:tcPr>
          <w:p w:rsidR="00C8333C" w:rsidRPr="00C8333C" w:rsidRDefault="00C8333C" w:rsidP="0048062D">
            <w:pPr>
              <w:rPr>
                <w:rFonts w:ascii="Arial" w:hAnsi="Arial" w:cs="Arial"/>
                <w:szCs w:val="24"/>
              </w:rPr>
            </w:pPr>
            <w:r w:rsidRPr="00C8333C">
              <w:rPr>
                <w:rFonts w:ascii="Arial" w:hAnsi="Arial" w:cs="Arial"/>
                <w:szCs w:val="24"/>
              </w:rPr>
              <w:t>3.6.3</w:t>
            </w:r>
          </w:p>
        </w:tc>
        <w:tc>
          <w:tcPr>
            <w:tcW w:w="8647" w:type="dxa"/>
          </w:tcPr>
          <w:p w:rsidR="00C8333C" w:rsidRDefault="00C8333C" w:rsidP="00C8333C">
            <w:pPr>
              <w:jc w:val="both"/>
              <w:rPr>
                <w:rFonts w:ascii="Arial" w:hAnsi="Arial" w:cs="Arial"/>
                <w:szCs w:val="24"/>
              </w:rPr>
            </w:pPr>
            <w:r w:rsidRPr="004438C9">
              <w:rPr>
                <w:rFonts w:ascii="Arial" w:hAnsi="Arial" w:cs="Arial"/>
                <w:szCs w:val="24"/>
              </w:rPr>
              <w:t>In addition, the</w:t>
            </w:r>
            <w:r>
              <w:rPr>
                <w:rFonts w:ascii="Arial" w:hAnsi="Arial" w:cs="Arial"/>
                <w:szCs w:val="24"/>
              </w:rPr>
              <w:t xml:space="preserve"> above</w:t>
            </w:r>
            <w:r w:rsidRPr="004438C9">
              <w:rPr>
                <w:rFonts w:ascii="Arial" w:hAnsi="Arial" w:cs="Arial"/>
                <w:szCs w:val="24"/>
              </w:rPr>
              <w:t xml:space="preserve"> </w:t>
            </w:r>
            <w:r>
              <w:rPr>
                <w:rFonts w:ascii="Arial" w:hAnsi="Arial" w:cs="Arial"/>
                <w:szCs w:val="24"/>
              </w:rPr>
              <w:t>T</w:t>
            </w:r>
            <w:r w:rsidRPr="004438C9">
              <w:rPr>
                <w:rFonts w:ascii="Arial" w:hAnsi="Arial" w:cs="Arial"/>
                <w:szCs w:val="24"/>
              </w:rPr>
              <w:t xml:space="preserve">rade </w:t>
            </w:r>
            <w:r>
              <w:rPr>
                <w:rFonts w:ascii="Arial" w:hAnsi="Arial" w:cs="Arial"/>
                <w:szCs w:val="24"/>
              </w:rPr>
              <w:t>U</w:t>
            </w:r>
            <w:r w:rsidRPr="004438C9">
              <w:rPr>
                <w:rFonts w:ascii="Arial" w:hAnsi="Arial" w:cs="Arial"/>
                <w:szCs w:val="24"/>
              </w:rPr>
              <w:t>nions are</w:t>
            </w:r>
            <w:r>
              <w:rPr>
                <w:rFonts w:ascii="Arial" w:hAnsi="Arial" w:cs="Arial"/>
                <w:szCs w:val="24"/>
              </w:rPr>
              <w:t xml:space="preserve"> invited to be</w:t>
            </w:r>
            <w:r w:rsidRPr="004438C9">
              <w:rPr>
                <w:rFonts w:ascii="Arial" w:hAnsi="Arial" w:cs="Arial"/>
                <w:szCs w:val="24"/>
              </w:rPr>
              <w:t xml:space="preserve"> represented on the staff Health and Safety Committee.</w:t>
            </w:r>
            <w:r>
              <w:rPr>
                <w:rFonts w:ascii="Arial" w:hAnsi="Arial" w:cs="Arial"/>
                <w:szCs w:val="24"/>
              </w:rPr>
              <w:t xml:space="preserve">  </w:t>
            </w:r>
          </w:p>
          <w:p w:rsidR="00C8333C" w:rsidRDefault="00C8333C" w:rsidP="00C8333C">
            <w:pPr>
              <w:jc w:val="both"/>
              <w:rPr>
                <w:rFonts w:ascii="Arial" w:hAnsi="Arial" w:cs="Arial"/>
                <w:szCs w:val="24"/>
              </w:rPr>
            </w:pPr>
          </w:p>
        </w:tc>
      </w:tr>
      <w:tr w:rsidR="00C8333C" w:rsidRPr="00717E7E" w:rsidTr="00BA0979">
        <w:trPr>
          <w:trHeight w:val="80"/>
        </w:trPr>
        <w:tc>
          <w:tcPr>
            <w:tcW w:w="817" w:type="dxa"/>
          </w:tcPr>
          <w:p w:rsidR="00C8333C" w:rsidRPr="00C8333C" w:rsidRDefault="00C8333C" w:rsidP="0048062D">
            <w:pPr>
              <w:rPr>
                <w:rFonts w:ascii="Arial" w:hAnsi="Arial" w:cs="Arial"/>
                <w:szCs w:val="24"/>
              </w:rPr>
            </w:pPr>
            <w:r w:rsidRPr="00C8333C">
              <w:rPr>
                <w:rFonts w:ascii="Arial" w:hAnsi="Arial" w:cs="Arial"/>
                <w:szCs w:val="24"/>
              </w:rPr>
              <w:t>3.6.4</w:t>
            </w:r>
          </w:p>
        </w:tc>
        <w:tc>
          <w:tcPr>
            <w:tcW w:w="8647" w:type="dxa"/>
          </w:tcPr>
          <w:p w:rsidR="00C8333C" w:rsidRDefault="00C8333C" w:rsidP="00C8333C">
            <w:pPr>
              <w:jc w:val="both"/>
              <w:rPr>
                <w:rFonts w:ascii="Arial" w:hAnsi="Arial" w:cs="Arial"/>
                <w:szCs w:val="24"/>
              </w:rPr>
            </w:pPr>
            <w:r>
              <w:rPr>
                <w:rFonts w:ascii="Arial" w:hAnsi="Arial" w:cs="Arial"/>
                <w:szCs w:val="24"/>
              </w:rPr>
              <w:t>Management and representatives of HR also discuss with the Trade Unions individual issues as and when required.</w:t>
            </w:r>
          </w:p>
          <w:p w:rsidR="00C8333C" w:rsidRDefault="00C8333C" w:rsidP="00FB7551">
            <w:pPr>
              <w:autoSpaceDE w:val="0"/>
              <w:autoSpaceDN w:val="0"/>
              <w:adjustRightInd w:val="0"/>
              <w:rPr>
                <w:rFonts w:ascii="Arial" w:hAnsi="Arial" w:cs="Arial"/>
                <w:b/>
              </w:rPr>
            </w:pPr>
          </w:p>
        </w:tc>
      </w:tr>
      <w:tr w:rsidR="00E52BA0" w:rsidRPr="00717E7E" w:rsidTr="00BA0979">
        <w:trPr>
          <w:trHeight w:val="80"/>
        </w:trPr>
        <w:tc>
          <w:tcPr>
            <w:tcW w:w="817" w:type="dxa"/>
          </w:tcPr>
          <w:p w:rsidR="00E52BA0" w:rsidRDefault="00E52BA0" w:rsidP="0048062D">
            <w:pPr>
              <w:rPr>
                <w:rFonts w:ascii="Arial" w:hAnsi="Arial" w:cs="Arial"/>
                <w:b/>
                <w:szCs w:val="24"/>
              </w:rPr>
            </w:pPr>
            <w:r>
              <w:rPr>
                <w:rFonts w:ascii="Arial" w:hAnsi="Arial" w:cs="Arial"/>
                <w:b/>
                <w:szCs w:val="24"/>
              </w:rPr>
              <w:t>4.</w:t>
            </w:r>
          </w:p>
        </w:tc>
        <w:tc>
          <w:tcPr>
            <w:tcW w:w="8647" w:type="dxa"/>
          </w:tcPr>
          <w:p w:rsidR="00E52BA0" w:rsidRDefault="00E52BA0" w:rsidP="00FB7551">
            <w:pPr>
              <w:autoSpaceDE w:val="0"/>
              <w:autoSpaceDN w:val="0"/>
              <w:adjustRightInd w:val="0"/>
              <w:rPr>
                <w:rFonts w:ascii="Arial" w:hAnsi="Arial" w:cs="Arial"/>
                <w:b/>
              </w:rPr>
            </w:pPr>
            <w:r>
              <w:rPr>
                <w:rFonts w:ascii="Arial" w:hAnsi="Arial" w:cs="Arial"/>
                <w:b/>
              </w:rPr>
              <w:t>Polic</w:t>
            </w:r>
            <w:r w:rsidR="00FB7551">
              <w:rPr>
                <w:rFonts w:ascii="Arial" w:hAnsi="Arial" w:cs="Arial"/>
                <w:b/>
              </w:rPr>
              <w:t>ies update</w:t>
            </w:r>
          </w:p>
          <w:p w:rsidR="00FB7551" w:rsidRDefault="00FB7551" w:rsidP="00FB7551">
            <w:pPr>
              <w:autoSpaceDE w:val="0"/>
              <w:autoSpaceDN w:val="0"/>
              <w:adjustRightInd w:val="0"/>
              <w:rPr>
                <w:rFonts w:ascii="Arial" w:hAnsi="Arial" w:cs="Arial"/>
                <w:b/>
              </w:rPr>
            </w:pPr>
          </w:p>
        </w:tc>
      </w:tr>
      <w:tr w:rsidR="00E52BA0" w:rsidRPr="00717E7E" w:rsidTr="00BA0979">
        <w:trPr>
          <w:trHeight w:val="80"/>
        </w:trPr>
        <w:tc>
          <w:tcPr>
            <w:tcW w:w="817" w:type="dxa"/>
          </w:tcPr>
          <w:p w:rsidR="00E52BA0" w:rsidRDefault="00FB7551" w:rsidP="0048062D">
            <w:pPr>
              <w:rPr>
                <w:rFonts w:ascii="Arial" w:hAnsi="Arial" w:cs="Arial"/>
                <w:szCs w:val="24"/>
              </w:rPr>
            </w:pPr>
            <w:r>
              <w:rPr>
                <w:rFonts w:ascii="Arial" w:hAnsi="Arial" w:cs="Arial"/>
                <w:szCs w:val="24"/>
              </w:rPr>
              <w:t>4.1</w:t>
            </w:r>
          </w:p>
          <w:p w:rsidR="00ED7383" w:rsidRDefault="00ED7383" w:rsidP="0048062D">
            <w:pPr>
              <w:rPr>
                <w:rFonts w:ascii="Arial" w:hAnsi="Arial" w:cs="Arial"/>
                <w:szCs w:val="24"/>
              </w:rPr>
            </w:pPr>
          </w:p>
          <w:p w:rsidR="00325295" w:rsidRDefault="00325295" w:rsidP="0048062D">
            <w:pPr>
              <w:rPr>
                <w:rFonts w:ascii="Arial" w:hAnsi="Arial" w:cs="Arial"/>
                <w:szCs w:val="24"/>
              </w:rPr>
            </w:pPr>
          </w:p>
          <w:p w:rsidR="00325295" w:rsidRDefault="00325295" w:rsidP="0048062D">
            <w:pPr>
              <w:rPr>
                <w:rFonts w:ascii="Arial" w:hAnsi="Arial" w:cs="Arial"/>
                <w:szCs w:val="24"/>
              </w:rPr>
            </w:pPr>
          </w:p>
          <w:p w:rsidR="000B6190" w:rsidRDefault="000B6190" w:rsidP="0048062D">
            <w:pPr>
              <w:rPr>
                <w:rFonts w:ascii="Arial" w:hAnsi="Arial" w:cs="Arial"/>
                <w:szCs w:val="24"/>
              </w:rPr>
            </w:pPr>
          </w:p>
          <w:p w:rsidR="000B6190" w:rsidRDefault="000B6190" w:rsidP="0048062D">
            <w:pPr>
              <w:rPr>
                <w:rFonts w:ascii="Arial" w:hAnsi="Arial" w:cs="Arial"/>
                <w:szCs w:val="24"/>
              </w:rPr>
            </w:pPr>
          </w:p>
          <w:p w:rsidR="00325295" w:rsidRPr="00FB7551" w:rsidRDefault="00325295" w:rsidP="001C29E2">
            <w:pPr>
              <w:rPr>
                <w:rFonts w:ascii="Arial" w:hAnsi="Arial" w:cs="Arial"/>
                <w:szCs w:val="24"/>
              </w:rPr>
            </w:pPr>
          </w:p>
        </w:tc>
        <w:tc>
          <w:tcPr>
            <w:tcW w:w="8647" w:type="dxa"/>
          </w:tcPr>
          <w:p w:rsidR="001C29E2" w:rsidRPr="001C29E2" w:rsidRDefault="001C29E2" w:rsidP="001C29E2">
            <w:pPr>
              <w:jc w:val="both"/>
              <w:rPr>
                <w:rFonts w:ascii="Arial" w:hAnsi="Arial" w:cs="Arial"/>
                <w:szCs w:val="24"/>
              </w:rPr>
            </w:pPr>
            <w:r w:rsidRPr="001C29E2">
              <w:rPr>
                <w:rFonts w:ascii="Arial" w:hAnsi="Arial" w:cs="Arial"/>
                <w:szCs w:val="24"/>
              </w:rPr>
              <w:t xml:space="preserve">The following </w:t>
            </w:r>
            <w:r>
              <w:rPr>
                <w:rFonts w:ascii="Arial" w:hAnsi="Arial" w:cs="Arial"/>
                <w:szCs w:val="24"/>
              </w:rPr>
              <w:t>seven</w:t>
            </w:r>
            <w:r w:rsidRPr="001C29E2">
              <w:rPr>
                <w:rFonts w:ascii="Arial" w:hAnsi="Arial" w:cs="Arial"/>
                <w:szCs w:val="24"/>
              </w:rPr>
              <w:t xml:space="preserve"> policies have been reviewed with no changes</w:t>
            </w:r>
            <w:r w:rsidR="00004D29">
              <w:rPr>
                <w:rFonts w:ascii="Arial" w:hAnsi="Arial" w:cs="Arial"/>
                <w:szCs w:val="24"/>
              </w:rPr>
              <w:t>.</w:t>
            </w:r>
          </w:p>
          <w:p w:rsidR="001C29E2" w:rsidRPr="00717E7E" w:rsidRDefault="001C29E2" w:rsidP="001C29E2">
            <w:pPr>
              <w:jc w:val="both"/>
              <w:rPr>
                <w:rFonts w:ascii="Arial" w:hAnsi="Arial" w:cs="Arial"/>
                <w:i/>
                <w:szCs w:val="24"/>
              </w:rPr>
            </w:pPr>
          </w:p>
          <w:p w:rsidR="00E52BA0" w:rsidRPr="001C29E2" w:rsidRDefault="001C29E2" w:rsidP="001C29E2">
            <w:pPr>
              <w:pStyle w:val="ListParagraph"/>
              <w:numPr>
                <w:ilvl w:val="0"/>
                <w:numId w:val="2"/>
              </w:numPr>
              <w:jc w:val="both"/>
              <w:rPr>
                <w:rFonts w:ascii="Arial" w:hAnsi="Arial" w:cs="Arial"/>
                <w:sz w:val="24"/>
                <w:szCs w:val="24"/>
              </w:rPr>
            </w:pPr>
            <w:r w:rsidRPr="001C29E2">
              <w:rPr>
                <w:rFonts w:ascii="Arial" w:hAnsi="Arial" w:cs="Arial"/>
                <w:sz w:val="24"/>
                <w:szCs w:val="24"/>
              </w:rPr>
              <w:t>Substance Misuse Policy</w:t>
            </w:r>
          </w:p>
          <w:p w:rsidR="001C29E2" w:rsidRPr="001C29E2" w:rsidRDefault="001C29E2" w:rsidP="001C29E2">
            <w:pPr>
              <w:pStyle w:val="ListParagraph"/>
              <w:numPr>
                <w:ilvl w:val="0"/>
                <w:numId w:val="2"/>
              </w:numPr>
              <w:jc w:val="both"/>
              <w:rPr>
                <w:rFonts w:ascii="Arial" w:hAnsi="Arial" w:cs="Arial"/>
                <w:sz w:val="24"/>
                <w:szCs w:val="24"/>
              </w:rPr>
            </w:pPr>
            <w:r w:rsidRPr="001C29E2">
              <w:rPr>
                <w:rFonts w:ascii="Arial" w:hAnsi="Arial" w:cs="Arial"/>
                <w:sz w:val="24"/>
                <w:szCs w:val="24"/>
              </w:rPr>
              <w:t>Employee Induction Policy</w:t>
            </w:r>
          </w:p>
          <w:p w:rsidR="001C29E2" w:rsidRPr="001C29E2" w:rsidRDefault="001C29E2" w:rsidP="001C29E2">
            <w:pPr>
              <w:pStyle w:val="ListParagraph"/>
              <w:numPr>
                <w:ilvl w:val="0"/>
                <w:numId w:val="2"/>
              </w:numPr>
              <w:jc w:val="both"/>
              <w:rPr>
                <w:rFonts w:ascii="Arial" w:hAnsi="Arial" w:cs="Arial"/>
                <w:sz w:val="24"/>
                <w:szCs w:val="24"/>
              </w:rPr>
            </w:pPr>
            <w:r w:rsidRPr="001C29E2">
              <w:rPr>
                <w:rFonts w:ascii="Arial" w:hAnsi="Arial" w:cs="Arial"/>
                <w:sz w:val="24"/>
                <w:szCs w:val="24"/>
              </w:rPr>
              <w:t>Exit Interview Policy</w:t>
            </w:r>
          </w:p>
          <w:p w:rsidR="001C29E2" w:rsidRPr="001C29E2" w:rsidRDefault="001C29E2" w:rsidP="001C29E2">
            <w:pPr>
              <w:pStyle w:val="ListParagraph"/>
              <w:numPr>
                <w:ilvl w:val="0"/>
                <w:numId w:val="2"/>
              </w:numPr>
              <w:jc w:val="both"/>
              <w:rPr>
                <w:rFonts w:ascii="Arial" w:hAnsi="Arial" w:cs="Arial"/>
                <w:sz w:val="24"/>
                <w:szCs w:val="24"/>
              </w:rPr>
            </w:pPr>
            <w:r w:rsidRPr="001C29E2">
              <w:rPr>
                <w:rFonts w:ascii="Arial" w:hAnsi="Arial" w:cs="Arial"/>
                <w:sz w:val="24"/>
                <w:szCs w:val="24"/>
              </w:rPr>
              <w:t>Relocation and Removal Policy</w:t>
            </w:r>
          </w:p>
          <w:p w:rsidR="001C29E2" w:rsidRPr="001C29E2" w:rsidRDefault="001C29E2" w:rsidP="001C29E2">
            <w:pPr>
              <w:pStyle w:val="ListParagraph"/>
              <w:numPr>
                <w:ilvl w:val="0"/>
                <w:numId w:val="2"/>
              </w:numPr>
              <w:jc w:val="both"/>
              <w:rPr>
                <w:rFonts w:ascii="Arial" w:hAnsi="Arial" w:cs="Arial"/>
                <w:sz w:val="24"/>
                <w:szCs w:val="24"/>
              </w:rPr>
            </w:pPr>
            <w:r w:rsidRPr="001C29E2">
              <w:rPr>
                <w:rFonts w:ascii="Arial" w:hAnsi="Arial" w:cs="Arial"/>
                <w:sz w:val="24"/>
                <w:szCs w:val="24"/>
              </w:rPr>
              <w:t>Flexible Retirement Policy</w:t>
            </w:r>
          </w:p>
          <w:p w:rsidR="001C29E2" w:rsidRPr="001C29E2" w:rsidRDefault="001C29E2" w:rsidP="001C29E2">
            <w:pPr>
              <w:pStyle w:val="ListParagraph"/>
              <w:numPr>
                <w:ilvl w:val="0"/>
                <w:numId w:val="2"/>
              </w:numPr>
              <w:jc w:val="both"/>
              <w:rPr>
                <w:rFonts w:ascii="Arial" w:hAnsi="Arial" w:cs="Arial"/>
                <w:sz w:val="24"/>
                <w:szCs w:val="24"/>
              </w:rPr>
            </w:pPr>
            <w:r w:rsidRPr="001C29E2">
              <w:rPr>
                <w:rFonts w:ascii="Arial" w:hAnsi="Arial" w:cs="Arial"/>
                <w:sz w:val="24"/>
                <w:szCs w:val="24"/>
              </w:rPr>
              <w:t>Flexible Working Policy</w:t>
            </w:r>
          </w:p>
          <w:p w:rsidR="001C29E2" w:rsidRDefault="001C29E2" w:rsidP="001C29E2">
            <w:pPr>
              <w:pStyle w:val="ListParagraph"/>
              <w:numPr>
                <w:ilvl w:val="0"/>
                <w:numId w:val="2"/>
              </w:numPr>
              <w:jc w:val="both"/>
              <w:rPr>
                <w:rFonts w:ascii="Arial" w:hAnsi="Arial" w:cs="Arial"/>
                <w:b/>
              </w:rPr>
            </w:pPr>
            <w:r w:rsidRPr="001C29E2">
              <w:rPr>
                <w:rFonts w:ascii="Arial" w:hAnsi="Arial" w:cs="Arial"/>
                <w:sz w:val="24"/>
                <w:szCs w:val="24"/>
              </w:rPr>
              <w:t>Absence and Attendance Management Policy</w:t>
            </w:r>
          </w:p>
        </w:tc>
      </w:tr>
      <w:tr w:rsidR="009C1F2A" w:rsidRPr="00232563" w:rsidTr="00B02888">
        <w:trPr>
          <w:trHeight w:val="80"/>
        </w:trPr>
        <w:tc>
          <w:tcPr>
            <w:tcW w:w="817" w:type="dxa"/>
          </w:tcPr>
          <w:p w:rsidR="009C1F2A" w:rsidRPr="00721569" w:rsidRDefault="00721569" w:rsidP="00B02888">
            <w:pPr>
              <w:rPr>
                <w:rFonts w:ascii="Arial" w:hAnsi="Arial" w:cs="Arial"/>
                <w:b/>
                <w:szCs w:val="24"/>
              </w:rPr>
            </w:pPr>
            <w:r>
              <w:rPr>
                <w:rFonts w:ascii="Arial" w:hAnsi="Arial" w:cs="Arial"/>
                <w:b/>
                <w:szCs w:val="24"/>
              </w:rPr>
              <w:t>5.</w:t>
            </w:r>
          </w:p>
        </w:tc>
        <w:tc>
          <w:tcPr>
            <w:tcW w:w="8647" w:type="dxa"/>
          </w:tcPr>
          <w:p w:rsidR="00721569" w:rsidRDefault="00721569" w:rsidP="00B02888">
            <w:pPr>
              <w:autoSpaceDE w:val="0"/>
              <w:autoSpaceDN w:val="0"/>
              <w:adjustRightInd w:val="0"/>
              <w:jc w:val="both"/>
              <w:rPr>
                <w:rFonts w:ascii="Arial" w:hAnsi="Arial" w:cs="Arial"/>
              </w:rPr>
            </w:pPr>
            <w:r>
              <w:rPr>
                <w:rFonts w:ascii="Arial" w:hAnsi="Arial" w:cs="Arial"/>
                <w:b/>
              </w:rPr>
              <w:t>Update on Gen</w:t>
            </w:r>
            <w:r w:rsidR="008E3C2A">
              <w:rPr>
                <w:rFonts w:ascii="Arial" w:hAnsi="Arial" w:cs="Arial"/>
                <w:b/>
              </w:rPr>
              <w:t>eral Data Protection Regulation</w:t>
            </w:r>
            <w:r>
              <w:rPr>
                <w:rFonts w:ascii="Arial" w:hAnsi="Arial" w:cs="Arial"/>
                <w:b/>
              </w:rPr>
              <w:t xml:space="preserve"> (GDPR)</w:t>
            </w:r>
          </w:p>
          <w:p w:rsidR="00721569" w:rsidRPr="00721569" w:rsidRDefault="00721569" w:rsidP="00B02888">
            <w:pPr>
              <w:autoSpaceDE w:val="0"/>
              <w:autoSpaceDN w:val="0"/>
              <w:adjustRightInd w:val="0"/>
              <w:jc w:val="both"/>
              <w:rPr>
                <w:rFonts w:ascii="Arial" w:hAnsi="Arial" w:cs="Arial"/>
              </w:rPr>
            </w:pPr>
          </w:p>
        </w:tc>
      </w:tr>
      <w:tr w:rsidR="009C1F2A" w:rsidRPr="00232563" w:rsidTr="00B02888">
        <w:trPr>
          <w:trHeight w:val="80"/>
        </w:trPr>
        <w:tc>
          <w:tcPr>
            <w:tcW w:w="817" w:type="dxa"/>
          </w:tcPr>
          <w:p w:rsidR="009C1F2A" w:rsidRDefault="00721569" w:rsidP="00B02888">
            <w:pPr>
              <w:rPr>
                <w:rFonts w:ascii="Arial" w:hAnsi="Arial" w:cs="Arial"/>
                <w:szCs w:val="24"/>
              </w:rPr>
            </w:pPr>
            <w:r>
              <w:rPr>
                <w:rFonts w:ascii="Arial" w:hAnsi="Arial" w:cs="Arial"/>
                <w:szCs w:val="24"/>
              </w:rPr>
              <w:t>5.1</w:t>
            </w:r>
          </w:p>
          <w:p w:rsidR="00721569" w:rsidRDefault="00721569" w:rsidP="00B02888">
            <w:pPr>
              <w:rPr>
                <w:rFonts w:ascii="Arial" w:hAnsi="Arial" w:cs="Arial"/>
                <w:szCs w:val="24"/>
              </w:rPr>
            </w:pPr>
          </w:p>
          <w:p w:rsidR="00721569" w:rsidRDefault="00721569" w:rsidP="00B02888">
            <w:pPr>
              <w:rPr>
                <w:rFonts w:ascii="Arial" w:hAnsi="Arial" w:cs="Arial"/>
                <w:szCs w:val="24"/>
              </w:rPr>
            </w:pPr>
          </w:p>
          <w:p w:rsidR="00721569" w:rsidRDefault="00721569" w:rsidP="00B02888">
            <w:pPr>
              <w:rPr>
                <w:rFonts w:ascii="Arial" w:hAnsi="Arial" w:cs="Arial"/>
                <w:szCs w:val="24"/>
              </w:rPr>
            </w:pPr>
            <w:r>
              <w:rPr>
                <w:rFonts w:ascii="Arial" w:hAnsi="Arial" w:cs="Arial"/>
                <w:szCs w:val="24"/>
              </w:rPr>
              <w:t>5.2</w:t>
            </w:r>
          </w:p>
          <w:p w:rsidR="00721569" w:rsidRDefault="00721569" w:rsidP="00B02888">
            <w:pPr>
              <w:rPr>
                <w:rFonts w:ascii="Arial" w:hAnsi="Arial" w:cs="Arial"/>
                <w:szCs w:val="24"/>
              </w:rPr>
            </w:pPr>
          </w:p>
          <w:p w:rsidR="00721569" w:rsidRDefault="00721569" w:rsidP="00B02888">
            <w:pPr>
              <w:rPr>
                <w:rFonts w:ascii="Arial" w:hAnsi="Arial" w:cs="Arial"/>
                <w:szCs w:val="24"/>
              </w:rPr>
            </w:pPr>
          </w:p>
          <w:p w:rsidR="00721569" w:rsidRDefault="00721569" w:rsidP="00B02888">
            <w:pPr>
              <w:rPr>
                <w:rFonts w:ascii="Arial" w:hAnsi="Arial" w:cs="Arial"/>
                <w:szCs w:val="24"/>
              </w:rPr>
            </w:pPr>
          </w:p>
          <w:p w:rsidR="00721569" w:rsidRDefault="00721569" w:rsidP="00B02888">
            <w:pPr>
              <w:rPr>
                <w:rFonts w:ascii="Arial" w:hAnsi="Arial" w:cs="Arial"/>
                <w:szCs w:val="24"/>
              </w:rPr>
            </w:pPr>
          </w:p>
          <w:p w:rsidR="00263F37" w:rsidRDefault="00263F37" w:rsidP="00B02888">
            <w:pPr>
              <w:rPr>
                <w:rFonts w:ascii="Arial" w:hAnsi="Arial" w:cs="Arial"/>
                <w:szCs w:val="24"/>
              </w:rPr>
            </w:pPr>
          </w:p>
          <w:p w:rsidR="00721569" w:rsidRDefault="00721569" w:rsidP="00B02888">
            <w:pPr>
              <w:rPr>
                <w:rFonts w:ascii="Arial" w:hAnsi="Arial" w:cs="Arial"/>
                <w:szCs w:val="24"/>
              </w:rPr>
            </w:pPr>
          </w:p>
          <w:p w:rsidR="00721569" w:rsidRDefault="00721569" w:rsidP="00B02888">
            <w:pPr>
              <w:rPr>
                <w:rFonts w:ascii="Arial" w:hAnsi="Arial" w:cs="Arial"/>
                <w:szCs w:val="24"/>
              </w:rPr>
            </w:pPr>
            <w:r>
              <w:rPr>
                <w:rFonts w:ascii="Arial" w:hAnsi="Arial" w:cs="Arial"/>
                <w:szCs w:val="24"/>
              </w:rPr>
              <w:t>5.3</w:t>
            </w:r>
          </w:p>
          <w:p w:rsidR="00263F37" w:rsidRDefault="00263F37" w:rsidP="00B02888">
            <w:pPr>
              <w:rPr>
                <w:rFonts w:ascii="Arial" w:hAnsi="Arial" w:cs="Arial"/>
                <w:szCs w:val="24"/>
              </w:rPr>
            </w:pPr>
          </w:p>
          <w:p w:rsidR="00263F37" w:rsidRDefault="00263F37" w:rsidP="00B02888">
            <w:pPr>
              <w:rPr>
                <w:rFonts w:ascii="Arial" w:hAnsi="Arial" w:cs="Arial"/>
                <w:szCs w:val="24"/>
              </w:rPr>
            </w:pPr>
          </w:p>
          <w:p w:rsidR="00263F37" w:rsidRDefault="00263F37" w:rsidP="00B02888">
            <w:pPr>
              <w:rPr>
                <w:rFonts w:ascii="Arial" w:hAnsi="Arial" w:cs="Arial"/>
                <w:szCs w:val="24"/>
              </w:rPr>
            </w:pPr>
          </w:p>
          <w:p w:rsidR="00263F37" w:rsidRDefault="00263F37" w:rsidP="00B02888">
            <w:pPr>
              <w:rPr>
                <w:rFonts w:ascii="Arial" w:hAnsi="Arial" w:cs="Arial"/>
                <w:szCs w:val="24"/>
              </w:rPr>
            </w:pPr>
          </w:p>
          <w:p w:rsidR="00263F37" w:rsidRDefault="00263F37" w:rsidP="00B02888">
            <w:pPr>
              <w:rPr>
                <w:rFonts w:ascii="Arial" w:hAnsi="Arial" w:cs="Arial"/>
                <w:szCs w:val="24"/>
              </w:rPr>
            </w:pPr>
          </w:p>
          <w:p w:rsidR="00CA6AB3" w:rsidRDefault="00CA6AB3" w:rsidP="00B02888">
            <w:pPr>
              <w:rPr>
                <w:rFonts w:ascii="Arial" w:hAnsi="Arial" w:cs="Arial"/>
                <w:szCs w:val="24"/>
              </w:rPr>
            </w:pPr>
          </w:p>
          <w:p w:rsidR="00263F37" w:rsidRDefault="00263F37" w:rsidP="00B02888">
            <w:pPr>
              <w:rPr>
                <w:rFonts w:ascii="Arial" w:hAnsi="Arial" w:cs="Arial"/>
                <w:szCs w:val="24"/>
              </w:rPr>
            </w:pPr>
            <w:r>
              <w:rPr>
                <w:rFonts w:ascii="Arial" w:hAnsi="Arial" w:cs="Arial"/>
                <w:szCs w:val="24"/>
              </w:rPr>
              <w:t>5.4</w:t>
            </w:r>
          </w:p>
          <w:p w:rsidR="00721569" w:rsidRPr="000B6190" w:rsidRDefault="00721569" w:rsidP="00B02888">
            <w:pPr>
              <w:rPr>
                <w:rFonts w:ascii="Arial" w:hAnsi="Arial" w:cs="Arial"/>
                <w:szCs w:val="24"/>
              </w:rPr>
            </w:pPr>
          </w:p>
        </w:tc>
        <w:tc>
          <w:tcPr>
            <w:tcW w:w="8647" w:type="dxa"/>
          </w:tcPr>
          <w:p w:rsidR="009C1F2A" w:rsidRDefault="00721569" w:rsidP="00B02888">
            <w:pPr>
              <w:autoSpaceDE w:val="0"/>
              <w:autoSpaceDN w:val="0"/>
              <w:adjustRightInd w:val="0"/>
              <w:jc w:val="both"/>
              <w:rPr>
                <w:rFonts w:ascii="Arial" w:hAnsi="Arial" w:cs="Arial"/>
              </w:rPr>
            </w:pPr>
            <w:r>
              <w:rPr>
                <w:rFonts w:ascii="Arial" w:hAnsi="Arial" w:cs="Arial"/>
              </w:rPr>
              <w:lastRenderedPageBreak/>
              <w:t xml:space="preserve">Directors will be aware that the new GDPR </w:t>
            </w:r>
            <w:r w:rsidR="00263F37">
              <w:rPr>
                <w:rFonts w:ascii="Arial" w:hAnsi="Arial" w:cs="Arial"/>
              </w:rPr>
              <w:t>legislation</w:t>
            </w:r>
            <w:r>
              <w:rPr>
                <w:rFonts w:ascii="Arial" w:hAnsi="Arial" w:cs="Arial"/>
              </w:rPr>
              <w:t xml:space="preserve"> come</w:t>
            </w:r>
            <w:r w:rsidR="00263F37">
              <w:rPr>
                <w:rFonts w:ascii="Arial" w:hAnsi="Arial" w:cs="Arial"/>
              </w:rPr>
              <w:t>s</w:t>
            </w:r>
            <w:r>
              <w:rPr>
                <w:rFonts w:ascii="Arial" w:hAnsi="Arial" w:cs="Arial"/>
              </w:rPr>
              <w:t xml:space="preserve"> into effect in May 2018.</w:t>
            </w:r>
          </w:p>
          <w:p w:rsidR="00721569" w:rsidRDefault="00721569" w:rsidP="00B02888">
            <w:pPr>
              <w:autoSpaceDE w:val="0"/>
              <w:autoSpaceDN w:val="0"/>
              <w:adjustRightInd w:val="0"/>
              <w:jc w:val="both"/>
              <w:rPr>
                <w:rFonts w:ascii="Arial" w:hAnsi="Arial" w:cs="Arial"/>
              </w:rPr>
            </w:pPr>
          </w:p>
          <w:p w:rsidR="00721569" w:rsidRDefault="00721569" w:rsidP="00B02888">
            <w:pPr>
              <w:autoSpaceDE w:val="0"/>
              <w:autoSpaceDN w:val="0"/>
              <w:adjustRightInd w:val="0"/>
              <w:jc w:val="both"/>
              <w:rPr>
                <w:rFonts w:ascii="Arial" w:hAnsi="Arial" w:cs="Arial"/>
              </w:rPr>
            </w:pPr>
            <w:r>
              <w:rPr>
                <w:rFonts w:ascii="Arial" w:hAnsi="Arial" w:cs="Arial"/>
              </w:rPr>
              <w:t>Since the last Board meeting the matter</w:t>
            </w:r>
            <w:r w:rsidR="00263F37">
              <w:rPr>
                <w:rFonts w:ascii="Arial" w:hAnsi="Arial" w:cs="Arial"/>
              </w:rPr>
              <w:t>s around GDPR</w:t>
            </w:r>
            <w:r>
              <w:rPr>
                <w:rFonts w:ascii="Arial" w:hAnsi="Arial" w:cs="Arial"/>
              </w:rPr>
              <w:t xml:space="preserve"> remains of high importance and as such a short-term GDPR working group has been set up to consider the implementation across all HLH services. The group membership also includes the Council’s newly appointed Data Protection Officer who will be advising and supporting the </w:t>
            </w:r>
            <w:r w:rsidR="00263F37">
              <w:rPr>
                <w:rFonts w:ascii="Arial" w:hAnsi="Arial" w:cs="Arial"/>
              </w:rPr>
              <w:t>HLH</w:t>
            </w:r>
            <w:r>
              <w:rPr>
                <w:rFonts w:ascii="Arial" w:hAnsi="Arial" w:cs="Arial"/>
              </w:rPr>
              <w:t xml:space="preserve"> </w:t>
            </w:r>
            <w:r w:rsidR="00263F37">
              <w:rPr>
                <w:rFonts w:ascii="Arial" w:hAnsi="Arial" w:cs="Arial"/>
              </w:rPr>
              <w:t xml:space="preserve">throughout and following </w:t>
            </w:r>
            <w:r>
              <w:rPr>
                <w:rFonts w:ascii="Arial" w:hAnsi="Arial" w:cs="Arial"/>
              </w:rPr>
              <w:t>the implementation process.</w:t>
            </w:r>
          </w:p>
          <w:p w:rsidR="00721569" w:rsidRDefault="00721569" w:rsidP="00B02888">
            <w:pPr>
              <w:autoSpaceDE w:val="0"/>
              <w:autoSpaceDN w:val="0"/>
              <w:adjustRightInd w:val="0"/>
              <w:jc w:val="both"/>
              <w:rPr>
                <w:rFonts w:ascii="Arial" w:hAnsi="Arial" w:cs="Arial"/>
              </w:rPr>
            </w:pPr>
          </w:p>
          <w:p w:rsidR="00263F37" w:rsidRDefault="00721569" w:rsidP="00B02888">
            <w:pPr>
              <w:autoSpaceDE w:val="0"/>
              <w:autoSpaceDN w:val="0"/>
              <w:adjustRightInd w:val="0"/>
              <w:jc w:val="both"/>
              <w:rPr>
                <w:rFonts w:ascii="Arial" w:hAnsi="Arial" w:cs="Arial"/>
              </w:rPr>
            </w:pPr>
            <w:r>
              <w:rPr>
                <w:rFonts w:ascii="Arial" w:hAnsi="Arial" w:cs="Arial"/>
              </w:rPr>
              <w:t>A number of actions have been undertaken since the last board meeting in preparation for GDPR introduction which has included: training for senior management on GDPR as well as a full review of all retention schedules across all services. Further training will be offered to SMT and key team members prior to the final implementation</w:t>
            </w:r>
            <w:r w:rsidR="00004D29">
              <w:rPr>
                <w:rFonts w:ascii="Arial" w:hAnsi="Arial" w:cs="Arial"/>
              </w:rPr>
              <w:t xml:space="preserve"> of GDPR</w:t>
            </w:r>
            <w:r>
              <w:rPr>
                <w:rFonts w:ascii="Arial" w:hAnsi="Arial" w:cs="Arial"/>
              </w:rPr>
              <w:t xml:space="preserve">. </w:t>
            </w:r>
          </w:p>
          <w:p w:rsidR="00263F37" w:rsidRDefault="00263F37" w:rsidP="00B02888">
            <w:pPr>
              <w:autoSpaceDE w:val="0"/>
              <w:autoSpaceDN w:val="0"/>
              <w:adjustRightInd w:val="0"/>
              <w:jc w:val="both"/>
              <w:rPr>
                <w:rFonts w:ascii="Arial" w:hAnsi="Arial" w:cs="Arial"/>
              </w:rPr>
            </w:pPr>
          </w:p>
          <w:p w:rsidR="00CA6AB3" w:rsidRDefault="00CA6AB3" w:rsidP="00B02888">
            <w:pPr>
              <w:autoSpaceDE w:val="0"/>
              <w:autoSpaceDN w:val="0"/>
              <w:adjustRightInd w:val="0"/>
              <w:jc w:val="both"/>
              <w:rPr>
                <w:rFonts w:ascii="Arial" w:hAnsi="Arial" w:cs="Arial"/>
              </w:rPr>
            </w:pPr>
          </w:p>
          <w:p w:rsidR="00263F37" w:rsidRDefault="00263F37" w:rsidP="00B02888">
            <w:pPr>
              <w:autoSpaceDE w:val="0"/>
              <w:autoSpaceDN w:val="0"/>
              <w:adjustRightInd w:val="0"/>
              <w:jc w:val="both"/>
              <w:rPr>
                <w:rFonts w:ascii="Arial" w:hAnsi="Arial" w:cs="Arial"/>
              </w:rPr>
            </w:pPr>
            <w:r>
              <w:rPr>
                <w:rFonts w:ascii="Arial" w:hAnsi="Arial" w:cs="Arial"/>
              </w:rPr>
              <w:t>Further updates relating to the GDPR implementation will be supplied to Directors at a future Board meeting.</w:t>
            </w:r>
          </w:p>
          <w:p w:rsidR="00721569" w:rsidRPr="00721569" w:rsidRDefault="00721569" w:rsidP="00B02888">
            <w:pPr>
              <w:autoSpaceDE w:val="0"/>
              <w:autoSpaceDN w:val="0"/>
              <w:adjustRightInd w:val="0"/>
              <w:jc w:val="both"/>
              <w:rPr>
                <w:rFonts w:ascii="Arial" w:hAnsi="Arial" w:cs="Arial"/>
              </w:rPr>
            </w:pPr>
          </w:p>
        </w:tc>
      </w:tr>
      <w:tr w:rsidR="00325295" w:rsidRPr="00232563" w:rsidTr="00B02888">
        <w:trPr>
          <w:trHeight w:val="80"/>
        </w:trPr>
        <w:tc>
          <w:tcPr>
            <w:tcW w:w="817" w:type="dxa"/>
          </w:tcPr>
          <w:p w:rsidR="00325295" w:rsidRDefault="00CA6AB3" w:rsidP="00B02888">
            <w:pPr>
              <w:rPr>
                <w:rFonts w:ascii="Arial" w:hAnsi="Arial" w:cs="Arial"/>
                <w:b/>
                <w:szCs w:val="24"/>
              </w:rPr>
            </w:pPr>
            <w:r>
              <w:rPr>
                <w:rFonts w:ascii="Arial" w:hAnsi="Arial" w:cs="Arial"/>
                <w:b/>
                <w:szCs w:val="24"/>
              </w:rPr>
              <w:lastRenderedPageBreak/>
              <w:t>6</w:t>
            </w:r>
            <w:r w:rsidR="00325295">
              <w:rPr>
                <w:rFonts w:ascii="Arial" w:hAnsi="Arial" w:cs="Arial"/>
                <w:b/>
                <w:szCs w:val="24"/>
              </w:rPr>
              <w:t>.</w:t>
            </w:r>
          </w:p>
          <w:p w:rsidR="00325295" w:rsidRPr="007F57B7" w:rsidRDefault="00325295" w:rsidP="00B02888">
            <w:pPr>
              <w:rPr>
                <w:rFonts w:ascii="Arial" w:hAnsi="Arial" w:cs="Arial"/>
                <w:b/>
                <w:szCs w:val="24"/>
              </w:rPr>
            </w:pPr>
          </w:p>
          <w:p w:rsidR="00325295" w:rsidRDefault="00CA6AB3" w:rsidP="00B02888">
            <w:pPr>
              <w:rPr>
                <w:rFonts w:ascii="Arial" w:hAnsi="Arial" w:cs="Arial"/>
                <w:szCs w:val="24"/>
              </w:rPr>
            </w:pPr>
            <w:r>
              <w:rPr>
                <w:rFonts w:ascii="Arial" w:hAnsi="Arial" w:cs="Arial"/>
                <w:szCs w:val="24"/>
              </w:rPr>
              <w:t>6</w:t>
            </w:r>
            <w:r w:rsidR="00325295">
              <w:rPr>
                <w:rFonts w:ascii="Arial" w:hAnsi="Arial" w:cs="Arial"/>
                <w:szCs w:val="24"/>
              </w:rPr>
              <w:t>.1</w:t>
            </w:r>
          </w:p>
          <w:p w:rsidR="00325295" w:rsidRDefault="00325295" w:rsidP="00B02888">
            <w:pPr>
              <w:rPr>
                <w:rFonts w:ascii="Arial" w:hAnsi="Arial" w:cs="Arial"/>
                <w:szCs w:val="24"/>
              </w:rPr>
            </w:pPr>
          </w:p>
          <w:p w:rsidR="00325295" w:rsidRDefault="00325295" w:rsidP="00B02888">
            <w:pPr>
              <w:rPr>
                <w:rFonts w:ascii="Arial" w:hAnsi="Arial" w:cs="Arial"/>
                <w:szCs w:val="24"/>
              </w:rPr>
            </w:pPr>
          </w:p>
          <w:p w:rsidR="00325295" w:rsidRDefault="00CA6AB3" w:rsidP="00B02888">
            <w:pPr>
              <w:rPr>
                <w:rFonts w:ascii="Arial" w:hAnsi="Arial" w:cs="Arial"/>
                <w:szCs w:val="24"/>
              </w:rPr>
            </w:pPr>
            <w:r>
              <w:rPr>
                <w:rFonts w:ascii="Arial" w:hAnsi="Arial" w:cs="Arial"/>
                <w:szCs w:val="24"/>
              </w:rPr>
              <w:t>6</w:t>
            </w:r>
            <w:r w:rsidR="00325295">
              <w:rPr>
                <w:rFonts w:ascii="Arial" w:hAnsi="Arial" w:cs="Arial"/>
                <w:szCs w:val="24"/>
              </w:rPr>
              <w:t>.2</w:t>
            </w:r>
          </w:p>
          <w:p w:rsidR="00325295" w:rsidRDefault="00325295" w:rsidP="00B02888">
            <w:pPr>
              <w:rPr>
                <w:rFonts w:ascii="Arial" w:hAnsi="Arial" w:cs="Arial"/>
                <w:szCs w:val="24"/>
              </w:rPr>
            </w:pPr>
          </w:p>
          <w:p w:rsidR="00325295" w:rsidRDefault="00325295" w:rsidP="00B02888">
            <w:pPr>
              <w:rPr>
                <w:rFonts w:ascii="Arial" w:hAnsi="Arial" w:cs="Arial"/>
                <w:szCs w:val="24"/>
              </w:rPr>
            </w:pPr>
          </w:p>
          <w:p w:rsidR="00325295" w:rsidRDefault="00CA6AB3" w:rsidP="00B02888">
            <w:pPr>
              <w:rPr>
                <w:rFonts w:ascii="Arial" w:hAnsi="Arial" w:cs="Arial"/>
                <w:szCs w:val="24"/>
              </w:rPr>
            </w:pPr>
            <w:r>
              <w:rPr>
                <w:rFonts w:ascii="Arial" w:hAnsi="Arial" w:cs="Arial"/>
                <w:szCs w:val="24"/>
              </w:rPr>
              <w:t>6</w:t>
            </w:r>
            <w:r w:rsidR="00325295">
              <w:rPr>
                <w:rFonts w:ascii="Arial" w:hAnsi="Arial" w:cs="Arial"/>
                <w:szCs w:val="24"/>
              </w:rPr>
              <w:t>.3</w:t>
            </w:r>
          </w:p>
          <w:p w:rsidR="00325295" w:rsidRDefault="00325295" w:rsidP="00B02888">
            <w:pPr>
              <w:rPr>
                <w:rFonts w:ascii="Arial" w:hAnsi="Arial" w:cs="Arial"/>
                <w:szCs w:val="24"/>
              </w:rPr>
            </w:pPr>
          </w:p>
          <w:p w:rsidR="00325295" w:rsidRPr="00380CDF" w:rsidRDefault="00325295" w:rsidP="00B02888">
            <w:pPr>
              <w:rPr>
                <w:rFonts w:ascii="Arial" w:hAnsi="Arial" w:cs="Arial"/>
                <w:szCs w:val="24"/>
              </w:rPr>
            </w:pPr>
          </w:p>
        </w:tc>
        <w:tc>
          <w:tcPr>
            <w:tcW w:w="8647" w:type="dxa"/>
          </w:tcPr>
          <w:p w:rsidR="00325295" w:rsidRDefault="00325295" w:rsidP="00B02888">
            <w:pPr>
              <w:autoSpaceDE w:val="0"/>
              <w:autoSpaceDN w:val="0"/>
              <w:adjustRightInd w:val="0"/>
              <w:jc w:val="both"/>
              <w:rPr>
                <w:rFonts w:ascii="Arial" w:hAnsi="Arial" w:cs="Arial"/>
                <w:b/>
              </w:rPr>
            </w:pPr>
            <w:r w:rsidRPr="00751A5C">
              <w:rPr>
                <w:rFonts w:ascii="Arial" w:hAnsi="Arial" w:cs="Arial"/>
                <w:b/>
              </w:rPr>
              <w:t>Implications</w:t>
            </w:r>
          </w:p>
          <w:p w:rsidR="00325295" w:rsidRDefault="00325295" w:rsidP="00B02888">
            <w:pPr>
              <w:autoSpaceDE w:val="0"/>
              <w:autoSpaceDN w:val="0"/>
              <w:adjustRightInd w:val="0"/>
              <w:jc w:val="both"/>
              <w:rPr>
                <w:rFonts w:ascii="Arial" w:hAnsi="Arial" w:cs="Arial"/>
                <w:b/>
              </w:rPr>
            </w:pPr>
          </w:p>
          <w:p w:rsidR="00325295" w:rsidRDefault="00325295" w:rsidP="00B02888">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rsidR="00325295" w:rsidRDefault="00325295" w:rsidP="00B02888">
            <w:pPr>
              <w:autoSpaceDE w:val="0"/>
              <w:autoSpaceDN w:val="0"/>
              <w:adjustRightInd w:val="0"/>
              <w:jc w:val="both"/>
              <w:rPr>
                <w:rFonts w:ascii="Arial" w:hAnsi="Arial" w:cs="Arial"/>
              </w:rPr>
            </w:pPr>
          </w:p>
          <w:p w:rsidR="00325295" w:rsidRDefault="00325295" w:rsidP="00B02888">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rsidR="00325295" w:rsidRDefault="00325295" w:rsidP="00B02888">
            <w:pPr>
              <w:autoSpaceDE w:val="0"/>
              <w:autoSpaceDN w:val="0"/>
              <w:adjustRightInd w:val="0"/>
              <w:jc w:val="both"/>
              <w:rPr>
                <w:rFonts w:ascii="Arial" w:hAnsi="Arial" w:cs="Arial"/>
              </w:rPr>
            </w:pPr>
          </w:p>
          <w:p w:rsidR="00325295" w:rsidRDefault="00325295" w:rsidP="00AB2B69">
            <w:pPr>
              <w:autoSpaceDE w:val="0"/>
              <w:autoSpaceDN w:val="0"/>
              <w:adjustRightInd w:val="0"/>
              <w:spacing w:before="100" w:beforeAutospacing="1" w:after="100" w:afterAutospacing="1"/>
              <w:jc w:val="both"/>
              <w:rPr>
                <w:rFonts w:ascii="Arial" w:hAnsi="Arial" w:cs="Arial"/>
              </w:rPr>
            </w:pPr>
            <w:r>
              <w:rPr>
                <w:rFonts w:ascii="Arial" w:hAnsi="Arial" w:cs="Arial"/>
              </w:rPr>
              <w:t>Risk Implications – there are no new risks arising from the recommendations of this report.</w:t>
            </w:r>
          </w:p>
          <w:p w:rsidR="005E74DC" w:rsidRPr="00232563" w:rsidRDefault="005E74DC" w:rsidP="00AB2B69">
            <w:pPr>
              <w:autoSpaceDE w:val="0"/>
              <w:autoSpaceDN w:val="0"/>
              <w:adjustRightInd w:val="0"/>
              <w:spacing w:before="100" w:beforeAutospacing="1" w:after="100" w:afterAutospacing="1"/>
              <w:jc w:val="both"/>
              <w:rPr>
                <w:rFonts w:ascii="Arial" w:hAnsi="Arial" w:cs="Arial"/>
              </w:rPr>
            </w:pPr>
            <w:bookmarkStart w:id="0" w:name="_GoBack"/>
            <w:bookmarkEnd w:id="0"/>
          </w:p>
        </w:tc>
      </w:tr>
      <w:tr w:rsidR="00325295" w:rsidRPr="007214D1" w:rsidTr="00B02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rsidR="00325295" w:rsidRDefault="00325295" w:rsidP="00B02888">
            <w:pPr>
              <w:autoSpaceDE w:val="0"/>
              <w:autoSpaceDN w:val="0"/>
              <w:adjustRightInd w:val="0"/>
              <w:jc w:val="both"/>
              <w:rPr>
                <w:rFonts w:ascii="Arial" w:hAnsi="Arial" w:cs="Arial"/>
                <w:b/>
                <w:szCs w:val="24"/>
              </w:rPr>
            </w:pPr>
            <w:r w:rsidRPr="009C18DA">
              <w:rPr>
                <w:rFonts w:ascii="Arial" w:hAnsi="Arial" w:cs="Arial"/>
                <w:b/>
                <w:szCs w:val="24"/>
              </w:rPr>
              <w:t>Recommendation</w:t>
            </w:r>
          </w:p>
          <w:p w:rsidR="00325295" w:rsidRPr="009C18DA" w:rsidRDefault="00325295" w:rsidP="00B02888">
            <w:pPr>
              <w:autoSpaceDE w:val="0"/>
              <w:autoSpaceDN w:val="0"/>
              <w:adjustRightInd w:val="0"/>
              <w:jc w:val="both"/>
              <w:rPr>
                <w:rFonts w:ascii="Arial" w:hAnsi="Arial" w:cs="Arial"/>
                <w:b/>
                <w:szCs w:val="24"/>
              </w:rPr>
            </w:pPr>
          </w:p>
          <w:p w:rsidR="00325295" w:rsidRDefault="00325295" w:rsidP="00B02888">
            <w:pPr>
              <w:jc w:val="both"/>
              <w:rPr>
                <w:rFonts w:ascii="Arial" w:hAnsi="Arial" w:cs="Arial"/>
                <w:szCs w:val="24"/>
              </w:rPr>
            </w:pPr>
            <w:r>
              <w:rPr>
                <w:rFonts w:ascii="Arial" w:hAnsi="Arial" w:cs="Arial"/>
              </w:rPr>
              <w:t>It is recommen</w:t>
            </w:r>
            <w:r w:rsidRPr="007D45D7">
              <w:rPr>
                <w:rFonts w:ascii="Arial" w:hAnsi="Arial" w:cs="Arial"/>
                <w:szCs w:val="24"/>
              </w:rPr>
              <w:t>ded that Directors</w:t>
            </w:r>
            <w:r>
              <w:rPr>
                <w:rFonts w:ascii="Arial" w:hAnsi="Arial" w:cs="Arial"/>
                <w:szCs w:val="24"/>
              </w:rPr>
              <w:t>:</w:t>
            </w:r>
          </w:p>
          <w:p w:rsidR="00325295" w:rsidRDefault="00325295" w:rsidP="00B02888">
            <w:pPr>
              <w:jc w:val="both"/>
              <w:rPr>
                <w:rFonts w:ascii="Arial" w:hAnsi="Arial" w:cs="Arial"/>
                <w:szCs w:val="24"/>
              </w:rPr>
            </w:pPr>
          </w:p>
          <w:p w:rsidR="008E3C2A" w:rsidRPr="008E3C2A" w:rsidRDefault="00325295" w:rsidP="00AB2B69">
            <w:pPr>
              <w:pStyle w:val="ListParagraph"/>
              <w:numPr>
                <w:ilvl w:val="0"/>
                <w:numId w:val="6"/>
              </w:numPr>
              <w:spacing w:line="240" w:lineRule="auto"/>
              <w:jc w:val="both"/>
              <w:rPr>
                <w:rFonts w:ascii="Arial" w:hAnsi="Arial" w:cs="Arial"/>
                <w:szCs w:val="24"/>
              </w:rPr>
            </w:pPr>
            <w:r w:rsidRPr="008F41D8">
              <w:rPr>
                <w:rFonts w:ascii="Arial" w:hAnsi="Arial" w:cs="Arial"/>
                <w:sz w:val="24"/>
                <w:szCs w:val="24"/>
              </w:rPr>
              <w:t xml:space="preserve">note and comment on the content of the quarterly </w:t>
            </w:r>
            <w:r>
              <w:rPr>
                <w:rFonts w:ascii="Arial" w:hAnsi="Arial" w:cs="Arial"/>
                <w:sz w:val="24"/>
                <w:szCs w:val="24"/>
              </w:rPr>
              <w:t xml:space="preserve">HR </w:t>
            </w:r>
            <w:r w:rsidRPr="008F41D8">
              <w:rPr>
                <w:rFonts w:ascii="Arial" w:hAnsi="Arial" w:cs="Arial"/>
                <w:sz w:val="24"/>
                <w:szCs w:val="24"/>
              </w:rPr>
              <w:t>report including the update on the staffing establishment</w:t>
            </w:r>
            <w:r w:rsidR="009C1F2A">
              <w:rPr>
                <w:rFonts w:ascii="Arial" w:hAnsi="Arial" w:cs="Arial"/>
                <w:sz w:val="24"/>
                <w:szCs w:val="24"/>
              </w:rPr>
              <w:t xml:space="preserve"> and the attendance </w:t>
            </w:r>
            <w:r w:rsidR="008E3C2A">
              <w:rPr>
                <w:rFonts w:ascii="Arial" w:hAnsi="Arial" w:cs="Arial"/>
                <w:sz w:val="24"/>
                <w:szCs w:val="24"/>
              </w:rPr>
              <w:t>management</w:t>
            </w:r>
            <w:r w:rsidR="009C1F2A">
              <w:rPr>
                <w:rFonts w:ascii="Arial" w:hAnsi="Arial" w:cs="Arial"/>
                <w:sz w:val="24"/>
                <w:szCs w:val="24"/>
              </w:rPr>
              <w:t xml:space="preserve"> figures</w:t>
            </w:r>
            <w:r w:rsidR="008E3C2A">
              <w:rPr>
                <w:rFonts w:ascii="Arial" w:hAnsi="Arial" w:cs="Arial"/>
                <w:sz w:val="24"/>
                <w:szCs w:val="24"/>
              </w:rPr>
              <w:t>; and</w:t>
            </w:r>
          </w:p>
          <w:p w:rsidR="008E3C2A" w:rsidRPr="008E3C2A" w:rsidRDefault="008E3C2A" w:rsidP="00AB2B69">
            <w:pPr>
              <w:pStyle w:val="ListParagraph"/>
              <w:numPr>
                <w:ilvl w:val="0"/>
                <w:numId w:val="6"/>
              </w:numPr>
              <w:spacing w:line="240" w:lineRule="auto"/>
              <w:jc w:val="both"/>
              <w:rPr>
                <w:rFonts w:ascii="Arial" w:hAnsi="Arial" w:cs="Arial"/>
                <w:szCs w:val="24"/>
              </w:rPr>
            </w:pPr>
            <w:proofErr w:type="gramStart"/>
            <w:r>
              <w:rPr>
                <w:rFonts w:ascii="Arial" w:hAnsi="Arial" w:cs="Arial"/>
                <w:sz w:val="24"/>
                <w:szCs w:val="24"/>
              </w:rPr>
              <w:t>note</w:t>
            </w:r>
            <w:proofErr w:type="gramEnd"/>
            <w:r>
              <w:rPr>
                <w:rFonts w:ascii="Arial" w:hAnsi="Arial" w:cs="Arial"/>
                <w:sz w:val="24"/>
                <w:szCs w:val="24"/>
              </w:rPr>
              <w:t xml:space="preserve"> the position with the implementation of the General Data Protection Regulation legislation.</w:t>
            </w:r>
          </w:p>
        </w:tc>
      </w:tr>
    </w:tbl>
    <w:p w:rsidR="00794A0C" w:rsidRDefault="00794A0C" w:rsidP="00416BFF">
      <w:pPr>
        <w:rPr>
          <w:rFonts w:ascii="Arial" w:hAnsi="Arial" w:cs="Arial"/>
          <w:szCs w:val="24"/>
        </w:rPr>
      </w:pPr>
    </w:p>
    <w:p w:rsidR="008E3C2A" w:rsidRDefault="008E3C2A" w:rsidP="00416BFF">
      <w:pPr>
        <w:rPr>
          <w:rFonts w:ascii="Arial" w:hAnsi="Arial" w:cs="Arial"/>
          <w:szCs w:val="24"/>
        </w:rPr>
      </w:pPr>
    </w:p>
    <w:p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rsidR="0039450A" w:rsidRPr="007214D1" w:rsidRDefault="0039450A" w:rsidP="00416BFF">
      <w:pPr>
        <w:rPr>
          <w:rFonts w:ascii="Arial" w:hAnsi="Arial" w:cs="Arial"/>
          <w:szCs w:val="24"/>
        </w:rPr>
      </w:pPr>
    </w:p>
    <w:p w:rsidR="0039450A" w:rsidRDefault="0039450A" w:rsidP="00380CDF">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C8333C">
        <w:rPr>
          <w:rFonts w:ascii="Arial" w:hAnsi="Arial" w:cs="Arial"/>
          <w:szCs w:val="24"/>
        </w:rPr>
        <w:t>2 March</w:t>
      </w:r>
      <w:r w:rsidR="00A45F54">
        <w:rPr>
          <w:rFonts w:ascii="Arial" w:hAnsi="Arial" w:cs="Arial"/>
          <w:szCs w:val="24"/>
        </w:rPr>
        <w:t xml:space="preserve"> 201</w:t>
      </w:r>
      <w:r w:rsidR="001C29E2">
        <w:rPr>
          <w:rFonts w:ascii="Arial" w:hAnsi="Arial" w:cs="Arial"/>
          <w:szCs w:val="24"/>
        </w:rPr>
        <w:t>8</w:t>
      </w:r>
    </w:p>
    <w:p w:rsidR="00AB4988" w:rsidRDefault="00AB4988" w:rsidP="00380CDF">
      <w:pPr>
        <w:rPr>
          <w:rFonts w:ascii="Arial" w:hAnsi="Arial" w:cs="Arial"/>
          <w:szCs w:val="24"/>
        </w:rPr>
      </w:pPr>
    </w:p>
    <w:p w:rsidR="00AB4988" w:rsidRDefault="00AB4988" w:rsidP="00380CDF">
      <w:pPr>
        <w:rPr>
          <w:rFonts w:ascii="Arial" w:hAnsi="Arial" w:cs="Arial"/>
          <w:szCs w:val="24"/>
        </w:rPr>
      </w:pPr>
    </w:p>
    <w:p w:rsidR="000B6190" w:rsidRDefault="000B6190" w:rsidP="00C8333C">
      <w:pPr>
        <w:jc w:val="right"/>
        <w:rPr>
          <w:rFonts w:ascii="Arial" w:hAnsi="Arial" w:cs="Arial"/>
          <w:b/>
          <w:szCs w:val="24"/>
        </w:rPr>
      </w:pPr>
      <w:r>
        <w:rPr>
          <w:rFonts w:ascii="Arial" w:hAnsi="Arial" w:cs="Arial"/>
          <w:szCs w:val="24"/>
        </w:rPr>
        <w:br w:type="page"/>
      </w:r>
      <w:r w:rsidR="00C8333C">
        <w:rPr>
          <w:rFonts w:ascii="Arial" w:hAnsi="Arial" w:cs="Arial"/>
          <w:b/>
          <w:szCs w:val="24"/>
        </w:rPr>
        <w:lastRenderedPageBreak/>
        <w:t>APPENDIX A</w:t>
      </w:r>
    </w:p>
    <w:p w:rsidR="00C8333C" w:rsidRDefault="00C8333C">
      <w:pPr>
        <w:rPr>
          <w:rFonts w:ascii="Arial" w:hAnsi="Arial" w:cs="Arial"/>
          <w:b/>
          <w:szCs w:val="24"/>
        </w:rPr>
      </w:pPr>
    </w:p>
    <w:p w:rsidR="00AB4988" w:rsidRDefault="00AB4988">
      <w:pPr>
        <w:rPr>
          <w:rFonts w:ascii="Arial" w:hAnsi="Arial" w:cs="Arial"/>
          <w:b/>
          <w:szCs w:val="24"/>
        </w:rPr>
      </w:pPr>
      <w:r>
        <w:rPr>
          <w:rFonts w:ascii="Arial" w:hAnsi="Arial" w:cs="Arial"/>
          <w:b/>
          <w:szCs w:val="24"/>
        </w:rPr>
        <w:t>CHANGES TO STAFFING ESTABLISHMENT IN QUARTER 3 (OCT-DEC 17)</w:t>
      </w:r>
    </w:p>
    <w:p w:rsidR="00AB4988" w:rsidRDefault="00AB4988">
      <w:pPr>
        <w:rPr>
          <w:rFonts w:ascii="Arial" w:hAnsi="Arial" w:cs="Arial"/>
          <w:b/>
          <w:szCs w:val="24"/>
        </w:rPr>
      </w:pPr>
    </w:p>
    <w:tbl>
      <w:tblPr>
        <w:tblW w:w="8120" w:type="dxa"/>
        <w:jc w:val="center"/>
        <w:tblLayout w:type="fixed"/>
        <w:tblLook w:val="04A0" w:firstRow="1" w:lastRow="0" w:firstColumn="1" w:lastColumn="0" w:noHBand="0" w:noVBand="1"/>
      </w:tblPr>
      <w:tblGrid>
        <w:gridCol w:w="4151"/>
        <w:gridCol w:w="2694"/>
        <w:gridCol w:w="1275"/>
      </w:tblGrid>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Youth Support Officer (temp)</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Tain Royal Academy</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1</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Leisure Assistant</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Leven Centre</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-0.07</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Clerical Assistant 1</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Old Library, Dingwall</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-0.5</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Business Support Officer 2</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Ardross Street</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1</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 xml:space="preserve">Cleaning Operative (Toilet Attendant) x 2 </w:t>
            </w:r>
            <w:proofErr w:type="spellStart"/>
            <w:r w:rsidRPr="00900030">
              <w:rPr>
                <w:rFonts w:ascii="Arial" w:hAnsi="Arial" w:cs="Arial"/>
                <w:color w:val="000000"/>
                <w:szCs w:val="24"/>
              </w:rPr>
              <w:t>postholders</w:t>
            </w:r>
            <w:proofErr w:type="spellEnd"/>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Invergordon Toilets</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0.48</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Network Librarian</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 xml:space="preserve">Kinlochleven </w:t>
            </w:r>
            <w:r>
              <w:rPr>
                <w:rFonts w:ascii="Arial" w:hAnsi="Arial" w:cs="Arial"/>
                <w:color w:val="000000"/>
                <w:szCs w:val="24"/>
              </w:rPr>
              <w:t>L</w:t>
            </w:r>
            <w:r w:rsidRPr="00900030">
              <w:rPr>
                <w:rFonts w:ascii="Arial" w:hAnsi="Arial" w:cs="Arial"/>
                <w:color w:val="000000"/>
                <w:szCs w:val="24"/>
              </w:rPr>
              <w:t>ibrary</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-1</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Library Assistant</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 xml:space="preserve">Kinlochleven </w:t>
            </w:r>
            <w:r>
              <w:rPr>
                <w:rFonts w:ascii="Arial" w:hAnsi="Arial" w:cs="Arial"/>
                <w:color w:val="000000"/>
                <w:szCs w:val="24"/>
              </w:rPr>
              <w:t>L</w:t>
            </w:r>
            <w:r w:rsidRPr="00900030">
              <w:rPr>
                <w:rFonts w:ascii="Arial" w:hAnsi="Arial" w:cs="Arial"/>
                <w:color w:val="000000"/>
                <w:szCs w:val="24"/>
              </w:rPr>
              <w:t>ibrary</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-0.2</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Library Assistant (term time only)</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 xml:space="preserve">Kinlochleven </w:t>
            </w:r>
            <w:r>
              <w:rPr>
                <w:rFonts w:ascii="Arial" w:hAnsi="Arial" w:cs="Arial"/>
                <w:color w:val="000000"/>
                <w:szCs w:val="24"/>
              </w:rPr>
              <w:t>L</w:t>
            </w:r>
            <w:r w:rsidRPr="00900030">
              <w:rPr>
                <w:rFonts w:ascii="Arial" w:hAnsi="Arial" w:cs="Arial"/>
                <w:color w:val="000000"/>
                <w:szCs w:val="24"/>
              </w:rPr>
              <w:t>ibrary</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-0.23</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Library Assistant (term time only)</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 xml:space="preserve">Kinlochleven </w:t>
            </w:r>
            <w:r>
              <w:rPr>
                <w:rFonts w:ascii="Arial" w:hAnsi="Arial" w:cs="Arial"/>
                <w:color w:val="000000"/>
                <w:szCs w:val="24"/>
              </w:rPr>
              <w:t>L</w:t>
            </w:r>
            <w:r w:rsidRPr="00900030">
              <w:rPr>
                <w:rFonts w:ascii="Arial" w:hAnsi="Arial" w:cs="Arial"/>
                <w:color w:val="000000"/>
                <w:szCs w:val="24"/>
              </w:rPr>
              <w:t>ibrary</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0.4</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Library Assistant (holidays only)</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 xml:space="preserve">Kinlochleven </w:t>
            </w:r>
            <w:r>
              <w:rPr>
                <w:rFonts w:ascii="Arial" w:hAnsi="Arial" w:cs="Arial"/>
                <w:color w:val="000000"/>
                <w:szCs w:val="24"/>
              </w:rPr>
              <w:t>L</w:t>
            </w:r>
            <w:r w:rsidRPr="00900030">
              <w:rPr>
                <w:rFonts w:ascii="Arial" w:hAnsi="Arial" w:cs="Arial"/>
                <w:color w:val="000000"/>
                <w:szCs w:val="24"/>
              </w:rPr>
              <w:t>ibrary</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0.06</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Leisure Assistant</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Thurso Swimming Pool</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-0.2</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Leisure Supervisor</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Thurso Swimming Pool</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0.79</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Leisure Assistant</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Thurso Swimming Pool</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1</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Leisure Assistant</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Thurso Swimming Pool</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1</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Leisure Assistant</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Thurso Swimming Pool</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0.5</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 xml:space="preserve">Activities Development Officer (temp 23 </w:t>
            </w:r>
            <w:proofErr w:type="spellStart"/>
            <w:r w:rsidRPr="00900030">
              <w:rPr>
                <w:rFonts w:ascii="Arial" w:hAnsi="Arial" w:cs="Arial"/>
                <w:color w:val="000000"/>
                <w:szCs w:val="24"/>
              </w:rPr>
              <w:t>mths</w:t>
            </w:r>
            <w:proofErr w:type="spellEnd"/>
            <w:r w:rsidRPr="00900030">
              <w:rPr>
                <w:rFonts w:ascii="Arial" w:hAnsi="Arial" w:cs="Arial"/>
                <w:color w:val="000000"/>
                <w:szCs w:val="24"/>
              </w:rPr>
              <w:t>)</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Old Library, Dingwall</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0.5</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 xml:space="preserve">Macmillan Project Development Officer (temp 23 </w:t>
            </w:r>
            <w:proofErr w:type="spellStart"/>
            <w:r w:rsidRPr="00900030">
              <w:rPr>
                <w:rFonts w:ascii="Arial" w:hAnsi="Arial" w:cs="Arial"/>
                <w:color w:val="000000"/>
                <w:szCs w:val="24"/>
              </w:rPr>
              <w:t>mths</w:t>
            </w:r>
            <w:proofErr w:type="spellEnd"/>
            <w:r w:rsidRPr="00900030">
              <w:rPr>
                <w:rFonts w:ascii="Arial" w:hAnsi="Arial" w:cs="Arial"/>
                <w:color w:val="000000"/>
                <w:szCs w:val="24"/>
              </w:rPr>
              <w:t>)</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Old Library, Dingwall</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1</w:t>
            </w:r>
          </w:p>
        </w:tc>
      </w:tr>
      <w:tr w:rsidR="00AB4988" w:rsidRPr="00900030" w:rsidTr="00AB4988">
        <w:trPr>
          <w:trHeight w:val="300"/>
          <w:jc w:val="center"/>
        </w:trPr>
        <w:tc>
          <w:tcPr>
            <w:tcW w:w="4151"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Adult Learning Support Worker (Syrians)</w:t>
            </w:r>
          </w:p>
        </w:tc>
        <w:tc>
          <w:tcPr>
            <w:tcW w:w="2694" w:type="dxa"/>
            <w:tcBorders>
              <w:top w:val="nil"/>
              <w:left w:val="nil"/>
              <w:bottom w:val="nil"/>
              <w:right w:val="nil"/>
            </w:tcBorders>
            <w:shd w:val="clear" w:color="auto" w:fill="auto"/>
            <w:noWrap/>
            <w:vAlign w:val="center"/>
            <w:hideMark/>
          </w:tcPr>
          <w:p w:rsidR="00AB4988" w:rsidRPr="00900030" w:rsidRDefault="00AB4988" w:rsidP="002A7039">
            <w:pPr>
              <w:rPr>
                <w:rFonts w:ascii="Arial" w:hAnsi="Arial" w:cs="Arial"/>
                <w:color w:val="000000"/>
                <w:szCs w:val="24"/>
              </w:rPr>
            </w:pPr>
            <w:r w:rsidRPr="00900030">
              <w:rPr>
                <w:rFonts w:ascii="Arial" w:hAnsi="Arial" w:cs="Arial"/>
                <w:color w:val="000000"/>
                <w:szCs w:val="24"/>
              </w:rPr>
              <w:t xml:space="preserve">Invergordon Arts </w:t>
            </w:r>
            <w:r>
              <w:rPr>
                <w:rFonts w:ascii="Arial" w:hAnsi="Arial" w:cs="Arial"/>
                <w:color w:val="000000"/>
                <w:szCs w:val="24"/>
              </w:rPr>
              <w:t>C</w:t>
            </w:r>
            <w:r w:rsidRPr="00900030">
              <w:rPr>
                <w:rFonts w:ascii="Arial" w:hAnsi="Arial" w:cs="Arial"/>
                <w:color w:val="000000"/>
                <w:szCs w:val="24"/>
              </w:rPr>
              <w:t>entre</w:t>
            </w:r>
          </w:p>
        </w:tc>
        <w:tc>
          <w:tcPr>
            <w:tcW w:w="1275" w:type="dxa"/>
            <w:tcBorders>
              <w:top w:val="nil"/>
              <w:left w:val="nil"/>
              <w:bottom w:val="nil"/>
              <w:right w:val="nil"/>
            </w:tcBorders>
            <w:shd w:val="clear" w:color="auto" w:fill="auto"/>
            <w:noWrap/>
            <w:vAlign w:val="center"/>
            <w:hideMark/>
          </w:tcPr>
          <w:p w:rsidR="00AB4988" w:rsidRPr="00900030" w:rsidRDefault="00AB4988" w:rsidP="00C8333C">
            <w:pPr>
              <w:jc w:val="right"/>
              <w:rPr>
                <w:rFonts w:ascii="Arial" w:hAnsi="Arial" w:cs="Arial"/>
                <w:color w:val="000000"/>
                <w:szCs w:val="24"/>
              </w:rPr>
            </w:pPr>
            <w:r w:rsidRPr="00900030">
              <w:rPr>
                <w:rFonts w:ascii="Arial" w:hAnsi="Arial" w:cs="Arial"/>
                <w:color w:val="000000"/>
                <w:szCs w:val="24"/>
              </w:rPr>
              <w:t>1</w:t>
            </w:r>
          </w:p>
        </w:tc>
      </w:tr>
      <w:tr w:rsidR="00C8333C" w:rsidRPr="00900030" w:rsidTr="00AB4988">
        <w:trPr>
          <w:trHeight w:val="300"/>
          <w:jc w:val="center"/>
        </w:trPr>
        <w:tc>
          <w:tcPr>
            <w:tcW w:w="4151" w:type="dxa"/>
            <w:tcBorders>
              <w:top w:val="nil"/>
              <w:left w:val="nil"/>
              <w:bottom w:val="nil"/>
              <w:right w:val="nil"/>
            </w:tcBorders>
            <w:shd w:val="clear" w:color="auto" w:fill="auto"/>
            <w:noWrap/>
            <w:vAlign w:val="center"/>
          </w:tcPr>
          <w:p w:rsidR="00C8333C" w:rsidRPr="00CA6AB3" w:rsidRDefault="00C8333C" w:rsidP="002A7039">
            <w:pPr>
              <w:rPr>
                <w:rFonts w:ascii="Arial" w:hAnsi="Arial" w:cs="Arial"/>
                <w:b/>
                <w:color w:val="000000"/>
                <w:szCs w:val="24"/>
              </w:rPr>
            </w:pPr>
            <w:r w:rsidRPr="00CA6AB3">
              <w:rPr>
                <w:rFonts w:ascii="Arial" w:hAnsi="Arial" w:cs="Arial"/>
                <w:b/>
                <w:color w:val="000000"/>
                <w:szCs w:val="24"/>
              </w:rPr>
              <w:t>TOTAL</w:t>
            </w:r>
          </w:p>
        </w:tc>
        <w:tc>
          <w:tcPr>
            <w:tcW w:w="2694" w:type="dxa"/>
            <w:tcBorders>
              <w:top w:val="nil"/>
              <w:left w:val="nil"/>
              <w:bottom w:val="nil"/>
              <w:right w:val="nil"/>
            </w:tcBorders>
            <w:shd w:val="clear" w:color="auto" w:fill="auto"/>
            <w:noWrap/>
            <w:vAlign w:val="center"/>
          </w:tcPr>
          <w:p w:rsidR="00C8333C" w:rsidRPr="00CA6AB3" w:rsidRDefault="00C8333C" w:rsidP="002A7039">
            <w:pPr>
              <w:rPr>
                <w:rFonts w:ascii="Arial" w:hAnsi="Arial" w:cs="Arial"/>
                <w:b/>
                <w:color w:val="000000"/>
                <w:szCs w:val="24"/>
              </w:rPr>
            </w:pPr>
          </w:p>
        </w:tc>
        <w:tc>
          <w:tcPr>
            <w:tcW w:w="1275" w:type="dxa"/>
            <w:tcBorders>
              <w:top w:val="nil"/>
              <w:left w:val="nil"/>
              <w:bottom w:val="nil"/>
              <w:right w:val="nil"/>
            </w:tcBorders>
            <w:shd w:val="clear" w:color="auto" w:fill="auto"/>
            <w:noWrap/>
            <w:vAlign w:val="center"/>
          </w:tcPr>
          <w:p w:rsidR="00C8333C" w:rsidRPr="00CA6AB3" w:rsidRDefault="00C8333C" w:rsidP="00C8333C">
            <w:pPr>
              <w:jc w:val="right"/>
              <w:rPr>
                <w:rFonts w:ascii="Arial" w:hAnsi="Arial" w:cs="Arial"/>
                <w:b/>
                <w:color w:val="000000"/>
                <w:szCs w:val="24"/>
              </w:rPr>
            </w:pPr>
            <w:r w:rsidRPr="00CA6AB3">
              <w:rPr>
                <w:rFonts w:ascii="Arial" w:hAnsi="Arial" w:cs="Arial"/>
                <w:b/>
                <w:color w:val="000000"/>
                <w:szCs w:val="24"/>
              </w:rPr>
              <w:t>6.53</w:t>
            </w:r>
          </w:p>
        </w:tc>
      </w:tr>
    </w:tbl>
    <w:p w:rsidR="00AB4988" w:rsidRPr="00AB4988" w:rsidRDefault="00AB4988">
      <w:pPr>
        <w:rPr>
          <w:rFonts w:ascii="Arial" w:hAnsi="Arial" w:cs="Arial"/>
          <w:b/>
          <w:szCs w:val="24"/>
        </w:rPr>
      </w:pPr>
    </w:p>
    <w:sectPr w:rsidR="00AB4988" w:rsidRPr="00AB4988" w:rsidSect="00544D61">
      <w:pgSz w:w="11906" w:h="16838"/>
      <w:pgMar w:top="851" w:right="1440" w:bottom="9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0F2" w:rsidRDefault="009430F2">
      <w:r>
        <w:separator/>
      </w:r>
    </w:p>
  </w:endnote>
  <w:endnote w:type="continuationSeparator" w:id="0">
    <w:p w:rsidR="009430F2" w:rsidRDefault="0094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0F2" w:rsidRDefault="009430F2">
      <w:r>
        <w:separator/>
      </w:r>
    </w:p>
  </w:footnote>
  <w:footnote w:type="continuationSeparator" w:id="0">
    <w:p w:rsidR="009430F2" w:rsidRDefault="00943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475"/>
    <w:multiLevelType w:val="hybridMultilevel"/>
    <w:tmpl w:val="4CEC4D5A"/>
    <w:lvl w:ilvl="0" w:tplc="F3B891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B65F8C"/>
    <w:multiLevelType w:val="hybridMultilevel"/>
    <w:tmpl w:val="92A6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C42018"/>
    <w:multiLevelType w:val="hybridMultilevel"/>
    <w:tmpl w:val="C972ABBA"/>
    <w:lvl w:ilvl="0" w:tplc="37B8F8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66399F"/>
    <w:multiLevelType w:val="hybridMultilevel"/>
    <w:tmpl w:val="4C42F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251A8A"/>
    <w:multiLevelType w:val="hybridMultilevel"/>
    <w:tmpl w:val="9B5CC960"/>
    <w:lvl w:ilvl="0" w:tplc="978C628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2A6253"/>
    <w:multiLevelType w:val="hybridMultilevel"/>
    <w:tmpl w:val="F80C8230"/>
    <w:lvl w:ilvl="0" w:tplc="37B8F8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AF16B7"/>
    <w:multiLevelType w:val="hybridMultilevel"/>
    <w:tmpl w:val="3510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6D1565"/>
    <w:multiLevelType w:val="hybridMultilevel"/>
    <w:tmpl w:val="33FA822C"/>
    <w:lvl w:ilvl="0" w:tplc="FB64B8B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0377F9"/>
    <w:multiLevelType w:val="hybridMultilevel"/>
    <w:tmpl w:val="A39C3E6C"/>
    <w:lvl w:ilvl="0" w:tplc="62F274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3E6795"/>
    <w:multiLevelType w:val="hybridMultilevel"/>
    <w:tmpl w:val="0AC0DCBE"/>
    <w:lvl w:ilvl="0" w:tplc="31EEC2E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383B1D"/>
    <w:multiLevelType w:val="hybridMultilevel"/>
    <w:tmpl w:val="027CBE34"/>
    <w:lvl w:ilvl="0" w:tplc="37B8F8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E11B25"/>
    <w:multiLevelType w:val="hybridMultilevel"/>
    <w:tmpl w:val="72A0CC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866ED6"/>
    <w:multiLevelType w:val="hybridMultilevel"/>
    <w:tmpl w:val="72A0CC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DE1F53"/>
    <w:multiLevelType w:val="hybridMultilevel"/>
    <w:tmpl w:val="B1AEFB28"/>
    <w:lvl w:ilvl="0" w:tplc="6C0EBD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9E74D3"/>
    <w:multiLevelType w:val="hybridMultilevel"/>
    <w:tmpl w:val="498CF234"/>
    <w:lvl w:ilvl="0" w:tplc="02B2CFF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FC615C"/>
    <w:multiLevelType w:val="hybridMultilevel"/>
    <w:tmpl w:val="C8D0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FB7D8A"/>
    <w:multiLevelType w:val="hybridMultilevel"/>
    <w:tmpl w:val="3B965A8A"/>
    <w:lvl w:ilvl="0" w:tplc="C96EF4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D124EB"/>
    <w:multiLevelType w:val="hybridMultilevel"/>
    <w:tmpl w:val="40044EBC"/>
    <w:lvl w:ilvl="0" w:tplc="842AB41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C153F1"/>
    <w:multiLevelType w:val="hybridMultilevel"/>
    <w:tmpl w:val="BB646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D37394"/>
    <w:multiLevelType w:val="hybridMultilevel"/>
    <w:tmpl w:val="818C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CC4A71"/>
    <w:multiLevelType w:val="hybridMultilevel"/>
    <w:tmpl w:val="1C56542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B183A61"/>
    <w:multiLevelType w:val="hybridMultilevel"/>
    <w:tmpl w:val="97E4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88638F"/>
    <w:multiLevelType w:val="hybridMultilevel"/>
    <w:tmpl w:val="72A0CC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661E2F"/>
    <w:multiLevelType w:val="hybridMultilevel"/>
    <w:tmpl w:val="674426C0"/>
    <w:lvl w:ilvl="0" w:tplc="64D0D6E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F5E49C0"/>
    <w:multiLevelType w:val="hybridMultilevel"/>
    <w:tmpl w:val="09EE2E56"/>
    <w:lvl w:ilvl="0" w:tplc="7EEA4FB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7275B1"/>
    <w:multiLevelType w:val="hybridMultilevel"/>
    <w:tmpl w:val="B506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AD0F48"/>
    <w:multiLevelType w:val="hybridMultilevel"/>
    <w:tmpl w:val="F6B882BE"/>
    <w:lvl w:ilvl="0" w:tplc="5212CD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9"/>
  </w:num>
  <w:num w:numId="3">
    <w:abstractNumId w:val="6"/>
  </w:num>
  <w:num w:numId="4">
    <w:abstractNumId w:val="22"/>
  </w:num>
  <w:num w:numId="5">
    <w:abstractNumId w:val="11"/>
  </w:num>
  <w:num w:numId="6">
    <w:abstractNumId w:val="12"/>
  </w:num>
  <w:num w:numId="7">
    <w:abstractNumId w:val="20"/>
  </w:num>
  <w:num w:numId="8">
    <w:abstractNumId w:val="15"/>
  </w:num>
  <w:num w:numId="9">
    <w:abstractNumId w:val="26"/>
  </w:num>
  <w:num w:numId="10">
    <w:abstractNumId w:val="3"/>
  </w:num>
  <w:num w:numId="11">
    <w:abstractNumId w:val="5"/>
  </w:num>
  <w:num w:numId="12">
    <w:abstractNumId w:val="17"/>
  </w:num>
  <w:num w:numId="13">
    <w:abstractNumId w:val="2"/>
  </w:num>
  <w:num w:numId="14">
    <w:abstractNumId w:val="10"/>
  </w:num>
  <w:num w:numId="15">
    <w:abstractNumId w:val="18"/>
  </w:num>
  <w:num w:numId="16">
    <w:abstractNumId w:val="27"/>
  </w:num>
  <w:num w:numId="17">
    <w:abstractNumId w:val="24"/>
  </w:num>
  <w:num w:numId="18">
    <w:abstractNumId w:val="16"/>
  </w:num>
  <w:num w:numId="19">
    <w:abstractNumId w:val="23"/>
  </w:num>
  <w:num w:numId="20">
    <w:abstractNumId w:val="4"/>
  </w:num>
  <w:num w:numId="21">
    <w:abstractNumId w:val="0"/>
  </w:num>
  <w:num w:numId="22">
    <w:abstractNumId w:val="8"/>
  </w:num>
  <w:num w:numId="23">
    <w:abstractNumId w:val="13"/>
  </w:num>
  <w:num w:numId="24">
    <w:abstractNumId w:val="14"/>
  </w:num>
  <w:num w:numId="25">
    <w:abstractNumId w:val="7"/>
  </w:num>
  <w:num w:numId="26">
    <w:abstractNumId w:val="21"/>
  </w:num>
  <w:num w:numId="27">
    <w:abstractNumId w:val="1"/>
  </w:num>
  <w:num w:numId="2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04D29"/>
    <w:rsid w:val="000125A3"/>
    <w:rsid w:val="00015F4F"/>
    <w:rsid w:val="00017D2E"/>
    <w:rsid w:val="00026EA5"/>
    <w:rsid w:val="0003553F"/>
    <w:rsid w:val="00050D79"/>
    <w:rsid w:val="00053FE4"/>
    <w:rsid w:val="00054DE1"/>
    <w:rsid w:val="000764B4"/>
    <w:rsid w:val="00077197"/>
    <w:rsid w:val="000817F9"/>
    <w:rsid w:val="0008795E"/>
    <w:rsid w:val="00097529"/>
    <w:rsid w:val="000975F9"/>
    <w:rsid w:val="000B0D29"/>
    <w:rsid w:val="000B6190"/>
    <w:rsid w:val="000B744A"/>
    <w:rsid w:val="000C6FDE"/>
    <w:rsid w:val="000C71AB"/>
    <w:rsid w:val="000D0794"/>
    <w:rsid w:val="000D245B"/>
    <w:rsid w:val="000D5427"/>
    <w:rsid w:val="000D620F"/>
    <w:rsid w:val="000E00E2"/>
    <w:rsid w:val="000E0C6D"/>
    <w:rsid w:val="000E5B8A"/>
    <w:rsid w:val="000E6453"/>
    <w:rsid w:val="000F274B"/>
    <w:rsid w:val="000F5A33"/>
    <w:rsid w:val="000F6071"/>
    <w:rsid w:val="000F6FD8"/>
    <w:rsid w:val="000F7512"/>
    <w:rsid w:val="000F78D3"/>
    <w:rsid w:val="001065FE"/>
    <w:rsid w:val="001072B4"/>
    <w:rsid w:val="0010757C"/>
    <w:rsid w:val="001100A3"/>
    <w:rsid w:val="00116689"/>
    <w:rsid w:val="00120225"/>
    <w:rsid w:val="00124C17"/>
    <w:rsid w:val="00132839"/>
    <w:rsid w:val="00141185"/>
    <w:rsid w:val="00144164"/>
    <w:rsid w:val="001448BE"/>
    <w:rsid w:val="00153171"/>
    <w:rsid w:val="0015326F"/>
    <w:rsid w:val="00177A7B"/>
    <w:rsid w:val="00186DF3"/>
    <w:rsid w:val="00190BC9"/>
    <w:rsid w:val="00192FBE"/>
    <w:rsid w:val="001A7AF1"/>
    <w:rsid w:val="001B1FC0"/>
    <w:rsid w:val="001B55F1"/>
    <w:rsid w:val="001C15DE"/>
    <w:rsid w:val="001C29E2"/>
    <w:rsid w:val="001C41BF"/>
    <w:rsid w:val="001D1D38"/>
    <w:rsid w:val="001D2FE9"/>
    <w:rsid w:val="001D541F"/>
    <w:rsid w:val="001E41AE"/>
    <w:rsid w:val="002029D7"/>
    <w:rsid w:val="00220164"/>
    <w:rsid w:val="00220978"/>
    <w:rsid w:val="002245D8"/>
    <w:rsid w:val="00227DC9"/>
    <w:rsid w:val="00232563"/>
    <w:rsid w:val="0024033E"/>
    <w:rsid w:val="00241F01"/>
    <w:rsid w:val="00247212"/>
    <w:rsid w:val="00261D72"/>
    <w:rsid w:val="00261E11"/>
    <w:rsid w:val="00262480"/>
    <w:rsid w:val="00263F37"/>
    <w:rsid w:val="002654E9"/>
    <w:rsid w:val="00265F13"/>
    <w:rsid w:val="00277B5F"/>
    <w:rsid w:val="002829AC"/>
    <w:rsid w:val="00286A03"/>
    <w:rsid w:val="002967A3"/>
    <w:rsid w:val="002A1B27"/>
    <w:rsid w:val="002A5188"/>
    <w:rsid w:val="002B36C8"/>
    <w:rsid w:val="002B7DC4"/>
    <w:rsid w:val="002D1539"/>
    <w:rsid w:val="002D5EDE"/>
    <w:rsid w:val="002D7DD6"/>
    <w:rsid w:val="002E6C9F"/>
    <w:rsid w:val="002E7918"/>
    <w:rsid w:val="002F215D"/>
    <w:rsid w:val="002F4DC9"/>
    <w:rsid w:val="00303143"/>
    <w:rsid w:val="00304F4D"/>
    <w:rsid w:val="003114C4"/>
    <w:rsid w:val="00313EC9"/>
    <w:rsid w:val="00325295"/>
    <w:rsid w:val="0032786E"/>
    <w:rsid w:val="00344062"/>
    <w:rsid w:val="00344849"/>
    <w:rsid w:val="0034569A"/>
    <w:rsid w:val="00345B42"/>
    <w:rsid w:val="00347734"/>
    <w:rsid w:val="00354C5E"/>
    <w:rsid w:val="003551D4"/>
    <w:rsid w:val="00356B53"/>
    <w:rsid w:val="00360402"/>
    <w:rsid w:val="003649D9"/>
    <w:rsid w:val="003702A5"/>
    <w:rsid w:val="00371EFA"/>
    <w:rsid w:val="00372702"/>
    <w:rsid w:val="00373E7E"/>
    <w:rsid w:val="00380A34"/>
    <w:rsid w:val="00380CDF"/>
    <w:rsid w:val="00381B81"/>
    <w:rsid w:val="0038355A"/>
    <w:rsid w:val="003917DC"/>
    <w:rsid w:val="0039450A"/>
    <w:rsid w:val="003964ED"/>
    <w:rsid w:val="003A069E"/>
    <w:rsid w:val="003B62D6"/>
    <w:rsid w:val="003C4EA9"/>
    <w:rsid w:val="003C7AFE"/>
    <w:rsid w:val="003D2CBE"/>
    <w:rsid w:val="003D5C03"/>
    <w:rsid w:val="003E0170"/>
    <w:rsid w:val="003F321A"/>
    <w:rsid w:val="00407982"/>
    <w:rsid w:val="004115FF"/>
    <w:rsid w:val="00416BFF"/>
    <w:rsid w:val="0042698E"/>
    <w:rsid w:val="00432FF9"/>
    <w:rsid w:val="004375DD"/>
    <w:rsid w:val="004403F8"/>
    <w:rsid w:val="004438C9"/>
    <w:rsid w:val="00444E77"/>
    <w:rsid w:val="00445A72"/>
    <w:rsid w:val="0045580C"/>
    <w:rsid w:val="00455913"/>
    <w:rsid w:val="0045618C"/>
    <w:rsid w:val="00460DE4"/>
    <w:rsid w:val="00462977"/>
    <w:rsid w:val="00465229"/>
    <w:rsid w:val="00466CDA"/>
    <w:rsid w:val="00474274"/>
    <w:rsid w:val="00477C58"/>
    <w:rsid w:val="0048062D"/>
    <w:rsid w:val="004843C9"/>
    <w:rsid w:val="00484E83"/>
    <w:rsid w:val="004A5372"/>
    <w:rsid w:val="004A5E30"/>
    <w:rsid w:val="004A7F5F"/>
    <w:rsid w:val="004B2287"/>
    <w:rsid w:val="004B7E68"/>
    <w:rsid w:val="004C3A30"/>
    <w:rsid w:val="004C4336"/>
    <w:rsid w:val="004D02E4"/>
    <w:rsid w:val="004D6EED"/>
    <w:rsid w:val="004D776E"/>
    <w:rsid w:val="004E08EF"/>
    <w:rsid w:val="004E241D"/>
    <w:rsid w:val="004E5019"/>
    <w:rsid w:val="004F08B1"/>
    <w:rsid w:val="004F2C6F"/>
    <w:rsid w:val="004F64EA"/>
    <w:rsid w:val="00501B18"/>
    <w:rsid w:val="00503FD6"/>
    <w:rsid w:val="005047A4"/>
    <w:rsid w:val="005047F6"/>
    <w:rsid w:val="0050754F"/>
    <w:rsid w:val="0051080D"/>
    <w:rsid w:val="0051107E"/>
    <w:rsid w:val="00511496"/>
    <w:rsid w:val="005123FB"/>
    <w:rsid w:val="005179D9"/>
    <w:rsid w:val="00521295"/>
    <w:rsid w:val="005258F0"/>
    <w:rsid w:val="00526DF1"/>
    <w:rsid w:val="0053594A"/>
    <w:rsid w:val="00544A3E"/>
    <w:rsid w:val="00544D61"/>
    <w:rsid w:val="005540B4"/>
    <w:rsid w:val="0055493F"/>
    <w:rsid w:val="00555643"/>
    <w:rsid w:val="00563DC7"/>
    <w:rsid w:val="00571965"/>
    <w:rsid w:val="00576B2E"/>
    <w:rsid w:val="00581032"/>
    <w:rsid w:val="00590C36"/>
    <w:rsid w:val="00592F39"/>
    <w:rsid w:val="0059426B"/>
    <w:rsid w:val="005950EE"/>
    <w:rsid w:val="005C565B"/>
    <w:rsid w:val="005C6B41"/>
    <w:rsid w:val="005C76D1"/>
    <w:rsid w:val="005C7755"/>
    <w:rsid w:val="005D450E"/>
    <w:rsid w:val="005D4C2B"/>
    <w:rsid w:val="005D58DB"/>
    <w:rsid w:val="005D6F6C"/>
    <w:rsid w:val="005E23D5"/>
    <w:rsid w:val="005E442C"/>
    <w:rsid w:val="005E5FCC"/>
    <w:rsid w:val="005E74DC"/>
    <w:rsid w:val="005E77BC"/>
    <w:rsid w:val="005F09BC"/>
    <w:rsid w:val="005F24B2"/>
    <w:rsid w:val="005F268F"/>
    <w:rsid w:val="005F4B50"/>
    <w:rsid w:val="0060090F"/>
    <w:rsid w:val="00600CE7"/>
    <w:rsid w:val="00605C08"/>
    <w:rsid w:val="00610457"/>
    <w:rsid w:val="006130E7"/>
    <w:rsid w:val="006207E6"/>
    <w:rsid w:val="00623941"/>
    <w:rsid w:val="006314BD"/>
    <w:rsid w:val="00647FE6"/>
    <w:rsid w:val="00660A42"/>
    <w:rsid w:val="00663093"/>
    <w:rsid w:val="006658B6"/>
    <w:rsid w:val="00665BD4"/>
    <w:rsid w:val="0067538A"/>
    <w:rsid w:val="00682545"/>
    <w:rsid w:val="00690634"/>
    <w:rsid w:val="006925F5"/>
    <w:rsid w:val="00693BFC"/>
    <w:rsid w:val="00694065"/>
    <w:rsid w:val="006A1248"/>
    <w:rsid w:val="006A164D"/>
    <w:rsid w:val="006A3AC2"/>
    <w:rsid w:val="006A7897"/>
    <w:rsid w:val="006B06E6"/>
    <w:rsid w:val="006B3C26"/>
    <w:rsid w:val="006B6421"/>
    <w:rsid w:val="006C09E9"/>
    <w:rsid w:val="006C0AEA"/>
    <w:rsid w:val="006C2F41"/>
    <w:rsid w:val="006D0028"/>
    <w:rsid w:val="006D3293"/>
    <w:rsid w:val="006D44D7"/>
    <w:rsid w:val="006F4934"/>
    <w:rsid w:val="006F5801"/>
    <w:rsid w:val="006F5F8F"/>
    <w:rsid w:val="00703673"/>
    <w:rsid w:val="007053BE"/>
    <w:rsid w:val="00705B99"/>
    <w:rsid w:val="00707C87"/>
    <w:rsid w:val="00711367"/>
    <w:rsid w:val="00717E7E"/>
    <w:rsid w:val="00720B5B"/>
    <w:rsid w:val="007214D1"/>
    <w:rsid w:val="00721569"/>
    <w:rsid w:val="00725270"/>
    <w:rsid w:val="00726B31"/>
    <w:rsid w:val="00727D67"/>
    <w:rsid w:val="007310D7"/>
    <w:rsid w:val="00731E93"/>
    <w:rsid w:val="00742B9E"/>
    <w:rsid w:val="0074360E"/>
    <w:rsid w:val="00751A5C"/>
    <w:rsid w:val="00754394"/>
    <w:rsid w:val="00755820"/>
    <w:rsid w:val="00766BAD"/>
    <w:rsid w:val="00766EF9"/>
    <w:rsid w:val="00772596"/>
    <w:rsid w:val="00776348"/>
    <w:rsid w:val="00782718"/>
    <w:rsid w:val="00784401"/>
    <w:rsid w:val="0078733B"/>
    <w:rsid w:val="00791D36"/>
    <w:rsid w:val="00794A0C"/>
    <w:rsid w:val="007A2F50"/>
    <w:rsid w:val="007A3904"/>
    <w:rsid w:val="007B3C3E"/>
    <w:rsid w:val="007B3DC7"/>
    <w:rsid w:val="007B64B5"/>
    <w:rsid w:val="007C13C5"/>
    <w:rsid w:val="007C60A1"/>
    <w:rsid w:val="007C7B5A"/>
    <w:rsid w:val="007D4675"/>
    <w:rsid w:val="007E7860"/>
    <w:rsid w:val="007F17B4"/>
    <w:rsid w:val="007F57B7"/>
    <w:rsid w:val="007F78AE"/>
    <w:rsid w:val="00804BA5"/>
    <w:rsid w:val="00805D7B"/>
    <w:rsid w:val="00810982"/>
    <w:rsid w:val="00823029"/>
    <w:rsid w:val="00825FD9"/>
    <w:rsid w:val="00826907"/>
    <w:rsid w:val="00830CD4"/>
    <w:rsid w:val="00834E2D"/>
    <w:rsid w:val="00841643"/>
    <w:rsid w:val="0084209E"/>
    <w:rsid w:val="00843EEF"/>
    <w:rsid w:val="00847811"/>
    <w:rsid w:val="00896987"/>
    <w:rsid w:val="008A1F14"/>
    <w:rsid w:val="008A57F3"/>
    <w:rsid w:val="008B4E68"/>
    <w:rsid w:val="008C03E3"/>
    <w:rsid w:val="008C1B47"/>
    <w:rsid w:val="008C3C98"/>
    <w:rsid w:val="008D61AA"/>
    <w:rsid w:val="008E3C2A"/>
    <w:rsid w:val="008F41D8"/>
    <w:rsid w:val="008F5A22"/>
    <w:rsid w:val="008F66E6"/>
    <w:rsid w:val="008F74CA"/>
    <w:rsid w:val="00905E89"/>
    <w:rsid w:val="00912498"/>
    <w:rsid w:val="00920271"/>
    <w:rsid w:val="00920970"/>
    <w:rsid w:val="00924053"/>
    <w:rsid w:val="00935BDF"/>
    <w:rsid w:val="00941073"/>
    <w:rsid w:val="009430F2"/>
    <w:rsid w:val="009526B8"/>
    <w:rsid w:val="00962E81"/>
    <w:rsid w:val="00985181"/>
    <w:rsid w:val="00985DE5"/>
    <w:rsid w:val="00987DFB"/>
    <w:rsid w:val="00990CFB"/>
    <w:rsid w:val="00991247"/>
    <w:rsid w:val="00995C74"/>
    <w:rsid w:val="0099723B"/>
    <w:rsid w:val="009A2020"/>
    <w:rsid w:val="009C0A57"/>
    <w:rsid w:val="009C1F2A"/>
    <w:rsid w:val="009C631C"/>
    <w:rsid w:val="009C6666"/>
    <w:rsid w:val="009C6DDB"/>
    <w:rsid w:val="009C7634"/>
    <w:rsid w:val="009C77CF"/>
    <w:rsid w:val="009D3236"/>
    <w:rsid w:val="009D691A"/>
    <w:rsid w:val="009D6A45"/>
    <w:rsid w:val="009D7511"/>
    <w:rsid w:val="009E0A66"/>
    <w:rsid w:val="009E1C50"/>
    <w:rsid w:val="009E7291"/>
    <w:rsid w:val="009E7E1D"/>
    <w:rsid w:val="009F0139"/>
    <w:rsid w:val="009F4896"/>
    <w:rsid w:val="00A01760"/>
    <w:rsid w:val="00A035C1"/>
    <w:rsid w:val="00A03B68"/>
    <w:rsid w:val="00A06051"/>
    <w:rsid w:val="00A067FA"/>
    <w:rsid w:val="00A06F5D"/>
    <w:rsid w:val="00A1003D"/>
    <w:rsid w:val="00A105B9"/>
    <w:rsid w:val="00A15484"/>
    <w:rsid w:val="00A1733F"/>
    <w:rsid w:val="00A252F3"/>
    <w:rsid w:val="00A265AA"/>
    <w:rsid w:val="00A27D3B"/>
    <w:rsid w:val="00A3006B"/>
    <w:rsid w:val="00A44B54"/>
    <w:rsid w:val="00A44C7B"/>
    <w:rsid w:val="00A45F54"/>
    <w:rsid w:val="00A47A09"/>
    <w:rsid w:val="00A506DE"/>
    <w:rsid w:val="00A60358"/>
    <w:rsid w:val="00A701E8"/>
    <w:rsid w:val="00A813FC"/>
    <w:rsid w:val="00A8159A"/>
    <w:rsid w:val="00A852FC"/>
    <w:rsid w:val="00A95347"/>
    <w:rsid w:val="00AA15DA"/>
    <w:rsid w:val="00AA6A6A"/>
    <w:rsid w:val="00AB2B69"/>
    <w:rsid w:val="00AB3D83"/>
    <w:rsid w:val="00AB4988"/>
    <w:rsid w:val="00AC5BBD"/>
    <w:rsid w:val="00AD0D67"/>
    <w:rsid w:val="00AD33D1"/>
    <w:rsid w:val="00AE3455"/>
    <w:rsid w:val="00AE44B9"/>
    <w:rsid w:val="00AF02B6"/>
    <w:rsid w:val="00AF5408"/>
    <w:rsid w:val="00B0019E"/>
    <w:rsid w:val="00B06F13"/>
    <w:rsid w:val="00B15C2E"/>
    <w:rsid w:val="00B21BA2"/>
    <w:rsid w:val="00B237C2"/>
    <w:rsid w:val="00B26FB4"/>
    <w:rsid w:val="00B32ECC"/>
    <w:rsid w:val="00B356DC"/>
    <w:rsid w:val="00B35E26"/>
    <w:rsid w:val="00B4511E"/>
    <w:rsid w:val="00B50D69"/>
    <w:rsid w:val="00B50E9D"/>
    <w:rsid w:val="00B56CDC"/>
    <w:rsid w:val="00B6149F"/>
    <w:rsid w:val="00B76CAE"/>
    <w:rsid w:val="00B84929"/>
    <w:rsid w:val="00B86838"/>
    <w:rsid w:val="00B87B5D"/>
    <w:rsid w:val="00B90704"/>
    <w:rsid w:val="00BA01AD"/>
    <w:rsid w:val="00BA0979"/>
    <w:rsid w:val="00BA2BC7"/>
    <w:rsid w:val="00BB4A08"/>
    <w:rsid w:val="00BC1EB4"/>
    <w:rsid w:val="00BD7355"/>
    <w:rsid w:val="00BE477C"/>
    <w:rsid w:val="00BE6360"/>
    <w:rsid w:val="00C02142"/>
    <w:rsid w:val="00C14B28"/>
    <w:rsid w:val="00C15B6B"/>
    <w:rsid w:val="00C173F4"/>
    <w:rsid w:val="00C214F8"/>
    <w:rsid w:val="00C3461A"/>
    <w:rsid w:val="00C351C8"/>
    <w:rsid w:val="00C360E6"/>
    <w:rsid w:val="00C44DE0"/>
    <w:rsid w:val="00C456FE"/>
    <w:rsid w:val="00C55881"/>
    <w:rsid w:val="00C60663"/>
    <w:rsid w:val="00C61237"/>
    <w:rsid w:val="00C71EF3"/>
    <w:rsid w:val="00C72B73"/>
    <w:rsid w:val="00C75691"/>
    <w:rsid w:val="00C8005D"/>
    <w:rsid w:val="00C8211A"/>
    <w:rsid w:val="00C82A93"/>
    <w:rsid w:val="00C8333C"/>
    <w:rsid w:val="00C973BB"/>
    <w:rsid w:val="00C978E0"/>
    <w:rsid w:val="00CA4B02"/>
    <w:rsid w:val="00CA6AB3"/>
    <w:rsid w:val="00CB5374"/>
    <w:rsid w:val="00CB56B9"/>
    <w:rsid w:val="00CB7017"/>
    <w:rsid w:val="00CE68AE"/>
    <w:rsid w:val="00D00618"/>
    <w:rsid w:val="00D03451"/>
    <w:rsid w:val="00D038C4"/>
    <w:rsid w:val="00D11FA1"/>
    <w:rsid w:val="00D12180"/>
    <w:rsid w:val="00D20EFC"/>
    <w:rsid w:val="00D230BF"/>
    <w:rsid w:val="00D23370"/>
    <w:rsid w:val="00D23435"/>
    <w:rsid w:val="00D30472"/>
    <w:rsid w:val="00D3078D"/>
    <w:rsid w:val="00D45787"/>
    <w:rsid w:val="00D4627A"/>
    <w:rsid w:val="00D46356"/>
    <w:rsid w:val="00D57CDF"/>
    <w:rsid w:val="00D6031D"/>
    <w:rsid w:val="00D604A7"/>
    <w:rsid w:val="00D658D1"/>
    <w:rsid w:val="00D65A67"/>
    <w:rsid w:val="00D66EB1"/>
    <w:rsid w:val="00D66EB7"/>
    <w:rsid w:val="00D75FE6"/>
    <w:rsid w:val="00D75FFC"/>
    <w:rsid w:val="00D842DB"/>
    <w:rsid w:val="00D906F4"/>
    <w:rsid w:val="00D92CE0"/>
    <w:rsid w:val="00D93D96"/>
    <w:rsid w:val="00DA1988"/>
    <w:rsid w:val="00DB3601"/>
    <w:rsid w:val="00DB3CD6"/>
    <w:rsid w:val="00DC01DD"/>
    <w:rsid w:val="00DC17DA"/>
    <w:rsid w:val="00DC4937"/>
    <w:rsid w:val="00DD0516"/>
    <w:rsid w:val="00DD5D75"/>
    <w:rsid w:val="00DD614F"/>
    <w:rsid w:val="00DE07A3"/>
    <w:rsid w:val="00DE1942"/>
    <w:rsid w:val="00DE1E6C"/>
    <w:rsid w:val="00DE2B44"/>
    <w:rsid w:val="00DE2E0D"/>
    <w:rsid w:val="00DE5F32"/>
    <w:rsid w:val="00DF1F68"/>
    <w:rsid w:val="00DF3520"/>
    <w:rsid w:val="00DF55D6"/>
    <w:rsid w:val="00DF6E1D"/>
    <w:rsid w:val="00E0196C"/>
    <w:rsid w:val="00E04193"/>
    <w:rsid w:val="00E10E07"/>
    <w:rsid w:val="00E11B89"/>
    <w:rsid w:val="00E11BD9"/>
    <w:rsid w:val="00E16021"/>
    <w:rsid w:val="00E216D0"/>
    <w:rsid w:val="00E25B8B"/>
    <w:rsid w:val="00E25FDA"/>
    <w:rsid w:val="00E3069B"/>
    <w:rsid w:val="00E345B1"/>
    <w:rsid w:val="00E355EE"/>
    <w:rsid w:val="00E45F94"/>
    <w:rsid w:val="00E523CD"/>
    <w:rsid w:val="00E52B44"/>
    <w:rsid w:val="00E52BA0"/>
    <w:rsid w:val="00E66429"/>
    <w:rsid w:val="00E74E2C"/>
    <w:rsid w:val="00E75F39"/>
    <w:rsid w:val="00E75F6B"/>
    <w:rsid w:val="00E92F59"/>
    <w:rsid w:val="00EA6559"/>
    <w:rsid w:val="00EA6C6E"/>
    <w:rsid w:val="00EB228F"/>
    <w:rsid w:val="00EC095C"/>
    <w:rsid w:val="00EC259F"/>
    <w:rsid w:val="00EC47E3"/>
    <w:rsid w:val="00EC6323"/>
    <w:rsid w:val="00ED2EFE"/>
    <w:rsid w:val="00ED6A31"/>
    <w:rsid w:val="00ED7383"/>
    <w:rsid w:val="00EE4C7B"/>
    <w:rsid w:val="00EE63AE"/>
    <w:rsid w:val="00EF3BF8"/>
    <w:rsid w:val="00EF45E6"/>
    <w:rsid w:val="00EF4F9D"/>
    <w:rsid w:val="00F00F06"/>
    <w:rsid w:val="00F06261"/>
    <w:rsid w:val="00F1364E"/>
    <w:rsid w:val="00F20271"/>
    <w:rsid w:val="00F2111F"/>
    <w:rsid w:val="00F25E7E"/>
    <w:rsid w:val="00F32954"/>
    <w:rsid w:val="00F42CF3"/>
    <w:rsid w:val="00F469C4"/>
    <w:rsid w:val="00F503ED"/>
    <w:rsid w:val="00F55F2F"/>
    <w:rsid w:val="00F63E64"/>
    <w:rsid w:val="00F76AA4"/>
    <w:rsid w:val="00F77121"/>
    <w:rsid w:val="00F858E0"/>
    <w:rsid w:val="00FA053D"/>
    <w:rsid w:val="00FA5259"/>
    <w:rsid w:val="00FA5C28"/>
    <w:rsid w:val="00FA7DA7"/>
    <w:rsid w:val="00FB0F87"/>
    <w:rsid w:val="00FB17D4"/>
    <w:rsid w:val="00FB7551"/>
    <w:rsid w:val="00FC0CB0"/>
    <w:rsid w:val="00FC1D3E"/>
    <w:rsid w:val="00FC2545"/>
    <w:rsid w:val="00FC2B80"/>
    <w:rsid w:val="00FD2BFB"/>
    <w:rsid w:val="00FD3F7E"/>
    <w:rsid w:val="00FE4D79"/>
    <w:rsid w:val="00FE65CF"/>
    <w:rsid w:val="00FF110F"/>
    <w:rsid w:val="00FF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0B6190"/>
    <w:pPr>
      <w:spacing w:after="160" w:line="240" w:lineRule="exact"/>
    </w:pPr>
    <w:rPr>
      <w:rFonts w:ascii="Verdana" w:hAnsi="Verdana"/>
      <w:b/>
      <w:sz w:val="20"/>
      <w:lang w:val="en-US" w:eastAsia="en-US"/>
    </w:rPr>
  </w:style>
  <w:style w:type="paragraph" w:customStyle="1" w:styleId="Default">
    <w:name w:val="Default"/>
    <w:rsid w:val="000B619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9D751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0B6190"/>
    <w:pPr>
      <w:spacing w:after="160" w:line="240" w:lineRule="exact"/>
    </w:pPr>
    <w:rPr>
      <w:rFonts w:ascii="Verdana" w:hAnsi="Verdana"/>
      <w:b/>
      <w:sz w:val="20"/>
      <w:lang w:val="en-US" w:eastAsia="en-US"/>
    </w:rPr>
  </w:style>
  <w:style w:type="paragraph" w:customStyle="1" w:styleId="Default">
    <w:name w:val="Default"/>
    <w:rsid w:val="000B619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9D75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273640247">
      <w:bodyDiv w:val="1"/>
      <w:marLeft w:val="0"/>
      <w:marRight w:val="0"/>
      <w:marTop w:val="0"/>
      <w:marBottom w:val="0"/>
      <w:divBdr>
        <w:top w:val="none" w:sz="0" w:space="0" w:color="auto"/>
        <w:left w:val="none" w:sz="0" w:space="0" w:color="auto"/>
        <w:bottom w:val="none" w:sz="0" w:space="0" w:color="auto"/>
        <w:right w:val="none" w:sz="0" w:space="0" w:color="auto"/>
      </w:divBdr>
    </w:div>
    <w:div w:id="308294205">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508452244">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944724699">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965308548">
      <w:bodyDiv w:val="1"/>
      <w:marLeft w:val="0"/>
      <w:marRight w:val="0"/>
      <w:marTop w:val="0"/>
      <w:marBottom w:val="0"/>
      <w:divBdr>
        <w:top w:val="none" w:sz="0" w:space="0" w:color="auto"/>
        <w:left w:val="none" w:sz="0" w:space="0" w:color="auto"/>
        <w:bottom w:val="none" w:sz="0" w:space="0" w:color="auto"/>
        <w:right w:val="none" w:sz="0" w:space="0" w:color="auto"/>
      </w:divBdr>
    </w:div>
    <w:div w:id="1495100710">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 w:id="19141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EEFE-5E6E-40BB-9B05-9E69CFE9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1102</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Jane Maclennan</cp:lastModifiedBy>
  <cp:revision>21</cp:revision>
  <cp:lastPrinted>2018-03-13T15:57:00Z</cp:lastPrinted>
  <dcterms:created xsi:type="dcterms:W3CDTF">2018-02-21T09:35:00Z</dcterms:created>
  <dcterms:modified xsi:type="dcterms:W3CDTF">2018-03-13T15:58:00Z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-1009771134</vt:i4>
  </property>
  <property fmtid="{D5CDD505-2E9C-101B-9397-08002B2CF9AE}" pid="3" name="_NewReviewCycle">
    <vt:lpwstr/>
  </property>
  <property fmtid="{D5CDD505-2E9C-101B-9397-08002B2CF9AE}" pid="4" name="_EmailSubject">
    <vt:lpwstr>HLH BOARD - AGENDA AND PAPERS FOR WEBSITES</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1902912727</vt:i4>
  </property>
</Properties>
</file>