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r w:rsidRPr="0089449E">
                <w:rPr>
                  <w:rFonts w:ascii="Arial" w:hAnsi="Arial" w:cs="Arial"/>
                  <w:szCs w:val="24"/>
                </w:rPr>
                <w:t>LIFE</w:t>
              </w:r>
            </w:smartTag>
            <w:r w:rsidRPr="0089449E">
              <w:rPr>
                <w:rFonts w:ascii="Arial" w:hAnsi="Arial" w:cs="Arial"/>
                <w:szCs w:val="24"/>
              </w:rPr>
              <w:t xml:space="preserve">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BB271A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 April</w:t>
            </w:r>
            <w:r w:rsidR="001C4B5C">
              <w:rPr>
                <w:rFonts w:ascii="Arial" w:hAnsi="Arial" w:cs="Arial"/>
                <w:szCs w:val="24"/>
              </w:rPr>
              <w:t xml:space="preserve"> </w:t>
            </w:r>
            <w:r w:rsidR="0067745D">
              <w:rPr>
                <w:rFonts w:ascii="Arial" w:hAnsi="Arial" w:cs="Arial"/>
                <w:szCs w:val="24"/>
              </w:rPr>
              <w:t>201</w:t>
            </w:r>
            <w:r w:rsidR="001C4B5C">
              <w:rPr>
                <w:rFonts w:ascii="Arial" w:hAnsi="Arial" w:cs="Arial"/>
                <w:szCs w:val="24"/>
              </w:rPr>
              <w:t>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BB271A">
              <w:rPr>
                <w:rFonts w:ascii="Arial" w:hAnsi="Arial" w:cs="Arial"/>
              </w:rPr>
              <w:t>28 February 2014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:-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BB271A">
              <w:rPr>
                <w:rFonts w:ascii="Arial" w:hAnsi="Arial" w:cs="Arial"/>
                <w:sz w:val="24"/>
                <w:szCs w:val="24"/>
              </w:rPr>
              <w:t>11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 w:rsidR="00BB271A">
              <w:rPr>
                <w:rFonts w:ascii="Arial" w:hAnsi="Arial" w:cs="Arial"/>
                <w:sz w:val="24"/>
                <w:szCs w:val="24"/>
              </w:rPr>
              <w:t xml:space="preserve">28 February 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>201</w:t>
            </w:r>
            <w:r w:rsidR="00BB271A">
              <w:rPr>
                <w:rFonts w:ascii="Arial" w:hAnsi="Arial" w:cs="Arial"/>
                <w:sz w:val="24"/>
                <w:szCs w:val="24"/>
              </w:rPr>
              <w:t>4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reports a negative 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</w:t>
            </w:r>
            <w:r w:rsidR="00817421">
              <w:rPr>
                <w:rFonts w:ascii="Arial" w:hAnsi="Arial" w:cs="Arial"/>
                <w:sz w:val="24"/>
                <w:szCs w:val="24"/>
              </w:rPr>
              <w:t>129,049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DD6E3A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is likely to be </w:t>
            </w:r>
            <w:r>
              <w:rPr>
                <w:rFonts w:ascii="Arial" w:hAnsi="Arial" w:cs="Arial"/>
                <w:sz w:val="24"/>
                <w:szCs w:val="24"/>
              </w:rPr>
              <w:t>circa</w:t>
            </w:r>
            <w:r w:rsidR="00B71E7C"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5A64AF">
              <w:rPr>
                <w:rFonts w:ascii="Arial" w:hAnsi="Arial" w:cs="Arial"/>
                <w:sz w:val="24"/>
                <w:szCs w:val="24"/>
              </w:rPr>
              <w:t>3</w:t>
            </w:r>
            <w:r w:rsidR="00B71E7C">
              <w:rPr>
                <w:rFonts w:ascii="Arial" w:hAnsi="Arial" w:cs="Arial"/>
                <w:sz w:val="24"/>
                <w:szCs w:val="24"/>
              </w:rPr>
              <w:t>0K adverse to budget (0.</w:t>
            </w:r>
            <w:r w:rsidR="005A64AF">
              <w:rPr>
                <w:rFonts w:ascii="Arial" w:hAnsi="Arial" w:cs="Arial"/>
                <w:sz w:val="24"/>
                <w:szCs w:val="24"/>
              </w:rPr>
              <w:t>6</w:t>
            </w:r>
            <w:r w:rsidR="00B71E7C">
              <w:rPr>
                <w:rFonts w:ascii="Arial" w:hAnsi="Arial" w:cs="Arial"/>
                <w:sz w:val="24"/>
                <w:szCs w:val="24"/>
              </w:rPr>
              <w:t xml:space="preserve">%); </w:t>
            </w:r>
            <w:r w:rsidR="00DE7C73" w:rsidRPr="00B71E7C">
              <w:rPr>
                <w:rFonts w:ascii="Arial" w:hAnsi="Arial" w:cs="Arial"/>
                <w:sz w:val="24"/>
                <w:szCs w:val="24"/>
              </w:rPr>
              <w:t>and</w:t>
            </w:r>
            <w:r w:rsidR="00B71E7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450A" w:rsidRPr="0089449E" w:rsidRDefault="00023E37" w:rsidP="00BB271A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B71E7C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71E7C">
              <w:rPr>
                <w:rFonts w:ascii="Arial" w:hAnsi="Arial" w:cs="Arial"/>
                <w:sz w:val="24"/>
                <w:szCs w:val="24"/>
              </w:rPr>
              <w:t xml:space="preserve"> award of contract</w:t>
            </w:r>
            <w:r w:rsidR="00800D2C" w:rsidRPr="00B71E7C">
              <w:rPr>
                <w:rFonts w:ascii="Arial" w:hAnsi="Arial" w:cs="Arial"/>
                <w:sz w:val="24"/>
                <w:szCs w:val="24"/>
              </w:rPr>
              <w:t>s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C11F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71A">
              <w:rPr>
                <w:rFonts w:ascii="Arial" w:hAnsi="Arial" w:cs="Arial"/>
                <w:sz w:val="24"/>
                <w:szCs w:val="24"/>
              </w:rPr>
              <w:t>ICR Solutions, Mike Martins Tennis Academy, Highland Industrial Supplies and Allsorts Dornoch.</w:t>
            </w:r>
            <w:r w:rsidR="0039450A" w:rsidRPr="0089449E">
              <w:rPr>
                <w:rFonts w:ascii="Arial" w:hAnsi="Arial" w:cs="Arial"/>
                <w:szCs w:val="24"/>
              </w:rPr>
              <w:fldChar w:fldCharType="begin"/>
            </w:r>
            <w:r w:rsidR="0039450A"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>a bi-monthly</w:t>
            </w:r>
            <w:r w:rsidR="009E3DB8">
              <w:rPr>
                <w:rFonts w:ascii="Arial" w:hAnsi="Arial" w:cs="Arial"/>
                <w:szCs w:val="24"/>
              </w:rPr>
              <w:t xml:space="preserve"> 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581415">
              <w:rPr>
                <w:rFonts w:ascii="Arial" w:hAnsi="Arial" w:cs="Arial"/>
                <w:b/>
                <w:szCs w:val="24"/>
              </w:rPr>
              <w:t>28 February 2014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:rsidR="002D76CB" w:rsidRPr="00CD28C3" w:rsidRDefault="002D76CB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The outturn figure for the period to </w:t>
            </w:r>
            <w:r w:rsidR="00581415">
              <w:rPr>
                <w:rFonts w:ascii="Arial" w:hAnsi="Arial" w:cs="Arial"/>
                <w:szCs w:val="24"/>
              </w:rPr>
              <w:t>28 February 2014</w:t>
            </w:r>
            <w:r>
              <w:rPr>
                <w:rFonts w:ascii="Arial" w:hAnsi="Arial" w:cs="Arial"/>
                <w:szCs w:val="24"/>
              </w:rPr>
              <w:t xml:space="preserve">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The outturn for the period</w:t>
            </w:r>
            <w:r>
              <w:rPr>
                <w:rFonts w:ascii="Arial" w:hAnsi="Arial" w:cs="Arial"/>
                <w:szCs w:val="24"/>
              </w:rPr>
              <w:t xml:space="preserve"> is split by cost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category (revenues, staff costs and other costs) at </w:t>
            </w:r>
            <w:r w:rsidR="00554631">
              <w:rPr>
                <w:rFonts w:ascii="Arial" w:hAnsi="Arial" w:cs="Arial"/>
                <w:b/>
                <w:szCs w:val="24"/>
              </w:rPr>
              <w:t>Appendices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 w:rsidR="00554631">
              <w:rPr>
                <w:rFonts w:ascii="Arial" w:hAnsi="Arial" w:cs="Arial"/>
                <w:b/>
                <w:szCs w:val="24"/>
              </w:rPr>
              <w:t xml:space="preserve"> and </w:t>
            </w:r>
            <w:r w:rsidR="00817421">
              <w:rPr>
                <w:rFonts w:ascii="Arial" w:hAnsi="Arial" w:cs="Arial"/>
                <w:b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1C4B5C" w:rsidP="00635750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t>This shows total revenues in excess of budget by £</w:t>
            </w:r>
            <w:r w:rsidR="00817421">
              <w:rPr>
                <w:rFonts w:ascii="Arial" w:hAnsi="Arial" w:cs="Arial"/>
                <w:szCs w:val="24"/>
              </w:rPr>
              <w:t>451</w:t>
            </w:r>
            <w:r w:rsidRPr="00CB4EE8">
              <w:rPr>
                <w:rFonts w:ascii="Arial" w:hAnsi="Arial" w:cs="Arial"/>
                <w:szCs w:val="24"/>
              </w:rPr>
              <w:t>K, staff costs over budget by £</w:t>
            </w:r>
            <w:r w:rsidR="00817421">
              <w:rPr>
                <w:rFonts w:ascii="Arial" w:hAnsi="Arial" w:cs="Arial"/>
                <w:szCs w:val="24"/>
              </w:rPr>
              <w:t>206</w:t>
            </w:r>
            <w:r w:rsidR="00581415">
              <w:rPr>
                <w:rFonts w:ascii="Arial" w:hAnsi="Arial" w:cs="Arial"/>
                <w:szCs w:val="24"/>
              </w:rPr>
              <w:t>K</w:t>
            </w:r>
            <w:r w:rsidRPr="00CB4EE8">
              <w:rPr>
                <w:rFonts w:ascii="Arial" w:hAnsi="Arial" w:cs="Arial"/>
                <w:szCs w:val="24"/>
              </w:rPr>
              <w:t xml:space="preserve"> and other costs over budget by £</w:t>
            </w:r>
            <w:r w:rsidR="00817421">
              <w:rPr>
                <w:rFonts w:ascii="Arial" w:hAnsi="Arial" w:cs="Arial"/>
                <w:szCs w:val="24"/>
              </w:rPr>
              <w:t>497</w:t>
            </w:r>
            <w:r w:rsidR="00554631">
              <w:rPr>
                <w:rFonts w:ascii="Arial" w:hAnsi="Arial" w:cs="Arial"/>
                <w:szCs w:val="24"/>
              </w:rPr>
              <w:t xml:space="preserve">K.  </w:t>
            </w:r>
            <w:r w:rsidR="00581415">
              <w:rPr>
                <w:rFonts w:ascii="Arial" w:hAnsi="Arial" w:cs="Arial"/>
                <w:szCs w:val="24"/>
              </w:rPr>
              <w:t xml:space="preserve">Restricted Reserves </w:t>
            </w:r>
            <w:r w:rsidR="00A37942">
              <w:rPr>
                <w:rFonts w:ascii="Arial" w:hAnsi="Arial" w:cs="Arial"/>
                <w:szCs w:val="24"/>
              </w:rPr>
              <w:t xml:space="preserve">offset </w:t>
            </w:r>
            <w:r w:rsidR="00581415">
              <w:rPr>
                <w:rFonts w:ascii="Arial" w:hAnsi="Arial" w:cs="Arial"/>
                <w:szCs w:val="24"/>
              </w:rPr>
              <w:t>£</w:t>
            </w:r>
            <w:r w:rsidR="00817421">
              <w:rPr>
                <w:rFonts w:ascii="Arial" w:hAnsi="Arial" w:cs="Arial"/>
                <w:szCs w:val="24"/>
              </w:rPr>
              <w:t>124</w:t>
            </w:r>
            <w:r w:rsidR="00581415">
              <w:rPr>
                <w:rFonts w:ascii="Arial" w:hAnsi="Arial" w:cs="Arial"/>
                <w:szCs w:val="24"/>
              </w:rPr>
              <w:t xml:space="preserve">K </w:t>
            </w:r>
            <w:r w:rsidRPr="00CB4EE8">
              <w:rPr>
                <w:rFonts w:ascii="Arial" w:hAnsi="Arial" w:cs="Arial"/>
                <w:szCs w:val="24"/>
              </w:rPr>
              <w:t>resul</w:t>
            </w:r>
            <w:r w:rsidR="00590256">
              <w:rPr>
                <w:rFonts w:ascii="Arial" w:hAnsi="Arial" w:cs="Arial"/>
                <w:szCs w:val="24"/>
              </w:rPr>
              <w:t>ting in the net position of £</w:t>
            </w:r>
            <w:r w:rsidR="00817421">
              <w:rPr>
                <w:rFonts w:ascii="Arial" w:hAnsi="Arial" w:cs="Arial"/>
                <w:szCs w:val="24"/>
              </w:rPr>
              <w:t>129</w:t>
            </w:r>
            <w:r w:rsidR="00581415">
              <w:rPr>
                <w:rFonts w:ascii="Arial" w:hAnsi="Arial" w:cs="Arial"/>
                <w:szCs w:val="24"/>
              </w:rPr>
              <w:t xml:space="preserve">K </w:t>
            </w:r>
            <w:r w:rsidRPr="00CB4EE8">
              <w:rPr>
                <w:rFonts w:ascii="Arial" w:hAnsi="Arial" w:cs="Arial"/>
                <w:szCs w:val="24"/>
              </w:rPr>
              <w:t>negative to budget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C4B5C" w:rsidRDefault="001C4B5C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8174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commentary on the major variances is provided at 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817421">
              <w:rPr>
                <w:rFonts w:ascii="Arial" w:hAnsi="Arial" w:cs="Arial"/>
                <w:b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817421" w:rsidRDefault="00817421" w:rsidP="00817421">
            <w:pPr>
              <w:jc w:val="both"/>
              <w:rPr>
                <w:rFonts w:ascii="Arial" w:hAnsi="Arial" w:cs="Arial"/>
                <w:szCs w:val="24"/>
              </w:rPr>
            </w:pPr>
          </w:p>
          <w:p w:rsidR="00817421" w:rsidRDefault="00817421" w:rsidP="00817421">
            <w:pPr>
              <w:jc w:val="both"/>
              <w:rPr>
                <w:rFonts w:ascii="Arial" w:hAnsi="Arial" w:cs="Arial"/>
                <w:szCs w:val="24"/>
              </w:rPr>
            </w:pPr>
            <w:r w:rsidRPr="00817421">
              <w:rPr>
                <w:rFonts w:ascii="Arial" w:hAnsi="Arial" w:cs="Arial"/>
                <w:b/>
                <w:szCs w:val="24"/>
              </w:rPr>
              <w:t>Note: Restricted Reserve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Grant income which is received in advance is accrued at year end and is offset against the associated costs in the following year. </w:t>
            </w:r>
            <w:r w:rsidR="00A37942">
              <w:rPr>
                <w:rFonts w:ascii="Arial" w:hAnsi="Arial" w:cs="Arial"/>
                <w:szCs w:val="24"/>
              </w:rPr>
              <w:t xml:space="preserve">The accrued grant income is accounted for in “Restricted Reserves” on the Balance Sheet. </w:t>
            </w:r>
          </w:p>
          <w:p w:rsidR="00817421" w:rsidRPr="002D76CB" w:rsidRDefault="00817421" w:rsidP="008174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51BDC" w:rsidRPr="0089449E">
        <w:tc>
          <w:tcPr>
            <w:tcW w:w="817" w:type="dxa"/>
          </w:tcPr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8647" w:type="dxa"/>
          </w:tcPr>
          <w:p w:rsidR="00351BDC" w:rsidRDefault="00351BDC" w:rsidP="00351B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Year–End Forecast</w:t>
            </w:r>
          </w:p>
          <w:p w:rsidR="00351BDC" w:rsidRDefault="00351BDC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1BDC" w:rsidRPr="0089449E">
        <w:tc>
          <w:tcPr>
            <w:tcW w:w="817" w:type="dxa"/>
          </w:tcPr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0256" w:rsidRPr="00351BDC" w:rsidRDefault="00590256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590256" w:rsidRDefault="00590256" w:rsidP="001C4B5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projected final outturn for the year is predicted within the range of on budget to £130K adverse to budget.</w:t>
            </w:r>
          </w:p>
          <w:p w:rsidR="00590256" w:rsidRDefault="00590256" w:rsidP="001C4B5C">
            <w:pPr>
              <w:jc w:val="both"/>
              <w:rPr>
                <w:rFonts w:ascii="Arial" w:hAnsi="Arial" w:cs="Arial"/>
                <w:szCs w:val="24"/>
              </w:rPr>
            </w:pPr>
          </w:p>
          <w:p w:rsidR="001C4B5C" w:rsidRPr="001C4B5C" w:rsidRDefault="00576020" w:rsidP="001C4B5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1C4B5C" w:rsidRPr="001C4B5C">
              <w:rPr>
                <w:rFonts w:ascii="Arial" w:hAnsi="Arial" w:cs="Arial"/>
                <w:szCs w:val="24"/>
              </w:rPr>
              <w:t xml:space="preserve"> instruction</w:t>
            </w:r>
            <w:r>
              <w:rPr>
                <w:rFonts w:ascii="Arial" w:hAnsi="Arial" w:cs="Arial"/>
                <w:szCs w:val="24"/>
              </w:rPr>
              <w:t xml:space="preserve"> which</w:t>
            </w:r>
            <w:r w:rsidR="001C4B5C" w:rsidRPr="001C4B5C">
              <w:rPr>
                <w:rFonts w:ascii="Arial" w:hAnsi="Arial" w:cs="Arial"/>
                <w:szCs w:val="24"/>
              </w:rPr>
              <w:t xml:space="preserve"> issued in November 2013 to stop all discretionary </w:t>
            </w:r>
            <w:proofErr w:type="gramStart"/>
            <w:r w:rsidR="001C4B5C" w:rsidRPr="001C4B5C">
              <w:rPr>
                <w:rFonts w:ascii="Arial" w:hAnsi="Arial" w:cs="Arial"/>
                <w:szCs w:val="24"/>
              </w:rPr>
              <w:t>spend</w:t>
            </w:r>
            <w:proofErr w:type="gramEnd"/>
            <w:r w:rsidR="001C4B5C" w:rsidRPr="001C4B5C">
              <w:rPr>
                <w:rFonts w:ascii="Arial" w:hAnsi="Arial" w:cs="Arial"/>
                <w:szCs w:val="24"/>
              </w:rPr>
              <w:t xml:space="preserve"> for the time being </w:t>
            </w:r>
            <w:r w:rsidR="00581415">
              <w:rPr>
                <w:rFonts w:ascii="Arial" w:hAnsi="Arial" w:cs="Arial"/>
                <w:szCs w:val="24"/>
              </w:rPr>
              <w:t>remains in place.</w:t>
            </w:r>
          </w:p>
          <w:p w:rsidR="001C4B5C" w:rsidRDefault="001C4B5C" w:rsidP="005546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Pr="00554631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8647" w:type="dxa"/>
          </w:tcPr>
          <w:p w:rsidR="004A13CB" w:rsidRPr="00554631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 / Contracts Awarded</w:t>
            </w:r>
          </w:p>
        </w:tc>
      </w:tr>
      <w:tr w:rsidR="009B223B" w:rsidRPr="0089449E">
        <w:tc>
          <w:tcPr>
            <w:tcW w:w="817" w:type="dxa"/>
          </w:tcPr>
          <w:p w:rsidR="009B223B" w:rsidRPr="00554631" w:rsidRDefault="00581415" w:rsidP="00581415">
            <w:pPr>
              <w:rPr>
                <w:rFonts w:ascii="Arial" w:hAnsi="Arial" w:cs="Arial"/>
                <w:szCs w:val="24"/>
              </w:rPr>
            </w:pPr>
            <w:r w:rsidRPr="00554631">
              <w:rPr>
                <w:rFonts w:ascii="Arial" w:hAnsi="Arial" w:cs="Arial"/>
                <w:szCs w:val="24"/>
              </w:rPr>
              <w:t>5.1</w:t>
            </w: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C73" w:rsidRPr="00485C73" w:rsidRDefault="00485C73" w:rsidP="00581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</w:tcPr>
          <w:p w:rsidR="00554631" w:rsidRDefault="00554631"/>
          <w:tbl>
            <w:tblPr>
              <w:tblW w:w="838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34"/>
              <w:gridCol w:w="1110"/>
              <w:gridCol w:w="3142"/>
            </w:tblGrid>
            <w:tr w:rsidR="00485C73" w:rsidRPr="00485C73" w:rsidTr="00554631">
              <w:trPr>
                <w:trHeight w:val="300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ICR Solutions Ltd</w:t>
                  </w:r>
                </w:p>
              </w:tc>
              <w:tc>
                <w:tcPr>
                  <w:tcW w:w="24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Electronic Point of Sale System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Feb 14-Dec 16</w:t>
                  </w:r>
                </w:p>
              </w:tc>
              <w:tc>
                <w:tcPr>
                  <w:tcW w:w="314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7A353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£5,596</w:t>
                  </w:r>
                </w:p>
              </w:tc>
            </w:tr>
            <w:tr w:rsidR="00485C73" w:rsidRPr="00485C73" w:rsidTr="00554631">
              <w:trPr>
                <w:trHeight w:val="315"/>
              </w:trPr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4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554631" w:rsidRDefault="00485C73" w:rsidP="00581415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485C73" w:rsidRPr="00485C73" w:rsidTr="00554631">
              <w:trPr>
                <w:trHeight w:val="1035"/>
              </w:trPr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Mike Martin Tennis Academy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Facility Management Services-Bellfield Park, Inverness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Apr 14- Mar 17</w:t>
                  </w: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7A353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HLH will receive £5,000/annum</w:t>
                  </w:r>
                </w:p>
              </w:tc>
            </w:tr>
            <w:tr w:rsidR="00485C73" w:rsidRPr="00485C73" w:rsidTr="00554631">
              <w:trPr>
                <w:trHeight w:val="78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Highland Industrial Supplies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 xml:space="preserve">System Scaffolding for </w:t>
                  </w:r>
                  <w:proofErr w:type="spellStart"/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Lochanhully</w:t>
                  </w:r>
                  <w:proofErr w:type="spellEnd"/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 xml:space="preserve"> House, HFM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Feb-14</w:t>
                  </w: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£7,800</w:t>
                  </w:r>
                </w:p>
              </w:tc>
            </w:tr>
            <w:tr w:rsidR="00485C73" w:rsidRPr="00485C73" w:rsidTr="00554631">
              <w:trPr>
                <w:trHeight w:val="1215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Allsorts Dornoch</w:t>
                  </w:r>
                </w:p>
              </w:tc>
              <w:tc>
                <w:tcPr>
                  <w:tcW w:w="24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Puddle Jumpers Activity Club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/>
                      <w:szCs w:val="24"/>
                    </w:rPr>
                    <w:t>Apr 14-Mar 17</w:t>
                  </w:r>
                </w:p>
              </w:tc>
              <w:tc>
                <w:tcPr>
                  <w:tcW w:w="31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5C73" w:rsidRPr="00554631" w:rsidRDefault="00485C73" w:rsidP="0058141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54631">
                    <w:rPr>
                      <w:rFonts w:ascii="Arial" w:hAnsi="Arial" w:cs="Arial"/>
                      <w:color w:val="000000" w:themeColor="text1"/>
                      <w:szCs w:val="24"/>
                    </w:rPr>
                    <w:t>Shared profit/loss model with provider - to be split 50-50 between HLH and provider.</w:t>
                  </w:r>
                </w:p>
              </w:tc>
            </w:tr>
            <w:tr w:rsidR="00485C73" w:rsidRPr="00485C73" w:rsidTr="00554631">
              <w:trPr>
                <w:trHeight w:val="315"/>
              </w:trPr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485C73" w:rsidRDefault="00485C73" w:rsidP="0058141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485C73" w:rsidRDefault="00485C73" w:rsidP="0058141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485C73" w:rsidRDefault="00485C73" w:rsidP="0058141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5C73" w:rsidRPr="00485C73" w:rsidRDefault="00485C73" w:rsidP="0058141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B223B" w:rsidRPr="00485C73" w:rsidRDefault="009B22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C73" w:rsidRPr="0089449E">
        <w:tc>
          <w:tcPr>
            <w:tcW w:w="817" w:type="dxa"/>
          </w:tcPr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</w:tcPr>
          <w:p w:rsidR="00485C73" w:rsidRDefault="00485C73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85C73" w:rsidRPr="0089449E">
        <w:tc>
          <w:tcPr>
            <w:tcW w:w="817" w:type="dxa"/>
          </w:tcPr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070CF" w:rsidRPr="00F070CF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0CF">
              <w:rPr>
                <w:rFonts w:ascii="Arial" w:hAnsi="Arial" w:cs="Arial"/>
              </w:rPr>
              <w:t>6.1</w:t>
            </w:r>
          </w:p>
        </w:tc>
        <w:tc>
          <w:tcPr>
            <w:tcW w:w="8647" w:type="dxa"/>
          </w:tcPr>
          <w:p w:rsidR="00485C73" w:rsidRDefault="009B0904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Review of Financial Regulations</w:t>
            </w:r>
          </w:p>
          <w:p w:rsidR="009B0904" w:rsidRDefault="009B0904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85C73" w:rsidRPr="009B0904" w:rsidRDefault="009B0904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review of the Financial Regulations and guidance remains on-going throughout the year, to date for 2014 new guidance has issued in respect of banking and </w:t>
            </w:r>
            <w:r w:rsidR="0057602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ayroll. </w:t>
            </w:r>
          </w:p>
          <w:p w:rsidR="00485C73" w:rsidRDefault="00485C73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85C73" w:rsidRPr="0089449E">
        <w:tc>
          <w:tcPr>
            <w:tcW w:w="817" w:type="dxa"/>
          </w:tcPr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F070CF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070CF" w:rsidRPr="00F070CF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85C73" w:rsidRDefault="00485C7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</w:tcPr>
          <w:p w:rsidR="00485C73" w:rsidRPr="009B0904" w:rsidRDefault="009B0904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0904">
              <w:rPr>
                <w:rFonts w:ascii="Arial" w:hAnsi="Arial" w:cs="Arial"/>
                <w:b/>
              </w:rPr>
              <w:t>Annual Review of Insurance Cover</w:t>
            </w:r>
          </w:p>
          <w:p w:rsidR="00485C73" w:rsidRPr="009B0904" w:rsidRDefault="00485C73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B0904" w:rsidRPr="009B0904" w:rsidRDefault="00CD4E51" w:rsidP="00CD4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HLH Insurance Cover is included as part of The Highland Council Insurance Cover. THC regularly reviews of the </w:t>
            </w:r>
            <w:r w:rsidR="00554631">
              <w:rPr>
                <w:rFonts w:ascii="Arial" w:hAnsi="Arial" w:cs="Arial"/>
              </w:rPr>
              <w:t xml:space="preserve">Insurance Cover </w:t>
            </w:r>
            <w:r>
              <w:rPr>
                <w:rFonts w:ascii="Arial" w:hAnsi="Arial" w:cs="Arial"/>
              </w:rPr>
              <w:t xml:space="preserve">and forward a detailed schedule annually to HLH. The Insurance cover </w:t>
            </w:r>
            <w:r w:rsidR="00554631">
              <w:rPr>
                <w:rFonts w:ascii="Arial" w:hAnsi="Arial" w:cs="Arial"/>
              </w:rPr>
              <w:t xml:space="preserve">has renewed at </w:t>
            </w:r>
            <w:r w:rsidR="009B0904" w:rsidRPr="009B0904">
              <w:rPr>
                <w:rFonts w:ascii="Arial" w:hAnsi="Arial" w:cs="Arial"/>
              </w:rPr>
              <w:t>1 April 2014</w:t>
            </w:r>
            <w:r w:rsidR="009B0904">
              <w:rPr>
                <w:rFonts w:ascii="Arial" w:hAnsi="Arial" w:cs="Arial"/>
              </w:rPr>
              <w:t>, for 2014</w:t>
            </w:r>
            <w:r w:rsidR="00554631">
              <w:rPr>
                <w:rFonts w:ascii="Arial" w:hAnsi="Arial" w:cs="Arial"/>
              </w:rPr>
              <w:t>/</w:t>
            </w:r>
            <w:r w:rsidR="009B0904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485C73" w:rsidRPr="009B0904">
        <w:tc>
          <w:tcPr>
            <w:tcW w:w="817" w:type="dxa"/>
          </w:tcPr>
          <w:p w:rsidR="00485C73" w:rsidRDefault="00485C73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0904">
              <w:rPr>
                <w:rFonts w:ascii="Arial" w:hAnsi="Arial" w:cs="Arial"/>
                <w:b/>
              </w:rPr>
              <w:lastRenderedPageBreak/>
              <w:t>8.</w:t>
            </w:r>
          </w:p>
          <w:p w:rsid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70CF">
              <w:rPr>
                <w:rFonts w:ascii="Arial" w:hAnsi="Arial" w:cs="Arial"/>
              </w:rPr>
              <w:t>8.1</w:t>
            </w: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70CF">
              <w:rPr>
                <w:rFonts w:ascii="Arial" w:hAnsi="Arial" w:cs="Arial"/>
              </w:rPr>
              <w:t>8.2</w:t>
            </w: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070CF" w:rsidRPr="00F070CF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070CF" w:rsidRPr="009B0904" w:rsidRDefault="00F070CF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070CF">
              <w:rPr>
                <w:rFonts w:ascii="Arial" w:hAnsi="Arial" w:cs="Arial"/>
              </w:rPr>
              <w:t>8.3</w:t>
            </w:r>
          </w:p>
        </w:tc>
        <w:tc>
          <w:tcPr>
            <w:tcW w:w="8647" w:type="dxa"/>
          </w:tcPr>
          <w:p w:rsidR="00485C73" w:rsidRDefault="009B0904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0904">
              <w:rPr>
                <w:rFonts w:ascii="Arial" w:hAnsi="Arial" w:cs="Arial"/>
                <w:b/>
              </w:rPr>
              <w:t>Annual Review of the Effectiveness of Internal Control</w:t>
            </w:r>
          </w:p>
          <w:p w:rsidR="00554631" w:rsidRPr="009B0904" w:rsidRDefault="00554631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118F2" w:rsidRDefault="009B0904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The Finance &amp; Audit Committee </w:t>
            </w:r>
            <w:r w:rsidR="007118F2">
              <w:rPr>
                <w:rFonts w:ascii="Arial" w:hAnsi="Arial" w:cs="Arial"/>
              </w:rPr>
              <w:t>review all breaches of the Financial Regulations there has been no significant breaches reported in 2013.14.</w:t>
            </w:r>
          </w:p>
          <w:p w:rsidR="007118F2" w:rsidRDefault="007118F2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76020" w:rsidRDefault="009B0904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All matters arising </w:t>
            </w:r>
            <w:r w:rsidR="00576020">
              <w:rPr>
                <w:rFonts w:ascii="Arial" w:hAnsi="Arial" w:cs="Arial"/>
              </w:rPr>
              <w:t xml:space="preserve">from our 2013 Internal Audit </w:t>
            </w:r>
            <w:r w:rsidRPr="009B0904">
              <w:rPr>
                <w:rFonts w:ascii="Arial" w:hAnsi="Arial" w:cs="Arial"/>
              </w:rPr>
              <w:t xml:space="preserve">have been </w:t>
            </w:r>
            <w:r w:rsidR="00576020">
              <w:rPr>
                <w:rFonts w:ascii="Arial" w:hAnsi="Arial" w:cs="Arial"/>
              </w:rPr>
              <w:t>addressed</w:t>
            </w:r>
            <w:r w:rsidRPr="009B0904">
              <w:rPr>
                <w:rFonts w:ascii="Arial" w:hAnsi="Arial" w:cs="Arial"/>
              </w:rPr>
              <w:t xml:space="preserve"> with corrective action issued and complete</w:t>
            </w:r>
            <w:r w:rsidR="00576020">
              <w:rPr>
                <w:rFonts w:ascii="Arial" w:hAnsi="Arial" w:cs="Arial"/>
              </w:rPr>
              <w:t>d</w:t>
            </w:r>
            <w:r w:rsidRPr="009B0904">
              <w:rPr>
                <w:rFonts w:ascii="Arial" w:hAnsi="Arial" w:cs="Arial"/>
              </w:rPr>
              <w:t xml:space="preserve">. </w:t>
            </w:r>
          </w:p>
          <w:p w:rsidR="00576020" w:rsidRDefault="00576020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85C73" w:rsidRPr="009B0904" w:rsidRDefault="009B0904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The 2014 Internal Audit is in the planning phase and will concentrate on Income and Banking. </w:t>
            </w:r>
          </w:p>
          <w:p w:rsidR="00485C73" w:rsidRPr="009B0904" w:rsidRDefault="00485C73" w:rsidP="009B0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701B" w:rsidRPr="009B0904">
        <w:tc>
          <w:tcPr>
            <w:tcW w:w="817" w:type="dxa"/>
          </w:tcPr>
          <w:p w:rsidR="009F701B" w:rsidRPr="00997DBB" w:rsidRDefault="009F701B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647" w:type="dxa"/>
          </w:tcPr>
          <w:p w:rsidR="009F701B" w:rsidRPr="009F701B" w:rsidRDefault="009F701B" w:rsidP="009F7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F701B">
              <w:rPr>
                <w:rFonts w:ascii="Arial" w:hAnsi="Arial" w:cs="Arial"/>
                <w:b/>
              </w:rPr>
              <w:t>Budget Savings Process 2015-18</w:t>
            </w:r>
          </w:p>
          <w:p w:rsidR="009F701B" w:rsidRPr="00997DBB" w:rsidRDefault="009F701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F701B" w:rsidRPr="009B0904">
        <w:tc>
          <w:tcPr>
            <w:tcW w:w="817" w:type="dxa"/>
          </w:tcPr>
          <w:p w:rsidR="009F701B" w:rsidRPr="00997DBB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8647" w:type="dxa"/>
          </w:tcPr>
          <w:p w:rsidR="009F701B" w:rsidRPr="00997DBB" w:rsidRDefault="009F701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Board has previously agreed that the Finance and Audit Committee will lead discussions on preparations for the budget process for 2015-18.  Two meetings have been held and a verbal update will be given on progress to date via a short presentation.</w:t>
            </w:r>
            <w:r w:rsidR="009A5D16">
              <w:rPr>
                <w:rFonts w:ascii="Arial" w:hAnsi="Arial" w:cs="Arial"/>
              </w:rPr>
              <w:t xml:space="preserve">  All HLH Directors are invited to attend the next meeting on 1 May 2014.</w:t>
            </w:r>
          </w:p>
        </w:tc>
      </w:tr>
      <w:tr w:rsidR="004A13CB" w:rsidRPr="009B0904">
        <w:tc>
          <w:tcPr>
            <w:tcW w:w="817" w:type="dxa"/>
          </w:tcPr>
          <w:p w:rsidR="009F701B" w:rsidRDefault="009F701B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C146F" w:rsidRPr="00997DBB" w:rsidRDefault="009F701B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C146F" w:rsidRPr="00997D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9F701B" w:rsidRDefault="009F701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A13CB" w:rsidRPr="00997DB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97DBB">
              <w:rPr>
                <w:rFonts w:ascii="Arial" w:hAnsi="Arial" w:cs="Arial"/>
                <w:b/>
              </w:rPr>
              <w:t>Implications</w:t>
            </w:r>
          </w:p>
          <w:p w:rsidR="004A13CB" w:rsidRPr="00997DBB" w:rsidRDefault="004A13CB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9B0904">
        <w:tc>
          <w:tcPr>
            <w:tcW w:w="817" w:type="dxa"/>
          </w:tcPr>
          <w:p w:rsidR="00A53534" w:rsidRPr="009B0904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3534" w:rsidRPr="009B0904">
              <w:rPr>
                <w:rFonts w:ascii="Arial" w:hAnsi="Arial" w:cs="Arial"/>
              </w:rPr>
              <w:t>.1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F070C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9B0904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9B0904">
        <w:trPr>
          <w:cantSplit/>
        </w:trPr>
        <w:tc>
          <w:tcPr>
            <w:tcW w:w="9464" w:type="dxa"/>
          </w:tcPr>
          <w:p w:rsidR="0039450A" w:rsidRPr="009B0904" w:rsidRDefault="002B7DC4" w:rsidP="00416BFF">
            <w:pPr>
              <w:pStyle w:val="Heading3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9B0904">
              <w:rPr>
                <w:rFonts w:ascii="Arial" w:hAnsi="Arial" w:cs="Arial"/>
                <w:szCs w:val="24"/>
                <w:u w:val="none"/>
              </w:rPr>
              <w:t>Recommendation</w:t>
            </w:r>
          </w:p>
          <w:p w:rsidR="00FE4D79" w:rsidRPr="009B0904" w:rsidRDefault="00FE4D79" w:rsidP="00FE4D79">
            <w:pPr>
              <w:rPr>
                <w:rFonts w:ascii="Arial" w:hAnsi="Arial" w:cs="Arial"/>
              </w:rPr>
            </w:pPr>
          </w:p>
          <w:p w:rsidR="00800D2C" w:rsidRPr="009B0904" w:rsidRDefault="00800D2C" w:rsidP="00800D2C">
            <w:pPr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It is recommended that Directors note:-</w:t>
            </w:r>
          </w:p>
          <w:p w:rsidR="00B0145D" w:rsidRPr="009B0904" w:rsidRDefault="00B0145D" w:rsidP="00800D2C">
            <w:pPr>
              <w:jc w:val="both"/>
              <w:rPr>
                <w:rFonts w:ascii="Arial" w:hAnsi="Arial" w:cs="Arial"/>
              </w:rPr>
            </w:pPr>
          </w:p>
          <w:p w:rsidR="00B71E7C" w:rsidRPr="009B0904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04">
              <w:rPr>
                <w:rFonts w:ascii="Arial" w:hAnsi="Arial" w:cs="Arial"/>
                <w:sz w:val="24"/>
                <w:szCs w:val="24"/>
              </w:rPr>
              <w:t>the current financial position of High Life Highland as detailed in Appendix A;</w:t>
            </w:r>
          </w:p>
          <w:p w:rsidR="00B71E7C" w:rsidRPr="009B0904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04">
              <w:rPr>
                <w:rFonts w:ascii="Arial" w:hAnsi="Arial" w:cs="Arial"/>
                <w:sz w:val="24"/>
                <w:szCs w:val="24"/>
              </w:rPr>
              <w:t>the financial results for the 9 months to 31 December 2013 reports a negative variance on budget of £</w:t>
            </w:r>
            <w:r w:rsidR="00576020">
              <w:rPr>
                <w:rFonts w:ascii="Arial" w:hAnsi="Arial" w:cs="Arial"/>
                <w:sz w:val="24"/>
                <w:szCs w:val="24"/>
              </w:rPr>
              <w:t>129</w:t>
            </w:r>
            <w:r w:rsidR="00581415" w:rsidRPr="009B0904">
              <w:rPr>
                <w:rFonts w:ascii="Arial" w:hAnsi="Arial" w:cs="Arial"/>
                <w:sz w:val="24"/>
                <w:szCs w:val="24"/>
              </w:rPr>
              <w:t>K</w:t>
            </w:r>
            <w:r w:rsidRPr="009B090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9B0904" w:rsidRDefault="007D52F9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B71E7C" w:rsidRPr="009B0904">
              <w:rPr>
                <w:rFonts w:ascii="Arial" w:hAnsi="Arial" w:cs="Arial"/>
                <w:sz w:val="24"/>
                <w:szCs w:val="24"/>
              </w:rPr>
              <w:t xml:space="preserve"> projected final out-turn for the year is likely to be </w:t>
            </w:r>
            <w:r>
              <w:rPr>
                <w:rFonts w:ascii="Arial" w:hAnsi="Arial" w:cs="Arial"/>
                <w:sz w:val="24"/>
                <w:szCs w:val="24"/>
              </w:rPr>
              <w:t>circa</w:t>
            </w:r>
            <w:r w:rsidR="00B71E7C" w:rsidRPr="009B0904"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5A64AF" w:rsidRPr="009B0904">
              <w:rPr>
                <w:rFonts w:ascii="Arial" w:hAnsi="Arial" w:cs="Arial"/>
                <w:sz w:val="24"/>
                <w:szCs w:val="24"/>
              </w:rPr>
              <w:t>3</w:t>
            </w:r>
            <w:r w:rsidR="00B71E7C" w:rsidRPr="009B0904">
              <w:rPr>
                <w:rFonts w:ascii="Arial" w:hAnsi="Arial" w:cs="Arial"/>
                <w:sz w:val="24"/>
                <w:szCs w:val="24"/>
              </w:rPr>
              <w:t>0K adverse to budget (0.</w:t>
            </w:r>
            <w:r w:rsidR="00B437C8" w:rsidRPr="009B0904">
              <w:rPr>
                <w:rFonts w:ascii="Arial" w:hAnsi="Arial" w:cs="Arial"/>
                <w:sz w:val="24"/>
                <w:szCs w:val="24"/>
              </w:rPr>
              <w:t>6</w:t>
            </w:r>
            <w:r w:rsidR="00B71E7C" w:rsidRPr="009B0904">
              <w:rPr>
                <w:rFonts w:ascii="Arial" w:hAnsi="Arial" w:cs="Arial"/>
                <w:sz w:val="24"/>
                <w:szCs w:val="24"/>
              </w:rPr>
              <w:t xml:space="preserve">%); and </w:t>
            </w:r>
          </w:p>
          <w:p w:rsidR="0039450A" w:rsidRPr="009B0904" w:rsidRDefault="009B0904" w:rsidP="004D3C32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Cs w:val="24"/>
              </w:rPr>
            </w:pPr>
            <w:r w:rsidRPr="009B0904">
              <w:rPr>
                <w:rFonts w:ascii="Arial" w:hAnsi="Arial" w:cs="Arial"/>
                <w:sz w:val="24"/>
                <w:szCs w:val="24"/>
              </w:rPr>
              <w:t>The</w:t>
            </w:r>
            <w:r w:rsidR="00B71E7C" w:rsidRPr="009B0904">
              <w:rPr>
                <w:rFonts w:ascii="Arial" w:hAnsi="Arial" w:cs="Arial"/>
                <w:sz w:val="24"/>
                <w:szCs w:val="24"/>
              </w:rPr>
              <w:t xml:space="preserve"> award of contracts to </w:t>
            </w:r>
            <w:r w:rsidR="00FA5BC7" w:rsidRPr="009B0904">
              <w:rPr>
                <w:rFonts w:ascii="Arial" w:hAnsi="Arial" w:cs="Arial"/>
                <w:sz w:val="24"/>
                <w:szCs w:val="24"/>
              </w:rPr>
              <w:t>ICR Solutions, Mike Martins Tennis Academy, Highland Industrial Supplies and Allsorts Dornoch.</w:t>
            </w:r>
            <w:r w:rsidR="0039450A" w:rsidRPr="009B0904">
              <w:rPr>
                <w:rFonts w:ascii="Arial" w:hAnsi="Arial" w:cs="Arial"/>
                <w:szCs w:val="24"/>
              </w:rPr>
              <w:fldChar w:fldCharType="begin"/>
            </w:r>
            <w:r w:rsidR="0039450A" w:rsidRPr="009B0904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9B0904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6A137F" w:rsidRPr="009B0904" w:rsidRDefault="006A137F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655F80" w:rsidRPr="009B0904" w:rsidRDefault="0039450A" w:rsidP="000F274B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Date:</w:t>
      </w:r>
      <w:r w:rsidRPr="009B0904">
        <w:rPr>
          <w:rFonts w:ascii="Arial" w:hAnsi="Arial" w:cs="Arial"/>
          <w:szCs w:val="24"/>
        </w:rPr>
        <w:tab/>
      </w:r>
      <w:r w:rsidRPr="009B0904">
        <w:rPr>
          <w:rFonts w:ascii="Arial" w:hAnsi="Arial" w:cs="Arial"/>
          <w:szCs w:val="24"/>
        </w:rPr>
        <w:tab/>
      </w:r>
      <w:r w:rsidR="00FA5BC7" w:rsidRPr="009B0904">
        <w:rPr>
          <w:rFonts w:ascii="Arial" w:hAnsi="Arial" w:cs="Arial"/>
          <w:szCs w:val="24"/>
        </w:rPr>
        <w:t>8 April 2014</w:t>
      </w:r>
    </w:p>
    <w:p w:rsidR="003E6B08" w:rsidRDefault="003E6B08">
      <w:pPr>
        <w:rPr>
          <w:rFonts w:ascii="Arial" w:hAnsi="Arial" w:cs="Arial"/>
          <w:szCs w:val="24"/>
        </w:rPr>
        <w:sectPr w:rsidR="003E6B08" w:rsidSect="00B71E7C">
          <w:pgSz w:w="11906" w:h="16838"/>
          <w:pgMar w:top="1440" w:right="1440" w:bottom="1276" w:left="1440" w:header="720" w:footer="720" w:gutter="0"/>
          <w:cols w:space="720"/>
        </w:sectPr>
      </w:pPr>
    </w:p>
    <w:p w:rsidR="003E6B08" w:rsidRPr="00635750" w:rsidRDefault="003E6B08" w:rsidP="003E6B08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</w:t>
      </w:r>
      <w:r w:rsidRPr="00314C57">
        <w:rPr>
          <w:rFonts w:ascii="Arial" w:hAnsi="Arial" w:cs="Arial"/>
          <w:b/>
          <w:color w:val="000000"/>
          <w:szCs w:val="24"/>
        </w:rPr>
        <w:t>PPENDIX A</w:t>
      </w:r>
    </w:p>
    <w:p w:rsidR="003E6B08" w:rsidRDefault="003E6B08" w:rsidP="003E6B08">
      <w:pPr>
        <w:jc w:val="right"/>
        <w:rPr>
          <w:rFonts w:ascii="Arial" w:hAnsi="Arial" w:cs="Arial"/>
          <w:b/>
        </w:rPr>
      </w:pPr>
    </w:p>
    <w:p w:rsidR="003E6B08" w:rsidRPr="0005207E" w:rsidRDefault="003E6B08" w:rsidP="003E6B08">
      <w:pPr>
        <w:rPr>
          <w:rFonts w:ascii="Arial" w:hAnsi="Arial" w:cs="Arial"/>
          <w:b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 xml:space="preserve">Consolidated results for the YTD </w:t>
      </w:r>
      <w:r w:rsidR="00554631">
        <w:rPr>
          <w:rFonts w:ascii="Arial" w:hAnsi="Arial" w:cs="Arial"/>
          <w:b/>
          <w:color w:val="000000"/>
          <w:szCs w:val="24"/>
        </w:rPr>
        <w:t>2013/14 and</w:t>
      </w:r>
      <w:r w:rsidRPr="0005207E">
        <w:rPr>
          <w:rFonts w:ascii="Arial" w:hAnsi="Arial" w:cs="Arial"/>
          <w:b/>
          <w:color w:val="000000"/>
          <w:szCs w:val="24"/>
        </w:rPr>
        <w:t xml:space="preserve"> Br</w:t>
      </w:r>
      <w:r w:rsidR="00554631">
        <w:rPr>
          <w:rFonts w:ascii="Arial" w:hAnsi="Arial" w:cs="Arial"/>
          <w:b/>
          <w:color w:val="000000"/>
          <w:szCs w:val="24"/>
        </w:rPr>
        <w:t>eakdown by Charity and Trading Companies</w:t>
      </w:r>
      <w:r w:rsidRPr="0005207E">
        <w:rPr>
          <w:rFonts w:ascii="Arial" w:hAnsi="Arial" w:cs="Arial"/>
          <w:b/>
          <w:color w:val="000000"/>
          <w:szCs w:val="24"/>
        </w:rPr>
        <w:t xml:space="preserve">     </w:t>
      </w:r>
    </w:p>
    <w:p w:rsidR="00655F80" w:rsidRPr="009B0904" w:rsidRDefault="00655F80" w:rsidP="000F274B">
      <w:pPr>
        <w:rPr>
          <w:rFonts w:ascii="Arial" w:hAnsi="Arial" w:cs="Arial"/>
          <w:szCs w:val="24"/>
        </w:rPr>
      </w:pPr>
    </w:p>
    <w:tbl>
      <w:tblPr>
        <w:tblW w:w="13258" w:type="dxa"/>
        <w:tblInd w:w="108" w:type="dxa"/>
        <w:tblLook w:val="04A0" w:firstRow="1" w:lastRow="0" w:firstColumn="1" w:lastColumn="0" w:noHBand="0" w:noVBand="1"/>
      </w:tblPr>
      <w:tblGrid>
        <w:gridCol w:w="2654"/>
        <w:gridCol w:w="2056"/>
        <w:gridCol w:w="3236"/>
        <w:gridCol w:w="3236"/>
        <w:gridCol w:w="2076"/>
      </w:tblGrid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Budget YTD Feb '14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Actual YTD Feb '14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Variance YTD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21,535,094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19,327,316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19,778,470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451,154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(5,835,879)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(4,925,900)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(5,423,717)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(497,817)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(15,699,215)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(14,386,205)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(14,592,222)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(206,017)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Income Restricted Reserve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123,631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123,631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Surplus ( Deficit)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15,211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(113,838)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(129,049)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CHARITY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Budget YTD Feb '14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Actual YTD Feb '14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Variance YTD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21,181,460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19,249,433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19,296,127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46,694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Income RS.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123,631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123,631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(5,689,238)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(5,040,281)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(5,257,045)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(216,765)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(15,699,215)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(14,386,205)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(14,503,222)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(117,017)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Surplus ( Deficit)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(206,993)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(177,052)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(340,509)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(163,457)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TRADING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Budget YTD Feb '14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Actual YTD Feb '14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Variance YTD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353,634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332,088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413,442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81,354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(146,641)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(139,825)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(184,108)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(44,283)</w:t>
            </w:r>
          </w:p>
        </w:tc>
      </w:tr>
      <w:tr w:rsidR="00A3726F" w:rsidRPr="00A3726F" w:rsidTr="00A3726F">
        <w:trPr>
          <w:trHeight w:val="28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(45)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(45)</w:t>
            </w:r>
          </w:p>
        </w:tc>
      </w:tr>
      <w:tr w:rsidR="00A3726F" w:rsidRPr="00A3726F" w:rsidTr="00A3726F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Surplus ( Deficit)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206,993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192,263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229,289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37,026</w:t>
            </w:r>
          </w:p>
        </w:tc>
      </w:tr>
    </w:tbl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3E6B08" w:rsidRDefault="003E6B08" w:rsidP="003E6B08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</w:t>
      </w:r>
      <w:r w:rsidRPr="001D6A37">
        <w:rPr>
          <w:rFonts w:ascii="Arial" w:hAnsi="Arial" w:cs="Arial"/>
          <w:b/>
          <w:color w:val="000000"/>
          <w:szCs w:val="24"/>
        </w:rPr>
        <w:t>PPENDIX B</w:t>
      </w:r>
    </w:p>
    <w:p w:rsidR="003E6B08" w:rsidRPr="0005207E" w:rsidRDefault="003E6B08" w:rsidP="003E6B08">
      <w:pPr>
        <w:rPr>
          <w:rFonts w:ascii="Arial" w:hAnsi="Arial" w:cs="Arial"/>
          <w:szCs w:val="24"/>
        </w:rPr>
      </w:pPr>
    </w:p>
    <w:p w:rsidR="003E6B08" w:rsidRDefault="003E6B08" w:rsidP="003E6B08">
      <w:pPr>
        <w:rPr>
          <w:rFonts w:ascii="Arial" w:hAnsi="Arial" w:cs="Arial"/>
          <w:b/>
          <w:color w:val="000000"/>
          <w:szCs w:val="24"/>
        </w:rPr>
      </w:pPr>
      <w:proofErr w:type="gramStart"/>
      <w:r w:rsidRPr="0005207E">
        <w:rPr>
          <w:rFonts w:ascii="Arial" w:hAnsi="Arial" w:cs="Arial"/>
          <w:b/>
          <w:color w:val="000000"/>
          <w:szCs w:val="24"/>
        </w:rPr>
        <w:t>Breakdown of Variance by Se</w:t>
      </w:r>
      <w:r w:rsidR="00D91DC8">
        <w:rPr>
          <w:rFonts w:ascii="Arial" w:hAnsi="Arial" w:cs="Arial"/>
          <w:b/>
          <w:color w:val="000000"/>
          <w:szCs w:val="24"/>
        </w:rPr>
        <w:t>rvice against budget.</w:t>
      </w:r>
      <w:proofErr w:type="gramEnd"/>
    </w:p>
    <w:p w:rsidR="003E6B08" w:rsidRPr="0005207E" w:rsidRDefault="003E6B08" w:rsidP="003E6B0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tbl>
      <w:tblPr>
        <w:tblW w:w="13980" w:type="dxa"/>
        <w:tblInd w:w="108" w:type="dxa"/>
        <w:tblLook w:val="04A0" w:firstRow="1" w:lastRow="0" w:firstColumn="1" w:lastColumn="0" w:noHBand="0" w:noVBand="1"/>
      </w:tblPr>
      <w:tblGrid>
        <w:gridCol w:w="2456"/>
        <w:gridCol w:w="2316"/>
        <w:gridCol w:w="2696"/>
        <w:gridCol w:w="2996"/>
        <w:gridCol w:w="3516"/>
      </w:tblGrid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Budget YTD Feb '14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Actual YTD Feb '14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Variance YTD</w:t>
            </w:r>
          </w:p>
        </w:tc>
      </w:tr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Adult Educ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(929,941.00)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(895,203.39)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(881,519.30)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13,684.09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(591,040.00)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(536,067.00)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(501,321.75)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34,745.25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(289,278.00)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(266,422.00)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(243,561.52)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22,860.48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Central Charges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(348,047.00)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(331,208.00)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(496,765.73)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(165,557.73)</w:t>
            </w:r>
          </w:p>
        </w:tc>
      </w:tr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(2,165,662.00)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(2,117,872.00)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(2,294,232.07)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(176,360.07)</w:t>
            </w:r>
          </w:p>
        </w:tc>
      </w:tr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(3,937,908.00)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(3,612,025.40)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(3,586,601.11)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25,424.29</w:t>
            </w:r>
          </w:p>
        </w:tc>
      </w:tr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(1,524,466.08)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(1,306,860.00)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(1,284,260.41)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22,599.59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(571,965.00)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(518,867.00)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(513,712.44)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5,154.56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Outdoor Educ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(151,395.00)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(128,708.51)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(142,940.98)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(14,232.47)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SLA Management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12,771,857.00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11,707,535.58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11,761,546.36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54,010.78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Sports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(480,094.92)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(351,955.62)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(381,615.46)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(29,659.84)</w:t>
            </w:r>
          </w:p>
        </w:tc>
      </w:tr>
      <w:tr w:rsidR="00A3726F" w:rsidRPr="00A3726F" w:rsidTr="00A3726F">
        <w:trPr>
          <w:trHeight w:val="28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(1,782,060.00)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(1,627,136.00)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(1,548,853.49)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78,282.51</w:t>
            </w:r>
          </w:p>
        </w:tc>
      </w:tr>
      <w:tr w:rsidR="00A3726F" w:rsidRPr="00A3726F" w:rsidTr="00A3726F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15,210.66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(113,837.90)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(129,048.56)</w:t>
            </w:r>
          </w:p>
        </w:tc>
      </w:tr>
    </w:tbl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jc w:val="right"/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jc w:val="right"/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jc w:val="right"/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APPENDIX C</w:t>
      </w: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>Variance by Se</w:t>
      </w:r>
      <w:r>
        <w:rPr>
          <w:rFonts w:ascii="Arial" w:hAnsi="Arial" w:cs="Arial"/>
          <w:b/>
          <w:color w:val="000000"/>
          <w:szCs w:val="24"/>
        </w:rPr>
        <w:t xml:space="preserve">rvice </w:t>
      </w:r>
      <w:r w:rsidRPr="0005207E">
        <w:rPr>
          <w:rFonts w:ascii="Arial" w:hAnsi="Arial" w:cs="Arial"/>
          <w:b/>
          <w:color w:val="000000"/>
          <w:szCs w:val="24"/>
        </w:rPr>
        <w:t>and Breakdown of Variance by Category for each sector</w:t>
      </w: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tbl>
      <w:tblPr>
        <w:tblW w:w="15016" w:type="dxa"/>
        <w:tblInd w:w="108" w:type="dxa"/>
        <w:tblLook w:val="04A0" w:firstRow="1" w:lastRow="0" w:firstColumn="1" w:lastColumn="0" w:noHBand="0" w:noVBand="1"/>
      </w:tblPr>
      <w:tblGrid>
        <w:gridCol w:w="2496"/>
        <w:gridCol w:w="2056"/>
        <w:gridCol w:w="3236"/>
        <w:gridCol w:w="3236"/>
        <w:gridCol w:w="2076"/>
        <w:gridCol w:w="1916"/>
      </w:tblGrid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Variance Report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26F" w:rsidRPr="00A3726F" w:rsidTr="00A3726F">
        <w:trPr>
          <w:trHeight w:val="5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Var. YTD income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Var. YTD Other Costs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Var. YTD Staff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Income- Restricted Reserves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26F" w:rsidRPr="00A3726F" w:rsidRDefault="00A3726F" w:rsidP="00A372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Total Variance YTD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Adult Educ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6,347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13,684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1,213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(8,195)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41,728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34,745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21,068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(1,214)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3,007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22,860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Central Charges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(165,558)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(165,558)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(77,888)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(90,857)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(7,615)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(176,360)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(12,717)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(5,059)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43,201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25,424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33,293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(41,139)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(39,554)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22,600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90,194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(48,093)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(36,946)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5,155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Outdoor Educ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61,541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(51,489)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(24,285)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(14,232)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SLA Management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54,011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54,011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Sports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112,942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(40,667)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(125,566)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23,631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(29,660)</w:t>
            </w:r>
          </w:p>
        </w:tc>
      </w:tr>
      <w:tr w:rsidR="00A3726F" w:rsidRPr="00A3726F" w:rsidTr="00A3726F">
        <w:trPr>
          <w:trHeight w:val="28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220,777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(105,903)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(66,591)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78,283</w:t>
            </w:r>
          </w:p>
        </w:tc>
      </w:tr>
      <w:tr w:rsidR="00A3726F" w:rsidRPr="00A3726F" w:rsidTr="00A3726F">
        <w:trPr>
          <w:trHeight w:val="3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451,154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(497,817)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(206,017)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000000"/>
                <w:sz w:val="22"/>
                <w:szCs w:val="22"/>
              </w:rPr>
              <w:t>123,631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26F" w:rsidRPr="00A3726F" w:rsidRDefault="00A3726F" w:rsidP="00A372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26F">
              <w:rPr>
                <w:rFonts w:ascii="Arial" w:hAnsi="Arial" w:cs="Arial"/>
                <w:color w:val="FF0000"/>
                <w:sz w:val="22"/>
                <w:szCs w:val="22"/>
              </w:rPr>
              <w:t>(129,049)</w:t>
            </w:r>
          </w:p>
        </w:tc>
      </w:tr>
    </w:tbl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A3726F" w:rsidP="00A3726F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APPENDIX D</w:t>
      </w:r>
    </w:p>
    <w:p w:rsidR="00F41E17" w:rsidRPr="002A050E" w:rsidRDefault="00D91DC8" w:rsidP="00D91DC8">
      <w:pPr>
        <w:rPr>
          <w:b/>
          <w:color w:val="000000"/>
          <w:szCs w:val="24"/>
        </w:rPr>
      </w:pPr>
      <w:r w:rsidRPr="008301D0">
        <w:rPr>
          <w:rFonts w:ascii="Arial" w:hAnsi="Arial" w:cs="Arial"/>
          <w:b/>
          <w:color w:val="000000"/>
          <w:szCs w:val="24"/>
        </w:rPr>
        <w:t>Variance Report -</w:t>
      </w:r>
      <w:r w:rsidR="005E693A">
        <w:rPr>
          <w:rFonts w:ascii="Arial" w:hAnsi="Arial" w:cs="Arial"/>
          <w:b/>
          <w:color w:val="000000"/>
          <w:szCs w:val="24"/>
        </w:rPr>
        <w:t xml:space="preserve"> Explanation</w:t>
      </w:r>
    </w:p>
    <w:p w:rsidR="00F41E17" w:rsidRPr="00F41E17" w:rsidRDefault="00F41E17" w:rsidP="00F41E17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2500"/>
        <w:gridCol w:w="1464"/>
        <w:gridCol w:w="3072"/>
        <w:gridCol w:w="3927"/>
        <w:gridCol w:w="2802"/>
      </w:tblGrid>
      <w:tr w:rsidR="00F41E17" w:rsidRPr="00F41E17" w:rsidTr="005E693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Variance Explanation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Income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Other Costs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</w:t>
            </w:r>
          </w:p>
        </w:tc>
      </w:tr>
      <w:tr w:rsidR="00F41E17" w:rsidRPr="00F41E17" w:rsidTr="005E693A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17" w:rsidRPr="00FB7E98" w:rsidRDefault="00BD07BA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13,684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1575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Saving Equipment Purchase </w:t>
            </w:r>
            <w:r w:rsidRPr="001575A7">
              <w:rPr>
                <w:rFonts w:ascii="Arial" w:hAnsi="Arial" w:cs="Arial"/>
                <w:sz w:val="18"/>
                <w:szCs w:val="18"/>
              </w:rPr>
              <w:t>£</w:t>
            </w:r>
            <w:r w:rsidR="001575A7" w:rsidRPr="001575A7">
              <w:rPr>
                <w:rFonts w:ascii="Arial" w:hAnsi="Arial" w:cs="Arial"/>
                <w:sz w:val="18"/>
                <w:szCs w:val="18"/>
              </w:rPr>
              <w:t>3.7</w:t>
            </w:r>
            <w:r w:rsidR="001575A7">
              <w:rPr>
                <w:rFonts w:ascii="Arial" w:hAnsi="Arial" w:cs="Arial"/>
                <w:sz w:val="18"/>
                <w:szCs w:val="18"/>
              </w:rPr>
              <w:t>K</w:t>
            </w:r>
            <w:r w:rsidRPr="00157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/ Books &amp; Products</w:t>
            </w:r>
            <w:r w:rsidR="001575A7">
              <w:rPr>
                <w:rFonts w:ascii="Arial" w:hAnsi="Arial" w:cs="Arial"/>
                <w:color w:val="000000"/>
                <w:sz w:val="18"/>
                <w:szCs w:val="18"/>
              </w:rPr>
              <w:t xml:space="preserve"> £2K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FB7E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Saving </w:t>
            </w:r>
            <w:r w:rsidR="00FB7E98">
              <w:rPr>
                <w:rFonts w:ascii="Arial" w:hAnsi="Arial" w:cs="Arial"/>
                <w:color w:val="000000"/>
                <w:sz w:val="18"/>
                <w:szCs w:val="18"/>
              </w:rPr>
              <w:t xml:space="preserve"> £6.6 K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Staffing &amp; Training Course </w:t>
            </w:r>
            <w:r w:rsidR="00FB7E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1E17" w:rsidRPr="00F41E17" w:rsidTr="005E693A">
        <w:trPr>
          <w:trHeight w:val="3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Archives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17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34,745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FB7E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Technical Equipment </w:t>
            </w:r>
            <w:r w:rsidR="00FB7E9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Rent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</w:t>
            </w:r>
            <w:r w:rsidR="00FB7E98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FB7E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 Vacancy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FB7E9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FB7E98" w:rsidRPr="001575A7">
              <w:rPr>
                <w:rFonts w:ascii="Arial" w:hAnsi="Arial" w:cs="Arial"/>
                <w:sz w:val="18"/>
                <w:szCs w:val="18"/>
              </w:rPr>
              <w:t>£41K</w:t>
            </w:r>
          </w:p>
        </w:tc>
      </w:tr>
      <w:tr w:rsidR="00F41E17" w:rsidRPr="00F41E17" w:rsidTr="005E693A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Arts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17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22,860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1575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Grants </w:t>
            </w:r>
            <w:r w:rsidR="001575A7">
              <w:rPr>
                <w:rFonts w:ascii="Arial" w:hAnsi="Arial" w:cs="Arial"/>
                <w:color w:val="000000"/>
                <w:sz w:val="18"/>
                <w:szCs w:val="18"/>
              </w:rPr>
              <w:t>&amp; Donations £18K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 Target</w:t>
            </w:r>
          </w:p>
        </w:tc>
      </w:tr>
      <w:tr w:rsidR="00F41E17" w:rsidRPr="00F41E17" w:rsidTr="001575A7">
        <w:trPr>
          <w:trHeight w:val="7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Facilities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17" w:rsidRPr="00FB7E98" w:rsidRDefault="00FB7E98" w:rsidP="008415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4154D">
              <w:rPr>
                <w:rFonts w:ascii="Arial" w:hAnsi="Arial" w:cs="Arial"/>
                <w:color w:val="000000"/>
                <w:sz w:val="18"/>
                <w:szCs w:val="18"/>
              </w:rPr>
              <w:t>173,360</w:t>
            </w: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84154D" w:rsidP="008415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1.6% under Budget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E17" w:rsidRPr="00F41E17" w:rsidRDefault="0084154D" w:rsidP="008415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Travel (£18K), Leasing ( £33K), Cleaning &amp; pool chemicals (£28K), Repairs &amp; Maintenance (£24K)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E17" w:rsidRPr="00F41E17" w:rsidRDefault="0084154D" w:rsidP="008415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 target after adjusting for the additional Management Fee  for Culloden  of £100K</w:t>
            </w:r>
          </w:p>
        </w:tc>
      </w:tr>
      <w:tr w:rsidR="00F41E17" w:rsidRPr="00F41E17" w:rsidTr="005E693A">
        <w:trPr>
          <w:trHeight w:val="47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Libraries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17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25,424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C513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Lettings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(£2.8K)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Rent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£3K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) / Guidebooks &amp; Fines (£4.5K)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1575A7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1575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Staff Vacancies </w:t>
            </w:r>
            <w:r w:rsidR="001575A7" w:rsidRPr="001575A7">
              <w:rPr>
                <w:rFonts w:ascii="Arial" w:hAnsi="Arial" w:cs="Arial"/>
                <w:color w:val="000000"/>
                <w:sz w:val="18"/>
                <w:szCs w:val="18"/>
              </w:rPr>
              <w:t>£43K</w:t>
            </w:r>
          </w:p>
        </w:tc>
      </w:tr>
      <w:tr w:rsidR="005E693A" w:rsidRPr="00F41E17" w:rsidTr="005E693A">
        <w:trPr>
          <w:trHeight w:val="7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7D5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22,600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Timing issue - will reverse  (Contribution to post)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C513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Audit &amp; Legal Fees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£12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/H&amp;S and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Actuarian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Consultancy 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£12K</w:t>
            </w:r>
            <w:r w:rsidR="00C51396">
              <w:rPr>
                <w:rFonts w:ascii="Arial" w:hAnsi="Arial" w:cs="Arial"/>
                <w:color w:val="000000"/>
                <w:sz w:val="18"/>
                <w:szCs w:val="18"/>
              </w:rPr>
              <w:t>)/ expenditure projects PY reserves (£20K)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C51396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Training Projects covered in PY restricted reserve £25K.</w:t>
            </w:r>
          </w:p>
        </w:tc>
      </w:tr>
      <w:tr w:rsidR="005E693A" w:rsidRPr="00F41E17" w:rsidTr="005E693A">
        <w:trPr>
          <w:trHeight w:val="5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Central Service Costs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(165,558)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THC - Recharge Invoices (Fuel/ Purchase Cards/Bank Charges etc. YTD)</w:t>
            </w:r>
            <w:r w:rsidR="0084154D">
              <w:rPr>
                <w:rFonts w:ascii="Arial" w:hAnsi="Arial" w:cs="Arial"/>
                <w:color w:val="000000"/>
                <w:sz w:val="18"/>
                <w:szCs w:val="18"/>
              </w:rPr>
              <w:t>/ Print Services</w:t>
            </w:r>
            <w:r w:rsidR="00D72885">
              <w:rPr>
                <w:rFonts w:ascii="Arial" w:hAnsi="Arial" w:cs="Arial"/>
                <w:color w:val="000000"/>
                <w:sz w:val="18"/>
                <w:szCs w:val="18"/>
              </w:rPr>
              <w:t>/ ICT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5E693A" w:rsidRPr="00F41E17" w:rsidTr="005E693A">
        <w:trPr>
          <w:trHeight w:val="69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Management Fee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D72885" w:rsidP="007D5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54,011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D728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Fee ( 1% Salary Increase (Nov'13) </w:t>
            </w:r>
            <w:r w:rsidR="00D72885">
              <w:rPr>
                <w:rFonts w:ascii="Arial" w:hAnsi="Arial" w:cs="Arial"/>
                <w:color w:val="000000"/>
                <w:sz w:val="18"/>
                <w:szCs w:val="18"/>
              </w:rPr>
              <w:t xml:space="preserve">for All Services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693A" w:rsidRPr="00F41E17" w:rsidTr="005E693A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Museums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5,155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D72885" w:rsidRDefault="005E693A" w:rsidP="00D72885">
            <w:pPr>
              <w:rPr>
                <w:rFonts w:ascii="Arial" w:hAnsi="Arial" w:cs="Arial"/>
                <w:sz w:val="18"/>
                <w:szCs w:val="18"/>
              </w:rPr>
            </w:pPr>
            <w:r w:rsidRPr="00D72885">
              <w:rPr>
                <w:rFonts w:ascii="Arial" w:hAnsi="Arial" w:cs="Arial"/>
                <w:sz w:val="18"/>
                <w:szCs w:val="18"/>
              </w:rPr>
              <w:t xml:space="preserve">Folk Museum </w:t>
            </w:r>
            <w:r w:rsidR="00D72885" w:rsidRPr="00D72885">
              <w:rPr>
                <w:rFonts w:ascii="Arial" w:hAnsi="Arial" w:cs="Arial"/>
                <w:sz w:val="18"/>
                <w:szCs w:val="18"/>
              </w:rPr>
              <w:t>£89K over budget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Books &amp; Craft Purchases </w:t>
            </w:r>
            <w:r w:rsidR="00D72885">
              <w:rPr>
                <w:rFonts w:ascii="Arial" w:hAnsi="Arial" w:cs="Arial"/>
                <w:color w:val="000000"/>
                <w:sz w:val="18"/>
                <w:szCs w:val="18"/>
              </w:rPr>
              <w:t>– HFM 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£13K</w:t>
            </w:r>
            <w:r w:rsidR="00D72885">
              <w:rPr>
                <w:rFonts w:ascii="Arial" w:hAnsi="Arial" w:cs="Arial"/>
                <w:color w:val="000000"/>
                <w:sz w:val="18"/>
                <w:szCs w:val="18"/>
              </w:rPr>
              <w:t>) / THC IMAG catering Invoice (£25K)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 Vacancies</w:t>
            </w:r>
            <w:r w:rsidR="00D72885">
              <w:rPr>
                <w:rFonts w:ascii="Arial" w:hAnsi="Arial" w:cs="Arial"/>
                <w:color w:val="000000"/>
                <w:sz w:val="18"/>
                <w:szCs w:val="18"/>
              </w:rPr>
              <w:t xml:space="preserve"> £37K </w:t>
            </w:r>
          </w:p>
        </w:tc>
      </w:tr>
      <w:tr w:rsidR="005E693A" w:rsidRPr="00F41E17" w:rsidTr="005E693A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Outdoor Education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(14,232)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D72885" w:rsidRDefault="005E693A" w:rsidP="00D72885">
            <w:pPr>
              <w:rPr>
                <w:rFonts w:ascii="Arial" w:hAnsi="Arial" w:cs="Arial"/>
                <w:sz w:val="18"/>
                <w:szCs w:val="18"/>
              </w:rPr>
            </w:pPr>
            <w:r w:rsidRPr="00D72885">
              <w:rPr>
                <w:rFonts w:ascii="Arial" w:hAnsi="Arial" w:cs="Arial"/>
                <w:sz w:val="18"/>
                <w:szCs w:val="18"/>
              </w:rPr>
              <w:t xml:space="preserve">Outdoor Events &amp; Training </w:t>
            </w:r>
            <w:r w:rsidR="00D72885" w:rsidRPr="00D72885">
              <w:rPr>
                <w:rFonts w:ascii="Arial" w:hAnsi="Arial" w:cs="Arial"/>
                <w:sz w:val="18"/>
                <w:szCs w:val="18"/>
              </w:rPr>
              <w:t>£58K over budget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D72885" w:rsidP="00D728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Additional Costs Outdoor Events ( £45K)  / Utilities Badaguish (£5K 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Temporary Agency Workers £15K</w:t>
            </w:r>
          </w:p>
        </w:tc>
      </w:tr>
      <w:tr w:rsidR="005E693A" w:rsidRPr="00F41E17" w:rsidTr="005E693A">
        <w:trPr>
          <w:trHeight w:val="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Sports Development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(29,660)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CE1288" w:rsidRDefault="005E693A" w:rsidP="003D4E84">
            <w:pPr>
              <w:rPr>
                <w:rFonts w:ascii="Arial" w:hAnsi="Arial" w:cs="Arial"/>
                <w:sz w:val="18"/>
                <w:szCs w:val="18"/>
              </w:rPr>
            </w:pPr>
            <w:r w:rsidRPr="00CE1288">
              <w:rPr>
                <w:rFonts w:ascii="Arial" w:hAnsi="Arial" w:cs="Arial"/>
                <w:sz w:val="18"/>
                <w:szCs w:val="18"/>
              </w:rPr>
              <w:t>Coached Activity</w:t>
            </w:r>
            <w:r w:rsidR="00CE1288" w:rsidRPr="00CE1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1288">
              <w:rPr>
                <w:rFonts w:ascii="Arial" w:hAnsi="Arial" w:cs="Arial"/>
                <w:sz w:val="18"/>
                <w:szCs w:val="18"/>
              </w:rPr>
              <w:t>£</w:t>
            </w:r>
            <w:r w:rsidR="003D4E84" w:rsidRPr="00CE1288">
              <w:rPr>
                <w:rFonts w:ascii="Arial" w:hAnsi="Arial" w:cs="Arial"/>
                <w:sz w:val="18"/>
                <w:szCs w:val="18"/>
              </w:rPr>
              <w:t>24</w:t>
            </w:r>
            <w:r w:rsidRPr="00CE1288">
              <w:rPr>
                <w:rFonts w:ascii="Arial" w:hAnsi="Arial" w:cs="Arial"/>
                <w:sz w:val="18"/>
                <w:szCs w:val="18"/>
              </w:rPr>
              <w:t>K/ Grants/ Donations£</w:t>
            </w:r>
            <w:r w:rsidR="003D4E84" w:rsidRPr="00CE1288">
              <w:rPr>
                <w:rFonts w:ascii="Arial" w:hAnsi="Arial" w:cs="Arial"/>
                <w:sz w:val="18"/>
                <w:szCs w:val="18"/>
              </w:rPr>
              <w:t>35</w:t>
            </w:r>
            <w:r w:rsidRPr="00CE1288">
              <w:rPr>
                <w:rFonts w:ascii="Arial" w:hAnsi="Arial" w:cs="Arial"/>
                <w:sz w:val="18"/>
                <w:szCs w:val="18"/>
              </w:rPr>
              <w:t>K/ Other Income from other activities</w:t>
            </w:r>
            <w:r w:rsidR="00CE1288" w:rsidRPr="00CE1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1288">
              <w:rPr>
                <w:rFonts w:ascii="Arial" w:hAnsi="Arial" w:cs="Arial"/>
                <w:sz w:val="18"/>
                <w:szCs w:val="18"/>
              </w:rPr>
              <w:t>£</w:t>
            </w:r>
            <w:r w:rsidR="00CE1288" w:rsidRPr="00CE1288">
              <w:rPr>
                <w:rFonts w:ascii="Arial" w:hAnsi="Arial" w:cs="Arial"/>
                <w:sz w:val="18"/>
                <w:szCs w:val="18"/>
              </w:rPr>
              <w:t>27</w:t>
            </w:r>
            <w:r w:rsidRPr="00CE1288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CE1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Payment to Other establishments &amp; Sports Instructors </w:t>
            </w:r>
            <w:r w:rsidR="00CE128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£3</w:t>
            </w:r>
            <w:r w:rsidR="00CE128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E12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CE1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Staff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req'd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run </w:t>
            </w:r>
            <w:r w:rsidR="00CE128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rogramme - Offset in Income</w:t>
            </w:r>
          </w:p>
        </w:tc>
      </w:tr>
      <w:tr w:rsidR="005E693A" w:rsidRPr="00F41E17" w:rsidTr="005E693A">
        <w:trPr>
          <w:trHeight w:val="8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Youthwork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FB7E98" w:rsidRDefault="00FB7E98" w:rsidP="00B65F3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E98">
              <w:rPr>
                <w:rFonts w:ascii="Arial" w:hAnsi="Arial" w:cs="Arial"/>
                <w:color w:val="000000"/>
                <w:sz w:val="18"/>
                <w:szCs w:val="18"/>
              </w:rPr>
              <w:t>78,283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CE1288" w:rsidRDefault="005E693A" w:rsidP="00CE1288">
            <w:pPr>
              <w:rPr>
                <w:rFonts w:ascii="Arial" w:hAnsi="Arial" w:cs="Arial"/>
                <w:sz w:val="18"/>
                <w:szCs w:val="18"/>
              </w:rPr>
            </w:pPr>
            <w:r w:rsidRPr="00CE1288">
              <w:rPr>
                <w:rFonts w:ascii="Arial" w:hAnsi="Arial" w:cs="Arial"/>
                <w:sz w:val="18"/>
                <w:szCs w:val="18"/>
              </w:rPr>
              <w:t xml:space="preserve">Grants </w:t>
            </w:r>
            <w:r w:rsidR="00CE1288">
              <w:rPr>
                <w:rFonts w:ascii="Arial" w:hAnsi="Arial" w:cs="Arial"/>
                <w:sz w:val="18"/>
                <w:szCs w:val="18"/>
              </w:rPr>
              <w:t>£128K</w:t>
            </w:r>
            <w:r w:rsidRPr="00CE1288">
              <w:rPr>
                <w:rFonts w:ascii="Arial" w:hAnsi="Arial" w:cs="Arial"/>
                <w:sz w:val="18"/>
                <w:szCs w:val="18"/>
              </w:rPr>
              <w:t xml:space="preserve"> / Fees &amp; Charges </w:t>
            </w:r>
            <w:r w:rsidR="00CE1288">
              <w:rPr>
                <w:rFonts w:ascii="Arial" w:hAnsi="Arial" w:cs="Arial"/>
                <w:sz w:val="18"/>
                <w:szCs w:val="18"/>
              </w:rPr>
              <w:t>£46K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CE1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NHS - Contribution to CDO </w:t>
            </w:r>
            <w:r w:rsidR="00CE1288">
              <w:rPr>
                <w:rFonts w:ascii="Arial" w:hAnsi="Arial" w:cs="Arial"/>
                <w:color w:val="000000"/>
                <w:sz w:val="18"/>
                <w:szCs w:val="18"/>
              </w:rPr>
              <w:t>(£50K), Youth Conference (£25K), Payment to External Parties (£10K)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Staff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req'd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additional Activities</w:t>
            </w:r>
          </w:p>
        </w:tc>
      </w:tr>
      <w:tr w:rsidR="005E693A" w:rsidRPr="00F41E17" w:rsidTr="005E693A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3A" w:rsidRPr="00291E51" w:rsidRDefault="00FB7E98" w:rsidP="00B65F3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1E51">
              <w:rPr>
                <w:rFonts w:ascii="Arial" w:hAnsi="Arial" w:cs="Arial"/>
                <w:b/>
                <w:color w:val="000000"/>
                <w:sz w:val="18"/>
                <w:szCs w:val="18"/>
              </w:rPr>
              <w:t>(126,386)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93A" w:rsidRPr="00291E51" w:rsidRDefault="005E693A" w:rsidP="00B65F3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93A" w:rsidRPr="00F41E17" w:rsidRDefault="005E693A" w:rsidP="00B65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E1288" w:rsidRPr="00F41E17" w:rsidRDefault="00CE1288" w:rsidP="00291E51">
      <w:pPr>
        <w:rPr>
          <w:rFonts w:ascii="Arial" w:hAnsi="Arial" w:cs="Arial"/>
          <w:b/>
          <w:sz w:val="18"/>
          <w:szCs w:val="18"/>
        </w:rPr>
      </w:pPr>
    </w:p>
    <w:sectPr w:rsidR="00CE1288" w:rsidRPr="00F41E17" w:rsidSect="003E6B08">
      <w:pgSz w:w="16838" w:h="11906" w:orient="landscape"/>
      <w:pgMar w:top="1440" w:right="14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CF" w:rsidRDefault="00F070CF">
      <w:r>
        <w:separator/>
      </w:r>
    </w:p>
  </w:endnote>
  <w:endnote w:type="continuationSeparator" w:id="0">
    <w:p w:rsidR="00F070CF" w:rsidRDefault="00F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CF" w:rsidRDefault="00F070CF">
      <w:r>
        <w:separator/>
      </w:r>
    </w:p>
  </w:footnote>
  <w:footnote w:type="continuationSeparator" w:id="0">
    <w:p w:rsidR="00F070CF" w:rsidRDefault="00F0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57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20"/>
  </w:num>
  <w:num w:numId="7">
    <w:abstractNumId w:val="3"/>
  </w:num>
  <w:num w:numId="8">
    <w:abstractNumId w:val="23"/>
  </w:num>
  <w:num w:numId="9">
    <w:abstractNumId w:val="21"/>
  </w:num>
  <w:num w:numId="10">
    <w:abstractNumId w:val="17"/>
  </w:num>
  <w:num w:numId="11">
    <w:abstractNumId w:val="30"/>
  </w:num>
  <w:num w:numId="12">
    <w:abstractNumId w:val="31"/>
  </w:num>
  <w:num w:numId="13">
    <w:abstractNumId w:val="10"/>
  </w:num>
  <w:num w:numId="14">
    <w:abstractNumId w:val="26"/>
  </w:num>
  <w:num w:numId="15">
    <w:abstractNumId w:val="12"/>
  </w:num>
  <w:num w:numId="16">
    <w:abstractNumId w:val="29"/>
  </w:num>
  <w:num w:numId="17">
    <w:abstractNumId w:val="8"/>
  </w:num>
  <w:num w:numId="18">
    <w:abstractNumId w:val="19"/>
  </w:num>
  <w:num w:numId="19">
    <w:abstractNumId w:val="18"/>
  </w:num>
  <w:num w:numId="20">
    <w:abstractNumId w:val="22"/>
  </w:num>
  <w:num w:numId="21">
    <w:abstractNumId w:val="14"/>
  </w:num>
  <w:num w:numId="22">
    <w:abstractNumId w:val="9"/>
  </w:num>
  <w:num w:numId="23">
    <w:abstractNumId w:val="24"/>
  </w:num>
  <w:num w:numId="24">
    <w:abstractNumId w:val="7"/>
  </w:num>
  <w:num w:numId="25">
    <w:abstractNumId w:val="28"/>
  </w:num>
  <w:num w:numId="26">
    <w:abstractNumId w:val="5"/>
  </w:num>
  <w:num w:numId="27">
    <w:abstractNumId w:val="27"/>
  </w:num>
  <w:num w:numId="28">
    <w:abstractNumId w:val="2"/>
  </w:num>
  <w:num w:numId="29">
    <w:abstractNumId w:val="0"/>
  </w:num>
  <w:num w:numId="30">
    <w:abstractNumId w:val="6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6071"/>
    <w:rsid w:val="00102BA1"/>
    <w:rsid w:val="00104179"/>
    <w:rsid w:val="001072B4"/>
    <w:rsid w:val="001575A7"/>
    <w:rsid w:val="00186D8B"/>
    <w:rsid w:val="001B7F3F"/>
    <w:rsid w:val="001C4993"/>
    <w:rsid w:val="001C4B5C"/>
    <w:rsid w:val="001D1D38"/>
    <w:rsid w:val="001D5EE7"/>
    <w:rsid w:val="00226235"/>
    <w:rsid w:val="00226B15"/>
    <w:rsid w:val="0024004B"/>
    <w:rsid w:val="0024242C"/>
    <w:rsid w:val="00291E51"/>
    <w:rsid w:val="002A050E"/>
    <w:rsid w:val="002A21D3"/>
    <w:rsid w:val="002A660A"/>
    <w:rsid w:val="002B7DC4"/>
    <w:rsid w:val="002C5CF0"/>
    <w:rsid w:val="002D76CB"/>
    <w:rsid w:val="002D7E65"/>
    <w:rsid w:val="0033499A"/>
    <w:rsid w:val="0034407D"/>
    <w:rsid w:val="00345B42"/>
    <w:rsid w:val="00351BDC"/>
    <w:rsid w:val="00356B53"/>
    <w:rsid w:val="00383762"/>
    <w:rsid w:val="003924C9"/>
    <w:rsid w:val="0039450A"/>
    <w:rsid w:val="003D4E84"/>
    <w:rsid w:val="003E6B08"/>
    <w:rsid w:val="00402985"/>
    <w:rsid w:val="00416BFF"/>
    <w:rsid w:val="00445D1F"/>
    <w:rsid w:val="00472040"/>
    <w:rsid w:val="00485C73"/>
    <w:rsid w:val="004A13CB"/>
    <w:rsid w:val="004D3C32"/>
    <w:rsid w:val="004E2042"/>
    <w:rsid w:val="004F0983"/>
    <w:rsid w:val="004F6740"/>
    <w:rsid w:val="00504936"/>
    <w:rsid w:val="00540480"/>
    <w:rsid w:val="005458DE"/>
    <w:rsid w:val="00554631"/>
    <w:rsid w:val="00576020"/>
    <w:rsid w:val="00581415"/>
    <w:rsid w:val="00590256"/>
    <w:rsid w:val="00590C36"/>
    <w:rsid w:val="0059426B"/>
    <w:rsid w:val="005A64AF"/>
    <w:rsid w:val="005B050B"/>
    <w:rsid w:val="005C11FC"/>
    <w:rsid w:val="005D09D1"/>
    <w:rsid w:val="005E23D5"/>
    <w:rsid w:val="005E693A"/>
    <w:rsid w:val="0061518E"/>
    <w:rsid w:val="0063477B"/>
    <w:rsid w:val="00635750"/>
    <w:rsid w:val="00642DF4"/>
    <w:rsid w:val="00646F67"/>
    <w:rsid w:val="00655F80"/>
    <w:rsid w:val="00663093"/>
    <w:rsid w:val="0067538A"/>
    <w:rsid w:val="0067745D"/>
    <w:rsid w:val="0069001D"/>
    <w:rsid w:val="006A137F"/>
    <w:rsid w:val="006D0028"/>
    <w:rsid w:val="006D29ED"/>
    <w:rsid w:val="006D4204"/>
    <w:rsid w:val="00707C87"/>
    <w:rsid w:val="007118F2"/>
    <w:rsid w:val="007161EF"/>
    <w:rsid w:val="007214D1"/>
    <w:rsid w:val="0074360E"/>
    <w:rsid w:val="00757433"/>
    <w:rsid w:val="00776884"/>
    <w:rsid w:val="007A353F"/>
    <w:rsid w:val="007D3CAA"/>
    <w:rsid w:val="007D52F9"/>
    <w:rsid w:val="007E2203"/>
    <w:rsid w:val="007E4E27"/>
    <w:rsid w:val="00800D2C"/>
    <w:rsid w:val="00811A6F"/>
    <w:rsid w:val="008173B1"/>
    <w:rsid w:val="00817421"/>
    <w:rsid w:val="00825FD9"/>
    <w:rsid w:val="008301D0"/>
    <w:rsid w:val="00831A88"/>
    <w:rsid w:val="0084154D"/>
    <w:rsid w:val="0089449E"/>
    <w:rsid w:val="008A1F14"/>
    <w:rsid w:val="008B4D54"/>
    <w:rsid w:val="008E6DEF"/>
    <w:rsid w:val="008F5A22"/>
    <w:rsid w:val="009361C3"/>
    <w:rsid w:val="0097099E"/>
    <w:rsid w:val="00982461"/>
    <w:rsid w:val="00997DBB"/>
    <w:rsid w:val="009A5D16"/>
    <w:rsid w:val="009B0904"/>
    <w:rsid w:val="009B223B"/>
    <w:rsid w:val="009D3BFC"/>
    <w:rsid w:val="009E3DB8"/>
    <w:rsid w:val="009F701B"/>
    <w:rsid w:val="00A122DA"/>
    <w:rsid w:val="00A3726F"/>
    <w:rsid w:val="00A37942"/>
    <w:rsid w:val="00A40F8E"/>
    <w:rsid w:val="00A47A09"/>
    <w:rsid w:val="00A53534"/>
    <w:rsid w:val="00A57EC6"/>
    <w:rsid w:val="00A6213E"/>
    <w:rsid w:val="00A8159A"/>
    <w:rsid w:val="00AA1CCB"/>
    <w:rsid w:val="00AA54D9"/>
    <w:rsid w:val="00AC146F"/>
    <w:rsid w:val="00AD0502"/>
    <w:rsid w:val="00AD0D67"/>
    <w:rsid w:val="00AF02B6"/>
    <w:rsid w:val="00AF7FD6"/>
    <w:rsid w:val="00B0145D"/>
    <w:rsid w:val="00B437C8"/>
    <w:rsid w:val="00B43C0F"/>
    <w:rsid w:val="00B4511E"/>
    <w:rsid w:val="00B56CDC"/>
    <w:rsid w:val="00B65EFA"/>
    <w:rsid w:val="00B65F30"/>
    <w:rsid w:val="00B71D3A"/>
    <w:rsid w:val="00B71E7C"/>
    <w:rsid w:val="00B76551"/>
    <w:rsid w:val="00B84929"/>
    <w:rsid w:val="00B9658E"/>
    <w:rsid w:val="00BB271A"/>
    <w:rsid w:val="00BB4A08"/>
    <w:rsid w:val="00BD07BA"/>
    <w:rsid w:val="00BD6973"/>
    <w:rsid w:val="00C029AC"/>
    <w:rsid w:val="00C17981"/>
    <w:rsid w:val="00C443BA"/>
    <w:rsid w:val="00C51396"/>
    <w:rsid w:val="00C51930"/>
    <w:rsid w:val="00C73DE0"/>
    <w:rsid w:val="00C8005D"/>
    <w:rsid w:val="00C97A35"/>
    <w:rsid w:val="00CD28C3"/>
    <w:rsid w:val="00CD4E51"/>
    <w:rsid w:val="00CE1288"/>
    <w:rsid w:val="00CE4D7F"/>
    <w:rsid w:val="00CF10FD"/>
    <w:rsid w:val="00D15130"/>
    <w:rsid w:val="00D35C5C"/>
    <w:rsid w:val="00D57CDF"/>
    <w:rsid w:val="00D658D1"/>
    <w:rsid w:val="00D72885"/>
    <w:rsid w:val="00D842DB"/>
    <w:rsid w:val="00D91DC8"/>
    <w:rsid w:val="00DB3601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812AE"/>
    <w:rsid w:val="00E82BE9"/>
    <w:rsid w:val="00EA70C6"/>
    <w:rsid w:val="00EB47AD"/>
    <w:rsid w:val="00EC455A"/>
    <w:rsid w:val="00EE431A"/>
    <w:rsid w:val="00EE6C0C"/>
    <w:rsid w:val="00EF519D"/>
    <w:rsid w:val="00F067E4"/>
    <w:rsid w:val="00F070CF"/>
    <w:rsid w:val="00F32670"/>
    <w:rsid w:val="00F41E17"/>
    <w:rsid w:val="00F66E63"/>
    <w:rsid w:val="00FA053D"/>
    <w:rsid w:val="00FA5BC7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BAEE-1F72-4D00-9B21-ABE1670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1465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46</cp:revision>
  <cp:lastPrinted>2014-04-09T13:52:00Z</cp:lastPrinted>
  <dcterms:created xsi:type="dcterms:W3CDTF">2013-11-22T11:43:00Z</dcterms:created>
  <dcterms:modified xsi:type="dcterms:W3CDTF">2014-04-09T14:45:00Z</dcterms:modified>
</cp:coreProperties>
</file>