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B84929" w:rsidRPr="0089449E" w:rsidTr="00B76551">
        <w:trPr>
          <w:cantSplit/>
          <w:trHeight w:val="993"/>
        </w:trPr>
        <w:tc>
          <w:tcPr>
            <w:tcW w:w="6204" w:type="dxa"/>
          </w:tcPr>
          <w:p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 xml:space="preserve">HIGH LIFE HIGHLAND </w:t>
            </w:r>
          </w:p>
          <w:p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:rsidR="002B7DC4" w:rsidRPr="0089449E" w:rsidRDefault="00290EB5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 August 2014</w:t>
            </w:r>
          </w:p>
          <w:p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0" w:type="dxa"/>
          </w:tcPr>
          <w:p w:rsidR="00C17981" w:rsidRDefault="00B0145D" w:rsidP="004720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AGENDA ITEM </w:t>
            </w:r>
          </w:p>
          <w:p w:rsidR="00B84929" w:rsidRPr="0089449E" w:rsidRDefault="00B84929" w:rsidP="009D3BFC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N</w:t>
            </w:r>
            <w:r w:rsidR="004A13CB">
              <w:rPr>
                <w:rFonts w:ascii="Arial" w:hAnsi="Arial" w:cs="Arial"/>
                <w:szCs w:val="24"/>
              </w:rPr>
              <w:t>o</w:t>
            </w:r>
            <w:r w:rsidR="001D5EE7">
              <w:rPr>
                <w:rFonts w:ascii="Arial" w:hAnsi="Arial" w:cs="Arial"/>
                <w:szCs w:val="24"/>
              </w:rPr>
              <w:t xml:space="preserve"> </w:t>
            </w:r>
            <w:r w:rsidR="00C17981">
              <w:rPr>
                <w:rFonts w:ascii="Arial" w:hAnsi="Arial" w:cs="Arial"/>
                <w:szCs w:val="24"/>
              </w:rPr>
              <w:t xml:space="preserve">HLH </w:t>
            </w:r>
            <w:r w:rsidR="00485C73">
              <w:rPr>
                <w:rFonts w:ascii="Arial" w:hAnsi="Arial" w:cs="Arial"/>
                <w:szCs w:val="24"/>
              </w:rPr>
              <w:t xml:space="preserve">  </w:t>
            </w:r>
            <w:r w:rsidR="001D5EE7">
              <w:rPr>
                <w:rFonts w:ascii="Arial" w:hAnsi="Arial" w:cs="Arial"/>
                <w:szCs w:val="24"/>
              </w:rPr>
              <w:t>/1</w:t>
            </w:r>
            <w:r w:rsidR="00B71E7C">
              <w:rPr>
                <w:rFonts w:ascii="Arial" w:hAnsi="Arial" w:cs="Arial"/>
                <w:szCs w:val="24"/>
              </w:rPr>
              <w:t>4</w:t>
            </w:r>
          </w:p>
        </w:tc>
      </w:tr>
    </w:tbl>
    <w:p w:rsidR="0039450A" w:rsidRPr="0089449E" w:rsidRDefault="0067745D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FINANCE REPORT</w:t>
      </w:r>
      <w:r w:rsidRPr="0089449E">
        <w:rPr>
          <w:rFonts w:ascii="Arial" w:hAnsi="Arial" w:cs="Arial"/>
          <w:b/>
          <w:szCs w:val="24"/>
          <w:u w:val="none"/>
        </w:rPr>
        <w:t xml:space="preserve"> -</w:t>
      </w:r>
      <w:r w:rsidR="00DE1E6C" w:rsidRPr="0089449E">
        <w:rPr>
          <w:rFonts w:ascii="Arial" w:hAnsi="Arial" w:cs="Arial"/>
          <w:b/>
          <w:szCs w:val="24"/>
          <w:u w:val="none"/>
        </w:rPr>
        <w:t xml:space="preserve">  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:rsidR="0039450A" w:rsidRPr="0089449E" w:rsidRDefault="0039450A" w:rsidP="00DE3803">
      <w:pPr>
        <w:pStyle w:val="Heading1"/>
        <w:jc w:val="left"/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fldChar w:fldCharType="begin"/>
      </w:r>
      <w:r w:rsidRPr="0089449E">
        <w:rPr>
          <w:rFonts w:ascii="Arial" w:hAnsi="Arial" w:cs="Arial"/>
          <w:szCs w:val="24"/>
        </w:rPr>
        <w:instrText xml:space="preserve">  </w:instrText>
      </w:r>
      <w:r w:rsidRPr="0089449E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>
        <w:trPr>
          <w:cantSplit/>
        </w:trPr>
        <w:tc>
          <w:tcPr>
            <w:tcW w:w="9464" w:type="dxa"/>
          </w:tcPr>
          <w:p w:rsidR="0039450A" w:rsidRPr="0089449E" w:rsidRDefault="002B7DC4" w:rsidP="00472040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2B7DC4" w:rsidRPr="0089449E" w:rsidRDefault="002B7DC4" w:rsidP="00472040">
            <w:pPr>
              <w:jc w:val="both"/>
              <w:rPr>
                <w:rFonts w:ascii="Arial" w:hAnsi="Arial" w:cs="Arial"/>
              </w:rPr>
            </w:pPr>
          </w:p>
          <w:p w:rsidR="002B7DC4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provides </w:t>
            </w:r>
            <w:r w:rsidR="007E220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irectors with an update on the financial performance of High Life Highland f</w:t>
            </w:r>
            <w:r w:rsidR="007E2203">
              <w:rPr>
                <w:rFonts w:ascii="Arial" w:hAnsi="Arial" w:cs="Arial"/>
              </w:rPr>
              <w:t xml:space="preserve">or the </w:t>
            </w:r>
            <w:r w:rsidR="004A13CB">
              <w:rPr>
                <w:rFonts w:ascii="Arial" w:hAnsi="Arial" w:cs="Arial"/>
              </w:rPr>
              <w:t xml:space="preserve">period ending </w:t>
            </w:r>
            <w:r w:rsidR="00290EB5">
              <w:rPr>
                <w:rFonts w:ascii="Arial" w:hAnsi="Arial" w:cs="Arial"/>
              </w:rPr>
              <w:t>30 June</w:t>
            </w:r>
            <w:r w:rsidR="00CA48CC">
              <w:rPr>
                <w:rFonts w:ascii="Arial" w:hAnsi="Arial" w:cs="Arial"/>
              </w:rPr>
              <w:t xml:space="preserve"> 2014</w:t>
            </w:r>
            <w:r w:rsidR="00C519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provides information on contracts awarded since the previous meeting of the Board.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</w:t>
            </w:r>
            <w:r w:rsidR="00C17981">
              <w:rPr>
                <w:rFonts w:ascii="Arial" w:hAnsi="Arial" w:cs="Arial"/>
              </w:rPr>
              <w:t xml:space="preserve"> note</w:t>
            </w:r>
            <w:r>
              <w:rPr>
                <w:rFonts w:ascii="Arial" w:hAnsi="Arial" w:cs="Arial"/>
              </w:rPr>
              <w:t>:-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B71E7C" w:rsidRDefault="00B71E7C" w:rsidP="008A3353">
            <w:pPr>
              <w:pStyle w:val="ListParagraph"/>
              <w:numPr>
                <w:ilvl w:val="0"/>
                <w:numId w:val="39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</w:t>
            </w:r>
            <w:r w:rsidR="00023E37" w:rsidRPr="00B71E7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4A13CB" w:rsidRPr="00B71E7C">
              <w:rPr>
                <w:rFonts w:ascii="Arial" w:hAnsi="Arial" w:cs="Arial"/>
                <w:sz w:val="24"/>
                <w:szCs w:val="24"/>
              </w:rPr>
              <w:t>current financial position of High Life Highland</w:t>
            </w:r>
            <w:r w:rsidR="00B43C0F" w:rsidRPr="00B71E7C">
              <w:rPr>
                <w:rFonts w:ascii="Arial" w:hAnsi="Arial" w:cs="Arial"/>
                <w:sz w:val="24"/>
                <w:szCs w:val="24"/>
              </w:rPr>
              <w:t xml:space="preserve"> as detailed in </w:t>
            </w:r>
            <w:r w:rsidR="00B43C0F" w:rsidRPr="00B71E7C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="004A13CB"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E7C" w:rsidRPr="00B71E7C" w:rsidRDefault="002D7E65" w:rsidP="008A3353">
            <w:pPr>
              <w:pStyle w:val="ListParagraph"/>
              <w:numPr>
                <w:ilvl w:val="0"/>
                <w:numId w:val="39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B71E7C">
              <w:rPr>
                <w:rFonts w:ascii="Arial" w:hAnsi="Arial" w:cs="Arial"/>
                <w:sz w:val="24"/>
                <w:szCs w:val="24"/>
              </w:rPr>
              <w:t>f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inancial </w:t>
            </w:r>
            <w:r w:rsidRPr="00B71E7C">
              <w:rPr>
                <w:rFonts w:ascii="Arial" w:hAnsi="Arial" w:cs="Arial"/>
                <w:sz w:val="24"/>
                <w:szCs w:val="24"/>
              </w:rPr>
              <w:t>r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esults for the </w:t>
            </w:r>
            <w:r w:rsidR="00290EB5">
              <w:rPr>
                <w:rFonts w:ascii="Arial" w:hAnsi="Arial" w:cs="Arial"/>
                <w:sz w:val="24"/>
                <w:szCs w:val="24"/>
              </w:rPr>
              <w:t>3</w:t>
            </w:r>
            <w:r w:rsidR="00CA48CC">
              <w:rPr>
                <w:rFonts w:ascii="Arial" w:hAnsi="Arial" w:cs="Arial"/>
                <w:sz w:val="24"/>
                <w:szCs w:val="24"/>
              </w:rPr>
              <w:t xml:space="preserve"> months to </w:t>
            </w:r>
            <w:r w:rsidR="00290EB5">
              <w:rPr>
                <w:rFonts w:ascii="Arial" w:hAnsi="Arial" w:cs="Arial"/>
                <w:sz w:val="24"/>
                <w:szCs w:val="24"/>
              </w:rPr>
              <w:t>30 June</w:t>
            </w:r>
            <w:r w:rsidR="00CA48CC">
              <w:rPr>
                <w:rFonts w:ascii="Arial" w:hAnsi="Arial" w:cs="Arial"/>
                <w:sz w:val="24"/>
                <w:szCs w:val="24"/>
              </w:rPr>
              <w:t xml:space="preserve"> 2014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 reports a </w:t>
            </w:r>
            <w:r w:rsidR="00CA48CC">
              <w:rPr>
                <w:rFonts w:ascii="Arial" w:hAnsi="Arial" w:cs="Arial"/>
                <w:sz w:val="24"/>
                <w:szCs w:val="24"/>
              </w:rPr>
              <w:t xml:space="preserve">positive 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variance on budget of </w:t>
            </w:r>
            <w:r w:rsidR="001C4B5C" w:rsidRPr="00B71E7C">
              <w:rPr>
                <w:rFonts w:ascii="Arial" w:hAnsi="Arial" w:cs="Arial"/>
                <w:sz w:val="24"/>
                <w:szCs w:val="24"/>
              </w:rPr>
              <w:t>£</w:t>
            </w:r>
            <w:r w:rsidR="00290EB5">
              <w:rPr>
                <w:rFonts w:ascii="Arial" w:hAnsi="Arial" w:cs="Arial"/>
                <w:sz w:val="24"/>
                <w:szCs w:val="24"/>
              </w:rPr>
              <w:t>2,207</w:t>
            </w:r>
            <w:r w:rsidR="00B0145D"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E7C" w:rsidRPr="00B71E7C" w:rsidRDefault="0070225D" w:rsidP="008A3353">
            <w:pPr>
              <w:pStyle w:val="ListParagraph"/>
              <w:numPr>
                <w:ilvl w:val="0"/>
                <w:numId w:val="39"/>
              </w:numPr>
              <w:ind w:left="56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C4B5C" w:rsidRPr="00B71E7C">
              <w:rPr>
                <w:rFonts w:ascii="Arial" w:hAnsi="Arial" w:cs="Arial"/>
                <w:sz w:val="24"/>
                <w:szCs w:val="24"/>
              </w:rPr>
              <w:t xml:space="preserve">he projected final out-turn for the year </w:t>
            </w:r>
            <w:r w:rsidR="00CA48CC">
              <w:rPr>
                <w:rFonts w:ascii="Arial" w:hAnsi="Arial" w:cs="Arial"/>
                <w:sz w:val="24"/>
                <w:szCs w:val="24"/>
              </w:rPr>
              <w:t>remains o</w:t>
            </w:r>
            <w:r>
              <w:rPr>
                <w:rFonts w:ascii="Arial" w:hAnsi="Arial" w:cs="Arial"/>
                <w:sz w:val="24"/>
                <w:szCs w:val="24"/>
              </w:rPr>
              <w:t>n target to the approved budget; and</w:t>
            </w:r>
          </w:p>
          <w:p w:rsidR="0039450A" w:rsidRPr="0089449E" w:rsidRDefault="00023E37" w:rsidP="008A3353">
            <w:pPr>
              <w:pStyle w:val="ListParagraph"/>
              <w:numPr>
                <w:ilvl w:val="0"/>
                <w:numId w:val="39"/>
              </w:numPr>
              <w:ind w:left="567" w:hanging="283"/>
              <w:jc w:val="both"/>
              <w:rPr>
                <w:rFonts w:ascii="Arial" w:hAnsi="Arial" w:cs="Arial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the award of contract</w:t>
            </w:r>
            <w:r w:rsidR="00800D2C" w:rsidRPr="00B71E7C">
              <w:rPr>
                <w:rFonts w:ascii="Arial" w:hAnsi="Arial" w:cs="Arial"/>
                <w:sz w:val="24"/>
                <w:szCs w:val="24"/>
              </w:rPr>
              <w:t>s</w:t>
            </w:r>
            <w:r w:rsidR="00B0145D" w:rsidRPr="00B71E7C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5C11FC" w:rsidRPr="00B71E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25F">
              <w:rPr>
                <w:rFonts w:ascii="Arial" w:hAnsi="Arial" w:cs="Arial"/>
                <w:sz w:val="24"/>
                <w:szCs w:val="24"/>
              </w:rPr>
              <w:t xml:space="preserve">Summit Web Solutions, </w:t>
            </w:r>
            <w:proofErr w:type="spellStart"/>
            <w:r w:rsidR="0083625F">
              <w:rPr>
                <w:rFonts w:ascii="Arial" w:hAnsi="Arial" w:cs="Arial"/>
                <w:sz w:val="24"/>
                <w:szCs w:val="24"/>
              </w:rPr>
              <w:t>Dynam</w:t>
            </w:r>
            <w:proofErr w:type="spellEnd"/>
            <w:r w:rsidR="0083625F">
              <w:rPr>
                <w:rFonts w:ascii="Arial" w:hAnsi="Arial" w:cs="Arial"/>
                <w:sz w:val="24"/>
                <w:szCs w:val="24"/>
              </w:rPr>
              <w:t xml:space="preserve"> Ltd, </w:t>
            </w:r>
            <w:proofErr w:type="spellStart"/>
            <w:r w:rsidR="0083625F">
              <w:rPr>
                <w:rFonts w:ascii="Arial" w:hAnsi="Arial" w:cs="Arial"/>
                <w:sz w:val="24"/>
                <w:szCs w:val="24"/>
              </w:rPr>
              <w:t>Achins</w:t>
            </w:r>
            <w:proofErr w:type="spellEnd"/>
            <w:r w:rsidR="0083625F">
              <w:rPr>
                <w:rFonts w:ascii="Arial" w:hAnsi="Arial" w:cs="Arial"/>
                <w:sz w:val="24"/>
                <w:szCs w:val="24"/>
              </w:rPr>
              <w:t xml:space="preserve">  Bookshop, EQ Sport, Lucy Woodley/Kirsten Body.</w:t>
            </w:r>
            <w:r w:rsidR="0039450A" w:rsidRPr="0089449E">
              <w:rPr>
                <w:rFonts w:ascii="Arial" w:hAnsi="Arial" w:cs="Arial"/>
                <w:szCs w:val="24"/>
              </w:rPr>
              <w:fldChar w:fldCharType="begin"/>
            </w:r>
            <w:r w:rsidR="0039450A"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="0039450A"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97099E" w:rsidRPr="0089449E" w:rsidRDefault="0097099E" w:rsidP="00472040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89449E" w:rsidRDefault="00A53534" w:rsidP="00472040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7161EF" w:rsidRDefault="008B4D54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  <w:r w:rsidRPr="00B0145D">
              <w:rPr>
                <w:rFonts w:ascii="Arial" w:hAnsi="Arial" w:cs="Arial"/>
              </w:rPr>
              <w:t>This report supports the highlighted Business Outcome from the High Life Highland (HLH) Business Plan:</w:t>
            </w:r>
          </w:p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A positive company image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A growing company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Delivery of the contract with THC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awareness of our products and services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customer satisfaction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145D">
              <w:rPr>
                <w:rFonts w:ascii="Arial" w:hAnsi="Arial" w:cs="Arial"/>
                <w:b/>
                <w:bCs/>
                <w:szCs w:val="24"/>
              </w:rPr>
              <w:t>Increased financial sustainability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internal collaboration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staff satisfaction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Safety &amp; environmental compliance</w:t>
            </w:r>
          </w:p>
          <w:p w:rsidR="00C51930" w:rsidRPr="00B0145D" w:rsidRDefault="00C51930" w:rsidP="00B0145D">
            <w:pPr>
              <w:jc w:val="both"/>
              <w:rPr>
                <w:rFonts w:ascii="Arial" w:hAnsi="Arial" w:cs="Arial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:rsidR="008B4D54" w:rsidRPr="009709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7099E">
              <w:rPr>
                <w:rFonts w:ascii="Arial" w:hAnsi="Arial" w:cs="Arial"/>
                <w:b/>
                <w:szCs w:val="24"/>
              </w:rPr>
              <w:t>Background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8B4D54">
              <w:rPr>
                <w:rFonts w:ascii="Arial" w:hAnsi="Arial" w:cs="Arial"/>
                <w:szCs w:val="24"/>
              </w:rPr>
              <w:t>2.1</w:t>
            </w:r>
          </w:p>
          <w:p w:rsidR="004A13CB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Directors of HLH receive a Finance Report on </w:t>
            </w:r>
            <w:r w:rsidR="001C4B5C">
              <w:rPr>
                <w:rFonts w:ascii="Arial" w:hAnsi="Arial" w:cs="Arial"/>
                <w:szCs w:val="24"/>
              </w:rPr>
              <w:t>a bi-monthly</w:t>
            </w:r>
            <w:r w:rsidR="009E3DB8">
              <w:rPr>
                <w:rFonts w:ascii="Arial" w:hAnsi="Arial" w:cs="Arial"/>
                <w:szCs w:val="24"/>
              </w:rPr>
              <w:t xml:space="preserve"> basis. The primary purpose of the </w:t>
            </w:r>
            <w:r>
              <w:rPr>
                <w:rFonts w:ascii="Arial" w:hAnsi="Arial" w:cs="Arial"/>
                <w:szCs w:val="24"/>
              </w:rPr>
              <w:t xml:space="preserve">report is to summarise the financial performance of the organisation and its subsidiaries. </w:t>
            </w:r>
          </w:p>
          <w:p w:rsidR="004A13CB" w:rsidRPr="0097099E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>3.</w:t>
            </w:r>
          </w:p>
          <w:p w:rsidR="004A13CB" w:rsidRPr="008B4D54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 xml:space="preserve">Financial Performance to </w:t>
            </w:r>
            <w:r w:rsidR="00290EB5">
              <w:rPr>
                <w:rFonts w:ascii="Arial" w:hAnsi="Arial" w:cs="Arial"/>
                <w:b/>
                <w:szCs w:val="24"/>
              </w:rPr>
              <w:t>30 June</w:t>
            </w:r>
            <w:r w:rsidR="00CA48CC">
              <w:rPr>
                <w:rFonts w:ascii="Arial" w:hAnsi="Arial" w:cs="Arial"/>
                <w:b/>
                <w:szCs w:val="24"/>
              </w:rPr>
              <w:t xml:space="preserve"> 2014</w:t>
            </w:r>
          </w:p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CD28C3" w:rsidRDefault="00CD28C3" w:rsidP="00472040">
            <w:pPr>
              <w:jc w:val="both"/>
              <w:rPr>
                <w:rFonts w:ascii="Arial" w:hAnsi="Arial" w:cs="Arial"/>
                <w:szCs w:val="24"/>
              </w:rPr>
            </w:pPr>
            <w:r w:rsidRPr="00CD28C3">
              <w:rPr>
                <w:rFonts w:ascii="Arial" w:hAnsi="Arial" w:cs="Arial"/>
                <w:szCs w:val="24"/>
              </w:rPr>
              <w:t>3.1</w:t>
            </w:r>
          </w:p>
          <w:p w:rsidR="00B9658E" w:rsidRDefault="00B9658E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3.2</w:t>
            </w: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3.3</w:t>
            </w: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3.4</w:t>
            </w: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3.5</w:t>
            </w:r>
          </w:p>
          <w:p w:rsidR="002D76CB" w:rsidRPr="00CD28C3" w:rsidRDefault="002D76CB" w:rsidP="0029314E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B9658E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The outturn figure for the period to </w:t>
            </w:r>
            <w:r w:rsidR="00290EB5">
              <w:rPr>
                <w:rFonts w:ascii="Arial" w:hAnsi="Arial" w:cs="Arial"/>
                <w:szCs w:val="24"/>
              </w:rPr>
              <w:t>30 June</w:t>
            </w:r>
            <w:r w:rsidR="00CA48CC">
              <w:rPr>
                <w:rFonts w:ascii="Arial" w:hAnsi="Arial" w:cs="Arial"/>
                <w:szCs w:val="24"/>
              </w:rPr>
              <w:t xml:space="preserve"> 2014</w:t>
            </w:r>
            <w:r>
              <w:rPr>
                <w:rFonts w:ascii="Arial" w:hAnsi="Arial" w:cs="Arial"/>
                <w:szCs w:val="24"/>
              </w:rPr>
              <w:t xml:space="preserve"> has been prepared. </w:t>
            </w:r>
          </w:p>
          <w:p w:rsidR="00B9658E" w:rsidRDefault="00B9658E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B0145D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HLH’s consolidated financial performance for </w:t>
            </w:r>
            <w:r w:rsidR="00B0145D">
              <w:rPr>
                <w:rFonts w:ascii="Arial" w:hAnsi="Arial" w:cs="Arial"/>
                <w:szCs w:val="24"/>
              </w:rPr>
              <w:t>the year is summarised by the 9 </w:t>
            </w:r>
            <w:r>
              <w:rPr>
                <w:rFonts w:ascii="Arial" w:hAnsi="Arial" w:cs="Arial"/>
                <w:szCs w:val="24"/>
              </w:rPr>
              <w:t xml:space="preserve">business areas at </w:t>
            </w:r>
            <w:r w:rsidR="004A13CB" w:rsidRPr="00DE7C73">
              <w:rPr>
                <w:rFonts w:ascii="Arial" w:hAnsi="Arial" w:cs="Arial"/>
                <w:b/>
                <w:szCs w:val="24"/>
              </w:rPr>
              <w:t>Appendix A</w:t>
            </w:r>
            <w:r>
              <w:rPr>
                <w:rFonts w:ascii="Arial" w:hAnsi="Arial" w:cs="Arial"/>
                <w:b/>
                <w:szCs w:val="24"/>
              </w:rPr>
              <w:t xml:space="preserve">.  </w:t>
            </w:r>
            <w:r w:rsidR="00DE7C73">
              <w:rPr>
                <w:rFonts w:ascii="Arial" w:hAnsi="Arial" w:cs="Arial"/>
                <w:b/>
                <w:szCs w:val="24"/>
              </w:rPr>
              <w:t xml:space="preserve"> </w:t>
            </w:r>
            <w:r w:rsidR="00590256">
              <w:rPr>
                <w:rFonts w:ascii="Arial" w:hAnsi="Arial" w:cs="Arial"/>
                <w:szCs w:val="24"/>
              </w:rPr>
              <w:t>The outturn for the period</w:t>
            </w:r>
            <w:r>
              <w:rPr>
                <w:rFonts w:ascii="Arial" w:hAnsi="Arial" w:cs="Arial"/>
                <w:szCs w:val="24"/>
              </w:rPr>
              <w:t xml:space="preserve"> is split by cost category (revenues, staff costs and other costs) at </w:t>
            </w:r>
            <w:r w:rsidR="00554631">
              <w:rPr>
                <w:rFonts w:ascii="Arial" w:hAnsi="Arial" w:cs="Arial"/>
                <w:b/>
                <w:szCs w:val="24"/>
              </w:rPr>
              <w:t>Appendices</w:t>
            </w:r>
            <w:r w:rsidRPr="00635750">
              <w:rPr>
                <w:rFonts w:ascii="Arial" w:hAnsi="Arial" w:cs="Arial"/>
                <w:b/>
                <w:szCs w:val="24"/>
              </w:rPr>
              <w:t xml:space="preserve"> B</w:t>
            </w:r>
            <w:r>
              <w:rPr>
                <w:rFonts w:ascii="Arial" w:hAnsi="Arial" w:cs="Arial"/>
                <w:szCs w:val="24"/>
              </w:rPr>
              <w:t xml:space="preserve">.  </w:t>
            </w:r>
          </w:p>
          <w:p w:rsidR="00B0145D" w:rsidRDefault="00B0145D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CF250B" w:rsidRDefault="001C4B5C" w:rsidP="00CF250B">
            <w:pPr>
              <w:jc w:val="both"/>
              <w:rPr>
                <w:rFonts w:ascii="Arial" w:hAnsi="Arial" w:cs="Arial"/>
                <w:szCs w:val="24"/>
              </w:rPr>
            </w:pPr>
            <w:r w:rsidRPr="00CB4EE8">
              <w:rPr>
                <w:rFonts w:ascii="Arial" w:hAnsi="Arial" w:cs="Arial"/>
                <w:szCs w:val="24"/>
              </w:rPr>
              <w:t>This shows total revenues in excess of budget by £</w:t>
            </w:r>
            <w:r w:rsidR="00CF250B">
              <w:rPr>
                <w:rFonts w:ascii="Arial" w:hAnsi="Arial" w:cs="Arial"/>
                <w:szCs w:val="24"/>
              </w:rPr>
              <w:t>141K</w:t>
            </w:r>
            <w:r w:rsidR="0029314E">
              <w:rPr>
                <w:rFonts w:ascii="Arial" w:hAnsi="Arial" w:cs="Arial"/>
                <w:szCs w:val="24"/>
              </w:rPr>
              <w:t xml:space="preserve"> </w:t>
            </w:r>
            <w:r w:rsidR="008A3353">
              <w:rPr>
                <w:rFonts w:ascii="Arial" w:hAnsi="Arial" w:cs="Arial"/>
                <w:szCs w:val="24"/>
              </w:rPr>
              <w:t>(mainly due to timing of g</w:t>
            </w:r>
            <w:r w:rsidR="00CA48CC">
              <w:rPr>
                <w:rFonts w:ascii="Arial" w:hAnsi="Arial" w:cs="Arial"/>
                <w:szCs w:val="24"/>
              </w:rPr>
              <w:t>rant receipts upfront at the start of the year</w:t>
            </w:r>
            <w:r w:rsidR="00CF250B">
              <w:rPr>
                <w:rFonts w:ascii="Arial" w:hAnsi="Arial" w:cs="Arial"/>
                <w:szCs w:val="24"/>
              </w:rPr>
              <w:t xml:space="preserve"> primarily in Youth work</w:t>
            </w:r>
            <w:r w:rsidR="00CA48CC">
              <w:rPr>
                <w:rFonts w:ascii="Arial" w:hAnsi="Arial" w:cs="Arial"/>
                <w:szCs w:val="24"/>
              </w:rPr>
              <w:t>),</w:t>
            </w:r>
            <w:r w:rsidRPr="00CB4EE8">
              <w:rPr>
                <w:rFonts w:ascii="Arial" w:hAnsi="Arial" w:cs="Arial"/>
                <w:szCs w:val="24"/>
              </w:rPr>
              <w:t xml:space="preserve"> staff costs over budget by £</w:t>
            </w:r>
            <w:r w:rsidR="00CF250B">
              <w:rPr>
                <w:rFonts w:ascii="Arial" w:hAnsi="Arial" w:cs="Arial"/>
                <w:szCs w:val="24"/>
              </w:rPr>
              <w:t>104K</w:t>
            </w:r>
            <w:r w:rsidR="008A3353">
              <w:rPr>
                <w:rFonts w:ascii="Arial" w:hAnsi="Arial" w:cs="Arial"/>
                <w:szCs w:val="24"/>
              </w:rPr>
              <w:t xml:space="preserve"> </w:t>
            </w:r>
            <w:r w:rsidR="0029314E">
              <w:rPr>
                <w:rFonts w:ascii="Arial" w:hAnsi="Arial" w:cs="Arial"/>
                <w:szCs w:val="24"/>
              </w:rPr>
              <w:t xml:space="preserve">and </w:t>
            </w:r>
            <w:r w:rsidRPr="00CB4EE8">
              <w:rPr>
                <w:rFonts w:ascii="Arial" w:hAnsi="Arial" w:cs="Arial"/>
                <w:szCs w:val="24"/>
              </w:rPr>
              <w:t>other costs over budget by £</w:t>
            </w:r>
            <w:r w:rsidR="00CF250B">
              <w:rPr>
                <w:rFonts w:ascii="Arial" w:hAnsi="Arial" w:cs="Arial"/>
                <w:szCs w:val="24"/>
              </w:rPr>
              <w:t>35K</w:t>
            </w:r>
            <w:r w:rsidR="0029314E">
              <w:rPr>
                <w:rFonts w:ascii="Arial" w:hAnsi="Arial" w:cs="Arial"/>
                <w:szCs w:val="24"/>
              </w:rPr>
              <w:t xml:space="preserve"> (mainly due to timing differences)</w:t>
            </w:r>
            <w:r w:rsidR="00554631">
              <w:rPr>
                <w:rFonts w:ascii="Arial" w:hAnsi="Arial" w:cs="Arial"/>
                <w:szCs w:val="24"/>
              </w:rPr>
              <w:t xml:space="preserve">. </w:t>
            </w:r>
          </w:p>
          <w:p w:rsidR="00CF250B" w:rsidRDefault="00CF250B" w:rsidP="00CF250B">
            <w:pPr>
              <w:jc w:val="both"/>
              <w:rPr>
                <w:rFonts w:ascii="Arial" w:hAnsi="Arial" w:cs="Arial"/>
                <w:szCs w:val="24"/>
              </w:rPr>
            </w:pPr>
          </w:p>
          <w:p w:rsidR="00CF250B" w:rsidRDefault="00CF250B" w:rsidP="00CF250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</w:t>
            </w:r>
            <w:r w:rsidR="008A3353">
              <w:rPr>
                <w:rFonts w:ascii="Arial" w:hAnsi="Arial" w:cs="Arial"/>
                <w:szCs w:val="24"/>
              </w:rPr>
              <w:t>a</w:t>
            </w:r>
            <w:r>
              <w:rPr>
                <w:rFonts w:ascii="Arial" w:hAnsi="Arial" w:cs="Arial"/>
                <w:szCs w:val="24"/>
              </w:rPr>
              <w:t xml:space="preserve">dditional </w:t>
            </w:r>
            <w:r w:rsidR="008A3353">
              <w:rPr>
                <w:rFonts w:ascii="Arial" w:hAnsi="Arial" w:cs="Arial"/>
                <w:szCs w:val="24"/>
              </w:rPr>
              <w:t>i</w:t>
            </w:r>
            <w:r>
              <w:rPr>
                <w:rFonts w:ascii="Arial" w:hAnsi="Arial" w:cs="Arial"/>
                <w:szCs w:val="24"/>
              </w:rPr>
              <w:t xml:space="preserve">ncome in Youth </w:t>
            </w:r>
            <w:r w:rsidR="00C22F15">
              <w:rPr>
                <w:rFonts w:ascii="Arial" w:hAnsi="Arial" w:cs="Arial"/>
                <w:szCs w:val="24"/>
              </w:rPr>
              <w:t>W</w:t>
            </w: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>ork must be analysed in conjunction with the additional staff costs incurred as a result of receiving the grants.</w:t>
            </w:r>
          </w:p>
          <w:p w:rsidR="00CF250B" w:rsidRDefault="00CF250B" w:rsidP="00CF250B">
            <w:pPr>
              <w:jc w:val="both"/>
              <w:rPr>
                <w:rFonts w:ascii="Arial" w:hAnsi="Arial" w:cs="Arial"/>
                <w:szCs w:val="24"/>
              </w:rPr>
            </w:pPr>
          </w:p>
          <w:p w:rsidR="00817421" w:rsidRDefault="00554631" w:rsidP="00CF250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635750">
              <w:rPr>
                <w:rFonts w:ascii="Arial" w:hAnsi="Arial" w:cs="Arial"/>
                <w:szCs w:val="24"/>
              </w:rPr>
              <w:t xml:space="preserve">A commentary on the major variances is provided at </w:t>
            </w:r>
            <w:r w:rsidR="00635750" w:rsidRPr="00635750">
              <w:rPr>
                <w:rFonts w:ascii="Arial" w:hAnsi="Arial" w:cs="Arial"/>
                <w:b/>
                <w:szCs w:val="24"/>
              </w:rPr>
              <w:t xml:space="preserve">Appendix </w:t>
            </w:r>
            <w:r w:rsidR="00CF250B">
              <w:rPr>
                <w:rFonts w:ascii="Arial" w:hAnsi="Arial" w:cs="Arial"/>
                <w:b/>
                <w:szCs w:val="24"/>
              </w:rPr>
              <w:t>C</w:t>
            </w:r>
            <w:r w:rsidR="0029314E">
              <w:rPr>
                <w:rFonts w:ascii="Arial" w:hAnsi="Arial" w:cs="Arial"/>
                <w:szCs w:val="24"/>
              </w:rPr>
              <w:t>.</w:t>
            </w:r>
          </w:p>
          <w:p w:rsidR="00CF250B" w:rsidRPr="002D76CB" w:rsidRDefault="00CF250B" w:rsidP="00CF250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8A685F" w:rsidRPr="0089449E">
        <w:tc>
          <w:tcPr>
            <w:tcW w:w="817" w:type="dxa"/>
          </w:tcPr>
          <w:p w:rsidR="008A685F" w:rsidRDefault="008A685F" w:rsidP="004A1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4</w:t>
            </w:r>
          </w:p>
          <w:p w:rsidR="008A685F" w:rsidRPr="00554631" w:rsidRDefault="008A685F" w:rsidP="004A1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47" w:type="dxa"/>
            <w:vMerge w:val="restart"/>
          </w:tcPr>
          <w:p w:rsidR="008A685F" w:rsidRDefault="008A685F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554631">
              <w:rPr>
                <w:rFonts w:ascii="Arial" w:hAnsi="Arial" w:cs="Arial"/>
                <w:b/>
                <w:szCs w:val="24"/>
              </w:rPr>
              <w:t>Tenders Approved / Contracts Awarded</w:t>
            </w:r>
          </w:p>
          <w:p w:rsidR="008A685F" w:rsidRDefault="008A685F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Style w:val="TableGrid"/>
              <w:tblW w:w="8330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1842"/>
              <w:gridCol w:w="2410"/>
              <w:gridCol w:w="1701"/>
              <w:gridCol w:w="1843"/>
            </w:tblGrid>
            <w:tr w:rsidR="00CF250B" w:rsidRPr="00F71E23" w:rsidTr="00E4785E">
              <w:tc>
                <w:tcPr>
                  <w:tcW w:w="534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Summit Web Solutions Ltd</w:t>
                  </w:r>
                </w:p>
              </w:tc>
              <w:tc>
                <w:tcPr>
                  <w:tcW w:w="2410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High Life Highland Website</w:t>
                  </w:r>
                </w:p>
              </w:tc>
              <w:tc>
                <w:tcPr>
                  <w:tcW w:w="1701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Jun 14-Dec 16</w:t>
                  </w:r>
                </w:p>
              </w:tc>
              <w:tc>
                <w:tcPr>
                  <w:tcW w:w="1843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Set-up £16650 with ongoing hourly support rate</w:t>
                  </w:r>
                </w:p>
              </w:tc>
            </w:tr>
            <w:tr w:rsidR="00CF250B" w:rsidRPr="00F71E23" w:rsidTr="00E4785E">
              <w:tc>
                <w:tcPr>
                  <w:tcW w:w="534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F71E23">
                    <w:rPr>
                      <w:rFonts w:ascii="Arial" w:hAnsi="Arial" w:cs="Arial"/>
                      <w:sz w:val="22"/>
                    </w:rPr>
                    <w:t>Dynam</w:t>
                  </w:r>
                  <w:proofErr w:type="spellEnd"/>
                  <w:r w:rsidRPr="00F71E23">
                    <w:rPr>
                      <w:rFonts w:ascii="Arial" w:hAnsi="Arial" w:cs="Arial"/>
                      <w:sz w:val="22"/>
                    </w:rPr>
                    <w:t xml:space="preserve"> Ltd</w:t>
                  </w:r>
                </w:p>
              </w:tc>
              <w:tc>
                <w:tcPr>
                  <w:tcW w:w="2410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Creative Design</w:t>
                  </w:r>
                </w:p>
              </w:tc>
              <w:tc>
                <w:tcPr>
                  <w:tcW w:w="1701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Jul 14-Jun 15</w:t>
                  </w:r>
                </w:p>
              </w:tc>
              <w:tc>
                <w:tcPr>
                  <w:tcW w:w="1843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Monthly limit to be set</w:t>
                  </w:r>
                </w:p>
              </w:tc>
            </w:tr>
            <w:tr w:rsidR="00CF250B" w:rsidRPr="00F71E23" w:rsidTr="00E4785E">
              <w:tc>
                <w:tcPr>
                  <w:tcW w:w="534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F71E23">
                    <w:rPr>
                      <w:rFonts w:ascii="Arial" w:hAnsi="Arial" w:cs="Arial"/>
                      <w:sz w:val="22"/>
                    </w:rPr>
                    <w:t>Achins</w:t>
                  </w:r>
                  <w:proofErr w:type="spellEnd"/>
                  <w:r w:rsidRPr="00F71E23">
                    <w:rPr>
                      <w:rFonts w:ascii="Arial" w:hAnsi="Arial" w:cs="Arial"/>
                      <w:sz w:val="22"/>
                    </w:rPr>
                    <w:t xml:space="preserve"> Bookshop</w:t>
                  </w:r>
                </w:p>
              </w:tc>
              <w:tc>
                <w:tcPr>
                  <w:tcW w:w="2410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Supply of requested Library material</w:t>
                  </w:r>
                </w:p>
              </w:tc>
              <w:tc>
                <w:tcPr>
                  <w:tcW w:w="1701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Aug 14-Jul 17</w:t>
                  </w:r>
                </w:p>
              </w:tc>
              <w:tc>
                <w:tcPr>
                  <w:tcW w:w="1843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12.5% discount on purchases</w:t>
                  </w:r>
                </w:p>
              </w:tc>
            </w:tr>
            <w:tr w:rsidR="00CF250B" w:rsidRPr="00F71E23" w:rsidTr="00E4785E">
              <w:tc>
                <w:tcPr>
                  <w:tcW w:w="534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4</w:t>
                  </w:r>
                </w:p>
              </w:tc>
              <w:tc>
                <w:tcPr>
                  <w:tcW w:w="1842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EQ Sport</w:t>
                  </w:r>
                </w:p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(</w:t>
                  </w:r>
                  <w:proofErr w:type="spellStart"/>
                  <w:r w:rsidRPr="00F71E23">
                    <w:rPr>
                      <w:rFonts w:ascii="Arial" w:hAnsi="Arial" w:cs="Arial"/>
                      <w:sz w:val="22"/>
                    </w:rPr>
                    <w:t>Finella</w:t>
                  </w:r>
                  <w:proofErr w:type="spellEnd"/>
                  <w:r w:rsidRPr="00F71E23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proofErr w:type="spellStart"/>
                  <w:r w:rsidRPr="00F71E23">
                    <w:rPr>
                      <w:rFonts w:ascii="Arial" w:hAnsi="Arial" w:cs="Arial"/>
                      <w:sz w:val="22"/>
                    </w:rPr>
                    <w:t>Annand</w:t>
                  </w:r>
                  <w:proofErr w:type="spellEnd"/>
                  <w:r w:rsidRPr="00F71E23">
                    <w:rPr>
                      <w:rFonts w:ascii="Arial" w:hAnsi="Arial" w:cs="Arial"/>
                      <w:sz w:val="22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 xml:space="preserve">Facility Management Services at </w:t>
                  </w:r>
                  <w:proofErr w:type="spellStart"/>
                  <w:r w:rsidRPr="00F71E23">
                    <w:rPr>
                      <w:rFonts w:ascii="Arial" w:hAnsi="Arial" w:cs="Arial"/>
                      <w:sz w:val="22"/>
                    </w:rPr>
                    <w:t>Pefferside</w:t>
                  </w:r>
                  <w:proofErr w:type="spellEnd"/>
                  <w:r w:rsidRPr="00F71E23">
                    <w:rPr>
                      <w:rFonts w:ascii="Arial" w:hAnsi="Arial" w:cs="Arial"/>
                      <w:sz w:val="22"/>
                    </w:rPr>
                    <w:t xml:space="preserve"> Park</w:t>
                  </w:r>
                </w:p>
              </w:tc>
              <w:tc>
                <w:tcPr>
                  <w:tcW w:w="1701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Jul 14-Mar 17</w:t>
                  </w:r>
                </w:p>
              </w:tc>
              <w:tc>
                <w:tcPr>
                  <w:tcW w:w="1843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N/A</w:t>
                  </w:r>
                </w:p>
              </w:tc>
            </w:tr>
            <w:tr w:rsidR="00CF250B" w:rsidRPr="00F71E23" w:rsidTr="00E4785E">
              <w:tc>
                <w:tcPr>
                  <w:tcW w:w="534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Lucy Woodley/Kirsten Body</w:t>
                  </w:r>
                </w:p>
              </w:tc>
              <w:tc>
                <w:tcPr>
                  <w:tcW w:w="2410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Exhibition Support Services at IMAG</w:t>
                  </w:r>
                </w:p>
              </w:tc>
              <w:tc>
                <w:tcPr>
                  <w:tcW w:w="1701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>Aug 14-Jul 15</w:t>
                  </w:r>
                </w:p>
              </w:tc>
              <w:tc>
                <w:tcPr>
                  <w:tcW w:w="1843" w:type="dxa"/>
                </w:tcPr>
                <w:p w:rsidR="00CF250B" w:rsidRPr="00F71E23" w:rsidRDefault="00CF250B" w:rsidP="00E4785E">
                  <w:pPr>
                    <w:rPr>
                      <w:rFonts w:ascii="Arial" w:hAnsi="Arial" w:cs="Arial"/>
                      <w:sz w:val="22"/>
                    </w:rPr>
                  </w:pPr>
                  <w:r w:rsidRPr="00F71E23">
                    <w:rPr>
                      <w:rFonts w:ascii="Arial" w:hAnsi="Arial" w:cs="Arial"/>
                      <w:sz w:val="22"/>
                    </w:rPr>
                    <w:t xml:space="preserve">£110 per </w:t>
                  </w:r>
                  <w:r>
                    <w:rPr>
                      <w:rFonts w:ascii="Arial" w:hAnsi="Arial" w:cs="Arial"/>
                    </w:rPr>
                    <w:t xml:space="preserve">day based on 10 days per month </w:t>
                  </w:r>
                  <w:r w:rsidRPr="00F71E23">
                    <w:rPr>
                      <w:rFonts w:ascii="Arial" w:hAnsi="Arial" w:cs="Arial"/>
                      <w:sz w:val="22"/>
                    </w:rPr>
                    <w:t xml:space="preserve"> </w:t>
                  </w:r>
                </w:p>
              </w:tc>
            </w:tr>
          </w:tbl>
          <w:p w:rsidR="008A685F" w:rsidRPr="00554631" w:rsidRDefault="008A685F" w:rsidP="00B3208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A685F" w:rsidRPr="0089449E">
        <w:tc>
          <w:tcPr>
            <w:tcW w:w="817" w:type="dxa"/>
          </w:tcPr>
          <w:p w:rsidR="008A685F" w:rsidRPr="00554631" w:rsidRDefault="008A685F" w:rsidP="005814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Pr="00554631">
              <w:rPr>
                <w:rFonts w:ascii="Arial" w:hAnsi="Arial" w:cs="Arial"/>
                <w:szCs w:val="24"/>
              </w:rPr>
              <w:t>.1</w:t>
            </w: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Merge/>
          </w:tcPr>
          <w:p w:rsidR="008A685F" w:rsidRPr="00485C73" w:rsidRDefault="008A68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3CB" w:rsidRPr="009B0904" w:rsidTr="008A3353">
        <w:trPr>
          <w:trHeight w:val="2684"/>
        </w:trPr>
        <w:tc>
          <w:tcPr>
            <w:tcW w:w="817" w:type="dxa"/>
          </w:tcPr>
          <w:p w:rsidR="00CF250B" w:rsidRDefault="00CF250B" w:rsidP="009F7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F250B" w:rsidRDefault="0083625F" w:rsidP="009F7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  <w:p w:rsidR="00CF250B" w:rsidRDefault="00CF250B" w:rsidP="009F7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F250B" w:rsidRPr="008A3353" w:rsidRDefault="0083625F" w:rsidP="009F70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3353">
              <w:rPr>
                <w:rFonts w:ascii="Arial" w:hAnsi="Arial" w:cs="Arial"/>
              </w:rPr>
              <w:t>5.1</w:t>
            </w:r>
          </w:p>
          <w:p w:rsidR="00CF250B" w:rsidRDefault="00CF250B" w:rsidP="009F7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A3353" w:rsidRDefault="008A3353" w:rsidP="009F7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A3353" w:rsidRDefault="008A3353" w:rsidP="009F7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8A3353" w:rsidRDefault="008A3353" w:rsidP="009F7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C146F" w:rsidRPr="008A3353" w:rsidRDefault="008A3353" w:rsidP="009F701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3353">
              <w:rPr>
                <w:rFonts w:ascii="Arial" w:hAnsi="Arial" w:cs="Arial"/>
              </w:rPr>
              <w:t>5.2</w:t>
            </w:r>
          </w:p>
        </w:tc>
        <w:tc>
          <w:tcPr>
            <w:tcW w:w="8647" w:type="dxa"/>
          </w:tcPr>
          <w:p w:rsidR="00CF250B" w:rsidRDefault="00CF250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F250B" w:rsidRDefault="00CF250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Internal Audit – 2014</w:t>
            </w:r>
          </w:p>
          <w:p w:rsidR="00CF250B" w:rsidRDefault="00CF250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83625F" w:rsidRDefault="0083625F" w:rsidP="0083625F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3625F">
              <w:rPr>
                <w:rFonts w:ascii="Arial" w:hAnsi="Arial" w:cs="Arial"/>
                <w:color w:val="000000" w:themeColor="text1"/>
                <w:szCs w:val="24"/>
              </w:rPr>
              <w:t>The</w:t>
            </w:r>
            <w:r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>Internal Audit for 2014 on Banking and Cash Receipting has been completed. The detailed report has been reviewed by the Finance and Audit Committee at their meeting held on 7 August 2014 with the Internal Auditor, John Campbell from the Highland Council.</w:t>
            </w:r>
          </w:p>
          <w:p w:rsidR="0083625F" w:rsidRDefault="0083625F" w:rsidP="0083625F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:rsidR="0083625F" w:rsidRPr="008A3353" w:rsidRDefault="00F13F0F" w:rsidP="008A3353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The internal audit report concluded that there was substantial assurance offered by the systems in place.</w:t>
            </w:r>
          </w:p>
          <w:p w:rsidR="004A13CB" w:rsidRPr="00997DBB" w:rsidRDefault="004A13CB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A3353" w:rsidRPr="009B0904" w:rsidTr="008A3353">
        <w:trPr>
          <w:trHeight w:val="498"/>
        </w:trPr>
        <w:tc>
          <w:tcPr>
            <w:tcW w:w="817" w:type="dxa"/>
          </w:tcPr>
          <w:p w:rsidR="008A3353" w:rsidRPr="008A3353" w:rsidRDefault="008A3353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A3353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8647" w:type="dxa"/>
          </w:tcPr>
          <w:p w:rsidR="008A3353" w:rsidRPr="008A3353" w:rsidRDefault="008A3353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A3353">
              <w:rPr>
                <w:rFonts w:ascii="Arial" w:hAnsi="Arial" w:cs="Arial"/>
                <w:b/>
              </w:rPr>
              <w:t>Implications</w:t>
            </w:r>
          </w:p>
        </w:tc>
      </w:tr>
      <w:tr w:rsidR="00A53534" w:rsidRPr="009B0904" w:rsidTr="003B450B">
        <w:trPr>
          <w:trHeight w:val="2315"/>
        </w:trPr>
        <w:tc>
          <w:tcPr>
            <w:tcW w:w="817" w:type="dxa"/>
          </w:tcPr>
          <w:p w:rsidR="00A53534" w:rsidRPr="009B0904" w:rsidRDefault="00CF250B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53534" w:rsidRPr="009B0904">
              <w:rPr>
                <w:rFonts w:ascii="Arial" w:hAnsi="Arial" w:cs="Arial"/>
              </w:rPr>
              <w:t>.1</w:t>
            </w:r>
          </w:p>
          <w:p w:rsidR="002A21D3" w:rsidRPr="009B0904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CF250B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A70C6" w:rsidRPr="009B0904">
              <w:rPr>
                <w:rFonts w:ascii="Arial" w:hAnsi="Arial" w:cs="Arial"/>
              </w:rPr>
              <w:t>.2</w:t>
            </w:r>
          </w:p>
          <w:p w:rsidR="002A21D3" w:rsidRPr="009B0904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CF250B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A70C6" w:rsidRPr="009B0904">
              <w:rPr>
                <w:rFonts w:ascii="Arial" w:hAnsi="Arial" w:cs="Arial"/>
              </w:rPr>
              <w:t>.3</w:t>
            </w:r>
          </w:p>
          <w:p w:rsidR="003924C9" w:rsidRPr="009B0904" w:rsidRDefault="003924C9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>Resource Implications –</w:t>
            </w:r>
            <w:r w:rsidR="002A21D3" w:rsidRPr="009B0904">
              <w:rPr>
                <w:rFonts w:ascii="Arial" w:hAnsi="Arial" w:cs="Arial"/>
              </w:rPr>
              <w:t xml:space="preserve"> </w:t>
            </w:r>
            <w:r w:rsidR="00472040" w:rsidRPr="009B0904">
              <w:rPr>
                <w:rFonts w:ascii="Arial" w:hAnsi="Arial" w:cs="Arial"/>
              </w:rPr>
              <w:t>t</w:t>
            </w:r>
            <w:r w:rsidR="002A21D3" w:rsidRPr="009B0904">
              <w:rPr>
                <w:rFonts w:ascii="Arial" w:hAnsi="Arial" w:cs="Arial"/>
              </w:rPr>
              <w:t xml:space="preserve">here are no </w:t>
            </w:r>
            <w:r w:rsidR="005A64AF" w:rsidRPr="009B0904">
              <w:rPr>
                <w:rFonts w:ascii="Arial" w:hAnsi="Arial" w:cs="Arial"/>
              </w:rPr>
              <w:t xml:space="preserve">new </w:t>
            </w:r>
            <w:r w:rsidR="002A21D3" w:rsidRPr="009B0904">
              <w:rPr>
                <w:rFonts w:ascii="Arial" w:hAnsi="Arial" w:cs="Arial"/>
              </w:rPr>
              <w:t>resource implications arising from the content of this report</w:t>
            </w: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 xml:space="preserve">Legal Implications </w:t>
            </w:r>
            <w:r w:rsidR="002A21D3" w:rsidRPr="009B0904">
              <w:rPr>
                <w:rFonts w:ascii="Arial" w:hAnsi="Arial" w:cs="Arial"/>
              </w:rPr>
              <w:t xml:space="preserve">– </w:t>
            </w:r>
            <w:r w:rsidR="00472040" w:rsidRPr="009B0904">
              <w:rPr>
                <w:rFonts w:ascii="Arial" w:hAnsi="Arial" w:cs="Arial"/>
              </w:rPr>
              <w:t>t</w:t>
            </w:r>
            <w:r w:rsidR="002A21D3" w:rsidRPr="009B0904">
              <w:rPr>
                <w:rFonts w:ascii="Arial" w:hAnsi="Arial" w:cs="Arial"/>
              </w:rPr>
              <w:t xml:space="preserve">here are no </w:t>
            </w:r>
            <w:r w:rsidR="005A64AF" w:rsidRPr="009B0904">
              <w:rPr>
                <w:rFonts w:ascii="Arial" w:hAnsi="Arial" w:cs="Arial"/>
              </w:rPr>
              <w:t xml:space="preserve">new </w:t>
            </w:r>
            <w:r w:rsidR="002A21D3" w:rsidRPr="009B0904">
              <w:rPr>
                <w:rFonts w:ascii="Arial" w:hAnsi="Arial" w:cs="Arial"/>
              </w:rPr>
              <w:t>legal implications arising from the content of this report.</w:t>
            </w: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D3C32" w:rsidRPr="00F070CF" w:rsidRDefault="00EA70C6" w:rsidP="004720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9B0904">
              <w:rPr>
                <w:rFonts w:ascii="Arial" w:hAnsi="Arial" w:cs="Arial"/>
              </w:rPr>
              <w:t xml:space="preserve">Risk Implications </w:t>
            </w:r>
            <w:r w:rsidR="00023E37" w:rsidRPr="009B0904">
              <w:rPr>
                <w:rFonts w:ascii="Arial" w:hAnsi="Arial" w:cs="Arial"/>
              </w:rPr>
              <w:t xml:space="preserve">– </w:t>
            </w:r>
            <w:r w:rsidR="00472040" w:rsidRPr="009B0904">
              <w:rPr>
                <w:rFonts w:ascii="Arial" w:hAnsi="Arial" w:cs="Arial"/>
              </w:rPr>
              <w:t>t</w:t>
            </w:r>
            <w:r w:rsidR="00023E37" w:rsidRPr="009B0904">
              <w:rPr>
                <w:rFonts w:ascii="Arial" w:hAnsi="Arial" w:cs="Arial"/>
              </w:rPr>
              <w:t>here are no new risks arising from the content of this report</w:t>
            </w:r>
            <w:r w:rsidR="00A53534" w:rsidRPr="009B0904">
              <w:rPr>
                <w:rFonts w:ascii="Arial" w:hAnsi="Arial" w:cs="Arial"/>
                <w:i/>
              </w:rPr>
              <w:t>.</w:t>
            </w:r>
          </w:p>
        </w:tc>
      </w:tr>
    </w:tbl>
    <w:p w:rsidR="0039450A" w:rsidRPr="009B0904" w:rsidRDefault="0039450A" w:rsidP="00416BFF">
      <w:pPr>
        <w:rPr>
          <w:rFonts w:ascii="Arial" w:hAnsi="Arial"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9B0904">
        <w:trPr>
          <w:cantSplit/>
        </w:trPr>
        <w:tc>
          <w:tcPr>
            <w:tcW w:w="9464" w:type="dxa"/>
          </w:tcPr>
          <w:p w:rsidR="0039450A" w:rsidRPr="009B0904" w:rsidRDefault="002B7DC4" w:rsidP="00416BFF">
            <w:pPr>
              <w:pStyle w:val="Heading3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9B0904">
              <w:rPr>
                <w:rFonts w:ascii="Arial" w:hAnsi="Arial" w:cs="Arial"/>
                <w:szCs w:val="24"/>
                <w:u w:val="none"/>
              </w:rPr>
              <w:lastRenderedPageBreak/>
              <w:t>Recommendation</w:t>
            </w:r>
          </w:p>
          <w:p w:rsidR="00FE4D79" w:rsidRPr="009B0904" w:rsidRDefault="00FE4D79" w:rsidP="00FE4D79">
            <w:pPr>
              <w:rPr>
                <w:rFonts w:ascii="Arial" w:hAnsi="Arial" w:cs="Arial"/>
              </w:rPr>
            </w:pPr>
          </w:p>
          <w:p w:rsidR="00C75BFB" w:rsidRDefault="00C75BFB" w:rsidP="00C7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 note:-</w:t>
            </w:r>
          </w:p>
          <w:p w:rsidR="00764050" w:rsidRDefault="00764050" w:rsidP="0083625F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8A3353">
            <w:pPr>
              <w:pStyle w:val="ListParagraph"/>
              <w:numPr>
                <w:ilvl w:val="0"/>
                <w:numId w:val="41"/>
              </w:numPr>
              <w:ind w:left="70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 xml:space="preserve">the current financial position of High Life Highland as detailed in </w:t>
            </w:r>
            <w:r w:rsidRPr="00B71E7C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A3353" w:rsidRPr="00B71E7C" w:rsidRDefault="008A3353" w:rsidP="008A3353">
            <w:pPr>
              <w:pStyle w:val="ListParagraph"/>
              <w:numPr>
                <w:ilvl w:val="0"/>
                <w:numId w:val="41"/>
              </w:numPr>
              <w:ind w:left="70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 xml:space="preserve">the financial results for the </w:t>
            </w:r>
            <w:r>
              <w:rPr>
                <w:rFonts w:ascii="Arial" w:hAnsi="Arial" w:cs="Arial"/>
                <w:sz w:val="24"/>
                <w:szCs w:val="24"/>
              </w:rPr>
              <w:t>3 months to 30 June 2014</w:t>
            </w:r>
            <w:r w:rsidRPr="00B71E7C">
              <w:rPr>
                <w:rFonts w:ascii="Arial" w:hAnsi="Arial" w:cs="Arial"/>
                <w:sz w:val="24"/>
                <w:szCs w:val="24"/>
              </w:rPr>
              <w:t xml:space="preserve"> reports a </w:t>
            </w:r>
            <w:r>
              <w:rPr>
                <w:rFonts w:ascii="Arial" w:hAnsi="Arial" w:cs="Arial"/>
                <w:sz w:val="24"/>
                <w:szCs w:val="24"/>
              </w:rPr>
              <w:t xml:space="preserve">positive </w:t>
            </w:r>
            <w:r w:rsidRPr="00B71E7C">
              <w:rPr>
                <w:rFonts w:ascii="Arial" w:hAnsi="Arial" w:cs="Arial"/>
                <w:sz w:val="24"/>
                <w:szCs w:val="24"/>
              </w:rPr>
              <w:t>variance on budget of £</w:t>
            </w:r>
            <w:r>
              <w:rPr>
                <w:rFonts w:ascii="Arial" w:hAnsi="Arial" w:cs="Arial"/>
                <w:sz w:val="24"/>
                <w:szCs w:val="24"/>
              </w:rPr>
              <w:t>2,207</w:t>
            </w:r>
            <w:r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A3353" w:rsidRPr="008A3353" w:rsidRDefault="008A3353" w:rsidP="008A3353">
            <w:pPr>
              <w:pStyle w:val="ListParagraph"/>
              <w:numPr>
                <w:ilvl w:val="0"/>
                <w:numId w:val="41"/>
              </w:numPr>
              <w:ind w:left="709" w:hanging="425"/>
              <w:jc w:val="both"/>
              <w:rPr>
                <w:rFonts w:ascii="Arial" w:hAnsi="Arial" w:cs="Arial"/>
                <w:szCs w:val="24"/>
              </w:rPr>
            </w:pPr>
            <w:r w:rsidRPr="008A3353">
              <w:rPr>
                <w:rFonts w:ascii="Arial" w:hAnsi="Arial" w:cs="Arial"/>
                <w:sz w:val="24"/>
                <w:szCs w:val="24"/>
              </w:rPr>
              <w:t>the projected final out-turn for the year remains on target to the approved budget; and</w:t>
            </w:r>
          </w:p>
          <w:p w:rsidR="00562183" w:rsidRPr="008A3353" w:rsidRDefault="008A3353" w:rsidP="008A3353">
            <w:pPr>
              <w:pStyle w:val="ListParagraph"/>
              <w:numPr>
                <w:ilvl w:val="0"/>
                <w:numId w:val="41"/>
              </w:numPr>
              <w:ind w:left="709" w:hanging="425"/>
              <w:jc w:val="both"/>
              <w:rPr>
                <w:rFonts w:ascii="Arial" w:hAnsi="Arial" w:cs="Arial"/>
                <w:szCs w:val="24"/>
              </w:rPr>
            </w:pPr>
            <w:r w:rsidRPr="008A3353">
              <w:rPr>
                <w:rFonts w:ascii="Arial" w:hAnsi="Arial" w:cs="Arial"/>
                <w:sz w:val="24"/>
                <w:szCs w:val="24"/>
              </w:rPr>
              <w:t xml:space="preserve">the award of contracts to Summit Web Solutions, </w:t>
            </w:r>
            <w:proofErr w:type="spellStart"/>
            <w:r w:rsidRPr="008A3353">
              <w:rPr>
                <w:rFonts w:ascii="Arial" w:hAnsi="Arial" w:cs="Arial"/>
                <w:sz w:val="24"/>
                <w:szCs w:val="24"/>
              </w:rPr>
              <w:t>Dynam</w:t>
            </w:r>
            <w:proofErr w:type="spellEnd"/>
            <w:r w:rsidRPr="008A3353">
              <w:rPr>
                <w:rFonts w:ascii="Arial" w:hAnsi="Arial" w:cs="Arial"/>
                <w:sz w:val="24"/>
                <w:szCs w:val="24"/>
              </w:rPr>
              <w:t xml:space="preserve"> Ltd, </w:t>
            </w:r>
            <w:proofErr w:type="spellStart"/>
            <w:r w:rsidRPr="008A3353">
              <w:rPr>
                <w:rFonts w:ascii="Arial" w:hAnsi="Arial" w:cs="Arial"/>
                <w:sz w:val="24"/>
                <w:szCs w:val="24"/>
              </w:rPr>
              <w:t>Achins</w:t>
            </w:r>
            <w:proofErr w:type="spellEnd"/>
            <w:r w:rsidRPr="008A3353">
              <w:rPr>
                <w:rFonts w:ascii="Arial" w:hAnsi="Arial" w:cs="Arial"/>
                <w:sz w:val="24"/>
                <w:szCs w:val="24"/>
              </w:rPr>
              <w:t xml:space="preserve">  Bookshop, EQ Sport, Lucy Woodley/Kirsten Body.</w:t>
            </w:r>
          </w:p>
          <w:p w:rsidR="0039450A" w:rsidRPr="0083625F" w:rsidRDefault="0039450A" w:rsidP="0083625F">
            <w:pPr>
              <w:jc w:val="both"/>
              <w:rPr>
                <w:rFonts w:ascii="Arial" w:hAnsi="Arial" w:cs="Arial"/>
                <w:szCs w:val="24"/>
              </w:rPr>
            </w:pPr>
            <w:r w:rsidRPr="0083625F">
              <w:rPr>
                <w:rFonts w:ascii="Arial" w:hAnsi="Arial" w:cs="Arial"/>
                <w:szCs w:val="24"/>
              </w:rPr>
              <w:fldChar w:fldCharType="begin"/>
            </w:r>
            <w:r w:rsidRPr="0083625F">
              <w:rPr>
                <w:rFonts w:ascii="Arial" w:hAnsi="Arial" w:cs="Arial"/>
                <w:szCs w:val="24"/>
              </w:rPr>
              <w:instrText xml:space="preserve">  </w:instrText>
            </w:r>
            <w:r w:rsidRPr="0083625F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281BD6" w:rsidRDefault="00281BD6" w:rsidP="00416BFF">
      <w:pPr>
        <w:rPr>
          <w:rFonts w:ascii="Arial" w:hAnsi="Arial" w:cs="Arial"/>
          <w:szCs w:val="24"/>
        </w:rPr>
      </w:pPr>
    </w:p>
    <w:p w:rsidR="0039450A" w:rsidRPr="009B0904" w:rsidRDefault="0039450A" w:rsidP="00416BFF">
      <w:pPr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Signature:</w:t>
      </w:r>
      <w:r w:rsidR="006A137F" w:rsidRPr="009B0904">
        <w:rPr>
          <w:rFonts w:ascii="Arial" w:hAnsi="Arial" w:cs="Arial"/>
          <w:szCs w:val="24"/>
        </w:rPr>
        <w:tab/>
      </w:r>
    </w:p>
    <w:p w:rsidR="0039450A" w:rsidRPr="009B0904" w:rsidRDefault="0039450A" w:rsidP="00416BFF">
      <w:pPr>
        <w:rPr>
          <w:rFonts w:ascii="Arial" w:hAnsi="Arial" w:cs="Arial"/>
          <w:szCs w:val="24"/>
        </w:rPr>
      </w:pPr>
    </w:p>
    <w:p w:rsidR="0039450A" w:rsidRPr="009B0904" w:rsidRDefault="0039450A" w:rsidP="00416BFF">
      <w:pPr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Designation:</w:t>
      </w:r>
      <w:r w:rsidR="0067538A" w:rsidRPr="009B0904">
        <w:rPr>
          <w:rFonts w:ascii="Arial" w:hAnsi="Arial" w:cs="Arial"/>
          <w:szCs w:val="24"/>
        </w:rPr>
        <w:tab/>
        <w:t>Chief Executive</w:t>
      </w:r>
    </w:p>
    <w:p w:rsidR="0039450A" w:rsidRPr="009B0904" w:rsidRDefault="0039450A" w:rsidP="00416BFF">
      <w:pPr>
        <w:rPr>
          <w:rFonts w:ascii="Arial" w:hAnsi="Arial" w:cs="Arial"/>
          <w:szCs w:val="24"/>
        </w:rPr>
      </w:pPr>
    </w:p>
    <w:p w:rsidR="00655F80" w:rsidRPr="009B0904" w:rsidRDefault="0039450A" w:rsidP="000F274B">
      <w:pPr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Date:</w:t>
      </w:r>
      <w:r w:rsidRPr="009B0904">
        <w:rPr>
          <w:rFonts w:ascii="Arial" w:hAnsi="Arial" w:cs="Arial"/>
          <w:szCs w:val="24"/>
        </w:rPr>
        <w:tab/>
      </w:r>
      <w:r w:rsidRPr="009B0904">
        <w:rPr>
          <w:rFonts w:ascii="Arial" w:hAnsi="Arial" w:cs="Arial"/>
          <w:szCs w:val="24"/>
        </w:rPr>
        <w:tab/>
      </w:r>
      <w:r w:rsidR="0083625F">
        <w:rPr>
          <w:rFonts w:ascii="Arial" w:hAnsi="Arial" w:cs="Arial"/>
          <w:szCs w:val="24"/>
        </w:rPr>
        <w:t xml:space="preserve">7 August </w:t>
      </w:r>
      <w:r w:rsidR="003B450B">
        <w:rPr>
          <w:rFonts w:ascii="Arial" w:hAnsi="Arial" w:cs="Arial"/>
          <w:szCs w:val="24"/>
        </w:rPr>
        <w:t xml:space="preserve"> 2014</w:t>
      </w:r>
    </w:p>
    <w:p w:rsidR="003E6B08" w:rsidRDefault="003E6B08">
      <w:pPr>
        <w:rPr>
          <w:rFonts w:ascii="Arial" w:hAnsi="Arial" w:cs="Arial"/>
          <w:szCs w:val="24"/>
        </w:rPr>
        <w:sectPr w:rsidR="003E6B08" w:rsidSect="003B450B">
          <w:pgSz w:w="11906" w:h="16838"/>
          <w:pgMar w:top="1135" w:right="1440" w:bottom="1276" w:left="1440" w:header="720" w:footer="720" w:gutter="0"/>
          <w:cols w:space="720"/>
        </w:sectPr>
      </w:pPr>
    </w:p>
    <w:p w:rsidR="00290EB5" w:rsidRDefault="00290EB5" w:rsidP="00290EB5">
      <w:pPr>
        <w:rPr>
          <w:rFonts w:ascii="Arial" w:hAnsi="Arial" w:cs="Arial"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  <w:r w:rsidRPr="00D943A1">
        <w:rPr>
          <w:rFonts w:ascii="Arial" w:hAnsi="Arial" w:cs="Arial"/>
          <w:b/>
          <w:szCs w:val="24"/>
        </w:rPr>
        <w:t>Summary Results - Consolidated</w:t>
      </w:r>
      <w:r w:rsidRPr="00D943A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          </w:t>
      </w:r>
      <w:r w:rsidRPr="00D943A1">
        <w:rPr>
          <w:rFonts w:ascii="Arial" w:hAnsi="Arial" w:cs="Arial"/>
          <w:b/>
          <w:szCs w:val="24"/>
        </w:rPr>
        <w:t xml:space="preserve">APPENDIX A 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Pr="00D943A1" w:rsidRDefault="00290EB5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tbl>
      <w:tblPr>
        <w:tblW w:w="13712" w:type="dxa"/>
        <w:tblInd w:w="108" w:type="dxa"/>
        <w:tblLook w:val="04A0" w:firstRow="1" w:lastRow="0" w:firstColumn="1" w:lastColumn="0" w:noHBand="0" w:noVBand="1"/>
      </w:tblPr>
      <w:tblGrid>
        <w:gridCol w:w="2654"/>
        <w:gridCol w:w="2677"/>
        <w:gridCol w:w="3703"/>
        <w:gridCol w:w="2281"/>
        <w:gridCol w:w="2397"/>
      </w:tblGrid>
      <w:tr w:rsidR="00290EB5" w:rsidRPr="00D943A1" w:rsidTr="00E4785E">
        <w:trPr>
          <w:trHeight w:val="30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943A1">
              <w:rPr>
                <w:rFonts w:ascii="Arial" w:hAnsi="Arial" w:cs="Arial"/>
                <w:b/>
                <w:bCs/>
                <w:color w:val="000000"/>
                <w:szCs w:val="24"/>
              </w:rPr>
              <w:t>CONSOLIDATED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Annual Budget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Budget YTD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Actual -YTD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Variance YTD</w:t>
            </w:r>
          </w:p>
        </w:tc>
      </w:tr>
      <w:tr w:rsidR="00290EB5" w:rsidRPr="00D943A1" w:rsidTr="00E4785E">
        <w:trPr>
          <w:trHeight w:val="30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£21,842,517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£1,938,584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£2,079,844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£141,260</w:t>
            </w:r>
          </w:p>
        </w:tc>
      </w:tr>
      <w:tr w:rsidR="00290EB5" w:rsidRPr="00D943A1" w:rsidTr="00E4785E">
        <w:trPr>
          <w:trHeight w:val="30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(£5,615,117)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(£899,239)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(£934,265)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(£35,026)</w:t>
            </w:r>
          </w:p>
        </w:tc>
      </w:tr>
      <w:tr w:rsidR="00290EB5" w:rsidRPr="00D943A1" w:rsidTr="00E4785E">
        <w:trPr>
          <w:trHeight w:val="30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(£16,227,400)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(£4,074,237)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(£4,178,264)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(£104,027)</w:t>
            </w:r>
          </w:p>
        </w:tc>
      </w:tr>
      <w:tr w:rsidR="00290EB5" w:rsidRPr="00D943A1" w:rsidTr="00E4785E">
        <w:trPr>
          <w:trHeight w:val="320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Surplus ( Deficit)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£0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(£3,034,892)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(£3,032,685)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£2,207</w:t>
            </w:r>
          </w:p>
        </w:tc>
      </w:tr>
    </w:tbl>
    <w:p w:rsidR="00290EB5" w:rsidRDefault="00290EB5" w:rsidP="00290EB5">
      <w:pPr>
        <w:rPr>
          <w:rFonts w:ascii="Arial" w:hAnsi="Arial" w:cs="Arial"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  <w:r w:rsidRPr="00D943A1">
        <w:rPr>
          <w:rFonts w:ascii="Arial" w:hAnsi="Arial" w:cs="Arial"/>
          <w:b/>
          <w:szCs w:val="24"/>
        </w:rPr>
        <w:lastRenderedPageBreak/>
        <w:t>Breakdown of Results – By Activity</w:t>
      </w:r>
      <w:r w:rsidRPr="00D943A1">
        <w:rPr>
          <w:rFonts w:ascii="Arial" w:hAnsi="Arial" w:cs="Arial"/>
          <w:b/>
          <w:szCs w:val="24"/>
        </w:rPr>
        <w:tab/>
      </w:r>
      <w:r w:rsidRPr="00D943A1">
        <w:rPr>
          <w:rFonts w:ascii="Arial" w:hAnsi="Arial" w:cs="Arial"/>
          <w:b/>
          <w:szCs w:val="24"/>
        </w:rPr>
        <w:tab/>
      </w:r>
      <w:r w:rsidRPr="00D943A1">
        <w:rPr>
          <w:rFonts w:ascii="Arial" w:hAnsi="Arial" w:cs="Arial"/>
          <w:b/>
          <w:szCs w:val="24"/>
        </w:rPr>
        <w:tab/>
      </w:r>
      <w:r w:rsidRPr="00D943A1">
        <w:rPr>
          <w:rFonts w:ascii="Arial" w:hAnsi="Arial" w:cs="Arial"/>
          <w:b/>
          <w:szCs w:val="24"/>
        </w:rPr>
        <w:tab/>
      </w:r>
      <w:r w:rsidRPr="00D943A1">
        <w:rPr>
          <w:rFonts w:ascii="Arial" w:hAnsi="Arial" w:cs="Arial"/>
          <w:b/>
          <w:szCs w:val="24"/>
        </w:rPr>
        <w:tab/>
      </w:r>
      <w:r w:rsidRPr="00D943A1">
        <w:rPr>
          <w:rFonts w:ascii="Arial" w:hAnsi="Arial" w:cs="Arial"/>
          <w:b/>
          <w:szCs w:val="24"/>
        </w:rPr>
        <w:tab/>
      </w:r>
      <w:r w:rsidRPr="00D943A1">
        <w:rPr>
          <w:rFonts w:ascii="Arial" w:hAnsi="Arial" w:cs="Arial"/>
          <w:b/>
          <w:szCs w:val="24"/>
        </w:rPr>
        <w:tab/>
      </w:r>
      <w:r w:rsidRPr="00D943A1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 xml:space="preserve">                                                     </w:t>
      </w:r>
      <w:r w:rsidRPr="00D943A1">
        <w:rPr>
          <w:rFonts w:ascii="Arial" w:hAnsi="Arial" w:cs="Arial"/>
          <w:b/>
          <w:szCs w:val="24"/>
        </w:rPr>
        <w:t>APPENDIX B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tbl>
      <w:tblPr>
        <w:tblW w:w="14404" w:type="dxa"/>
        <w:tblInd w:w="108" w:type="dxa"/>
        <w:tblLook w:val="04A0" w:firstRow="1" w:lastRow="0" w:firstColumn="1" w:lastColumn="0" w:noHBand="0" w:noVBand="1"/>
      </w:tblPr>
      <w:tblGrid>
        <w:gridCol w:w="2788"/>
        <w:gridCol w:w="2812"/>
        <w:gridCol w:w="3890"/>
        <w:gridCol w:w="2396"/>
        <w:gridCol w:w="2518"/>
      </w:tblGrid>
      <w:tr w:rsidR="00290EB5" w:rsidRPr="00D943A1" w:rsidTr="00E4785E">
        <w:trPr>
          <w:trHeight w:val="353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90EB5" w:rsidRPr="00D943A1" w:rsidTr="00E4785E">
        <w:trPr>
          <w:trHeight w:val="353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943A1">
              <w:rPr>
                <w:rFonts w:ascii="Arial" w:hAnsi="Arial" w:cs="Arial"/>
                <w:b/>
                <w:bCs/>
                <w:color w:val="000000"/>
                <w:szCs w:val="24"/>
              </w:rPr>
              <w:t>Activity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Annual Budget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Budget YTD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Actual -YTD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Variance YTD</w:t>
            </w:r>
          </w:p>
        </w:tc>
      </w:tr>
      <w:tr w:rsidR="00290EB5" w:rsidRPr="00D943A1" w:rsidTr="00E4785E">
        <w:trPr>
          <w:trHeight w:val="353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Adult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(£763,555)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(£164,401)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(£164,337)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£64</w:t>
            </w:r>
          </w:p>
        </w:tc>
      </w:tr>
      <w:tr w:rsidR="00290EB5" w:rsidRPr="00D943A1" w:rsidTr="00E4785E">
        <w:trPr>
          <w:trHeight w:val="353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Archives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(£611,727)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(£174,279)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(£173,910)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£369</w:t>
            </w:r>
          </w:p>
        </w:tc>
      </w:tr>
      <w:tr w:rsidR="00290EB5" w:rsidRPr="00D943A1" w:rsidTr="00E4785E">
        <w:trPr>
          <w:trHeight w:val="353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Arts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(£289,294)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(£83,554)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(£82,662)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£892</w:t>
            </w:r>
          </w:p>
        </w:tc>
      </w:tr>
      <w:tr w:rsidR="00290EB5" w:rsidRPr="00D943A1" w:rsidTr="00E4785E">
        <w:trPr>
          <w:trHeight w:val="353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Central Admin.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(£210,092)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(£43,720)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(£43,476)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£244</w:t>
            </w:r>
          </w:p>
        </w:tc>
      </w:tr>
      <w:tr w:rsidR="00290EB5" w:rsidRPr="00D943A1" w:rsidTr="00E4785E">
        <w:trPr>
          <w:trHeight w:val="353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Facilities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(£2,278,121)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(£575,854)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(£574,610)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£1,244</w:t>
            </w:r>
          </w:p>
        </w:tc>
      </w:tr>
      <w:tr w:rsidR="00290EB5" w:rsidRPr="00D943A1" w:rsidTr="00E4785E">
        <w:trPr>
          <w:trHeight w:val="353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Libraries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(£3,926,468)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(£906,852)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(£914,829)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(£7,977)</w:t>
            </w:r>
          </w:p>
        </w:tc>
      </w:tr>
      <w:tr w:rsidR="00290EB5" w:rsidRPr="00D943A1" w:rsidTr="00E4785E">
        <w:trPr>
          <w:trHeight w:val="353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Management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(£1,746,733)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(£559,690)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(£558,485)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£1,205</w:t>
            </w:r>
          </w:p>
        </w:tc>
      </w:tr>
      <w:tr w:rsidR="00290EB5" w:rsidRPr="00D943A1" w:rsidTr="00E4785E">
        <w:trPr>
          <w:trHeight w:val="353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Museums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(£552,998)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(£142,420)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(£141,393)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£1,027</w:t>
            </w:r>
          </w:p>
        </w:tc>
      </w:tr>
      <w:tr w:rsidR="00290EB5" w:rsidRPr="00D943A1" w:rsidTr="00E4785E">
        <w:trPr>
          <w:trHeight w:val="353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Outdoor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(£145,270)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(£24,240)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(£23,894)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£346</w:t>
            </w:r>
          </w:p>
        </w:tc>
      </w:tr>
      <w:tr w:rsidR="00290EB5" w:rsidRPr="00D943A1" w:rsidTr="00E4785E">
        <w:trPr>
          <w:trHeight w:val="353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Sport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(£501,956)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£91,842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£94,723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£2,881</w:t>
            </w:r>
          </w:p>
        </w:tc>
      </w:tr>
      <w:tr w:rsidR="00290EB5" w:rsidRPr="00D943A1" w:rsidTr="00E4785E">
        <w:trPr>
          <w:trHeight w:val="353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Youth-work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(£1,736,481)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(£451,725)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(£449,813)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£1,912</w:t>
            </w:r>
          </w:p>
        </w:tc>
      </w:tr>
      <w:tr w:rsidR="00290EB5" w:rsidRPr="00D943A1" w:rsidTr="00E4785E">
        <w:trPr>
          <w:trHeight w:val="370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Surplus ( Deficit)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£0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(£3,034,892)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(£3,032,685)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£2,207</w:t>
            </w:r>
          </w:p>
        </w:tc>
      </w:tr>
    </w:tbl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Breakdown of Variance </w:t>
      </w:r>
      <w:proofErr w:type="gramStart"/>
      <w:r>
        <w:rPr>
          <w:rFonts w:ascii="Arial" w:hAnsi="Arial" w:cs="Arial"/>
          <w:b/>
          <w:szCs w:val="24"/>
        </w:rPr>
        <w:t>-  By</w:t>
      </w:r>
      <w:proofErr w:type="gramEnd"/>
      <w:r>
        <w:rPr>
          <w:rFonts w:ascii="Arial" w:hAnsi="Arial" w:cs="Arial"/>
          <w:b/>
          <w:szCs w:val="24"/>
        </w:rPr>
        <w:t xml:space="preserve"> Activity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                                     Appendix B Contd.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tbl>
      <w:tblPr>
        <w:tblW w:w="14433" w:type="dxa"/>
        <w:tblInd w:w="108" w:type="dxa"/>
        <w:tblLook w:val="04A0" w:firstRow="1" w:lastRow="0" w:firstColumn="1" w:lastColumn="0" w:noHBand="0" w:noVBand="1"/>
      </w:tblPr>
      <w:tblGrid>
        <w:gridCol w:w="2793"/>
        <w:gridCol w:w="2818"/>
        <w:gridCol w:w="3898"/>
        <w:gridCol w:w="2401"/>
        <w:gridCol w:w="2523"/>
      </w:tblGrid>
      <w:tr w:rsidR="00290EB5" w:rsidRPr="00D943A1" w:rsidTr="00E4785E">
        <w:trPr>
          <w:trHeight w:val="40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943A1">
              <w:rPr>
                <w:rFonts w:ascii="Arial" w:hAnsi="Arial" w:cs="Arial"/>
                <w:b/>
                <w:bCs/>
                <w:color w:val="000000"/>
                <w:szCs w:val="24"/>
              </w:rPr>
              <w:t>Services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Variance - Income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Variance - Other Costs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 xml:space="preserve">Variance - Staff 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Variance - Total</w:t>
            </w:r>
          </w:p>
        </w:tc>
      </w:tr>
      <w:tr w:rsidR="00290EB5" w:rsidRPr="00D943A1" w:rsidTr="00E4785E">
        <w:trPr>
          <w:trHeight w:val="40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Adult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£20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£12,495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(£12,451)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£64</w:t>
            </w:r>
          </w:p>
        </w:tc>
      </w:tr>
      <w:tr w:rsidR="00290EB5" w:rsidRPr="00D943A1" w:rsidTr="00E4785E">
        <w:trPr>
          <w:trHeight w:val="40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Archives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£390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(£1,593)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£1,572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£369</w:t>
            </w:r>
          </w:p>
        </w:tc>
      </w:tr>
      <w:tr w:rsidR="00290EB5" w:rsidRPr="00D943A1" w:rsidTr="00E4785E">
        <w:trPr>
          <w:trHeight w:val="40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Arts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£11,174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(£6,580)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(£3,702)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£892</w:t>
            </w:r>
          </w:p>
        </w:tc>
      </w:tr>
      <w:tr w:rsidR="00290EB5" w:rsidRPr="00D943A1" w:rsidTr="00E4785E">
        <w:trPr>
          <w:trHeight w:val="40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Central Admin.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£0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£244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£0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£244</w:t>
            </w:r>
          </w:p>
        </w:tc>
      </w:tr>
      <w:tr w:rsidR="00290EB5" w:rsidRPr="00D943A1" w:rsidTr="00E4785E">
        <w:trPr>
          <w:trHeight w:val="40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Facilities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£737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(£2,501)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£3,008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£1,244</w:t>
            </w:r>
          </w:p>
        </w:tc>
      </w:tr>
      <w:tr w:rsidR="00290EB5" w:rsidRPr="00D943A1" w:rsidTr="00E4785E">
        <w:trPr>
          <w:trHeight w:val="40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Libraries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(£2,257)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(£703)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(£5,016)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(£7,977)</w:t>
            </w:r>
          </w:p>
        </w:tc>
      </w:tr>
      <w:tr w:rsidR="00290EB5" w:rsidRPr="00D943A1" w:rsidTr="00E4785E">
        <w:trPr>
          <w:trHeight w:val="40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Management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£708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£1,736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(£1,239)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£1,205</w:t>
            </w:r>
          </w:p>
        </w:tc>
      </w:tr>
      <w:tr w:rsidR="00290EB5" w:rsidRPr="00D943A1" w:rsidTr="00E4785E">
        <w:trPr>
          <w:trHeight w:val="40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Museums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£961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(£134)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£200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£1,027</w:t>
            </w:r>
          </w:p>
        </w:tc>
      </w:tr>
      <w:tr w:rsidR="00290EB5" w:rsidRPr="00D943A1" w:rsidTr="00E4785E">
        <w:trPr>
          <w:trHeight w:val="40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Outdoor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£30,824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(£25,158)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(£5,319)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£346</w:t>
            </w:r>
          </w:p>
        </w:tc>
      </w:tr>
      <w:tr w:rsidR="00290EB5" w:rsidRPr="00D943A1" w:rsidTr="00E4785E">
        <w:trPr>
          <w:trHeight w:val="40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Sport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£18,287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(£3,977)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(£11,429)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£2,881</w:t>
            </w:r>
          </w:p>
        </w:tc>
      </w:tr>
      <w:tr w:rsidR="00290EB5" w:rsidRPr="00D943A1" w:rsidTr="00E4785E">
        <w:trPr>
          <w:trHeight w:val="40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Youth</w:t>
            </w:r>
            <w:r>
              <w:rPr>
                <w:rFonts w:ascii="Arial" w:hAnsi="Arial" w:cs="Arial"/>
                <w:color w:val="000000"/>
                <w:szCs w:val="24"/>
              </w:rPr>
              <w:t>-</w:t>
            </w:r>
            <w:r w:rsidRPr="00D943A1">
              <w:rPr>
                <w:rFonts w:ascii="Arial" w:hAnsi="Arial" w:cs="Arial"/>
                <w:color w:val="000000"/>
                <w:szCs w:val="24"/>
              </w:rPr>
              <w:t>work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£80,416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(£8,854)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(£69,650)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£1,912</w:t>
            </w:r>
          </w:p>
        </w:tc>
      </w:tr>
      <w:tr w:rsidR="00290EB5" w:rsidRPr="00D943A1" w:rsidTr="00E4785E">
        <w:trPr>
          <w:trHeight w:val="421"/>
        </w:trPr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Surplus ( Deficit)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£141,260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(£35,026)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FF0000"/>
                <w:szCs w:val="24"/>
              </w:rPr>
              <w:t>(£104,027)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0EB5" w:rsidRPr="00D943A1" w:rsidRDefault="00290EB5" w:rsidP="00E4785E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D943A1">
              <w:rPr>
                <w:rFonts w:ascii="Arial" w:hAnsi="Arial" w:cs="Arial"/>
                <w:color w:val="000000"/>
                <w:szCs w:val="24"/>
              </w:rPr>
              <w:t>£2,207</w:t>
            </w:r>
          </w:p>
        </w:tc>
      </w:tr>
    </w:tbl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Explanation of Variance – By Activity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                                           Appendix C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tbl>
      <w:tblPr>
        <w:tblW w:w="14160" w:type="dxa"/>
        <w:tblInd w:w="103" w:type="dxa"/>
        <w:tblLook w:val="04A0" w:firstRow="1" w:lastRow="0" w:firstColumn="1" w:lastColumn="0" w:noHBand="0" w:noVBand="1"/>
      </w:tblPr>
      <w:tblGrid>
        <w:gridCol w:w="2260"/>
        <w:gridCol w:w="2280"/>
        <w:gridCol w:w="3820"/>
        <w:gridCol w:w="3180"/>
        <w:gridCol w:w="2620"/>
      </w:tblGrid>
      <w:tr w:rsidR="00290EB5" w:rsidRPr="00FF359E" w:rsidTr="00E4785E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EB5" w:rsidRPr="00FF359E" w:rsidTr="00E4785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Services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Variance - Total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Other Costs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Staff Costs</w:t>
            </w:r>
          </w:p>
        </w:tc>
      </w:tr>
      <w:tr w:rsidR="00290EB5" w:rsidRPr="00FF359E" w:rsidTr="00E4785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Adult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£64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Ref:Redundancy</w:t>
            </w:r>
            <w:proofErr w:type="spellEnd"/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 xml:space="preserve"> Cost Offset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Redundancy Costs  £11K</w:t>
            </w:r>
          </w:p>
        </w:tc>
      </w:tr>
      <w:tr w:rsidR="00290EB5" w:rsidRPr="00FF359E" w:rsidTr="00E4785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Archives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£369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</w:tr>
      <w:tr w:rsidR="00290EB5" w:rsidRPr="00FF359E" w:rsidTr="00E4785E">
        <w:trPr>
          <w:trHeight w:val="11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Arts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£892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 xml:space="preserve">Additional Income from Consultancy THC -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Exhibits  (£2.7K) and Printing and Promotional Works (£4K) Seasonal - Will reverse during the year)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Acting up allowance and Cover ref: Additional Income</w:t>
            </w:r>
          </w:p>
        </w:tc>
      </w:tr>
      <w:tr w:rsidR="00290EB5" w:rsidRPr="00FF359E" w:rsidTr="00E4785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Central Admin.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£244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290EB5" w:rsidRPr="00FF359E" w:rsidTr="00E4785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Facilities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£1,244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</w:tr>
      <w:tr w:rsidR="00290EB5" w:rsidRPr="00FF359E" w:rsidTr="00E4785E">
        <w:trPr>
          <w:trHeight w:val="5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Libraries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FF0000"/>
                <w:sz w:val="22"/>
                <w:szCs w:val="22"/>
              </w:rPr>
              <w:t>(£7,977)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Vending Income budgeted did not materialise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Season – Will come in on budget for the year</w:t>
            </w:r>
          </w:p>
        </w:tc>
      </w:tr>
      <w:tr w:rsidR="00290EB5" w:rsidRPr="00FF359E" w:rsidTr="00E4785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£1,205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</w:tr>
      <w:tr w:rsidR="00290EB5" w:rsidRPr="00FF359E" w:rsidTr="00E4785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Museums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£1,027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On target</w:t>
            </w:r>
          </w:p>
        </w:tc>
      </w:tr>
      <w:tr w:rsidR="00290EB5" w:rsidRPr="00FF359E" w:rsidTr="00E4785E">
        <w:trPr>
          <w:trHeight w:val="5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Outdoor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£346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Additional Income (Outdoor Activities)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Equipment Costs - Running additional Activities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Additional Tutor Costs of running activities</w:t>
            </w:r>
          </w:p>
        </w:tc>
      </w:tr>
      <w:tr w:rsidR="00290EB5" w:rsidRPr="00FF359E" w:rsidTr="00E4785E">
        <w:trPr>
          <w:trHeight w:val="5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Sport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£2,881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Additional Income generated by Active schools from activities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Additional costs for running the ASC Activities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Additional Staff Costs - ASC Activity</w:t>
            </w:r>
          </w:p>
        </w:tc>
      </w:tr>
      <w:tr w:rsidR="00290EB5" w:rsidRPr="00FF359E" w:rsidTr="00E4785E">
        <w:trPr>
          <w:trHeight w:val="5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Youth work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£1,912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Grants Received - for youth work programme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Additional Other costs paid out of fund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Additional Staff costs paid out of fund</w:t>
            </w:r>
          </w:p>
        </w:tc>
      </w:tr>
      <w:tr w:rsidR="00290EB5" w:rsidRPr="00FF359E" w:rsidTr="00E4785E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Surplus ( Deficit)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359E">
              <w:rPr>
                <w:rFonts w:ascii="Arial" w:hAnsi="Arial" w:cs="Arial"/>
                <w:b/>
                <w:bCs/>
                <w:sz w:val="22"/>
                <w:szCs w:val="22"/>
              </w:rPr>
              <w:t>£2,207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EB5" w:rsidRPr="00FF359E" w:rsidRDefault="00290EB5" w:rsidP="00E4785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35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Pr="00D73D7B" w:rsidRDefault="00290EB5" w:rsidP="00290EB5">
      <w:pPr>
        <w:rPr>
          <w:rFonts w:ascii="Arial" w:hAnsi="Arial" w:cs="Arial"/>
          <w:b/>
          <w:szCs w:val="24"/>
        </w:rPr>
      </w:pPr>
    </w:p>
    <w:p w:rsidR="00F41E17" w:rsidRPr="00F41E17" w:rsidRDefault="00F41E17" w:rsidP="00F41E17">
      <w:pPr>
        <w:jc w:val="right"/>
        <w:rPr>
          <w:rFonts w:ascii="Arial" w:hAnsi="Arial" w:cs="Arial"/>
          <w:b/>
          <w:sz w:val="18"/>
          <w:szCs w:val="18"/>
        </w:rPr>
      </w:pPr>
    </w:p>
    <w:sectPr w:rsidR="00F41E17" w:rsidRPr="00F41E17" w:rsidSect="00D943A1">
      <w:pgSz w:w="16838" w:h="11906" w:orient="landscape" w:code="9"/>
      <w:pgMar w:top="1440" w:right="992" w:bottom="14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CC" w:rsidRDefault="00CA48CC">
      <w:r>
        <w:separator/>
      </w:r>
    </w:p>
  </w:endnote>
  <w:endnote w:type="continuationSeparator" w:id="0">
    <w:p w:rsidR="00CA48CC" w:rsidRDefault="00CA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CC" w:rsidRDefault="00CA48CC">
      <w:r>
        <w:separator/>
      </w:r>
    </w:p>
  </w:footnote>
  <w:footnote w:type="continuationSeparator" w:id="0">
    <w:p w:rsidR="00CA48CC" w:rsidRDefault="00CA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756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29485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2F4A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6E3464"/>
    <w:multiLevelType w:val="hybridMultilevel"/>
    <w:tmpl w:val="2ADECF5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B0092"/>
    <w:multiLevelType w:val="hybridMultilevel"/>
    <w:tmpl w:val="B3A8E064"/>
    <w:lvl w:ilvl="0" w:tplc="E4BA65FA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E30BF"/>
    <w:multiLevelType w:val="hybridMultilevel"/>
    <w:tmpl w:val="AC7CA8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3B80"/>
    <w:multiLevelType w:val="hybridMultilevel"/>
    <w:tmpl w:val="C7884856"/>
    <w:lvl w:ilvl="0" w:tplc="8EBAF73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23E4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942576"/>
    <w:multiLevelType w:val="hybridMultilevel"/>
    <w:tmpl w:val="B48271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7976D3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C58A7"/>
    <w:multiLevelType w:val="hybridMultilevel"/>
    <w:tmpl w:val="B67E8A5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168E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E7D7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F7412"/>
    <w:multiLevelType w:val="hybridMultilevel"/>
    <w:tmpl w:val="39DAF1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93A1F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523BE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F65EB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50F34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1260D5C"/>
    <w:multiLevelType w:val="hybridMultilevel"/>
    <w:tmpl w:val="4A58A3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F0BEE"/>
    <w:multiLevelType w:val="hybridMultilevel"/>
    <w:tmpl w:val="21924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64570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7764D4A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87B5C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1B3B28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97BC5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86A8B"/>
    <w:multiLevelType w:val="hybridMultilevel"/>
    <w:tmpl w:val="110AEF24"/>
    <w:lvl w:ilvl="0" w:tplc="778CB986">
      <w:start w:val="1"/>
      <w:numFmt w:val="lowerRoman"/>
      <w:lvlText w:val="%1."/>
      <w:lvlJc w:val="left"/>
      <w:pPr>
        <w:ind w:left="1444" w:hanging="73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73B2DA5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E912A4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371751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B3E16F2"/>
    <w:multiLevelType w:val="hybridMultilevel"/>
    <w:tmpl w:val="B48271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D944CAD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B1BE4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A310E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B5B72"/>
    <w:multiLevelType w:val="hybridMultilevel"/>
    <w:tmpl w:val="F56CD95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2449F6"/>
    <w:multiLevelType w:val="multilevel"/>
    <w:tmpl w:val="2A6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BD62EC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A7BCC"/>
    <w:multiLevelType w:val="hybridMultilevel"/>
    <w:tmpl w:val="C7884856"/>
    <w:lvl w:ilvl="0" w:tplc="8EBAF73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C454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B54A1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86936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13"/>
  </w:num>
  <w:num w:numId="4">
    <w:abstractNumId w:val="5"/>
  </w:num>
  <w:num w:numId="5">
    <w:abstractNumId w:val="19"/>
  </w:num>
  <w:num w:numId="6">
    <w:abstractNumId w:val="25"/>
  </w:num>
  <w:num w:numId="7">
    <w:abstractNumId w:val="4"/>
  </w:num>
  <w:num w:numId="8">
    <w:abstractNumId w:val="31"/>
  </w:num>
  <w:num w:numId="9">
    <w:abstractNumId w:val="27"/>
  </w:num>
  <w:num w:numId="10">
    <w:abstractNumId w:val="21"/>
  </w:num>
  <w:num w:numId="11">
    <w:abstractNumId w:val="39"/>
  </w:num>
  <w:num w:numId="12">
    <w:abstractNumId w:val="40"/>
  </w:num>
  <w:num w:numId="13">
    <w:abstractNumId w:val="12"/>
  </w:num>
  <w:num w:numId="14">
    <w:abstractNumId w:val="35"/>
  </w:num>
  <w:num w:numId="15">
    <w:abstractNumId w:val="14"/>
  </w:num>
  <w:num w:numId="16">
    <w:abstractNumId w:val="38"/>
  </w:num>
  <w:num w:numId="17">
    <w:abstractNumId w:val="10"/>
  </w:num>
  <w:num w:numId="18">
    <w:abstractNumId w:val="24"/>
  </w:num>
  <w:num w:numId="19">
    <w:abstractNumId w:val="23"/>
  </w:num>
  <w:num w:numId="20">
    <w:abstractNumId w:val="30"/>
  </w:num>
  <w:num w:numId="21">
    <w:abstractNumId w:val="16"/>
  </w:num>
  <w:num w:numId="22">
    <w:abstractNumId w:val="11"/>
  </w:num>
  <w:num w:numId="23">
    <w:abstractNumId w:val="32"/>
  </w:num>
  <w:num w:numId="24">
    <w:abstractNumId w:val="9"/>
  </w:num>
  <w:num w:numId="25">
    <w:abstractNumId w:val="37"/>
  </w:num>
  <w:num w:numId="26">
    <w:abstractNumId w:val="6"/>
  </w:num>
  <w:num w:numId="27">
    <w:abstractNumId w:val="36"/>
  </w:num>
  <w:num w:numId="28">
    <w:abstractNumId w:val="3"/>
  </w:num>
  <w:num w:numId="29">
    <w:abstractNumId w:val="1"/>
  </w:num>
  <w:num w:numId="30">
    <w:abstractNumId w:val="8"/>
  </w:num>
  <w:num w:numId="31">
    <w:abstractNumId w:val="2"/>
  </w:num>
  <w:num w:numId="32">
    <w:abstractNumId w:val="15"/>
  </w:num>
  <w:num w:numId="33">
    <w:abstractNumId w:val="17"/>
  </w:num>
  <w:num w:numId="34">
    <w:abstractNumId w:val="20"/>
  </w:num>
  <w:num w:numId="35">
    <w:abstractNumId w:val="0"/>
  </w:num>
  <w:num w:numId="36">
    <w:abstractNumId w:val="28"/>
  </w:num>
  <w:num w:numId="37">
    <w:abstractNumId w:val="26"/>
  </w:num>
  <w:num w:numId="38">
    <w:abstractNumId w:val="29"/>
  </w:num>
  <w:num w:numId="39">
    <w:abstractNumId w:val="33"/>
  </w:num>
  <w:num w:numId="40">
    <w:abstractNumId w:val="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0A"/>
    <w:rsid w:val="00023E37"/>
    <w:rsid w:val="000261C0"/>
    <w:rsid w:val="0005207E"/>
    <w:rsid w:val="00054DE1"/>
    <w:rsid w:val="000551EE"/>
    <w:rsid w:val="000B0A7F"/>
    <w:rsid w:val="000F274B"/>
    <w:rsid w:val="000F29AC"/>
    <w:rsid w:val="000F6071"/>
    <w:rsid w:val="00102BA1"/>
    <w:rsid w:val="00104179"/>
    <w:rsid w:val="001072B4"/>
    <w:rsid w:val="00131281"/>
    <w:rsid w:val="001575A7"/>
    <w:rsid w:val="00186D8B"/>
    <w:rsid w:val="001B7F3F"/>
    <w:rsid w:val="001C4993"/>
    <w:rsid w:val="001C4B5C"/>
    <w:rsid w:val="001D1D38"/>
    <w:rsid w:val="001D5EE7"/>
    <w:rsid w:val="00226235"/>
    <w:rsid w:val="00226B15"/>
    <w:rsid w:val="0024004B"/>
    <w:rsid w:val="0024242C"/>
    <w:rsid w:val="00281BD6"/>
    <w:rsid w:val="00290EB5"/>
    <w:rsid w:val="00291E51"/>
    <w:rsid w:val="0029314E"/>
    <w:rsid w:val="002A050E"/>
    <w:rsid w:val="002A21D3"/>
    <w:rsid w:val="002A660A"/>
    <w:rsid w:val="002B7DC4"/>
    <w:rsid w:val="002C5CF0"/>
    <w:rsid w:val="002D76CB"/>
    <w:rsid w:val="002D7E65"/>
    <w:rsid w:val="0033499A"/>
    <w:rsid w:val="0034407D"/>
    <w:rsid w:val="00345B42"/>
    <w:rsid w:val="00351BDC"/>
    <w:rsid w:val="00356B53"/>
    <w:rsid w:val="00383762"/>
    <w:rsid w:val="003924C9"/>
    <w:rsid w:val="0039450A"/>
    <w:rsid w:val="003B450B"/>
    <w:rsid w:val="003D4E84"/>
    <w:rsid w:val="003E6B08"/>
    <w:rsid w:val="00402985"/>
    <w:rsid w:val="00416BFF"/>
    <w:rsid w:val="00445D1F"/>
    <w:rsid w:val="00472040"/>
    <w:rsid w:val="00485C73"/>
    <w:rsid w:val="004A13CB"/>
    <w:rsid w:val="004D3C32"/>
    <w:rsid w:val="004E2042"/>
    <w:rsid w:val="004F0983"/>
    <w:rsid w:val="004F6740"/>
    <w:rsid w:val="00504936"/>
    <w:rsid w:val="00540480"/>
    <w:rsid w:val="005458DE"/>
    <w:rsid w:val="00554631"/>
    <w:rsid w:val="00562183"/>
    <w:rsid w:val="00576020"/>
    <w:rsid w:val="00581415"/>
    <w:rsid w:val="00590256"/>
    <w:rsid w:val="00590C36"/>
    <w:rsid w:val="0059426B"/>
    <w:rsid w:val="005A64AF"/>
    <w:rsid w:val="005B050B"/>
    <w:rsid w:val="005C11FC"/>
    <w:rsid w:val="005D09D1"/>
    <w:rsid w:val="005E23D5"/>
    <w:rsid w:val="005E693A"/>
    <w:rsid w:val="0061518E"/>
    <w:rsid w:val="0063477B"/>
    <w:rsid w:val="00635750"/>
    <w:rsid w:val="00642DF4"/>
    <w:rsid w:val="00646F67"/>
    <w:rsid w:val="00655F80"/>
    <w:rsid w:val="00663093"/>
    <w:rsid w:val="0067538A"/>
    <w:rsid w:val="006753D0"/>
    <w:rsid w:val="0067745D"/>
    <w:rsid w:val="0069001D"/>
    <w:rsid w:val="006A137F"/>
    <w:rsid w:val="006D0028"/>
    <w:rsid w:val="006D29ED"/>
    <w:rsid w:val="006D4204"/>
    <w:rsid w:val="0070225D"/>
    <w:rsid w:val="00707C87"/>
    <w:rsid w:val="007118F2"/>
    <w:rsid w:val="007161EF"/>
    <w:rsid w:val="007214D1"/>
    <w:rsid w:val="0074360E"/>
    <w:rsid w:val="00757433"/>
    <w:rsid w:val="00764050"/>
    <w:rsid w:val="007723DB"/>
    <w:rsid w:val="00776884"/>
    <w:rsid w:val="007A353F"/>
    <w:rsid w:val="007D3CAA"/>
    <w:rsid w:val="007D52F9"/>
    <w:rsid w:val="007E2203"/>
    <w:rsid w:val="007E4E27"/>
    <w:rsid w:val="00800D2C"/>
    <w:rsid w:val="00811A6F"/>
    <w:rsid w:val="008173B1"/>
    <w:rsid w:val="00817421"/>
    <w:rsid w:val="00824F07"/>
    <w:rsid w:val="00825FD9"/>
    <w:rsid w:val="008301D0"/>
    <w:rsid w:val="00831A88"/>
    <w:rsid w:val="0083625F"/>
    <w:rsid w:val="0084154D"/>
    <w:rsid w:val="0089449E"/>
    <w:rsid w:val="008A1F14"/>
    <w:rsid w:val="008A3353"/>
    <w:rsid w:val="008A685F"/>
    <w:rsid w:val="008B4D54"/>
    <w:rsid w:val="008E6DEF"/>
    <w:rsid w:val="008F5A22"/>
    <w:rsid w:val="009361C3"/>
    <w:rsid w:val="0097099E"/>
    <w:rsid w:val="00982461"/>
    <w:rsid w:val="00997DBB"/>
    <w:rsid w:val="009A5D16"/>
    <w:rsid w:val="009B0904"/>
    <w:rsid w:val="009B223B"/>
    <w:rsid w:val="009D3BFC"/>
    <w:rsid w:val="009E3DB8"/>
    <w:rsid w:val="009F701B"/>
    <w:rsid w:val="00A122DA"/>
    <w:rsid w:val="00A3726F"/>
    <w:rsid w:val="00A37942"/>
    <w:rsid w:val="00A40F8E"/>
    <w:rsid w:val="00A47A09"/>
    <w:rsid w:val="00A53534"/>
    <w:rsid w:val="00A57EC6"/>
    <w:rsid w:val="00A6213E"/>
    <w:rsid w:val="00A8159A"/>
    <w:rsid w:val="00AA1CCB"/>
    <w:rsid w:val="00AA54D9"/>
    <w:rsid w:val="00AC146F"/>
    <w:rsid w:val="00AD0502"/>
    <w:rsid w:val="00AD0D67"/>
    <w:rsid w:val="00AF02B6"/>
    <w:rsid w:val="00AF7FD6"/>
    <w:rsid w:val="00B0145D"/>
    <w:rsid w:val="00B437C8"/>
    <w:rsid w:val="00B43C0F"/>
    <w:rsid w:val="00B4511E"/>
    <w:rsid w:val="00B56CDC"/>
    <w:rsid w:val="00B65EFA"/>
    <w:rsid w:val="00B65F30"/>
    <w:rsid w:val="00B71D3A"/>
    <w:rsid w:val="00B71E7C"/>
    <w:rsid w:val="00B76551"/>
    <w:rsid w:val="00B84929"/>
    <w:rsid w:val="00B9658E"/>
    <w:rsid w:val="00BB271A"/>
    <w:rsid w:val="00BB4A08"/>
    <w:rsid w:val="00BD07BA"/>
    <w:rsid w:val="00BD6973"/>
    <w:rsid w:val="00C029AC"/>
    <w:rsid w:val="00C17981"/>
    <w:rsid w:val="00C22F15"/>
    <w:rsid w:val="00C443BA"/>
    <w:rsid w:val="00C51396"/>
    <w:rsid w:val="00C51930"/>
    <w:rsid w:val="00C65D64"/>
    <w:rsid w:val="00C73DE0"/>
    <w:rsid w:val="00C75BFB"/>
    <w:rsid w:val="00C8005D"/>
    <w:rsid w:val="00C97A35"/>
    <w:rsid w:val="00CA48CC"/>
    <w:rsid w:val="00CD28C3"/>
    <w:rsid w:val="00CD4E51"/>
    <w:rsid w:val="00CE1288"/>
    <w:rsid w:val="00CE3569"/>
    <w:rsid w:val="00CE4D7F"/>
    <w:rsid w:val="00CF10FD"/>
    <w:rsid w:val="00CF250B"/>
    <w:rsid w:val="00D15130"/>
    <w:rsid w:val="00D35C5C"/>
    <w:rsid w:val="00D57CDF"/>
    <w:rsid w:val="00D658D1"/>
    <w:rsid w:val="00D72885"/>
    <w:rsid w:val="00D842DB"/>
    <w:rsid w:val="00D91DC8"/>
    <w:rsid w:val="00DB3601"/>
    <w:rsid w:val="00DD646D"/>
    <w:rsid w:val="00DD6E3A"/>
    <w:rsid w:val="00DE1E6C"/>
    <w:rsid w:val="00DE3803"/>
    <w:rsid w:val="00DE5F32"/>
    <w:rsid w:val="00DE7C73"/>
    <w:rsid w:val="00E2541B"/>
    <w:rsid w:val="00E25D85"/>
    <w:rsid w:val="00E345B1"/>
    <w:rsid w:val="00E41E4E"/>
    <w:rsid w:val="00E812AE"/>
    <w:rsid w:val="00E82BE9"/>
    <w:rsid w:val="00EA48CA"/>
    <w:rsid w:val="00EA70C6"/>
    <w:rsid w:val="00EB47AD"/>
    <w:rsid w:val="00EC455A"/>
    <w:rsid w:val="00EE431A"/>
    <w:rsid w:val="00EE6C0C"/>
    <w:rsid w:val="00EF519D"/>
    <w:rsid w:val="00F067E4"/>
    <w:rsid w:val="00F070CF"/>
    <w:rsid w:val="00F13F0F"/>
    <w:rsid w:val="00F32670"/>
    <w:rsid w:val="00F41E17"/>
    <w:rsid w:val="00F66E63"/>
    <w:rsid w:val="00FA053D"/>
    <w:rsid w:val="00FA5BC7"/>
    <w:rsid w:val="00FB11B3"/>
    <w:rsid w:val="00FB7E98"/>
    <w:rsid w:val="00FD3F7E"/>
    <w:rsid w:val="00FE4D7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7750-56C0-4E69-8C60-2BB5915C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7</Pages>
  <Words>1048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- ECS</cp:lastModifiedBy>
  <cp:revision>65</cp:revision>
  <cp:lastPrinted>2014-08-11T12:17:00Z</cp:lastPrinted>
  <dcterms:created xsi:type="dcterms:W3CDTF">2013-11-22T11:43:00Z</dcterms:created>
  <dcterms:modified xsi:type="dcterms:W3CDTF">2014-08-11T12:19:00Z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286676546</vt:i4>
  </property>
  <property fmtid="{D5CDD505-2E9C-101B-9397-08002B2CF9AE}" pid="3" name="_NewReviewCycle">
    <vt:lpwstr/>
  </property>
  <property fmtid="{D5CDD505-2E9C-101B-9397-08002B2CF9AE}" pid="4" name="_EmailSubject">
    <vt:lpwstr>HLH BOARD MEETING 21 AUGUST - Agendas and Reports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</Properties>
</file>