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B84929" w:rsidRPr="0089449E" w:rsidTr="00B76551">
        <w:trPr>
          <w:cantSplit/>
          <w:trHeight w:val="993"/>
        </w:trPr>
        <w:tc>
          <w:tcPr>
            <w:tcW w:w="6204" w:type="dxa"/>
          </w:tcPr>
          <w:p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</w:t>
            </w:r>
            <w:smartTag w:uri="urn:schemas-microsoft-com:office:smarttags" w:element="date">
              <w:r w:rsidRPr="0089449E">
                <w:rPr>
                  <w:rFonts w:ascii="Arial" w:hAnsi="Arial" w:cs="Arial"/>
                  <w:szCs w:val="24"/>
                </w:rPr>
                <w:t>LIFE</w:t>
              </w:r>
            </w:smartTag>
            <w:r w:rsidRPr="0089449E">
              <w:rPr>
                <w:rFonts w:ascii="Arial" w:hAnsi="Arial" w:cs="Arial"/>
                <w:szCs w:val="24"/>
              </w:rPr>
              <w:t xml:space="preserve"> HIGHLAND </w:t>
            </w:r>
          </w:p>
          <w:p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89449E" w:rsidRDefault="001C4B5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27 February </w:t>
            </w:r>
            <w:r w:rsidR="0067745D">
              <w:rPr>
                <w:rFonts w:ascii="Arial" w:hAnsi="Arial" w:cs="Arial"/>
                <w:szCs w:val="24"/>
              </w:rPr>
              <w:t>201</w:t>
            </w:r>
            <w:r>
              <w:rPr>
                <w:rFonts w:ascii="Arial" w:hAnsi="Arial" w:cs="Arial"/>
                <w:szCs w:val="24"/>
              </w:rPr>
              <w:t>4</w:t>
            </w:r>
          </w:p>
          <w:p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:rsidR="00C17981" w:rsidRDefault="00B0145D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AGENDA ITEM </w:t>
            </w:r>
            <w:r w:rsidR="009D3BFC">
              <w:rPr>
                <w:rFonts w:ascii="Arial" w:hAnsi="Arial" w:cs="Arial"/>
                <w:szCs w:val="24"/>
              </w:rPr>
              <w:t>13</w:t>
            </w:r>
          </w:p>
          <w:p w:rsidR="00B84929" w:rsidRPr="0089449E" w:rsidRDefault="00B84929" w:rsidP="009D3BFC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 xml:space="preserve">HLH </w:t>
            </w:r>
            <w:r w:rsidR="009D3BFC">
              <w:rPr>
                <w:rFonts w:ascii="Arial" w:hAnsi="Arial" w:cs="Arial"/>
                <w:szCs w:val="24"/>
              </w:rPr>
              <w:t>4</w:t>
            </w:r>
            <w:bookmarkStart w:id="0" w:name="_GoBack"/>
            <w:bookmarkEnd w:id="0"/>
            <w:r w:rsidR="001D5EE7">
              <w:rPr>
                <w:rFonts w:ascii="Arial" w:hAnsi="Arial" w:cs="Arial"/>
                <w:szCs w:val="24"/>
              </w:rPr>
              <w:t>/1</w:t>
            </w:r>
            <w:r w:rsidR="00B71E7C">
              <w:rPr>
                <w:rFonts w:ascii="Arial" w:hAnsi="Arial" w:cs="Arial"/>
                <w:szCs w:val="24"/>
              </w:rPr>
              <w:t>4</w:t>
            </w:r>
          </w:p>
        </w:tc>
      </w:tr>
    </w:tbl>
    <w:p w:rsidR="0039450A" w:rsidRPr="0089449E" w:rsidRDefault="0067745D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FINANCE REPORT</w:t>
      </w:r>
      <w:r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Pr="0089449E" w:rsidRDefault="002B7DC4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:rsidR="002B7DC4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report provides </w:t>
            </w:r>
            <w:r w:rsidR="007E2203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irectors with an update on the financial performance of High Life Highland f</w:t>
            </w:r>
            <w:r w:rsidR="007E2203">
              <w:rPr>
                <w:rFonts w:ascii="Arial" w:hAnsi="Arial" w:cs="Arial"/>
              </w:rPr>
              <w:t xml:space="preserve">or the </w:t>
            </w:r>
            <w:r w:rsidR="004A13CB">
              <w:rPr>
                <w:rFonts w:ascii="Arial" w:hAnsi="Arial" w:cs="Arial"/>
              </w:rPr>
              <w:t xml:space="preserve">period ending </w:t>
            </w:r>
            <w:r w:rsidR="001C4B5C">
              <w:rPr>
                <w:rFonts w:ascii="Arial" w:hAnsi="Arial" w:cs="Arial"/>
              </w:rPr>
              <w:t>31 December</w:t>
            </w:r>
            <w:r w:rsidR="00982461">
              <w:rPr>
                <w:rFonts w:ascii="Arial" w:hAnsi="Arial" w:cs="Arial"/>
              </w:rPr>
              <w:t xml:space="preserve"> 2013</w:t>
            </w:r>
            <w:r w:rsidR="00C519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provides information on contracts awarded since the previous meeting of the Board.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</w:t>
            </w:r>
            <w:r w:rsidR="00C17981">
              <w:rPr>
                <w:rFonts w:ascii="Arial" w:hAnsi="Arial" w:cs="Arial"/>
              </w:rPr>
              <w:t xml:space="preserve"> note</w:t>
            </w:r>
            <w:r>
              <w:rPr>
                <w:rFonts w:ascii="Arial" w:hAnsi="Arial" w:cs="Arial"/>
              </w:rPr>
              <w:t>:-</w:t>
            </w:r>
          </w:p>
          <w:p w:rsidR="00023E37" w:rsidRDefault="00023E37" w:rsidP="00472040">
            <w:pPr>
              <w:jc w:val="both"/>
              <w:rPr>
                <w:rFonts w:ascii="Arial" w:hAnsi="Arial" w:cs="Arial"/>
              </w:rPr>
            </w:pPr>
          </w:p>
          <w:p w:rsidR="00B71E7C" w:rsidRDefault="00B71E7C" w:rsidP="00B71E7C">
            <w:pPr>
              <w:pStyle w:val="ListParagraph"/>
              <w:numPr>
                <w:ilvl w:val="0"/>
                <w:numId w:val="30"/>
              </w:numPr>
              <w:ind w:left="70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</w:t>
            </w:r>
            <w:r w:rsidR="00023E37" w:rsidRPr="00B71E7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4A13CB" w:rsidRPr="00B71E7C">
              <w:rPr>
                <w:rFonts w:ascii="Arial" w:hAnsi="Arial" w:cs="Arial"/>
                <w:sz w:val="24"/>
                <w:szCs w:val="24"/>
              </w:rPr>
              <w:t>current financial position of High Life Highland</w:t>
            </w:r>
            <w:r w:rsidR="00B43C0F" w:rsidRPr="00B71E7C">
              <w:rPr>
                <w:rFonts w:ascii="Arial" w:hAnsi="Arial" w:cs="Arial"/>
                <w:sz w:val="24"/>
                <w:szCs w:val="24"/>
              </w:rPr>
              <w:t xml:space="preserve"> as detailed in </w:t>
            </w:r>
            <w:r w:rsidR="00B43C0F" w:rsidRPr="00B71E7C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="004A13CB"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B71E7C" w:rsidRDefault="002D7E65" w:rsidP="00B71E7C">
            <w:pPr>
              <w:pStyle w:val="ListParagraph"/>
              <w:numPr>
                <w:ilvl w:val="0"/>
                <w:numId w:val="30"/>
              </w:numPr>
              <w:ind w:left="70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B71E7C">
              <w:rPr>
                <w:rFonts w:ascii="Arial" w:hAnsi="Arial" w:cs="Arial"/>
                <w:sz w:val="24"/>
                <w:szCs w:val="24"/>
              </w:rPr>
              <w:t>f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inancial </w:t>
            </w:r>
            <w:r w:rsidRPr="00B71E7C">
              <w:rPr>
                <w:rFonts w:ascii="Arial" w:hAnsi="Arial" w:cs="Arial"/>
                <w:sz w:val="24"/>
                <w:szCs w:val="24"/>
              </w:rPr>
              <w:t>r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esults for the 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>9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 months to 31 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>December</w:t>
            </w:r>
            <w:r w:rsidR="00C029AC" w:rsidRPr="00B71E7C">
              <w:rPr>
                <w:rFonts w:ascii="Arial" w:hAnsi="Arial" w:cs="Arial"/>
                <w:sz w:val="24"/>
                <w:szCs w:val="24"/>
              </w:rPr>
              <w:t xml:space="preserve"> 2013 reports a negative variance on budget of </w:t>
            </w:r>
            <w:r w:rsidR="001C4B5C" w:rsidRPr="00B71E7C">
              <w:rPr>
                <w:rFonts w:ascii="Arial" w:hAnsi="Arial" w:cs="Arial"/>
                <w:sz w:val="24"/>
                <w:szCs w:val="24"/>
              </w:rPr>
              <w:t>£46,827</w:t>
            </w:r>
            <w:r w:rsidR="00B0145D"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B71E7C" w:rsidRDefault="001C4B5C" w:rsidP="00B71E7C">
            <w:pPr>
              <w:pStyle w:val="ListParagraph"/>
              <w:numPr>
                <w:ilvl w:val="0"/>
                <w:numId w:val="30"/>
              </w:numPr>
              <w:ind w:left="70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B71E7C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B71E7C">
              <w:rPr>
                <w:rFonts w:ascii="Arial" w:hAnsi="Arial" w:cs="Arial"/>
                <w:sz w:val="24"/>
                <w:szCs w:val="24"/>
              </w:rPr>
              <w:t>corrective action plan, which continues to be underway, the projected final out-turn for the year is likely to be on target with budget or if not, at worst could come in</w:t>
            </w:r>
            <w:r w:rsidR="00B71E7C">
              <w:rPr>
                <w:rFonts w:ascii="Arial" w:hAnsi="Arial" w:cs="Arial"/>
                <w:sz w:val="24"/>
                <w:szCs w:val="24"/>
              </w:rPr>
              <w:t xml:space="preserve"> £1</w:t>
            </w:r>
            <w:r w:rsidR="005A64AF">
              <w:rPr>
                <w:rFonts w:ascii="Arial" w:hAnsi="Arial" w:cs="Arial"/>
                <w:sz w:val="24"/>
                <w:szCs w:val="24"/>
              </w:rPr>
              <w:t>3</w:t>
            </w:r>
            <w:r w:rsidR="00B71E7C">
              <w:rPr>
                <w:rFonts w:ascii="Arial" w:hAnsi="Arial" w:cs="Arial"/>
                <w:sz w:val="24"/>
                <w:szCs w:val="24"/>
              </w:rPr>
              <w:t>0K adverse to budget (0.</w:t>
            </w:r>
            <w:r w:rsidR="005A64AF">
              <w:rPr>
                <w:rFonts w:ascii="Arial" w:hAnsi="Arial" w:cs="Arial"/>
                <w:sz w:val="24"/>
                <w:szCs w:val="24"/>
              </w:rPr>
              <w:t>6</w:t>
            </w:r>
            <w:r w:rsidR="00B71E7C">
              <w:rPr>
                <w:rFonts w:ascii="Arial" w:hAnsi="Arial" w:cs="Arial"/>
                <w:sz w:val="24"/>
                <w:szCs w:val="24"/>
              </w:rPr>
              <w:t xml:space="preserve">%); </w:t>
            </w:r>
            <w:r w:rsidR="00DE7C73" w:rsidRPr="00B71E7C">
              <w:rPr>
                <w:rFonts w:ascii="Arial" w:hAnsi="Arial" w:cs="Arial"/>
                <w:sz w:val="24"/>
                <w:szCs w:val="24"/>
              </w:rPr>
              <w:t>and</w:t>
            </w:r>
            <w:r w:rsidR="00B71E7C" w:rsidRPr="00B71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23E37" w:rsidRPr="00B71E7C" w:rsidRDefault="00023E37" w:rsidP="00B71E7C">
            <w:pPr>
              <w:pStyle w:val="ListParagraph"/>
              <w:numPr>
                <w:ilvl w:val="0"/>
                <w:numId w:val="30"/>
              </w:numPr>
              <w:ind w:left="709" w:hanging="42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71E7C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B71E7C">
              <w:rPr>
                <w:rFonts w:ascii="Arial" w:hAnsi="Arial" w:cs="Arial"/>
                <w:sz w:val="24"/>
                <w:szCs w:val="24"/>
              </w:rPr>
              <w:t xml:space="preserve"> award of contract</w:t>
            </w:r>
            <w:r w:rsidR="00800D2C" w:rsidRPr="00B71E7C">
              <w:rPr>
                <w:rFonts w:ascii="Arial" w:hAnsi="Arial" w:cs="Arial"/>
                <w:sz w:val="24"/>
                <w:szCs w:val="24"/>
              </w:rPr>
              <w:t>s</w:t>
            </w:r>
            <w:r w:rsidR="00B0145D" w:rsidRPr="00B71E7C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="005C11FC" w:rsidRPr="00B71E7C">
              <w:rPr>
                <w:rFonts w:ascii="Arial" w:hAnsi="Arial" w:cs="Arial"/>
                <w:sz w:val="24"/>
                <w:szCs w:val="24"/>
              </w:rPr>
              <w:t xml:space="preserve"> Capture Limited </w:t>
            </w:r>
            <w:r w:rsidR="00104179" w:rsidRPr="00B71E7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812AE" w:rsidRPr="00B71E7C">
              <w:rPr>
                <w:rFonts w:ascii="Arial" w:hAnsi="Arial" w:cs="Arial"/>
                <w:sz w:val="24"/>
                <w:szCs w:val="24"/>
              </w:rPr>
              <w:t>Zoggs</w:t>
            </w:r>
            <w:proofErr w:type="spellEnd"/>
            <w:r w:rsidR="00104179" w:rsidRPr="00B71E7C">
              <w:rPr>
                <w:rFonts w:ascii="Arial" w:hAnsi="Arial" w:cs="Arial"/>
                <w:sz w:val="24"/>
                <w:szCs w:val="24"/>
              </w:rPr>
              <w:t xml:space="preserve"> Limited, Anderson </w:t>
            </w:r>
            <w:proofErr w:type="spellStart"/>
            <w:r w:rsidR="00104179" w:rsidRPr="00B71E7C">
              <w:rPr>
                <w:rFonts w:ascii="Arial" w:hAnsi="Arial" w:cs="Arial"/>
                <w:sz w:val="24"/>
                <w:szCs w:val="24"/>
              </w:rPr>
              <w:t>Strathern</w:t>
            </w:r>
            <w:proofErr w:type="spellEnd"/>
            <w:r w:rsidR="00104179" w:rsidRPr="00B71E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04179" w:rsidRPr="00B71E7C">
              <w:rPr>
                <w:rFonts w:ascii="Arial" w:hAnsi="Arial" w:cs="Arial"/>
                <w:sz w:val="24"/>
                <w:szCs w:val="24"/>
              </w:rPr>
              <w:t>Solictors</w:t>
            </w:r>
            <w:proofErr w:type="spellEnd"/>
            <w:r w:rsidR="009B223B" w:rsidRPr="00B71E7C">
              <w:rPr>
                <w:rFonts w:ascii="Arial" w:hAnsi="Arial" w:cs="Arial"/>
                <w:sz w:val="24"/>
                <w:szCs w:val="24"/>
              </w:rPr>
              <w:t>, DF Wishart and Bob Powell</w:t>
            </w:r>
            <w:r w:rsidR="00B71E7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9450A" w:rsidRPr="0089449E" w:rsidRDefault="0039450A" w:rsidP="00472040">
            <w:pPr>
              <w:jc w:val="both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  <w:r w:rsidRPr="00B0145D">
              <w:rPr>
                <w:rFonts w:ascii="Arial" w:hAnsi="Arial" w:cs="Arial"/>
              </w:rPr>
              <w:t>This report supports the highlighted Business Outcome from the High Life Highland (HLH) Business Plan:</w:t>
            </w:r>
          </w:p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A positive company image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A growing company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Delivery of the contract with THC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awareness of our products and services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customer satisfaction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B0145D">
              <w:rPr>
                <w:rFonts w:ascii="Arial" w:hAnsi="Arial" w:cs="Arial"/>
                <w:b/>
                <w:bCs/>
                <w:szCs w:val="24"/>
              </w:rPr>
              <w:t>Increased financial sustainability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internal collaboration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Increased staff satisfaction</w:t>
            </w:r>
          </w:p>
          <w:p w:rsidR="00B0145D" w:rsidRPr="00B0145D" w:rsidRDefault="00B0145D" w:rsidP="00B0145D">
            <w:pPr>
              <w:numPr>
                <w:ilvl w:val="0"/>
                <w:numId w:val="16"/>
              </w:numPr>
              <w:ind w:left="459" w:hanging="425"/>
              <w:contextualSpacing/>
              <w:jc w:val="both"/>
              <w:rPr>
                <w:rFonts w:ascii="Arial" w:hAnsi="Arial" w:cs="Arial"/>
                <w:bCs/>
                <w:szCs w:val="24"/>
              </w:rPr>
            </w:pPr>
            <w:r w:rsidRPr="00B0145D">
              <w:rPr>
                <w:rFonts w:ascii="Arial" w:hAnsi="Arial" w:cs="Arial"/>
                <w:bCs/>
                <w:szCs w:val="24"/>
              </w:rPr>
              <w:t>Safety &amp; environmental compliance</w:t>
            </w:r>
          </w:p>
          <w:p w:rsidR="00C51930" w:rsidRPr="00B0145D" w:rsidRDefault="00C51930" w:rsidP="00B0145D">
            <w:pPr>
              <w:jc w:val="both"/>
              <w:rPr>
                <w:rFonts w:ascii="Arial" w:hAnsi="Arial" w:cs="Arial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8B4D54">
              <w:rPr>
                <w:rFonts w:ascii="Arial" w:hAnsi="Arial" w:cs="Arial"/>
                <w:szCs w:val="24"/>
              </w:rPr>
              <w:t>2.1</w:t>
            </w:r>
          </w:p>
          <w:p w:rsidR="004A13CB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Directors of HLH receive a Finance Report on </w:t>
            </w:r>
            <w:r w:rsidR="001C4B5C">
              <w:rPr>
                <w:rFonts w:ascii="Arial" w:hAnsi="Arial" w:cs="Arial"/>
                <w:szCs w:val="24"/>
              </w:rPr>
              <w:t>a bi-monthly</w:t>
            </w:r>
            <w:r w:rsidR="009E3DB8">
              <w:rPr>
                <w:rFonts w:ascii="Arial" w:hAnsi="Arial" w:cs="Arial"/>
                <w:szCs w:val="24"/>
              </w:rPr>
              <w:t xml:space="preserve"> basis. The primary purpose of the </w:t>
            </w:r>
            <w:r>
              <w:rPr>
                <w:rFonts w:ascii="Arial" w:hAnsi="Arial" w:cs="Arial"/>
                <w:szCs w:val="24"/>
              </w:rPr>
              <w:t xml:space="preserve">report is to summarise the financial performance of the organisation and its subsidiaries. </w:t>
            </w:r>
          </w:p>
          <w:p w:rsidR="004A13CB" w:rsidRPr="0097099E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>3.</w:t>
            </w:r>
          </w:p>
          <w:p w:rsidR="004A13CB" w:rsidRPr="008B4D54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D28C3">
              <w:rPr>
                <w:rFonts w:ascii="Arial" w:hAnsi="Arial" w:cs="Arial"/>
                <w:b/>
                <w:szCs w:val="24"/>
              </w:rPr>
              <w:t xml:space="preserve">Financial Performance to 31 </w:t>
            </w:r>
            <w:r w:rsidR="001C4B5C">
              <w:rPr>
                <w:rFonts w:ascii="Arial" w:hAnsi="Arial" w:cs="Arial"/>
                <w:b/>
                <w:szCs w:val="24"/>
              </w:rPr>
              <w:t>December</w:t>
            </w:r>
            <w:r w:rsidRPr="00CD28C3">
              <w:rPr>
                <w:rFonts w:ascii="Arial" w:hAnsi="Arial" w:cs="Arial"/>
                <w:b/>
                <w:szCs w:val="24"/>
              </w:rPr>
              <w:t xml:space="preserve"> 2013</w:t>
            </w:r>
          </w:p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CD28C3" w:rsidRDefault="00CD28C3" w:rsidP="00472040">
            <w:pPr>
              <w:jc w:val="both"/>
              <w:rPr>
                <w:rFonts w:ascii="Arial" w:hAnsi="Arial" w:cs="Arial"/>
                <w:szCs w:val="24"/>
              </w:rPr>
            </w:pPr>
            <w:r w:rsidRPr="00CD28C3">
              <w:rPr>
                <w:rFonts w:ascii="Arial" w:hAnsi="Arial" w:cs="Arial"/>
                <w:szCs w:val="24"/>
              </w:rPr>
              <w:t>3.1</w:t>
            </w:r>
          </w:p>
          <w:p w:rsidR="00B9658E" w:rsidRDefault="00B9658E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635750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3.2</w:t>
            </w: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3.3</w:t>
            </w: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</w:p>
          <w:p w:rsidR="00B71E7C" w:rsidRDefault="00B71E7C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3.4</w:t>
            </w:r>
          </w:p>
          <w:p w:rsidR="002D76CB" w:rsidRPr="00CD28C3" w:rsidRDefault="002D76CB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B9658E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The outturn figure for the period to 31 </w:t>
            </w:r>
            <w:r w:rsidR="001C4B5C">
              <w:rPr>
                <w:rFonts w:ascii="Arial" w:hAnsi="Arial" w:cs="Arial"/>
                <w:szCs w:val="24"/>
              </w:rPr>
              <w:t>December</w:t>
            </w:r>
            <w:r>
              <w:rPr>
                <w:rFonts w:ascii="Arial" w:hAnsi="Arial" w:cs="Arial"/>
                <w:szCs w:val="24"/>
              </w:rPr>
              <w:t xml:space="preserve"> 2013 has been prepared. </w:t>
            </w:r>
          </w:p>
          <w:p w:rsidR="00B9658E" w:rsidRDefault="00B9658E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B0145D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 xml:space="preserve">HLH’s consolidated financial performance for </w:t>
            </w:r>
            <w:r w:rsidR="00B0145D">
              <w:rPr>
                <w:rFonts w:ascii="Arial" w:hAnsi="Arial" w:cs="Arial"/>
                <w:szCs w:val="24"/>
              </w:rPr>
              <w:t>the year is summarised by the 9 </w:t>
            </w:r>
            <w:r>
              <w:rPr>
                <w:rFonts w:ascii="Arial" w:hAnsi="Arial" w:cs="Arial"/>
                <w:szCs w:val="24"/>
              </w:rPr>
              <w:t xml:space="preserve">business areas at </w:t>
            </w:r>
            <w:r w:rsidR="004A13CB" w:rsidRPr="00DE7C73">
              <w:rPr>
                <w:rFonts w:ascii="Arial" w:hAnsi="Arial" w:cs="Arial"/>
                <w:b/>
                <w:szCs w:val="24"/>
              </w:rPr>
              <w:t>Appendix A</w:t>
            </w:r>
            <w:r>
              <w:rPr>
                <w:rFonts w:ascii="Arial" w:hAnsi="Arial" w:cs="Arial"/>
                <w:b/>
                <w:szCs w:val="24"/>
              </w:rPr>
              <w:t xml:space="preserve">.  </w:t>
            </w:r>
            <w:r w:rsidR="00DE7C73">
              <w:rPr>
                <w:rFonts w:ascii="Arial" w:hAnsi="Arial" w:cs="Arial"/>
                <w:b/>
                <w:szCs w:val="24"/>
              </w:rPr>
              <w:t xml:space="preserve"> </w:t>
            </w:r>
            <w:r w:rsidR="00590256">
              <w:rPr>
                <w:rFonts w:ascii="Arial" w:hAnsi="Arial" w:cs="Arial"/>
                <w:szCs w:val="24"/>
              </w:rPr>
              <w:t>The outturn for the period</w:t>
            </w:r>
            <w:r>
              <w:rPr>
                <w:rFonts w:ascii="Arial" w:hAnsi="Arial" w:cs="Arial"/>
                <w:szCs w:val="24"/>
              </w:rPr>
              <w:t xml:space="preserve"> is split by cost category (revenues, staff costs and other costs) at </w:t>
            </w:r>
            <w:r w:rsidRPr="00635750">
              <w:rPr>
                <w:rFonts w:ascii="Arial" w:hAnsi="Arial" w:cs="Arial"/>
                <w:b/>
                <w:szCs w:val="24"/>
              </w:rPr>
              <w:t>Appendix B</w:t>
            </w:r>
            <w:r>
              <w:rPr>
                <w:rFonts w:ascii="Arial" w:hAnsi="Arial" w:cs="Arial"/>
                <w:szCs w:val="24"/>
              </w:rPr>
              <w:t xml:space="preserve">.  </w:t>
            </w:r>
          </w:p>
          <w:p w:rsidR="00B0145D" w:rsidRDefault="00B0145D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Default="001C4B5C" w:rsidP="00635750">
            <w:pPr>
              <w:jc w:val="both"/>
              <w:rPr>
                <w:rFonts w:ascii="Arial" w:hAnsi="Arial" w:cs="Arial"/>
                <w:szCs w:val="24"/>
              </w:rPr>
            </w:pPr>
            <w:r w:rsidRPr="00CB4EE8">
              <w:rPr>
                <w:rFonts w:ascii="Arial" w:hAnsi="Arial" w:cs="Arial"/>
                <w:szCs w:val="24"/>
              </w:rPr>
              <w:t>This shows total revenues in excess of budget by £549K, staff costs over budget by £239K and other costs over budget by £356K, resul</w:t>
            </w:r>
            <w:r w:rsidR="00590256">
              <w:rPr>
                <w:rFonts w:ascii="Arial" w:hAnsi="Arial" w:cs="Arial"/>
                <w:szCs w:val="24"/>
              </w:rPr>
              <w:t>ting in the net position of £46,827</w:t>
            </w:r>
            <w:r w:rsidRPr="00CB4EE8">
              <w:rPr>
                <w:rFonts w:ascii="Arial" w:hAnsi="Arial" w:cs="Arial"/>
                <w:szCs w:val="24"/>
              </w:rPr>
              <w:t xml:space="preserve"> negative to budget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:rsidR="001C4B5C" w:rsidRDefault="001C4B5C" w:rsidP="00635750">
            <w:pPr>
              <w:jc w:val="both"/>
              <w:rPr>
                <w:rFonts w:ascii="Arial" w:hAnsi="Arial" w:cs="Arial"/>
                <w:szCs w:val="24"/>
              </w:rPr>
            </w:pPr>
          </w:p>
          <w:p w:rsidR="00635750" w:rsidRPr="002D76CB" w:rsidRDefault="00635750" w:rsidP="0063575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 commentary on the major variances is provided at </w:t>
            </w:r>
            <w:r w:rsidRPr="00635750">
              <w:rPr>
                <w:rFonts w:ascii="Arial" w:hAnsi="Arial" w:cs="Arial"/>
                <w:b/>
                <w:szCs w:val="24"/>
              </w:rPr>
              <w:t>Appendix C</w:t>
            </w:r>
            <w:r>
              <w:rPr>
                <w:rFonts w:ascii="Arial" w:hAnsi="Arial" w:cs="Arial"/>
                <w:szCs w:val="24"/>
              </w:rPr>
              <w:t>.</w:t>
            </w:r>
          </w:p>
        </w:tc>
      </w:tr>
      <w:tr w:rsidR="00351BDC" w:rsidRPr="0089449E">
        <w:tc>
          <w:tcPr>
            <w:tcW w:w="817" w:type="dxa"/>
          </w:tcPr>
          <w:p w:rsidR="00351BDC" w:rsidRDefault="00351BDC" w:rsidP="004A1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4.</w:t>
            </w:r>
          </w:p>
        </w:tc>
        <w:tc>
          <w:tcPr>
            <w:tcW w:w="8647" w:type="dxa"/>
          </w:tcPr>
          <w:p w:rsidR="00351BDC" w:rsidRDefault="00351BDC" w:rsidP="00351BD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Year–End Forecast</w:t>
            </w:r>
          </w:p>
          <w:p w:rsidR="00351BDC" w:rsidRDefault="00351BDC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351BDC" w:rsidRPr="0089449E">
        <w:tc>
          <w:tcPr>
            <w:tcW w:w="817" w:type="dxa"/>
          </w:tcPr>
          <w:p w:rsidR="00351BDC" w:rsidRDefault="00351BD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  <w:p w:rsidR="00351BDC" w:rsidRDefault="00351BD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51BDC" w:rsidRDefault="00351BD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51BDC" w:rsidRDefault="00351BD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  <w:p w:rsidR="00B71E7C" w:rsidRDefault="00B71E7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71E7C" w:rsidRDefault="00B71E7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71E7C" w:rsidRDefault="00B71E7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  <w:p w:rsidR="00B71E7C" w:rsidRDefault="00B71E7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71E7C" w:rsidRDefault="00B71E7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71E7C" w:rsidRDefault="00B71E7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71E7C" w:rsidRDefault="00B71E7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71E7C" w:rsidRDefault="00B71E7C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90256" w:rsidRPr="00351BDC" w:rsidRDefault="00590256" w:rsidP="004A13C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8647" w:type="dxa"/>
          </w:tcPr>
          <w:p w:rsidR="00590256" w:rsidRDefault="00590256" w:rsidP="001C4B5C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 projected final outturn for the year is predicted within the range of on budget to £130K adverse to budget.</w:t>
            </w:r>
          </w:p>
          <w:p w:rsidR="00590256" w:rsidRDefault="00590256" w:rsidP="001C4B5C">
            <w:pPr>
              <w:jc w:val="both"/>
              <w:rPr>
                <w:rFonts w:ascii="Arial" w:hAnsi="Arial" w:cs="Arial"/>
                <w:szCs w:val="24"/>
              </w:rPr>
            </w:pPr>
          </w:p>
          <w:p w:rsidR="001C4B5C" w:rsidRPr="001C4B5C" w:rsidRDefault="001C4B5C" w:rsidP="001C4B5C">
            <w:pPr>
              <w:jc w:val="both"/>
              <w:rPr>
                <w:rFonts w:ascii="Arial" w:hAnsi="Arial" w:cs="Arial"/>
                <w:szCs w:val="24"/>
              </w:rPr>
            </w:pPr>
            <w:r w:rsidRPr="001C4B5C">
              <w:rPr>
                <w:rFonts w:ascii="Arial" w:hAnsi="Arial" w:cs="Arial"/>
                <w:szCs w:val="24"/>
              </w:rPr>
              <w:t>An instruction was issued in November 2013 and remains in place, to stop all discretionary spend for the time being to ensure the pressures are addressed.</w:t>
            </w:r>
          </w:p>
          <w:p w:rsidR="001C4B5C" w:rsidRPr="001C4B5C" w:rsidRDefault="001C4B5C" w:rsidP="001C4B5C">
            <w:pPr>
              <w:jc w:val="both"/>
              <w:rPr>
                <w:rFonts w:ascii="Arial" w:hAnsi="Arial" w:cs="Arial"/>
                <w:szCs w:val="24"/>
              </w:rPr>
            </w:pPr>
          </w:p>
          <w:p w:rsidR="001C4B5C" w:rsidRDefault="001C4B5C" w:rsidP="001C4B5C">
            <w:pPr>
              <w:autoSpaceDE w:val="0"/>
              <w:autoSpaceDN w:val="0"/>
              <w:adjustRightInd w:val="0"/>
              <w:ind w:left="-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Since the last report an invoice for the NHS 2011.13 and 2013.14 has been received for £100K (£50K per annum).  This amount was transferred as part of the transfer budget but was not included in the operating annual budget for both years – this amount has been included in </w:t>
            </w:r>
            <w:r w:rsidR="00590256">
              <w:rPr>
                <w:rFonts w:ascii="Arial" w:hAnsi="Arial" w:cs="Arial"/>
              </w:rPr>
              <w:t>figures for this period and in the end of year projection</w:t>
            </w:r>
            <w:r>
              <w:rPr>
                <w:rFonts w:ascii="Arial" w:hAnsi="Arial" w:cs="Arial"/>
              </w:rPr>
              <w:t>.</w:t>
            </w:r>
          </w:p>
          <w:p w:rsidR="001C4B5C" w:rsidRDefault="001C4B5C" w:rsidP="001C4B5C">
            <w:pPr>
              <w:autoSpaceDE w:val="0"/>
              <w:autoSpaceDN w:val="0"/>
              <w:adjustRightInd w:val="0"/>
              <w:ind w:left="-74"/>
              <w:jc w:val="both"/>
              <w:rPr>
                <w:rFonts w:ascii="Arial" w:hAnsi="Arial" w:cs="Arial"/>
              </w:rPr>
            </w:pPr>
          </w:p>
          <w:p w:rsidR="001C4B5C" w:rsidRPr="00CB4EE8" w:rsidRDefault="001C4B5C" w:rsidP="001C4B5C">
            <w:pPr>
              <w:autoSpaceDE w:val="0"/>
              <w:autoSpaceDN w:val="0"/>
              <w:adjustRightInd w:val="0"/>
              <w:ind w:left="-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summary, the Company is experiencing additional pressures in the current financial year – mainly the points referred to above together with significant investment in our commercial operation for future year on year income. Whil</w:t>
            </w:r>
            <w:r w:rsidR="00590256">
              <w:rPr>
                <w:rFonts w:ascii="Arial" w:hAnsi="Arial" w:cs="Arial"/>
              </w:rPr>
              <w:t xml:space="preserve">st it is </w:t>
            </w:r>
            <w:r>
              <w:rPr>
                <w:rFonts w:ascii="Arial" w:hAnsi="Arial" w:cs="Arial"/>
              </w:rPr>
              <w:t>anticipate</w:t>
            </w:r>
            <w:r w:rsidR="00590256">
              <w:rPr>
                <w:rFonts w:ascii="Arial" w:hAnsi="Arial" w:cs="Arial"/>
              </w:rPr>
              <w:t>d that there will be</w:t>
            </w:r>
            <w:r>
              <w:rPr>
                <w:rFonts w:ascii="Arial" w:hAnsi="Arial" w:cs="Arial"/>
              </w:rPr>
              <w:t xml:space="preserve"> an on target result</w:t>
            </w:r>
            <w:r w:rsidR="0059025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this is largely dependent on </w:t>
            </w:r>
            <w:r w:rsidR="00590256">
              <w:rPr>
                <w:rFonts w:ascii="Arial" w:hAnsi="Arial" w:cs="Arial"/>
              </w:rPr>
              <w:t xml:space="preserve">the hold on discretionary spend </w:t>
            </w:r>
            <w:r>
              <w:rPr>
                <w:rFonts w:ascii="Arial" w:hAnsi="Arial" w:cs="Arial"/>
              </w:rPr>
              <w:t xml:space="preserve">together with other corrective actions taking place.  In the event that these do not materialise </w:t>
            </w:r>
            <w:r w:rsidRPr="00CB4EE8">
              <w:rPr>
                <w:rFonts w:ascii="Arial" w:hAnsi="Arial" w:cs="Arial"/>
              </w:rPr>
              <w:t xml:space="preserve">a worst case scenario may be </w:t>
            </w:r>
            <w:proofErr w:type="gramStart"/>
            <w:r w:rsidRPr="00CB4EE8">
              <w:rPr>
                <w:rFonts w:ascii="Arial" w:hAnsi="Arial" w:cs="Arial"/>
              </w:rPr>
              <w:t>an out</w:t>
            </w:r>
            <w:r>
              <w:rPr>
                <w:rFonts w:ascii="Arial" w:hAnsi="Arial" w:cs="Arial"/>
              </w:rPr>
              <w:t>-</w:t>
            </w:r>
            <w:r w:rsidRPr="00CB4EE8">
              <w:rPr>
                <w:rFonts w:ascii="Arial" w:hAnsi="Arial" w:cs="Arial"/>
              </w:rPr>
              <w:t>turn</w:t>
            </w:r>
            <w:proofErr w:type="gramEnd"/>
            <w:r w:rsidRPr="00CB4EE8">
              <w:rPr>
                <w:rFonts w:ascii="Arial" w:hAnsi="Arial" w:cs="Arial"/>
              </w:rPr>
              <w:t xml:space="preserve"> of £1</w:t>
            </w:r>
            <w:r w:rsidR="005A64AF">
              <w:rPr>
                <w:rFonts w:ascii="Arial" w:hAnsi="Arial" w:cs="Arial"/>
              </w:rPr>
              <w:t>3</w:t>
            </w:r>
            <w:r w:rsidRPr="00CB4EE8">
              <w:rPr>
                <w:rFonts w:ascii="Arial" w:hAnsi="Arial" w:cs="Arial"/>
              </w:rPr>
              <w:t>0K adverse to budget (0.</w:t>
            </w:r>
            <w:r w:rsidR="005A64AF">
              <w:rPr>
                <w:rFonts w:ascii="Arial" w:hAnsi="Arial" w:cs="Arial"/>
              </w:rPr>
              <w:t>6</w:t>
            </w:r>
            <w:r w:rsidRPr="00CB4EE8">
              <w:rPr>
                <w:rFonts w:ascii="Arial" w:hAnsi="Arial" w:cs="Arial"/>
              </w:rPr>
              <w:t>%)</w:t>
            </w:r>
            <w:r>
              <w:rPr>
                <w:rFonts w:ascii="Arial" w:hAnsi="Arial" w:cs="Arial"/>
              </w:rPr>
              <w:t>.</w:t>
            </w:r>
          </w:p>
          <w:p w:rsidR="001C4B5C" w:rsidRDefault="001C4B5C" w:rsidP="001C4B5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Pr="004A13CB" w:rsidRDefault="00351BDC" w:rsidP="004A13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647" w:type="dxa"/>
          </w:tcPr>
          <w:p w:rsidR="004A13CB" w:rsidRDefault="004A13C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Tenders Approved / Contracts Awarded</w:t>
            </w:r>
          </w:p>
          <w:p w:rsidR="004A13CB" w:rsidRDefault="004A13C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B223B" w:rsidRPr="0089449E">
        <w:tc>
          <w:tcPr>
            <w:tcW w:w="817" w:type="dxa"/>
          </w:tcPr>
          <w:p w:rsidR="009B223B" w:rsidRDefault="009B223B"/>
          <w:p w:rsidR="009B223B" w:rsidRPr="00B71E7C" w:rsidRDefault="00B71E7C">
            <w:pPr>
              <w:rPr>
                <w:rFonts w:ascii="Arial" w:hAnsi="Arial" w:cs="Arial"/>
              </w:rPr>
            </w:pPr>
            <w:r w:rsidRPr="00B71E7C">
              <w:rPr>
                <w:rFonts w:ascii="Arial" w:hAnsi="Arial" w:cs="Arial"/>
              </w:rPr>
              <w:t>5.1</w:t>
            </w:r>
          </w:p>
          <w:p w:rsidR="009B223B" w:rsidRDefault="009B223B"/>
        </w:tc>
        <w:tc>
          <w:tcPr>
            <w:tcW w:w="8647" w:type="dxa"/>
          </w:tcPr>
          <w:p w:rsidR="00B71E7C" w:rsidRDefault="00B71E7C"/>
          <w:tbl>
            <w:tblPr>
              <w:tblStyle w:val="TableGrid"/>
              <w:tblW w:w="8414" w:type="dxa"/>
              <w:tblLayout w:type="fixed"/>
              <w:tblLook w:val="04A0" w:firstRow="1" w:lastRow="0" w:firstColumn="1" w:lastColumn="0" w:noHBand="0" w:noVBand="1"/>
            </w:tblPr>
            <w:tblGrid>
              <w:gridCol w:w="2229"/>
              <w:gridCol w:w="2651"/>
              <w:gridCol w:w="2356"/>
              <w:gridCol w:w="1178"/>
            </w:tblGrid>
            <w:tr w:rsidR="00B71E7C" w:rsidTr="00B71E7C">
              <w:trPr>
                <w:trHeight w:val="574"/>
              </w:trPr>
              <w:tc>
                <w:tcPr>
                  <w:tcW w:w="2229" w:type="dxa"/>
                  <w:tcBorders>
                    <w:top w:val="single" w:sz="4" w:space="0" w:color="auto"/>
                  </w:tcBorders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Supplier</w:t>
                  </w:r>
                </w:p>
              </w:tc>
              <w:tc>
                <w:tcPr>
                  <w:tcW w:w="2651" w:type="dxa"/>
                  <w:tcBorders>
                    <w:top w:val="single" w:sz="4" w:space="0" w:color="auto"/>
                  </w:tcBorders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Service Details</w:t>
                  </w:r>
                </w:p>
              </w:tc>
              <w:tc>
                <w:tcPr>
                  <w:tcW w:w="2356" w:type="dxa"/>
                  <w:tcBorders>
                    <w:top w:val="single" w:sz="4" w:space="0" w:color="auto"/>
                  </w:tcBorders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 xml:space="preserve">Contract Period 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</w:tcBorders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Contract Value</w:t>
                  </w:r>
                </w:p>
              </w:tc>
            </w:tr>
            <w:tr w:rsidR="00B71E7C" w:rsidTr="00B71E7C">
              <w:trPr>
                <w:trHeight w:val="559"/>
              </w:trPr>
              <w:tc>
                <w:tcPr>
                  <w:tcW w:w="2229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 xml:space="preserve">Capture Limited </w:t>
                  </w:r>
                </w:p>
              </w:tc>
              <w:tc>
                <w:tcPr>
                  <w:tcW w:w="2651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 xml:space="preserve">Am </w:t>
                  </w:r>
                  <w:proofErr w:type="spellStart"/>
                  <w:r w:rsidRPr="00B71E7C">
                    <w:rPr>
                      <w:rFonts w:ascii="Arial" w:hAnsi="Arial" w:cs="Arial"/>
                      <w:sz w:val="22"/>
                    </w:rPr>
                    <w:t>Baile</w:t>
                  </w:r>
                  <w:proofErr w:type="spellEnd"/>
                  <w:r w:rsidRPr="00B71E7C">
                    <w:rPr>
                      <w:rFonts w:ascii="Arial" w:hAnsi="Arial" w:cs="Arial"/>
                      <w:sz w:val="22"/>
                    </w:rPr>
                    <w:t xml:space="preserve"> Management System</w:t>
                  </w:r>
                </w:p>
              </w:tc>
              <w:tc>
                <w:tcPr>
                  <w:tcW w:w="2356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Jan 2014-Dec 2016</w:t>
                  </w:r>
                </w:p>
              </w:tc>
              <w:tc>
                <w:tcPr>
                  <w:tcW w:w="1178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£35,405</w:t>
                  </w:r>
                </w:p>
              </w:tc>
            </w:tr>
            <w:tr w:rsidR="00B71E7C" w:rsidRPr="00BC1253" w:rsidTr="00B71E7C">
              <w:trPr>
                <w:trHeight w:val="574"/>
              </w:trPr>
              <w:tc>
                <w:tcPr>
                  <w:tcW w:w="2229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proofErr w:type="spellStart"/>
                  <w:r w:rsidRPr="00B71E7C">
                    <w:rPr>
                      <w:rFonts w:ascii="Arial" w:hAnsi="Arial" w:cs="Arial"/>
                      <w:sz w:val="22"/>
                    </w:rPr>
                    <w:t>Zoggs</w:t>
                  </w:r>
                  <w:proofErr w:type="spellEnd"/>
                  <w:r w:rsidRPr="00B71E7C">
                    <w:rPr>
                      <w:rFonts w:ascii="Arial" w:hAnsi="Arial" w:cs="Arial"/>
                      <w:sz w:val="22"/>
                    </w:rPr>
                    <w:t xml:space="preserve"> Limited</w:t>
                  </w:r>
                </w:p>
              </w:tc>
              <w:tc>
                <w:tcPr>
                  <w:tcW w:w="2651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Retail Sales Supplies</w:t>
                  </w:r>
                </w:p>
              </w:tc>
              <w:tc>
                <w:tcPr>
                  <w:tcW w:w="2356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Jan 2014- Dec 2016</w:t>
                  </w:r>
                </w:p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  <w:tc>
                <w:tcPr>
                  <w:tcW w:w="1178" w:type="dxa"/>
                </w:tcPr>
                <w:p w:rsidR="00B71E7C" w:rsidRPr="00B71E7C" w:rsidRDefault="00590256" w:rsidP="00896B6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Based on a sample of supply prices</w:t>
                  </w:r>
                </w:p>
              </w:tc>
            </w:tr>
            <w:tr w:rsidR="00B71E7C" w:rsidRPr="00BC1253" w:rsidTr="00B71E7C">
              <w:trPr>
                <w:trHeight w:val="574"/>
              </w:trPr>
              <w:tc>
                <w:tcPr>
                  <w:tcW w:w="2229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 xml:space="preserve">Anderson </w:t>
                  </w:r>
                  <w:proofErr w:type="spellStart"/>
                  <w:r w:rsidRPr="00B71E7C">
                    <w:rPr>
                      <w:rFonts w:ascii="Arial" w:hAnsi="Arial" w:cs="Arial"/>
                      <w:sz w:val="22"/>
                    </w:rPr>
                    <w:t>Strathern</w:t>
                  </w:r>
                  <w:proofErr w:type="spellEnd"/>
                  <w:r w:rsidRPr="00B71E7C">
                    <w:rPr>
                      <w:rFonts w:ascii="Arial" w:hAnsi="Arial" w:cs="Arial"/>
                      <w:sz w:val="22"/>
                    </w:rPr>
                    <w:t xml:space="preserve"> LLP</w:t>
                  </w:r>
                </w:p>
              </w:tc>
              <w:tc>
                <w:tcPr>
                  <w:tcW w:w="2651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Legal Services</w:t>
                  </w:r>
                </w:p>
              </w:tc>
              <w:tc>
                <w:tcPr>
                  <w:tcW w:w="2356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Apr 2014- Mar 2019</w:t>
                  </w:r>
                </w:p>
              </w:tc>
              <w:tc>
                <w:tcPr>
                  <w:tcW w:w="1178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 xml:space="preserve">£110 per hour </w:t>
                  </w:r>
                </w:p>
              </w:tc>
            </w:tr>
            <w:tr w:rsidR="00B71E7C" w:rsidRPr="00BC1253" w:rsidTr="00B71E7C">
              <w:trPr>
                <w:trHeight w:val="559"/>
              </w:trPr>
              <w:tc>
                <w:tcPr>
                  <w:tcW w:w="2229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Bob Powell</w:t>
                  </w:r>
                </w:p>
              </w:tc>
              <w:tc>
                <w:tcPr>
                  <w:tcW w:w="2651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 xml:space="preserve">Mentoring Services at HFM </w:t>
                  </w:r>
                </w:p>
              </w:tc>
              <w:tc>
                <w:tcPr>
                  <w:tcW w:w="2356" w:type="dxa"/>
                </w:tcPr>
                <w:p w:rsidR="00B71E7C" w:rsidRPr="00B71E7C" w:rsidRDefault="00EF519D" w:rsidP="00896B6B">
                  <w:pPr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ascii="Arial" w:hAnsi="Arial" w:cs="Arial"/>
                      <w:sz w:val="22"/>
                    </w:rPr>
                    <w:t>Feb 2014</w:t>
                  </w:r>
                  <w:r w:rsidR="00B71E7C" w:rsidRPr="00B71E7C">
                    <w:rPr>
                      <w:rFonts w:ascii="Arial" w:hAnsi="Arial" w:cs="Arial"/>
                      <w:sz w:val="22"/>
                    </w:rPr>
                    <w:t>- Jan 2015</w:t>
                  </w:r>
                </w:p>
              </w:tc>
              <w:tc>
                <w:tcPr>
                  <w:tcW w:w="1178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£7,200</w:t>
                  </w:r>
                </w:p>
              </w:tc>
            </w:tr>
            <w:tr w:rsidR="00B71E7C" w:rsidRPr="00BC1253" w:rsidTr="00B71E7C">
              <w:trPr>
                <w:trHeight w:val="295"/>
              </w:trPr>
              <w:tc>
                <w:tcPr>
                  <w:tcW w:w="2229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 xml:space="preserve">DF Wishart </w:t>
                  </w:r>
                </w:p>
              </w:tc>
              <w:tc>
                <w:tcPr>
                  <w:tcW w:w="2651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Uniform Supplies</w:t>
                  </w:r>
                </w:p>
              </w:tc>
              <w:tc>
                <w:tcPr>
                  <w:tcW w:w="2356" w:type="dxa"/>
                </w:tcPr>
                <w:p w:rsidR="00B71E7C" w:rsidRPr="00B71E7C" w:rsidRDefault="00B71E7C" w:rsidP="00EF519D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Feb 201</w:t>
                  </w:r>
                  <w:r w:rsidR="00EF519D">
                    <w:rPr>
                      <w:rFonts w:ascii="Arial" w:hAnsi="Arial" w:cs="Arial"/>
                      <w:sz w:val="22"/>
                    </w:rPr>
                    <w:t>4</w:t>
                  </w:r>
                  <w:r w:rsidRPr="00B71E7C">
                    <w:rPr>
                      <w:rFonts w:ascii="Arial" w:hAnsi="Arial" w:cs="Arial"/>
                      <w:sz w:val="22"/>
                    </w:rPr>
                    <w:t>- Jan 2017</w:t>
                  </w:r>
                </w:p>
              </w:tc>
              <w:tc>
                <w:tcPr>
                  <w:tcW w:w="1178" w:type="dxa"/>
                </w:tcPr>
                <w:p w:rsidR="00B71E7C" w:rsidRPr="00B71E7C" w:rsidRDefault="00B71E7C" w:rsidP="00896B6B">
                  <w:pPr>
                    <w:rPr>
                      <w:rFonts w:ascii="Arial" w:hAnsi="Arial" w:cs="Arial"/>
                      <w:sz w:val="22"/>
                    </w:rPr>
                  </w:pPr>
                  <w:r w:rsidRPr="00B71E7C">
                    <w:rPr>
                      <w:rFonts w:ascii="Arial" w:hAnsi="Arial" w:cs="Arial"/>
                      <w:sz w:val="22"/>
                    </w:rPr>
                    <w:t>£28,157</w:t>
                  </w:r>
                </w:p>
              </w:tc>
            </w:tr>
          </w:tbl>
          <w:p w:rsidR="009B223B" w:rsidRDefault="009B223B"/>
        </w:tc>
      </w:tr>
      <w:tr w:rsidR="004A13CB" w:rsidRPr="0089449E">
        <w:tc>
          <w:tcPr>
            <w:tcW w:w="817" w:type="dxa"/>
          </w:tcPr>
          <w:p w:rsidR="00B71E7C" w:rsidRDefault="00B71E7C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590256" w:rsidRDefault="00590256" w:rsidP="00590C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AC146F" w:rsidRPr="00023E37" w:rsidRDefault="00AC146F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8647" w:type="dxa"/>
          </w:tcPr>
          <w:p w:rsidR="00B71E7C" w:rsidRDefault="00B71E7C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590256" w:rsidRDefault="00590256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4A13CB" w:rsidRDefault="004A13CB" w:rsidP="004A13C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lastRenderedPageBreak/>
              <w:t>Implications</w:t>
            </w:r>
          </w:p>
          <w:p w:rsidR="004A13CB" w:rsidRPr="00023E37" w:rsidRDefault="004A13CB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Default="00EE431A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  <w:r w:rsidR="00A53534" w:rsidRPr="0089449E">
              <w:rPr>
                <w:rFonts w:ascii="Arial" w:hAnsi="Arial" w:cs="Arial"/>
              </w:rPr>
              <w:t>.1</w:t>
            </w:r>
          </w:p>
          <w:p w:rsidR="002A21D3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Default="00EE431A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A70C6">
              <w:rPr>
                <w:rFonts w:ascii="Arial" w:hAnsi="Arial" w:cs="Arial"/>
              </w:rPr>
              <w:t>.2</w:t>
            </w:r>
          </w:p>
          <w:p w:rsidR="002A21D3" w:rsidRDefault="002A21D3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Default="00EE431A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A70C6">
              <w:rPr>
                <w:rFonts w:ascii="Arial" w:hAnsi="Arial" w:cs="Arial"/>
              </w:rPr>
              <w:t>.3</w:t>
            </w:r>
          </w:p>
          <w:p w:rsidR="00EA70C6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924C9" w:rsidRDefault="003924C9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A70C6" w:rsidRPr="0089449E" w:rsidRDefault="00EA70C6" w:rsidP="00590C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647" w:type="dxa"/>
          </w:tcPr>
          <w:p w:rsidR="00EA70C6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Implications –</w:t>
            </w:r>
            <w:r w:rsidR="002A21D3">
              <w:rPr>
                <w:rFonts w:ascii="Arial" w:hAnsi="Arial" w:cs="Arial"/>
              </w:rPr>
              <w:t xml:space="preserve"> </w:t>
            </w:r>
            <w:r w:rsidR="00472040">
              <w:rPr>
                <w:rFonts w:ascii="Arial" w:hAnsi="Arial" w:cs="Arial"/>
              </w:rPr>
              <w:t>t</w:t>
            </w:r>
            <w:r w:rsidR="002A21D3">
              <w:rPr>
                <w:rFonts w:ascii="Arial" w:hAnsi="Arial" w:cs="Arial"/>
              </w:rPr>
              <w:t xml:space="preserve">here are no </w:t>
            </w:r>
            <w:r w:rsidR="005A64AF">
              <w:rPr>
                <w:rFonts w:ascii="Arial" w:hAnsi="Arial" w:cs="Arial"/>
              </w:rPr>
              <w:t xml:space="preserve">new </w:t>
            </w:r>
            <w:r w:rsidR="002A21D3">
              <w:rPr>
                <w:rFonts w:ascii="Arial" w:hAnsi="Arial" w:cs="Arial"/>
              </w:rPr>
              <w:t>resource implications arising from the content of this report</w:t>
            </w:r>
          </w:p>
          <w:p w:rsidR="00EA70C6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A70C6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Legal Implications </w:t>
            </w:r>
            <w:r w:rsidR="002A21D3">
              <w:rPr>
                <w:rFonts w:ascii="Arial" w:hAnsi="Arial" w:cs="Arial"/>
              </w:rPr>
              <w:t xml:space="preserve">– </w:t>
            </w:r>
            <w:r w:rsidR="00472040">
              <w:rPr>
                <w:rFonts w:ascii="Arial" w:hAnsi="Arial" w:cs="Arial"/>
              </w:rPr>
              <w:t>t</w:t>
            </w:r>
            <w:r w:rsidR="002A21D3">
              <w:rPr>
                <w:rFonts w:ascii="Arial" w:hAnsi="Arial" w:cs="Arial"/>
              </w:rPr>
              <w:t xml:space="preserve">here are no </w:t>
            </w:r>
            <w:r w:rsidR="005A64AF">
              <w:rPr>
                <w:rFonts w:ascii="Arial" w:hAnsi="Arial" w:cs="Arial"/>
              </w:rPr>
              <w:t xml:space="preserve">new </w:t>
            </w:r>
            <w:r w:rsidR="002A21D3">
              <w:rPr>
                <w:rFonts w:ascii="Arial" w:hAnsi="Arial" w:cs="Arial"/>
              </w:rPr>
              <w:t>legal implications arising from the content of this report.</w:t>
            </w:r>
          </w:p>
          <w:p w:rsidR="00EA70C6" w:rsidRDefault="00EA70C6" w:rsidP="00590C3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53534" w:rsidRPr="0089449E" w:rsidRDefault="00EA70C6" w:rsidP="004720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Risk Implications </w:t>
            </w:r>
            <w:r w:rsidR="00023E37">
              <w:rPr>
                <w:rFonts w:ascii="Arial" w:hAnsi="Arial" w:cs="Arial"/>
              </w:rPr>
              <w:t xml:space="preserve">– </w:t>
            </w:r>
            <w:r w:rsidR="00472040">
              <w:rPr>
                <w:rFonts w:ascii="Arial" w:hAnsi="Arial" w:cs="Arial"/>
              </w:rPr>
              <w:t>t</w:t>
            </w:r>
            <w:r w:rsidR="00023E37">
              <w:rPr>
                <w:rFonts w:ascii="Arial" w:hAnsi="Arial" w:cs="Arial"/>
              </w:rPr>
              <w:t>here are no new risks arising from the content of this report</w:t>
            </w:r>
            <w:r w:rsidR="00A53534" w:rsidRPr="00EA70C6">
              <w:rPr>
                <w:rFonts w:ascii="Arial" w:hAnsi="Arial" w:cs="Arial"/>
                <w:i/>
              </w:rPr>
              <w:t>.</w:t>
            </w:r>
          </w:p>
        </w:tc>
      </w:tr>
    </w:tbl>
    <w:p w:rsidR="0039450A" w:rsidRPr="0089449E" w:rsidRDefault="0039450A" w:rsidP="00416BFF">
      <w:pPr>
        <w:rPr>
          <w:rFonts w:ascii="Arial" w:hAnsi="Arial"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Pr="0089449E" w:rsidRDefault="002B7DC4" w:rsidP="00416BFF">
            <w:pPr>
              <w:pStyle w:val="Heading3"/>
              <w:jc w:val="left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:rsidR="00FE4D79" w:rsidRPr="0089449E" w:rsidRDefault="00FE4D79" w:rsidP="00FE4D79">
            <w:pPr>
              <w:rPr>
                <w:rFonts w:ascii="Arial" w:hAnsi="Arial" w:cs="Arial"/>
              </w:rPr>
            </w:pPr>
          </w:p>
          <w:p w:rsidR="00800D2C" w:rsidRDefault="00800D2C" w:rsidP="00800D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 is recommended that Directors note:-</w:t>
            </w:r>
          </w:p>
          <w:p w:rsidR="00B0145D" w:rsidRDefault="00B0145D" w:rsidP="00800D2C">
            <w:pPr>
              <w:jc w:val="both"/>
              <w:rPr>
                <w:rFonts w:ascii="Arial" w:hAnsi="Arial" w:cs="Arial"/>
              </w:rPr>
            </w:pPr>
          </w:p>
          <w:p w:rsidR="00B71E7C" w:rsidRDefault="00B71E7C" w:rsidP="00B71E7C">
            <w:pPr>
              <w:pStyle w:val="ListParagraph"/>
              <w:numPr>
                <w:ilvl w:val="0"/>
                <w:numId w:val="32"/>
              </w:numPr>
              <w:ind w:left="851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 xml:space="preserve">the current financial position of High Life Highland as detailed in </w:t>
            </w:r>
            <w:r w:rsidRPr="00B71E7C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Pr="00B71E7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1E7C" w:rsidRPr="00B71E7C" w:rsidRDefault="00B71E7C" w:rsidP="00B71E7C">
            <w:pPr>
              <w:pStyle w:val="ListParagraph"/>
              <w:numPr>
                <w:ilvl w:val="0"/>
                <w:numId w:val="32"/>
              </w:numPr>
              <w:ind w:left="851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>the financial results for the 9 months to 31 December 2013 reports a negative variance on budget of £46,827;</w:t>
            </w:r>
          </w:p>
          <w:p w:rsidR="00B71E7C" w:rsidRPr="00B71E7C" w:rsidRDefault="00B71E7C" w:rsidP="00B71E7C">
            <w:pPr>
              <w:pStyle w:val="ListParagraph"/>
              <w:numPr>
                <w:ilvl w:val="0"/>
                <w:numId w:val="32"/>
              </w:numPr>
              <w:ind w:left="851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1E7C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B71E7C">
              <w:rPr>
                <w:rFonts w:ascii="Arial" w:hAnsi="Arial" w:cs="Arial"/>
                <w:sz w:val="24"/>
                <w:szCs w:val="24"/>
              </w:rPr>
              <w:t>corrective action plan, which continues to be underway, the projected final out-turn for the year is likely to be on target with budget or if not, at worst could come in</w:t>
            </w:r>
            <w:r>
              <w:rPr>
                <w:rFonts w:ascii="Arial" w:hAnsi="Arial" w:cs="Arial"/>
                <w:sz w:val="24"/>
                <w:szCs w:val="24"/>
              </w:rPr>
              <w:t xml:space="preserve"> £1</w:t>
            </w:r>
            <w:r w:rsidR="005A64AF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0K adverse to budget (0.</w:t>
            </w:r>
            <w:r w:rsidR="00B437C8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%); </w:t>
            </w:r>
            <w:r w:rsidRPr="00B71E7C">
              <w:rPr>
                <w:rFonts w:ascii="Arial" w:hAnsi="Arial" w:cs="Arial"/>
                <w:sz w:val="24"/>
                <w:szCs w:val="24"/>
              </w:rPr>
              <w:t xml:space="preserve">and </w:t>
            </w:r>
          </w:p>
          <w:p w:rsidR="00B71E7C" w:rsidRPr="00B71E7C" w:rsidRDefault="00B71E7C" w:rsidP="00B71E7C">
            <w:pPr>
              <w:pStyle w:val="ListParagraph"/>
              <w:numPr>
                <w:ilvl w:val="0"/>
                <w:numId w:val="32"/>
              </w:numPr>
              <w:ind w:left="851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71E7C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B71E7C">
              <w:rPr>
                <w:rFonts w:ascii="Arial" w:hAnsi="Arial" w:cs="Arial"/>
                <w:sz w:val="24"/>
                <w:szCs w:val="24"/>
              </w:rPr>
              <w:t xml:space="preserve"> award of contracts to Capture Limited , </w:t>
            </w:r>
            <w:proofErr w:type="spellStart"/>
            <w:r w:rsidRPr="00B71E7C">
              <w:rPr>
                <w:rFonts w:ascii="Arial" w:hAnsi="Arial" w:cs="Arial"/>
                <w:sz w:val="24"/>
                <w:szCs w:val="24"/>
              </w:rPr>
              <w:t>Zoggs</w:t>
            </w:r>
            <w:proofErr w:type="spellEnd"/>
            <w:r w:rsidRPr="00B71E7C">
              <w:rPr>
                <w:rFonts w:ascii="Arial" w:hAnsi="Arial" w:cs="Arial"/>
                <w:sz w:val="24"/>
                <w:szCs w:val="24"/>
              </w:rPr>
              <w:t xml:space="preserve"> Limited, Anderson </w:t>
            </w:r>
            <w:proofErr w:type="spellStart"/>
            <w:r w:rsidRPr="00B71E7C">
              <w:rPr>
                <w:rFonts w:ascii="Arial" w:hAnsi="Arial" w:cs="Arial"/>
                <w:sz w:val="24"/>
                <w:szCs w:val="24"/>
              </w:rPr>
              <w:t>Strathern</w:t>
            </w:r>
            <w:proofErr w:type="spellEnd"/>
            <w:r w:rsidRPr="00B71E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1E7C">
              <w:rPr>
                <w:rFonts w:ascii="Arial" w:hAnsi="Arial" w:cs="Arial"/>
                <w:sz w:val="24"/>
                <w:szCs w:val="24"/>
              </w:rPr>
              <w:t>Solictors</w:t>
            </w:r>
            <w:proofErr w:type="spellEnd"/>
            <w:r w:rsidRPr="00B71E7C">
              <w:rPr>
                <w:rFonts w:ascii="Arial" w:hAnsi="Arial" w:cs="Arial"/>
                <w:sz w:val="24"/>
                <w:szCs w:val="24"/>
              </w:rPr>
              <w:t>, DF Wishart and Bob Powell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E6C0C" w:rsidRPr="00226235" w:rsidRDefault="00EE6C0C" w:rsidP="00226235">
            <w:pPr>
              <w:ind w:left="720"/>
              <w:jc w:val="both"/>
              <w:rPr>
                <w:rFonts w:ascii="Arial" w:hAnsi="Arial" w:cs="Arial"/>
              </w:rPr>
            </w:pPr>
          </w:p>
          <w:p w:rsidR="0039450A" w:rsidRPr="0089449E" w:rsidRDefault="0039450A" w:rsidP="00416BFF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:rsidR="0039450A" w:rsidRPr="0089449E" w:rsidRDefault="0039450A" w:rsidP="00416BFF">
      <w:pPr>
        <w:rPr>
          <w:rFonts w:ascii="Arial" w:hAnsi="Arial" w:cs="Arial"/>
          <w:szCs w:val="24"/>
        </w:rPr>
      </w:pPr>
    </w:p>
    <w:p w:rsidR="006A137F" w:rsidRDefault="006A137F" w:rsidP="00416BFF">
      <w:pPr>
        <w:rPr>
          <w:rFonts w:ascii="Arial" w:hAnsi="Arial" w:cs="Arial"/>
          <w:szCs w:val="24"/>
        </w:rPr>
      </w:pPr>
    </w:p>
    <w:p w:rsidR="006A137F" w:rsidRDefault="006A137F" w:rsidP="00416BFF">
      <w:pPr>
        <w:rPr>
          <w:rFonts w:ascii="Arial" w:hAnsi="Arial" w:cs="Arial"/>
          <w:szCs w:val="24"/>
        </w:rPr>
      </w:pPr>
    </w:p>
    <w:p w:rsidR="0039450A" w:rsidRPr="0089449E" w:rsidRDefault="0039450A" w:rsidP="00416BFF">
      <w:pPr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t>Signature:</w:t>
      </w:r>
      <w:r w:rsidR="006A137F">
        <w:rPr>
          <w:rFonts w:ascii="Arial" w:hAnsi="Arial" w:cs="Arial"/>
          <w:szCs w:val="24"/>
        </w:rPr>
        <w:tab/>
      </w:r>
    </w:p>
    <w:p w:rsidR="0039450A" w:rsidRDefault="0039450A" w:rsidP="00416BFF">
      <w:pPr>
        <w:rPr>
          <w:rFonts w:ascii="Arial" w:hAnsi="Arial" w:cs="Arial"/>
          <w:szCs w:val="24"/>
        </w:rPr>
      </w:pPr>
    </w:p>
    <w:p w:rsidR="0039450A" w:rsidRPr="0089449E" w:rsidRDefault="0039450A" w:rsidP="00416BFF">
      <w:pPr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t>Designation:</w:t>
      </w:r>
      <w:r w:rsidR="0067538A" w:rsidRPr="0089449E">
        <w:rPr>
          <w:rFonts w:ascii="Arial" w:hAnsi="Arial" w:cs="Arial"/>
          <w:szCs w:val="24"/>
        </w:rPr>
        <w:tab/>
        <w:t>Chief Executive</w:t>
      </w:r>
    </w:p>
    <w:p w:rsidR="0039450A" w:rsidRPr="0089449E" w:rsidRDefault="0039450A" w:rsidP="00416BFF">
      <w:pPr>
        <w:rPr>
          <w:rFonts w:ascii="Arial" w:hAnsi="Arial" w:cs="Arial"/>
          <w:szCs w:val="24"/>
        </w:rPr>
      </w:pPr>
    </w:p>
    <w:p w:rsidR="00655F80" w:rsidRDefault="0039450A" w:rsidP="000F274B">
      <w:pPr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t>Date:</w:t>
      </w:r>
      <w:r w:rsidRPr="0089449E">
        <w:rPr>
          <w:rFonts w:ascii="Arial" w:hAnsi="Arial" w:cs="Arial"/>
          <w:szCs w:val="24"/>
        </w:rPr>
        <w:tab/>
      </w:r>
      <w:r w:rsidRPr="0089449E">
        <w:rPr>
          <w:rFonts w:ascii="Arial" w:hAnsi="Arial" w:cs="Arial"/>
          <w:szCs w:val="24"/>
        </w:rPr>
        <w:tab/>
      </w:r>
      <w:r w:rsidR="00C73DE0">
        <w:rPr>
          <w:rFonts w:ascii="Arial" w:hAnsi="Arial" w:cs="Arial"/>
          <w:szCs w:val="24"/>
        </w:rPr>
        <w:t>14 February 2014</w:t>
      </w:r>
    </w:p>
    <w:p w:rsidR="00655F80" w:rsidRDefault="00655F80" w:rsidP="000F274B">
      <w:pPr>
        <w:rPr>
          <w:rFonts w:ascii="Arial" w:hAnsi="Arial" w:cs="Arial"/>
          <w:szCs w:val="24"/>
        </w:rPr>
      </w:pPr>
    </w:p>
    <w:p w:rsidR="00655F80" w:rsidRDefault="00655F80" w:rsidP="000F274B">
      <w:pPr>
        <w:rPr>
          <w:rFonts w:ascii="Arial" w:hAnsi="Arial" w:cs="Arial"/>
          <w:szCs w:val="24"/>
        </w:rPr>
      </w:pPr>
    </w:p>
    <w:p w:rsidR="00383762" w:rsidRDefault="00383762" w:rsidP="000F274B">
      <w:pPr>
        <w:rPr>
          <w:rFonts w:ascii="Arial" w:hAnsi="Arial" w:cs="Arial"/>
          <w:szCs w:val="24"/>
        </w:rPr>
        <w:sectPr w:rsidR="00383762" w:rsidSect="00B71E7C">
          <w:pgSz w:w="11906" w:h="16838"/>
          <w:pgMar w:top="1440" w:right="1440" w:bottom="1276" w:left="1440" w:header="720" w:footer="720" w:gutter="0"/>
          <w:cols w:space="720"/>
        </w:sectPr>
      </w:pPr>
    </w:p>
    <w:p w:rsidR="00A40F8E" w:rsidRDefault="00A40F8E" w:rsidP="00646F67">
      <w:pPr>
        <w:rPr>
          <w:rFonts w:ascii="Arial" w:hAnsi="Arial" w:cs="Arial"/>
          <w:b/>
          <w:szCs w:val="24"/>
        </w:rPr>
      </w:pPr>
    </w:p>
    <w:p w:rsidR="00A40F8E" w:rsidRDefault="00A40F8E" w:rsidP="00646F67">
      <w:pPr>
        <w:rPr>
          <w:rFonts w:ascii="Arial" w:hAnsi="Arial" w:cs="Arial"/>
          <w:b/>
          <w:szCs w:val="24"/>
        </w:rPr>
      </w:pPr>
    </w:p>
    <w:p w:rsidR="00A40F8E" w:rsidRDefault="00A40F8E" w:rsidP="00646F67">
      <w:pPr>
        <w:rPr>
          <w:rFonts w:ascii="Arial" w:hAnsi="Arial" w:cs="Arial"/>
          <w:b/>
          <w:szCs w:val="24"/>
        </w:rPr>
      </w:pPr>
    </w:p>
    <w:p w:rsidR="00A40F8E" w:rsidRPr="00635750" w:rsidRDefault="002A050E" w:rsidP="002A050E">
      <w:pPr>
        <w:jc w:val="right"/>
        <w:rPr>
          <w:rFonts w:ascii="Arial" w:hAnsi="Arial" w:cs="Arial"/>
          <w:b/>
          <w:szCs w:val="24"/>
        </w:rPr>
      </w:pPr>
      <w:r w:rsidRPr="00314C57">
        <w:rPr>
          <w:rFonts w:ascii="Arial" w:hAnsi="Arial" w:cs="Arial"/>
          <w:b/>
          <w:color w:val="000000"/>
          <w:szCs w:val="24"/>
        </w:rPr>
        <w:t>APPENDIX A</w:t>
      </w:r>
    </w:p>
    <w:p w:rsidR="008E6DEF" w:rsidRDefault="008E6DEF" w:rsidP="00635750">
      <w:pPr>
        <w:jc w:val="right"/>
        <w:rPr>
          <w:rFonts w:ascii="Arial" w:hAnsi="Arial" w:cs="Arial"/>
          <w:b/>
        </w:rPr>
      </w:pPr>
    </w:p>
    <w:p w:rsidR="00F41E17" w:rsidRPr="0005207E" w:rsidRDefault="002A050E" w:rsidP="0005207E">
      <w:pPr>
        <w:rPr>
          <w:rFonts w:ascii="Arial" w:hAnsi="Arial" w:cs="Arial"/>
          <w:b/>
          <w:szCs w:val="24"/>
        </w:rPr>
      </w:pPr>
      <w:r w:rsidRPr="0005207E">
        <w:rPr>
          <w:rFonts w:ascii="Arial" w:hAnsi="Arial" w:cs="Arial"/>
          <w:b/>
          <w:color w:val="000000"/>
          <w:szCs w:val="24"/>
        </w:rPr>
        <w:t xml:space="preserve">Consolidated results for the YTD &amp; Breakdown by Charity and Trading </w:t>
      </w:r>
      <w:r w:rsidR="00F41E17" w:rsidRPr="0005207E">
        <w:rPr>
          <w:rFonts w:ascii="Arial" w:hAnsi="Arial" w:cs="Arial"/>
          <w:b/>
          <w:color w:val="000000"/>
          <w:szCs w:val="24"/>
        </w:rPr>
        <w:t xml:space="preserve">      </w:t>
      </w: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2540"/>
        <w:gridCol w:w="1780"/>
        <w:gridCol w:w="2180"/>
        <w:gridCol w:w="1580"/>
        <w:gridCol w:w="1620"/>
      </w:tblGrid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D6A37">
              <w:rPr>
                <w:rFonts w:ascii="Arial" w:hAnsi="Arial" w:cs="Arial"/>
                <w:b/>
                <w:bCs/>
                <w:color w:val="000000"/>
                <w:szCs w:val="24"/>
              </w:rPr>
              <w:t>Consolidated Results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Row Labels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Annual Budget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Budget YTD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Actual YTD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Variance YTD</w:t>
            </w: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(21,535,094)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(14,966,236)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(15,515,013)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(548,777)</w:t>
            </w: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5,835,878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2,966,363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3,322,562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356,199</w:t>
            </w: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15,699,216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11,809,265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12,048,670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239,405</w:t>
            </w:r>
          </w:p>
        </w:tc>
      </w:tr>
      <w:tr w:rsidR="00F41E17" w:rsidRPr="00982BEA" w:rsidTr="00086E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 xml:space="preserve">(Surplus) </w:t>
            </w:r>
            <w:r w:rsidRPr="001D6A37">
              <w:rPr>
                <w:rFonts w:ascii="Arial" w:hAnsi="Arial" w:cs="Arial"/>
                <w:color w:val="000000"/>
                <w:szCs w:val="24"/>
              </w:rPr>
              <w:t>/ Deficit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(190,608)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(143,782)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46,827</w:t>
            </w:r>
          </w:p>
        </w:tc>
      </w:tr>
      <w:tr w:rsidR="00F41E17" w:rsidRPr="00982BEA" w:rsidTr="00086E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Trading Company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Row Labels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Annual Budget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Budget YTD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Actual YTD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Variance YTD</w:t>
            </w: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(353,634)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(290,430)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(362,735)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(72,305)</w:t>
            </w: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123,850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123,694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168,786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45,092</w:t>
            </w:r>
          </w:p>
        </w:tc>
      </w:tr>
      <w:tr w:rsidR="00F41E17" w:rsidRPr="00982BEA" w:rsidTr="00086E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 xml:space="preserve">(Surplus) </w:t>
            </w:r>
            <w:r w:rsidRPr="001D6A37">
              <w:rPr>
                <w:rFonts w:ascii="Arial" w:hAnsi="Arial" w:cs="Arial"/>
                <w:color w:val="000000"/>
                <w:szCs w:val="24"/>
              </w:rPr>
              <w:t>/ Deficit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(229,784)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(166,736)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(193,949)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(27,213)</w:t>
            </w:r>
          </w:p>
        </w:tc>
      </w:tr>
      <w:tr w:rsidR="00F41E17" w:rsidRPr="00982BEA" w:rsidTr="00086E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Main Charity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Annual Budget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Budget YTD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Actual YTD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Variance YTD</w:t>
            </w: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Income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(21,181,460)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(14,675,806)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(15,152,278)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(476,472)</w:t>
            </w: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Other Costs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5,712,028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2,842,668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3,172,415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329,747</w:t>
            </w: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Staff Costs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15,699,216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11,809,265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12,048,670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239,405</w:t>
            </w:r>
          </w:p>
        </w:tc>
      </w:tr>
      <w:tr w:rsidR="00F41E17" w:rsidRPr="00982BEA" w:rsidTr="00086E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 xml:space="preserve">(Surplus) </w:t>
            </w:r>
            <w:r w:rsidRPr="001D6A37">
              <w:rPr>
                <w:rFonts w:ascii="Arial" w:hAnsi="Arial" w:cs="Arial"/>
                <w:color w:val="000000"/>
                <w:szCs w:val="24"/>
              </w:rPr>
              <w:t>/ Deficit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229,784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(23,873)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68,807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92,680</w:t>
            </w:r>
          </w:p>
        </w:tc>
      </w:tr>
      <w:tr w:rsidR="00F41E17" w:rsidRPr="00982BEA" w:rsidTr="00086E79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086E79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F41E17" w:rsidP="00F41E17">
      <w:pPr>
        <w:rPr>
          <w:rFonts w:ascii="Arial" w:hAnsi="Arial" w:cs="Arial"/>
          <w:szCs w:val="24"/>
        </w:rPr>
      </w:pPr>
    </w:p>
    <w:p w:rsidR="00F41E17" w:rsidRDefault="002A050E" w:rsidP="002A050E">
      <w:pPr>
        <w:jc w:val="right"/>
        <w:rPr>
          <w:rFonts w:ascii="Arial" w:hAnsi="Arial" w:cs="Arial"/>
          <w:b/>
          <w:color w:val="000000"/>
          <w:szCs w:val="24"/>
        </w:rPr>
      </w:pPr>
      <w:r w:rsidRPr="001D6A37">
        <w:rPr>
          <w:rFonts w:ascii="Arial" w:hAnsi="Arial" w:cs="Arial"/>
          <w:b/>
          <w:color w:val="000000"/>
          <w:szCs w:val="24"/>
        </w:rPr>
        <w:lastRenderedPageBreak/>
        <w:t>APPENDIX B</w:t>
      </w:r>
    </w:p>
    <w:p w:rsidR="002A050E" w:rsidRPr="0005207E" w:rsidRDefault="002A050E" w:rsidP="0005207E">
      <w:pPr>
        <w:rPr>
          <w:rFonts w:ascii="Arial" w:hAnsi="Arial" w:cs="Arial"/>
          <w:szCs w:val="24"/>
        </w:rPr>
      </w:pPr>
    </w:p>
    <w:p w:rsidR="00F41E17" w:rsidRPr="0005207E" w:rsidRDefault="002A050E" w:rsidP="0005207E">
      <w:pPr>
        <w:rPr>
          <w:rFonts w:ascii="Arial" w:hAnsi="Arial" w:cs="Arial"/>
          <w:b/>
          <w:color w:val="000000"/>
          <w:szCs w:val="24"/>
        </w:rPr>
      </w:pPr>
      <w:r w:rsidRPr="0005207E">
        <w:rPr>
          <w:rFonts w:ascii="Arial" w:hAnsi="Arial" w:cs="Arial"/>
          <w:b/>
          <w:color w:val="000000"/>
          <w:szCs w:val="24"/>
        </w:rPr>
        <w:t>Breakdown of Variance by Sector and Breakdown of Variance by Category for each sector</w:t>
      </w:r>
    </w:p>
    <w:p w:rsidR="00F41E17" w:rsidRPr="002A050E" w:rsidRDefault="00F41E17" w:rsidP="002A050E">
      <w:pPr>
        <w:jc w:val="center"/>
        <w:rPr>
          <w:b/>
          <w:color w:val="000000"/>
          <w:szCs w:val="24"/>
        </w:rPr>
      </w:pPr>
    </w:p>
    <w:p w:rsidR="00F41E17" w:rsidRDefault="00F41E17" w:rsidP="002A050E">
      <w:pPr>
        <w:jc w:val="center"/>
        <w:rPr>
          <w:rFonts w:ascii="Arial" w:hAnsi="Arial" w:cs="Arial"/>
          <w:szCs w:val="24"/>
        </w:rPr>
      </w:pPr>
    </w:p>
    <w:tbl>
      <w:tblPr>
        <w:tblW w:w="9921" w:type="dxa"/>
        <w:tblInd w:w="93" w:type="dxa"/>
        <w:tblLook w:val="04A0" w:firstRow="1" w:lastRow="0" w:firstColumn="1" w:lastColumn="0" w:noHBand="0" w:noVBand="1"/>
      </w:tblPr>
      <w:tblGrid>
        <w:gridCol w:w="2540"/>
        <w:gridCol w:w="1780"/>
        <w:gridCol w:w="2180"/>
        <w:gridCol w:w="1578"/>
        <w:gridCol w:w="1843"/>
      </w:tblGrid>
      <w:tr w:rsidR="00F41E17" w:rsidRPr="00982BEA" w:rsidTr="002A050E">
        <w:trPr>
          <w:trHeight w:val="58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1D6A37">
              <w:rPr>
                <w:rFonts w:ascii="Arial" w:hAnsi="Arial" w:cs="Arial"/>
                <w:b/>
                <w:bCs/>
                <w:color w:val="000000"/>
                <w:szCs w:val="24"/>
              </w:rPr>
              <w:t>Activity - By Sector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Annual Budget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Budget YTD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Actual YTD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Variance YTD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 xml:space="preserve">Adult </w:t>
            </w:r>
            <w:proofErr w:type="spellStart"/>
            <w:r w:rsidRPr="001D6A37">
              <w:rPr>
                <w:rFonts w:ascii="Arial" w:hAnsi="Arial" w:cs="Arial"/>
                <w:color w:val="000000"/>
                <w:szCs w:val="24"/>
              </w:rPr>
              <w:t>Educ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929,941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614,964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591,089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(23,875)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Archives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592,444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423,898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404,539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(19,359)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Arts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212,243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145,592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137,157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(8,435)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Facilities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2,158,379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1,665,998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1,825,835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159,837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Libraries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3,937,908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2,783,485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2,739,133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(44,352)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Management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1,822,174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1,262,902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1,303,722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40,820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Management Fees SLA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(12,771,857)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(10,200,832)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(10,324,832)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(124,000)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Museums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651,437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501,899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504,556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2,658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 xml:space="preserve">Outdoor </w:t>
            </w:r>
            <w:proofErr w:type="spellStart"/>
            <w:r w:rsidRPr="001D6A37">
              <w:rPr>
                <w:rFonts w:ascii="Arial" w:hAnsi="Arial" w:cs="Arial"/>
                <w:color w:val="000000"/>
                <w:szCs w:val="24"/>
              </w:rPr>
              <w:t>Educ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152,595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111,573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131,746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20,173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Sports Development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465,095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1,132,316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1,116,569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(15,746)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D6A37">
              <w:rPr>
                <w:rFonts w:ascii="Arial" w:hAnsi="Arial" w:cs="Arial"/>
                <w:color w:val="000000"/>
                <w:szCs w:val="24"/>
              </w:rPr>
              <w:t>Youthwork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1,807,301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1,339,407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1,372,173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32,766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Central Service Costs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42,340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28,191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54,532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26,341</w:t>
            </w:r>
          </w:p>
        </w:tc>
      </w:tr>
      <w:tr w:rsidR="00F41E17" w:rsidRPr="00982BEA" w:rsidTr="002A050E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 xml:space="preserve">(Surplus) </w:t>
            </w:r>
            <w:r w:rsidRPr="001D6A37">
              <w:rPr>
                <w:rFonts w:ascii="Arial" w:hAnsi="Arial" w:cs="Arial"/>
                <w:color w:val="000000"/>
                <w:szCs w:val="24"/>
              </w:rPr>
              <w:t>/ Deficit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(190,608)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(143,782)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46,827</w:t>
            </w:r>
          </w:p>
        </w:tc>
      </w:tr>
      <w:tr w:rsidR="00F41E17" w:rsidRPr="00982BEA" w:rsidTr="002A050E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2A050E">
        <w:trPr>
          <w:trHeight w:val="6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E17" w:rsidRPr="0045571D" w:rsidRDefault="00F41E17" w:rsidP="002A050E">
            <w:pPr>
              <w:rPr>
                <w:rFonts w:ascii="Arial" w:hAnsi="Arial" w:cs="Arial"/>
                <w:b/>
                <w:color w:val="000000"/>
                <w:szCs w:val="24"/>
              </w:rPr>
            </w:pPr>
            <w:r w:rsidRPr="0045571D">
              <w:rPr>
                <w:rFonts w:ascii="Arial" w:hAnsi="Arial" w:cs="Arial"/>
                <w:b/>
                <w:color w:val="000000"/>
                <w:szCs w:val="24"/>
              </w:rPr>
              <w:t>Deta</w:t>
            </w:r>
            <w:r w:rsidR="002A050E">
              <w:rPr>
                <w:rFonts w:ascii="Arial" w:hAnsi="Arial" w:cs="Arial"/>
                <w:b/>
                <w:color w:val="000000"/>
                <w:szCs w:val="24"/>
              </w:rPr>
              <w:t xml:space="preserve">iled Variance Report - </w:t>
            </w:r>
            <w:r w:rsidRPr="0045571D">
              <w:rPr>
                <w:rFonts w:ascii="Arial" w:hAnsi="Arial" w:cs="Arial"/>
                <w:b/>
                <w:color w:val="000000"/>
                <w:szCs w:val="24"/>
              </w:rPr>
              <w:t xml:space="preserve"> Category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Row Labels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Income - Variance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Other Costs - Variance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Staff - Variance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Total - Variance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 xml:space="preserve">Adult </w:t>
            </w:r>
            <w:proofErr w:type="spellStart"/>
            <w:r w:rsidRPr="001D6A37">
              <w:rPr>
                <w:rFonts w:ascii="Arial" w:hAnsi="Arial" w:cs="Arial"/>
                <w:color w:val="000000"/>
                <w:szCs w:val="24"/>
              </w:rPr>
              <w:t>Educ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(2,546)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(10,518)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(10,812)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(23,875)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Archives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(3,219)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7,724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(23,864)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(19,359)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Arts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(5,154)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(805)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(2,477)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(8,435)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Facilities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22,692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60,362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76,783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159,837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Libraries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9,962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(14,119)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(40,195)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(44,352)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Management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(19,038)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44,142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15,716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40,820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Management Fees SLA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(124,000)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(124,000)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Museums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(63,571)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28,459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37,770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2,658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 xml:space="preserve">Outdoor </w:t>
            </w:r>
            <w:proofErr w:type="spellStart"/>
            <w:r w:rsidRPr="001D6A37">
              <w:rPr>
                <w:rFonts w:ascii="Arial" w:hAnsi="Arial" w:cs="Arial"/>
                <w:color w:val="000000"/>
                <w:szCs w:val="24"/>
              </w:rPr>
              <w:t>Educ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(56,268)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51,447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24,994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20,173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Sports Development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(160,452)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39,767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104,939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(15,746)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1D6A37">
              <w:rPr>
                <w:rFonts w:ascii="Arial" w:hAnsi="Arial" w:cs="Arial"/>
                <w:color w:val="000000"/>
                <w:szCs w:val="24"/>
              </w:rPr>
              <w:t>Youthwork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(147,184)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123,398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56,552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32,766</w:t>
            </w:r>
          </w:p>
        </w:tc>
      </w:tr>
      <w:tr w:rsidR="00F41E17" w:rsidRPr="00982BEA" w:rsidTr="002A050E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Central Service Costs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26,341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26,341</w:t>
            </w:r>
          </w:p>
        </w:tc>
      </w:tr>
      <w:tr w:rsidR="00F41E17" w:rsidRPr="00982BEA" w:rsidTr="002A050E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 xml:space="preserve">(Surplus) </w:t>
            </w:r>
            <w:r w:rsidRPr="001D6A37">
              <w:rPr>
                <w:rFonts w:ascii="Arial" w:hAnsi="Arial" w:cs="Arial"/>
                <w:color w:val="000000"/>
                <w:szCs w:val="24"/>
              </w:rPr>
              <w:t>/ Deficit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FF0000"/>
                <w:szCs w:val="24"/>
              </w:rPr>
              <w:t>(548,777)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356,199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239,405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1D6A37">
              <w:rPr>
                <w:rFonts w:ascii="Arial" w:hAnsi="Arial" w:cs="Arial"/>
                <w:color w:val="000000"/>
                <w:szCs w:val="24"/>
              </w:rPr>
              <w:t>46,827</w:t>
            </w:r>
          </w:p>
        </w:tc>
      </w:tr>
      <w:tr w:rsidR="00F41E17" w:rsidRPr="00982BEA" w:rsidTr="002A050E">
        <w:trPr>
          <w:trHeight w:val="315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1D6A37" w:rsidRDefault="00F41E17" w:rsidP="00086E7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F41E17" w:rsidRDefault="00F41E17" w:rsidP="00F41E17">
      <w:pPr>
        <w:rPr>
          <w:rFonts w:ascii="Arial" w:hAnsi="Arial" w:cs="Arial"/>
          <w:szCs w:val="24"/>
        </w:rPr>
        <w:sectPr w:rsidR="00F41E17" w:rsidSect="00982BEA">
          <w:pgSz w:w="11906" w:h="16838" w:code="9"/>
          <w:pgMar w:top="993" w:right="1440" w:bottom="1560" w:left="1440" w:header="720" w:footer="720" w:gutter="0"/>
          <w:cols w:space="720"/>
        </w:sectPr>
      </w:pPr>
    </w:p>
    <w:p w:rsidR="002A050E" w:rsidRPr="002A050E" w:rsidRDefault="002A050E" w:rsidP="002A050E">
      <w:pPr>
        <w:jc w:val="center"/>
        <w:rPr>
          <w:b/>
          <w:color w:val="000000"/>
          <w:szCs w:val="24"/>
        </w:rPr>
      </w:pPr>
    </w:p>
    <w:p w:rsidR="002A050E" w:rsidRPr="00F41E17" w:rsidRDefault="002A050E" w:rsidP="002A050E">
      <w:pPr>
        <w:jc w:val="right"/>
        <w:rPr>
          <w:rFonts w:ascii="Arial" w:hAnsi="Arial" w:cs="Arial"/>
          <w:b/>
          <w:sz w:val="18"/>
          <w:szCs w:val="18"/>
        </w:rPr>
      </w:pPr>
      <w:r w:rsidRPr="00F41E17">
        <w:rPr>
          <w:rFonts w:ascii="Arial" w:hAnsi="Arial" w:cs="Arial"/>
          <w:b/>
          <w:sz w:val="18"/>
          <w:szCs w:val="18"/>
        </w:rPr>
        <w:t>APPENDIX C</w:t>
      </w:r>
    </w:p>
    <w:p w:rsidR="002A050E" w:rsidRDefault="002A050E" w:rsidP="002A050E">
      <w:pPr>
        <w:jc w:val="center"/>
        <w:rPr>
          <w:b/>
          <w:color w:val="000000"/>
          <w:szCs w:val="24"/>
        </w:rPr>
      </w:pPr>
    </w:p>
    <w:p w:rsidR="00F41E17" w:rsidRPr="0005207E" w:rsidRDefault="002A050E" w:rsidP="0005207E">
      <w:pPr>
        <w:rPr>
          <w:rFonts w:ascii="Arial" w:hAnsi="Arial" w:cs="Arial"/>
          <w:b/>
          <w:sz w:val="18"/>
          <w:szCs w:val="18"/>
        </w:rPr>
      </w:pPr>
      <w:r w:rsidRPr="0005207E">
        <w:rPr>
          <w:rFonts w:ascii="Arial" w:hAnsi="Arial" w:cs="Arial"/>
          <w:b/>
          <w:color w:val="000000"/>
          <w:szCs w:val="24"/>
        </w:rPr>
        <w:t>Detailed Explanation of variance by sector</w:t>
      </w:r>
    </w:p>
    <w:p w:rsidR="00F41E17" w:rsidRPr="00F41E17" w:rsidRDefault="00F41E17" w:rsidP="00F41E17">
      <w:pPr>
        <w:jc w:val="right"/>
        <w:rPr>
          <w:rFonts w:ascii="Arial" w:hAnsi="Arial" w:cs="Arial"/>
          <w:b/>
          <w:sz w:val="18"/>
          <w:szCs w:val="18"/>
        </w:rPr>
      </w:pPr>
    </w:p>
    <w:p w:rsidR="00F41E17" w:rsidRPr="00F41E17" w:rsidRDefault="00F41E17" w:rsidP="00F41E17">
      <w:pPr>
        <w:jc w:val="right"/>
        <w:rPr>
          <w:rFonts w:ascii="Arial" w:hAnsi="Arial" w:cs="Arial"/>
          <w:b/>
          <w:sz w:val="18"/>
          <w:szCs w:val="18"/>
        </w:rPr>
      </w:pP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2500"/>
        <w:gridCol w:w="1360"/>
        <w:gridCol w:w="3101"/>
        <w:gridCol w:w="3969"/>
        <w:gridCol w:w="2835"/>
      </w:tblGrid>
      <w:tr w:rsidR="00F41E17" w:rsidRPr="00F41E17" w:rsidTr="00086E79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Variance Explanation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Income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Other Costs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Staff</w:t>
            </w:r>
          </w:p>
        </w:tc>
      </w:tr>
      <w:tr w:rsidR="00F41E17" w:rsidRPr="00F41E17" w:rsidTr="00086E79">
        <w:trPr>
          <w:trHeight w:val="6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Adult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(23,875)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On target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Saving Equipment Purchase 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 xml:space="preserve">(£3K) 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/ Books &amp; Products 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(£4.4K)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Saving 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(£11K)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 Staffing &amp; Training Course </w:t>
            </w:r>
          </w:p>
        </w:tc>
      </w:tr>
      <w:tr w:rsidR="00F41E17" w:rsidRPr="00F41E17" w:rsidTr="00F41E17">
        <w:trPr>
          <w:trHeight w:val="39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Archives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(19,359)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On target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Technical Equipment / Materials £3.5K / Rent £2K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Staff Vacancy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 xml:space="preserve"> (£23.8K)</w:t>
            </w:r>
          </w:p>
        </w:tc>
      </w:tr>
      <w:tr w:rsidR="00F41E17" w:rsidRPr="00F41E17" w:rsidTr="00086E79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Arts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(8,435)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Grants Received 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(£4K)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On target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On  Target</w:t>
            </w:r>
          </w:p>
        </w:tc>
      </w:tr>
      <w:tr w:rsidR="00F41E17" w:rsidRPr="00F41E17" w:rsidTr="00F41E17">
        <w:trPr>
          <w:trHeight w:val="734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Facilities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159,837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0.62% off Target -YTD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Lease Charges £25K / Payment to Sports Instructors £5K / Performing Rights £16K-Timing is likely to reverse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33499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Includes an adjustment of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 xml:space="preserve"> (£</w:t>
            </w:r>
            <w:r w:rsidR="0033499A">
              <w:rPr>
                <w:rFonts w:ascii="Arial" w:hAnsi="Arial" w:cs="Arial"/>
                <w:color w:val="FF0000"/>
                <w:sz w:val="18"/>
                <w:szCs w:val="18"/>
              </w:rPr>
              <w:t>100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 xml:space="preserve">K) 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for Culloden - THC</w:t>
            </w:r>
          </w:p>
        </w:tc>
      </w:tr>
      <w:tr w:rsidR="00F41E17" w:rsidRPr="00F41E17" w:rsidTr="00F41E17">
        <w:trPr>
          <w:trHeight w:val="472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Libraries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(44,352)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Lettings £2K/ Misc. Income (Inverness Library) £4K/Rent £3K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Projects (£6K) -Timing is likely to reverse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Staff Vacancies 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(£44.1K)</w:t>
            </w:r>
          </w:p>
        </w:tc>
      </w:tr>
      <w:tr w:rsidR="00F41E17" w:rsidRPr="00F41E17" w:rsidTr="00F41E17">
        <w:trPr>
          <w:trHeight w:val="706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Management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40,820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Timing issue - will reverse  (Contribution to post)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Audit &amp; Legal Fees £12K/H&amp;S and </w:t>
            </w:r>
            <w:proofErr w:type="spellStart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Actuarian</w:t>
            </w:r>
            <w:proofErr w:type="spellEnd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 Consultancy £12K/ Catering £2.4K/Photocopying &amp; Managed Print £19K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Training £7K / Recruitment £7K</w:t>
            </w:r>
          </w:p>
        </w:tc>
      </w:tr>
      <w:tr w:rsidR="00F41E17" w:rsidRPr="00F41E17" w:rsidTr="00F41E17">
        <w:trPr>
          <w:trHeight w:val="54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Central Service Costs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26,341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THC - Recharge Invoices (Fuel/ Purchase Cards/Bank Charges etc. YTD)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N/A</w:t>
            </w:r>
          </w:p>
        </w:tc>
      </w:tr>
      <w:tr w:rsidR="00F41E17" w:rsidRPr="00F41E17" w:rsidTr="00F41E17">
        <w:trPr>
          <w:trHeight w:val="694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Management Fee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(124,000)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Additional Fee ( 1% Salary Increase (Nov'13) &amp; Casual/ Relief Staff Holiday Pay (</w:t>
            </w:r>
            <w:proofErr w:type="spellStart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Pd</w:t>
            </w:r>
            <w:proofErr w:type="spellEnd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Qrtly</w:t>
            </w:r>
            <w:proofErr w:type="spellEnd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41E17" w:rsidRPr="00F41E17" w:rsidTr="00086E79">
        <w:trPr>
          <w:trHeight w:val="6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Museums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2,658 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Folk Museum 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(£46K)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/ Sale of Books &amp; Crafts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 xml:space="preserve"> (£23K)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Books &amp; Craft Purchases £13K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Staff Vacancies</w:t>
            </w:r>
          </w:p>
        </w:tc>
      </w:tr>
      <w:tr w:rsidR="00F41E17" w:rsidRPr="00F41E17" w:rsidTr="00F41E17">
        <w:trPr>
          <w:trHeight w:val="503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Outdoor Education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20,173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Outdoor Events &amp; Training 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(£35K)</w:t>
            </w:r>
            <w:r w:rsidRPr="00F41E17">
              <w:rPr>
                <w:rFonts w:ascii="Arial" w:hAnsi="Arial" w:cs="Arial"/>
                <w:sz w:val="18"/>
                <w:szCs w:val="18"/>
              </w:rPr>
              <w:t xml:space="preserve"> Lettings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 xml:space="preserve"> (£10K)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Hire &amp; Purchase of Equipment £10K / Payment to Sports Instructors £18K/ Utilities £20K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Temporary Agency Workers £15K</w:t>
            </w:r>
          </w:p>
        </w:tc>
      </w:tr>
      <w:tr w:rsidR="00F41E17" w:rsidRPr="00F41E17" w:rsidTr="00F41E17">
        <w:trPr>
          <w:trHeight w:val="72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Sports Development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(15,746)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Coached Activity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 xml:space="preserve"> (£30K)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/ Grants/ Donations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>(£50K)</w:t>
            </w: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/ Other Income from other activities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 xml:space="preserve"> (£76K)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Payment to Other establishments &amp; Sports Instructors £32K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Additional Staff </w:t>
            </w:r>
            <w:proofErr w:type="spellStart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req'd</w:t>
            </w:r>
            <w:proofErr w:type="spellEnd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 to run Programme - Offset in Income</w:t>
            </w:r>
          </w:p>
        </w:tc>
      </w:tr>
      <w:tr w:rsidR="00F41E17" w:rsidRPr="00F41E17" w:rsidTr="00F41E17">
        <w:trPr>
          <w:trHeight w:val="818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Youthwork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32,766 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Grants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 xml:space="preserve"> (£81K) /</w:t>
            </w:r>
            <w:r w:rsidRPr="00F41E17">
              <w:rPr>
                <w:rFonts w:ascii="Arial" w:hAnsi="Arial" w:cs="Arial"/>
                <w:sz w:val="18"/>
                <w:szCs w:val="18"/>
              </w:rPr>
              <w:t xml:space="preserve"> Fees &amp; Charges</w:t>
            </w:r>
            <w:r w:rsidRPr="00F41E17">
              <w:rPr>
                <w:rFonts w:ascii="Arial" w:hAnsi="Arial" w:cs="Arial"/>
                <w:color w:val="FF0000"/>
                <w:sz w:val="18"/>
                <w:szCs w:val="18"/>
              </w:rPr>
              <w:t xml:space="preserve"> (£34K)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NHS - Contribution to CDO £100K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Staff Transfer for 6 </w:t>
            </w:r>
            <w:proofErr w:type="spellStart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  <w:proofErr w:type="spellEnd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 period £19K &amp; Additional Staff </w:t>
            </w:r>
            <w:proofErr w:type="spellStart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req'd</w:t>
            </w:r>
            <w:proofErr w:type="spellEnd"/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 xml:space="preserve"> for additional Activities</w:t>
            </w:r>
          </w:p>
        </w:tc>
      </w:tr>
      <w:tr w:rsidR="00F41E17" w:rsidRPr="00F41E17" w:rsidTr="00086E7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1E17" w:rsidRPr="00F41E17" w:rsidRDefault="00F41E17" w:rsidP="00086E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1E17">
              <w:rPr>
                <w:rFonts w:ascii="Arial" w:hAnsi="Arial" w:cs="Arial"/>
                <w:color w:val="000000"/>
                <w:sz w:val="18"/>
                <w:szCs w:val="18"/>
              </w:rPr>
              <w:t>46,827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1E17" w:rsidRPr="00F41E17" w:rsidRDefault="00F41E17" w:rsidP="00086E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8E6DEF" w:rsidRPr="00F41E17" w:rsidRDefault="008E6DEF" w:rsidP="008E6DEF">
      <w:pPr>
        <w:rPr>
          <w:rFonts w:ascii="Arial" w:hAnsi="Arial" w:cs="Arial"/>
          <w:b/>
          <w:sz w:val="18"/>
          <w:szCs w:val="18"/>
        </w:rPr>
      </w:pPr>
    </w:p>
    <w:sectPr w:rsidR="008E6DEF" w:rsidRPr="00F41E17" w:rsidSect="000551EE">
      <w:pgSz w:w="16838" w:h="11906" w:orient="landscape"/>
      <w:pgMar w:top="851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A1" w:rsidRDefault="00102BA1">
      <w:r>
        <w:separator/>
      </w:r>
    </w:p>
  </w:endnote>
  <w:endnote w:type="continuationSeparator" w:id="0">
    <w:p w:rsidR="00102BA1" w:rsidRDefault="0010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A1" w:rsidRDefault="00102BA1">
      <w:r>
        <w:separator/>
      </w:r>
    </w:p>
  </w:footnote>
  <w:footnote w:type="continuationSeparator" w:id="0">
    <w:p w:rsidR="00102BA1" w:rsidRDefault="0010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85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D2F4A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6E3464"/>
    <w:multiLevelType w:val="hybridMultilevel"/>
    <w:tmpl w:val="2ADECF5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B0092"/>
    <w:multiLevelType w:val="hybridMultilevel"/>
    <w:tmpl w:val="B3A8E064"/>
    <w:lvl w:ilvl="0" w:tplc="E4BA65FA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E30BF"/>
    <w:multiLevelType w:val="hybridMultilevel"/>
    <w:tmpl w:val="AC7CA8D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E3B80"/>
    <w:multiLevelType w:val="hybridMultilevel"/>
    <w:tmpl w:val="C7884856"/>
    <w:lvl w:ilvl="0" w:tplc="8EBAF73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42576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87976D3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C58A7"/>
    <w:multiLevelType w:val="hybridMultilevel"/>
    <w:tmpl w:val="B67E8A5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168E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E7D7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F7412"/>
    <w:multiLevelType w:val="hybridMultilevel"/>
    <w:tmpl w:val="39DAF1B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93A1F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E523BE"/>
    <w:multiLevelType w:val="hybridMultilevel"/>
    <w:tmpl w:val="CE762D18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F65EB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260D5C"/>
    <w:multiLevelType w:val="hybridMultilevel"/>
    <w:tmpl w:val="4A58A3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F0BEE"/>
    <w:multiLevelType w:val="hybridMultilevel"/>
    <w:tmpl w:val="21924A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64D4A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B3B28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97BC5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86A8B"/>
    <w:multiLevelType w:val="hybridMultilevel"/>
    <w:tmpl w:val="110AEF24"/>
    <w:lvl w:ilvl="0" w:tplc="778CB986">
      <w:start w:val="1"/>
      <w:numFmt w:val="lowerRoman"/>
      <w:lvlText w:val="%1."/>
      <w:lvlJc w:val="left"/>
      <w:pPr>
        <w:ind w:left="1444" w:hanging="73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E912A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44CAD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0B1BE4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A310E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2449F6"/>
    <w:multiLevelType w:val="multilevel"/>
    <w:tmpl w:val="2A6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BD62EC7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A7BCC"/>
    <w:multiLevelType w:val="hybridMultilevel"/>
    <w:tmpl w:val="C7884856"/>
    <w:lvl w:ilvl="0" w:tplc="8EBAF73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C454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B54A11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86936"/>
    <w:multiLevelType w:val="hybridMultilevel"/>
    <w:tmpl w:val="67C45D1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4"/>
  </w:num>
  <w:num w:numId="5">
    <w:abstractNumId w:val="16"/>
  </w:num>
  <w:num w:numId="6">
    <w:abstractNumId w:val="20"/>
  </w:num>
  <w:num w:numId="7">
    <w:abstractNumId w:val="3"/>
  </w:num>
  <w:num w:numId="8">
    <w:abstractNumId w:val="23"/>
  </w:num>
  <w:num w:numId="9">
    <w:abstractNumId w:val="21"/>
  </w:num>
  <w:num w:numId="10">
    <w:abstractNumId w:val="17"/>
  </w:num>
  <w:num w:numId="11">
    <w:abstractNumId w:val="30"/>
  </w:num>
  <w:num w:numId="12">
    <w:abstractNumId w:val="31"/>
  </w:num>
  <w:num w:numId="13">
    <w:abstractNumId w:val="10"/>
  </w:num>
  <w:num w:numId="14">
    <w:abstractNumId w:val="26"/>
  </w:num>
  <w:num w:numId="15">
    <w:abstractNumId w:val="12"/>
  </w:num>
  <w:num w:numId="16">
    <w:abstractNumId w:val="29"/>
  </w:num>
  <w:num w:numId="17">
    <w:abstractNumId w:val="8"/>
  </w:num>
  <w:num w:numId="18">
    <w:abstractNumId w:val="19"/>
  </w:num>
  <w:num w:numId="19">
    <w:abstractNumId w:val="18"/>
  </w:num>
  <w:num w:numId="20">
    <w:abstractNumId w:val="22"/>
  </w:num>
  <w:num w:numId="21">
    <w:abstractNumId w:val="14"/>
  </w:num>
  <w:num w:numId="22">
    <w:abstractNumId w:val="9"/>
  </w:num>
  <w:num w:numId="23">
    <w:abstractNumId w:val="24"/>
  </w:num>
  <w:num w:numId="24">
    <w:abstractNumId w:val="7"/>
  </w:num>
  <w:num w:numId="25">
    <w:abstractNumId w:val="28"/>
  </w:num>
  <w:num w:numId="26">
    <w:abstractNumId w:val="5"/>
  </w:num>
  <w:num w:numId="27">
    <w:abstractNumId w:val="27"/>
  </w:num>
  <w:num w:numId="28">
    <w:abstractNumId w:val="2"/>
  </w:num>
  <w:num w:numId="29">
    <w:abstractNumId w:val="0"/>
  </w:num>
  <w:num w:numId="30">
    <w:abstractNumId w:val="6"/>
  </w:num>
  <w:num w:numId="31">
    <w:abstractNumId w:val="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A"/>
    <w:rsid w:val="00023E37"/>
    <w:rsid w:val="000261C0"/>
    <w:rsid w:val="0005207E"/>
    <w:rsid w:val="00054DE1"/>
    <w:rsid w:val="000551EE"/>
    <w:rsid w:val="000B0A7F"/>
    <w:rsid w:val="000F274B"/>
    <w:rsid w:val="000F6071"/>
    <w:rsid w:val="00102BA1"/>
    <w:rsid w:val="00104179"/>
    <w:rsid w:val="001072B4"/>
    <w:rsid w:val="00186D8B"/>
    <w:rsid w:val="001B7F3F"/>
    <w:rsid w:val="001C4993"/>
    <w:rsid w:val="001C4B5C"/>
    <w:rsid w:val="001D1D38"/>
    <w:rsid w:val="001D5EE7"/>
    <w:rsid w:val="00226235"/>
    <w:rsid w:val="00226B15"/>
    <w:rsid w:val="0024004B"/>
    <w:rsid w:val="0024242C"/>
    <w:rsid w:val="002A050E"/>
    <w:rsid w:val="002A21D3"/>
    <w:rsid w:val="002A660A"/>
    <w:rsid w:val="002B7DC4"/>
    <w:rsid w:val="002C5CF0"/>
    <w:rsid w:val="002D76CB"/>
    <w:rsid w:val="002D7E65"/>
    <w:rsid w:val="0033499A"/>
    <w:rsid w:val="0034407D"/>
    <w:rsid w:val="00345B42"/>
    <w:rsid w:val="00351BDC"/>
    <w:rsid w:val="00356B53"/>
    <w:rsid w:val="00383762"/>
    <w:rsid w:val="003924C9"/>
    <w:rsid w:val="0039450A"/>
    <w:rsid w:val="00402985"/>
    <w:rsid w:val="00416BFF"/>
    <w:rsid w:val="00445D1F"/>
    <w:rsid w:val="00472040"/>
    <w:rsid w:val="004A13CB"/>
    <w:rsid w:val="004E2042"/>
    <w:rsid w:val="004F0983"/>
    <w:rsid w:val="004F6740"/>
    <w:rsid w:val="00504936"/>
    <w:rsid w:val="00540480"/>
    <w:rsid w:val="005458DE"/>
    <w:rsid w:val="00590256"/>
    <w:rsid w:val="00590C36"/>
    <w:rsid w:val="0059426B"/>
    <w:rsid w:val="005A64AF"/>
    <w:rsid w:val="005B050B"/>
    <w:rsid w:val="005C11FC"/>
    <w:rsid w:val="005D09D1"/>
    <w:rsid w:val="005E23D5"/>
    <w:rsid w:val="0061518E"/>
    <w:rsid w:val="0063477B"/>
    <w:rsid w:val="00635750"/>
    <w:rsid w:val="00642DF4"/>
    <w:rsid w:val="00646F67"/>
    <w:rsid w:val="00655F80"/>
    <w:rsid w:val="00663093"/>
    <w:rsid w:val="0067538A"/>
    <w:rsid w:val="0067745D"/>
    <w:rsid w:val="0069001D"/>
    <w:rsid w:val="006A137F"/>
    <w:rsid w:val="006D0028"/>
    <w:rsid w:val="006D29ED"/>
    <w:rsid w:val="006D4204"/>
    <w:rsid w:val="00707C87"/>
    <w:rsid w:val="007161EF"/>
    <w:rsid w:val="007214D1"/>
    <w:rsid w:val="0074360E"/>
    <w:rsid w:val="00757433"/>
    <w:rsid w:val="00776884"/>
    <w:rsid w:val="007D3CAA"/>
    <w:rsid w:val="007E2203"/>
    <w:rsid w:val="007E4E27"/>
    <w:rsid w:val="00800D2C"/>
    <w:rsid w:val="00811A6F"/>
    <w:rsid w:val="008173B1"/>
    <w:rsid w:val="00825FD9"/>
    <w:rsid w:val="0089449E"/>
    <w:rsid w:val="008A1F14"/>
    <w:rsid w:val="008B4D54"/>
    <w:rsid w:val="008E6DEF"/>
    <w:rsid w:val="008F5A22"/>
    <w:rsid w:val="009361C3"/>
    <w:rsid w:val="0097099E"/>
    <w:rsid w:val="00982461"/>
    <w:rsid w:val="009B223B"/>
    <w:rsid w:val="009D3BFC"/>
    <w:rsid w:val="009E3DB8"/>
    <w:rsid w:val="00A122DA"/>
    <w:rsid w:val="00A40F8E"/>
    <w:rsid w:val="00A47A09"/>
    <w:rsid w:val="00A53534"/>
    <w:rsid w:val="00A57EC6"/>
    <w:rsid w:val="00A6213E"/>
    <w:rsid w:val="00A8159A"/>
    <w:rsid w:val="00AA1CCB"/>
    <w:rsid w:val="00AA54D9"/>
    <w:rsid w:val="00AC146F"/>
    <w:rsid w:val="00AD0502"/>
    <w:rsid w:val="00AD0D67"/>
    <w:rsid w:val="00AF02B6"/>
    <w:rsid w:val="00B0145D"/>
    <w:rsid w:val="00B437C8"/>
    <w:rsid w:val="00B43C0F"/>
    <w:rsid w:val="00B4511E"/>
    <w:rsid w:val="00B56CDC"/>
    <w:rsid w:val="00B65EFA"/>
    <w:rsid w:val="00B71D3A"/>
    <w:rsid w:val="00B71E7C"/>
    <w:rsid w:val="00B76551"/>
    <w:rsid w:val="00B84929"/>
    <w:rsid w:val="00B9658E"/>
    <w:rsid w:val="00BB4A08"/>
    <w:rsid w:val="00BD6973"/>
    <w:rsid w:val="00C029AC"/>
    <w:rsid w:val="00C17981"/>
    <w:rsid w:val="00C443BA"/>
    <w:rsid w:val="00C51930"/>
    <w:rsid w:val="00C73DE0"/>
    <w:rsid w:val="00C8005D"/>
    <w:rsid w:val="00C97A35"/>
    <w:rsid w:val="00CD28C3"/>
    <w:rsid w:val="00CF10FD"/>
    <w:rsid w:val="00D15130"/>
    <w:rsid w:val="00D35C5C"/>
    <w:rsid w:val="00D57CDF"/>
    <w:rsid w:val="00D658D1"/>
    <w:rsid w:val="00D842DB"/>
    <w:rsid w:val="00DB3601"/>
    <w:rsid w:val="00DE1E6C"/>
    <w:rsid w:val="00DE3803"/>
    <w:rsid w:val="00DE5F32"/>
    <w:rsid w:val="00DE7C73"/>
    <w:rsid w:val="00E2541B"/>
    <w:rsid w:val="00E25D85"/>
    <w:rsid w:val="00E345B1"/>
    <w:rsid w:val="00E41E4E"/>
    <w:rsid w:val="00E812AE"/>
    <w:rsid w:val="00E82BE9"/>
    <w:rsid w:val="00EA70C6"/>
    <w:rsid w:val="00EB47AD"/>
    <w:rsid w:val="00EC455A"/>
    <w:rsid w:val="00EE431A"/>
    <w:rsid w:val="00EE6C0C"/>
    <w:rsid w:val="00EF519D"/>
    <w:rsid w:val="00F067E4"/>
    <w:rsid w:val="00F32670"/>
    <w:rsid w:val="00F41E17"/>
    <w:rsid w:val="00F66E63"/>
    <w:rsid w:val="00FA053D"/>
    <w:rsid w:val="00FB11B3"/>
    <w:rsid w:val="00FD3F7E"/>
    <w:rsid w:val="00FE4D7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3797-AAE8-4015-93AB-35DADAC7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1377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- ECS</cp:lastModifiedBy>
  <cp:revision>25</cp:revision>
  <cp:lastPrinted>2014-02-17T12:28:00Z</cp:lastPrinted>
  <dcterms:created xsi:type="dcterms:W3CDTF">2013-11-22T11:43:00Z</dcterms:created>
  <dcterms:modified xsi:type="dcterms:W3CDTF">2014-02-20T08:40:00Z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286676546</vt:i4>
  </property>
  <property fmtid="{D5CDD505-2E9C-101B-9397-08002B2CF9AE}" pid="3" name="_NewReviewCycle">
    <vt:lpwstr/>
  </property>
  <property fmtid="{D5CDD505-2E9C-101B-9397-08002B2CF9AE}" pid="4" name="_EmailSubject">
    <vt:lpwstr>HLH BOARD MEETING 27 FEB - WEB UPDATES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</Properties>
</file>