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r w:rsidRPr="0089449E">
                <w:rPr>
                  <w:rFonts w:ascii="Arial" w:hAnsi="Arial" w:cs="Arial"/>
                  <w:szCs w:val="24"/>
                </w:rPr>
                <w:t>LIFE</w:t>
              </w:r>
            </w:smartTag>
            <w:r w:rsidRPr="0089449E">
              <w:rPr>
                <w:rFonts w:ascii="Arial" w:hAnsi="Arial" w:cs="Arial"/>
                <w:szCs w:val="24"/>
              </w:rPr>
              <w:t xml:space="preserve">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CA48C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 June 2014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CA48CC">
              <w:rPr>
                <w:rFonts w:ascii="Arial" w:hAnsi="Arial" w:cs="Arial"/>
              </w:rPr>
              <w:t>31 May 2014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:-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2 months to </w:t>
            </w:r>
            <w:r w:rsidR="00C65D64">
              <w:rPr>
                <w:rFonts w:ascii="Arial" w:hAnsi="Arial" w:cs="Arial"/>
                <w:sz w:val="24"/>
                <w:szCs w:val="24"/>
              </w:rPr>
              <w:t xml:space="preserve">31 </w:t>
            </w:r>
            <w:r w:rsidR="00CA48CC">
              <w:rPr>
                <w:rFonts w:ascii="Arial" w:hAnsi="Arial" w:cs="Arial"/>
                <w:sz w:val="24"/>
                <w:szCs w:val="24"/>
              </w:rPr>
              <w:t>May 2014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 w:rsidR="00CA48CC"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</w:t>
            </w:r>
            <w:r w:rsidR="00CA48CC">
              <w:rPr>
                <w:rFonts w:ascii="Arial" w:hAnsi="Arial" w:cs="Arial"/>
                <w:sz w:val="24"/>
                <w:szCs w:val="24"/>
              </w:rPr>
              <w:t>3,566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70225D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</w:t>
            </w:r>
            <w:r w:rsidR="00CA48CC">
              <w:rPr>
                <w:rFonts w:ascii="Arial" w:hAnsi="Arial" w:cs="Arial"/>
                <w:sz w:val="24"/>
                <w:szCs w:val="24"/>
              </w:rPr>
              <w:t>remains o</w:t>
            </w:r>
            <w:r>
              <w:rPr>
                <w:rFonts w:ascii="Arial" w:hAnsi="Arial" w:cs="Arial"/>
                <w:sz w:val="24"/>
                <w:szCs w:val="24"/>
              </w:rPr>
              <w:t>n target to the approved budget; and</w:t>
            </w:r>
          </w:p>
          <w:p w:rsidR="0039450A" w:rsidRPr="0089449E" w:rsidRDefault="00023E37" w:rsidP="0070225D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B71E7C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71E7C">
              <w:rPr>
                <w:rFonts w:ascii="Arial" w:hAnsi="Arial" w:cs="Arial"/>
                <w:sz w:val="24"/>
                <w:szCs w:val="24"/>
              </w:rPr>
              <w:t xml:space="preserve"> award of contract</w:t>
            </w:r>
            <w:r w:rsidR="00800D2C" w:rsidRPr="00B71E7C">
              <w:rPr>
                <w:rFonts w:ascii="Arial" w:hAnsi="Arial" w:cs="Arial"/>
                <w:sz w:val="24"/>
                <w:szCs w:val="24"/>
              </w:rPr>
              <w:t>s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C11F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5BFB">
              <w:rPr>
                <w:rFonts w:ascii="Arial" w:hAnsi="Arial" w:cs="Arial"/>
                <w:sz w:val="24"/>
                <w:szCs w:val="24"/>
              </w:rPr>
              <w:t xml:space="preserve">Gladstone £30K and </w:t>
            </w:r>
            <w:proofErr w:type="spellStart"/>
            <w:r w:rsidR="00C75BFB">
              <w:rPr>
                <w:rFonts w:ascii="Arial" w:hAnsi="Arial" w:cs="Arial"/>
                <w:sz w:val="24"/>
                <w:szCs w:val="24"/>
              </w:rPr>
              <w:t>Cision</w:t>
            </w:r>
            <w:proofErr w:type="spellEnd"/>
            <w:r w:rsidR="007022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5BFB">
              <w:rPr>
                <w:rFonts w:ascii="Arial" w:hAnsi="Arial" w:cs="Arial"/>
                <w:sz w:val="24"/>
                <w:szCs w:val="24"/>
              </w:rPr>
              <w:t>UK £21K</w:t>
            </w:r>
            <w:r w:rsidR="0070225D">
              <w:rPr>
                <w:rFonts w:ascii="Arial" w:hAnsi="Arial" w:cs="Arial"/>
                <w:sz w:val="24"/>
                <w:szCs w:val="24"/>
              </w:rPr>
              <w:t>.</w:t>
            </w:r>
            <w:r w:rsidR="0039450A" w:rsidRPr="0089449E">
              <w:rPr>
                <w:rFonts w:ascii="Arial" w:hAnsi="Arial" w:cs="Arial"/>
                <w:szCs w:val="24"/>
              </w:rPr>
              <w:fldChar w:fldCharType="begin"/>
            </w:r>
            <w:r w:rsidR="0039450A"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>a bi-monthly</w:t>
            </w:r>
            <w:r w:rsidR="009E3DB8">
              <w:rPr>
                <w:rFonts w:ascii="Arial" w:hAnsi="Arial" w:cs="Arial"/>
                <w:szCs w:val="24"/>
              </w:rPr>
              <w:t xml:space="preserve"> 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</w:t>
            </w:r>
            <w:r w:rsidR="00CA48CC">
              <w:rPr>
                <w:rFonts w:ascii="Arial" w:hAnsi="Arial" w:cs="Arial"/>
                <w:b/>
                <w:szCs w:val="24"/>
              </w:rPr>
              <w:t>31 May 2014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3.3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2D76CB" w:rsidRPr="00CD28C3" w:rsidRDefault="002D76CB" w:rsidP="0029314E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The outturn figure for the period to </w:t>
            </w:r>
            <w:r w:rsidR="00CA48CC">
              <w:rPr>
                <w:rFonts w:ascii="Arial" w:hAnsi="Arial" w:cs="Arial"/>
                <w:szCs w:val="24"/>
              </w:rPr>
              <w:t>31 May 2014</w:t>
            </w:r>
            <w:r>
              <w:rPr>
                <w:rFonts w:ascii="Arial" w:hAnsi="Arial" w:cs="Arial"/>
                <w:szCs w:val="24"/>
              </w:rPr>
              <w:t xml:space="preserve">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The outturn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="00554631">
              <w:rPr>
                <w:rFonts w:ascii="Arial" w:hAnsi="Arial" w:cs="Arial"/>
                <w:b/>
                <w:szCs w:val="24"/>
              </w:rPr>
              <w:t>Appendices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 B</w:t>
            </w:r>
            <w:r w:rsidR="00554631">
              <w:rPr>
                <w:rFonts w:ascii="Arial" w:hAnsi="Arial" w:cs="Arial"/>
                <w:b/>
                <w:szCs w:val="24"/>
              </w:rPr>
              <w:t xml:space="preserve"> and </w:t>
            </w:r>
            <w:r w:rsidR="00817421">
              <w:rPr>
                <w:rFonts w:ascii="Arial" w:hAnsi="Arial" w:cs="Arial"/>
                <w:b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817421" w:rsidRPr="002D76CB" w:rsidRDefault="001C4B5C" w:rsidP="0070225D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lastRenderedPageBreak/>
              <w:t>This shows total revenues in excess of budget by £</w:t>
            </w:r>
            <w:r w:rsidR="0029314E">
              <w:rPr>
                <w:rFonts w:ascii="Arial" w:hAnsi="Arial" w:cs="Arial"/>
                <w:szCs w:val="24"/>
              </w:rPr>
              <w:t>31</w:t>
            </w:r>
            <w:r w:rsidR="00CA48CC">
              <w:rPr>
                <w:rFonts w:ascii="Arial" w:hAnsi="Arial" w:cs="Arial"/>
                <w:szCs w:val="24"/>
              </w:rPr>
              <w:t>K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CA48CC">
              <w:rPr>
                <w:rFonts w:ascii="Arial" w:hAnsi="Arial" w:cs="Arial"/>
                <w:szCs w:val="24"/>
              </w:rPr>
              <w:t>(mainly due to timing of Grant receipts upfront at the start of the year),</w:t>
            </w:r>
            <w:r w:rsidRPr="00CB4EE8">
              <w:rPr>
                <w:rFonts w:ascii="Arial" w:hAnsi="Arial" w:cs="Arial"/>
                <w:szCs w:val="24"/>
              </w:rPr>
              <w:t xml:space="preserve"> staff costs over budget by £</w:t>
            </w:r>
            <w:r w:rsidR="0029314E">
              <w:rPr>
                <w:rFonts w:ascii="Arial" w:hAnsi="Arial" w:cs="Arial"/>
                <w:szCs w:val="24"/>
              </w:rPr>
              <w:t>5</w:t>
            </w:r>
            <w:r w:rsidR="00581415">
              <w:rPr>
                <w:rFonts w:ascii="Arial" w:hAnsi="Arial" w:cs="Arial"/>
                <w:szCs w:val="24"/>
              </w:rPr>
              <w:t>K</w:t>
            </w:r>
            <w:r w:rsidRPr="00CB4EE8">
              <w:rPr>
                <w:rFonts w:ascii="Arial" w:hAnsi="Arial" w:cs="Arial"/>
                <w:szCs w:val="24"/>
              </w:rPr>
              <w:t xml:space="preserve"> </w:t>
            </w:r>
            <w:r w:rsidR="0029314E">
              <w:rPr>
                <w:rFonts w:ascii="Arial" w:hAnsi="Arial" w:cs="Arial"/>
                <w:szCs w:val="24"/>
              </w:rPr>
              <w:t xml:space="preserve">and </w:t>
            </w:r>
            <w:r w:rsidRPr="00CB4EE8">
              <w:rPr>
                <w:rFonts w:ascii="Arial" w:hAnsi="Arial" w:cs="Arial"/>
                <w:szCs w:val="24"/>
              </w:rPr>
              <w:t>other costs over budget by £</w:t>
            </w:r>
            <w:r w:rsidR="0029314E">
              <w:rPr>
                <w:rFonts w:ascii="Arial" w:hAnsi="Arial" w:cs="Arial"/>
                <w:szCs w:val="24"/>
              </w:rPr>
              <w:t>22</w:t>
            </w:r>
            <w:r w:rsidR="00554631">
              <w:rPr>
                <w:rFonts w:ascii="Arial" w:hAnsi="Arial" w:cs="Arial"/>
                <w:szCs w:val="24"/>
              </w:rPr>
              <w:t>K</w:t>
            </w:r>
            <w:r w:rsidR="0029314E">
              <w:rPr>
                <w:rFonts w:ascii="Arial" w:hAnsi="Arial" w:cs="Arial"/>
                <w:szCs w:val="24"/>
              </w:rPr>
              <w:t xml:space="preserve"> (mainly due to timing differences)</w:t>
            </w:r>
            <w:r w:rsidR="00554631">
              <w:rPr>
                <w:rFonts w:ascii="Arial" w:hAnsi="Arial" w:cs="Arial"/>
                <w:szCs w:val="24"/>
              </w:rPr>
              <w:t xml:space="preserve">.  </w:t>
            </w:r>
            <w:r w:rsidR="00635750">
              <w:rPr>
                <w:rFonts w:ascii="Arial" w:hAnsi="Arial" w:cs="Arial"/>
                <w:szCs w:val="24"/>
              </w:rPr>
              <w:t xml:space="preserve">A commentary on the major variances is provided at </w:t>
            </w:r>
            <w:r w:rsidR="00635750"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817421">
              <w:rPr>
                <w:rFonts w:ascii="Arial" w:hAnsi="Arial" w:cs="Arial"/>
                <w:b/>
                <w:szCs w:val="24"/>
              </w:rPr>
              <w:t>D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</w:tc>
      </w:tr>
      <w:tr w:rsidR="008A685F" w:rsidRPr="0089449E">
        <w:tc>
          <w:tcPr>
            <w:tcW w:w="817" w:type="dxa"/>
          </w:tcPr>
          <w:p w:rsidR="008A685F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4</w:t>
            </w:r>
          </w:p>
          <w:p w:rsidR="008A685F" w:rsidRPr="00554631" w:rsidRDefault="008A685F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  <w:vMerge w:val="restart"/>
          </w:tcPr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 / Contracts Awarded</w:t>
            </w:r>
          </w:p>
          <w:p w:rsidR="008A685F" w:rsidRDefault="008A685F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tbl>
            <w:tblPr>
              <w:tblW w:w="7975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2022"/>
              <w:gridCol w:w="2410"/>
              <w:gridCol w:w="1559"/>
              <w:gridCol w:w="1984"/>
            </w:tblGrid>
            <w:tr w:rsidR="008A685F" w:rsidRPr="00C75BFB" w:rsidTr="008A685F">
              <w:trPr>
                <w:trHeight w:val="1515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Gladstone MRM Ltd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High Life Membership Cards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May14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Mar 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£30,000</w:t>
                  </w:r>
                </w:p>
              </w:tc>
            </w:tr>
            <w:tr w:rsidR="008A685F" w:rsidRPr="00C75BFB" w:rsidTr="008A685F">
              <w:trPr>
                <w:trHeight w:val="1515"/>
              </w:trPr>
              <w:tc>
                <w:tcPr>
                  <w:tcW w:w="2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proofErr w:type="spellStart"/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Cision</w:t>
                  </w:r>
                  <w:proofErr w:type="spellEnd"/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 xml:space="preserve"> UK Ltd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Media Monitoring Services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Jun 14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Cs w:val="24"/>
                    </w:rPr>
                    <w:t xml:space="preserve"> </w:t>
                  </w: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Mar 16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A685F" w:rsidRPr="00C75BFB" w:rsidRDefault="008A685F" w:rsidP="00C75BFB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C75BFB">
                    <w:rPr>
                      <w:rFonts w:ascii="Arial" w:hAnsi="Arial" w:cs="Arial"/>
                      <w:color w:val="000000"/>
                      <w:szCs w:val="24"/>
                    </w:rPr>
                    <w:t>£21,000</w:t>
                  </w:r>
                </w:p>
              </w:tc>
            </w:tr>
          </w:tbl>
          <w:p w:rsidR="008A685F" w:rsidRPr="00554631" w:rsidRDefault="008A685F" w:rsidP="00B3208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A685F" w:rsidRPr="0089449E">
        <w:tc>
          <w:tcPr>
            <w:tcW w:w="817" w:type="dxa"/>
          </w:tcPr>
          <w:p w:rsidR="008A685F" w:rsidRPr="00554631" w:rsidRDefault="008A685F" w:rsidP="0058141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554631">
              <w:rPr>
                <w:rFonts w:ascii="Arial" w:hAnsi="Arial" w:cs="Arial"/>
                <w:szCs w:val="24"/>
              </w:rPr>
              <w:t>.1</w:t>
            </w: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  <w:p w:rsidR="008A685F" w:rsidRPr="00485C73" w:rsidRDefault="008A685F" w:rsidP="005814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Merge/>
          </w:tcPr>
          <w:p w:rsidR="008A685F" w:rsidRPr="00485C73" w:rsidRDefault="008A68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3CB" w:rsidRPr="009B0904">
        <w:tc>
          <w:tcPr>
            <w:tcW w:w="817" w:type="dxa"/>
          </w:tcPr>
          <w:p w:rsidR="00AC146F" w:rsidRPr="00997DBB" w:rsidRDefault="000F29AC" w:rsidP="009F70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29314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4A13CB" w:rsidRPr="00997DB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97DBB">
              <w:rPr>
                <w:rFonts w:ascii="Arial" w:hAnsi="Arial" w:cs="Arial"/>
                <w:b/>
              </w:rPr>
              <w:t>Implications</w:t>
            </w:r>
          </w:p>
          <w:p w:rsidR="004A13CB" w:rsidRPr="00997DBB" w:rsidRDefault="004A13CB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A53534" w:rsidRPr="009B0904" w:rsidTr="003B450B">
        <w:trPr>
          <w:trHeight w:val="2315"/>
        </w:trPr>
        <w:tc>
          <w:tcPr>
            <w:tcW w:w="817" w:type="dxa"/>
          </w:tcPr>
          <w:p w:rsidR="00A53534" w:rsidRPr="009B0904" w:rsidRDefault="000F29AC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53534" w:rsidRPr="009B0904">
              <w:rPr>
                <w:rFonts w:ascii="Arial" w:hAnsi="Arial" w:cs="Arial"/>
              </w:rPr>
              <w:t>.1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0F29AC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0F29AC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9B0904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9B0904">
        <w:trPr>
          <w:cantSplit/>
        </w:trPr>
        <w:tc>
          <w:tcPr>
            <w:tcW w:w="9464" w:type="dxa"/>
          </w:tcPr>
          <w:p w:rsidR="0039450A" w:rsidRPr="009B0904" w:rsidRDefault="002B7DC4" w:rsidP="00416BFF">
            <w:pPr>
              <w:pStyle w:val="Heading3"/>
              <w:jc w:val="left"/>
              <w:rPr>
                <w:rFonts w:ascii="Arial" w:hAnsi="Arial" w:cs="Arial"/>
                <w:szCs w:val="24"/>
                <w:u w:val="none"/>
              </w:rPr>
            </w:pPr>
            <w:r w:rsidRPr="009B0904">
              <w:rPr>
                <w:rFonts w:ascii="Arial" w:hAnsi="Arial" w:cs="Arial"/>
                <w:szCs w:val="24"/>
                <w:u w:val="none"/>
              </w:rPr>
              <w:t>Recommendation</w:t>
            </w:r>
          </w:p>
          <w:p w:rsidR="00FE4D79" w:rsidRPr="009B0904" w:rsidRDefault="00FE4D79" w:rsidP="00FE4D79">
            <w:pPr>
              <w:rPr>
                <w:rFonts w:ascii="Arial" w:hAnsi="Arial" w:cs="Arial"/>
              </w:rPr>
            </w:pPr>
          </w:p>
          <w:p w:rsidR="00C75BFB" w:rsidRDefault="00C75BFB" w:rsidP="00C75BF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70225D" w:rsidRDefault="0070225D" w:rsidP="0070225D">
            <w:pPr>
              <w:ind w:left="426" w:hanging="142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70225D" w:rsidRDefault="0070225D" w:rsidP="0070225D">
            <w:pPr>
              <w:pStyle w:val="ListParagraph"/>
              <w:numPr>
                <w:ilvl w:val="0"/>
                <w:numId w:val="36"/>
              </w:numPr>
              <w:ind w:left="42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225D" w:rsidRPr="00B71E7C" w:rsidRDefault="0070225D" w:rsidP="0070225D">
            <w:pPr>
              <w:pStyle w:val="ListParagraph"/>
              <w:numPr>
                <w:ilvl w:val="0"/>
                <w:numId w:val="36"/>
              </w:numPr>
              <w:ind w:left="426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financial results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2 months to </w:t>
            </w:r>
            <w:r w:rsidR="00C65D64">
              <w:rPr>
                <w:rFonts w:ascii="Arial" w:hAnsi="Arial" w:cs="Arial"/>
                <w:sz w:val="24"/>
                <w:szCs w:val="24"/>
              </w:rPr>
              <w:t xml:space="preserve">31 </w:t>
            </w:r>
            <w:r>
              <w:rPr>
                <w:rFonts w:ascii="Arial" w:hAnsi="Arial" w:cs="Arial"/>
                <w:sz w:val="24"/>
                <w:szCs w:val="24"/>
              </w:rPr>
              <w:t>May 2014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 reports a </w:t>
            </w:r>
            <w:r>
              <w:rPr>
                <w:rFonts w:ascii="Arial" w:hAnsi="Arial" w:cs="Arial"/>
                <w:sz w:val="24"/>
                <w:szCs w:val="24"/>
              </w:rPr>
              <w:t xml:space="preserve">positive </w:t>
            </w:r>
            <w:r w:rsidRPr="00B71E7C">
              <w:rPr>
                <w:rFonts w:ascii="Arial" w:hAnsi="Arial" w:cs="Arial"/>
                <w:sz w:val="24"/>
                <w:szCs w:val="24"/>
              </w:rPr>
              <w:t>variance on budget of £</w:t>
            </w:r>
            <w:r>
              <w:rPr>
                <w:rFonts w:ascii="Arial" w:hAnsi="Arial" w:cs="Arial"/>
                <w:sz w:val="24"/>
                <w:szCs w:val="24"/>
              </w:rPr>
              <w:t>3,566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0225D" w:rsidRPr="0070225D" w:rsidRDefault="0070225D" w:rsidP="0070225D">
            <w:pPr>
              <w:pStyle w:val="ListParagraph"/>
              <w:numPr>
                <w:ilvl w:val="0"/>
                <w:numId w:val="36"/>
              </w:numPr>
              <w:ind w:left="426" w:hanging="142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he projected final out-turn for the year </w:t>
            </w:r>
            <w:r>
              <w:rPr>
                <w:rFonts w:ascii="Arial" w:hAnsi="Arial" w:cs="Arial"/>
                <w:sz w:val="24"/>
                <w:szCs w:val="24"/>
              </w:rPr>
              <w:t>remains on target to the approved budget; and</w:t>
            </w:r>
          </w:p>
          <w:p w:rsidR="0039450A" w:rsidRPr="0029314E" w:rsidRDefault="0070225D" w:rsidP="0070225D">
            <w:pPr>
              <w:pStyle w:val="ListParagraph"/>
              <w:numPr>
                <w:ilvl w:val="0"/>
                <w:numId w:val="36"/>
              </w:numPr>
              <w:ind w:left="426" w:hanging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B71E7C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71E7C">
              <w:rPr>
                <w:rFonts w:ascii="Arial" w:hAnsi="Arial" w:cs="Arial"/>
                <w:sz w:val="24"/>
                <w:szCs w:val="24"/>
              </w:rPr>
              <w:t xml:space="preserve"> award of contracts to </w:t>
            </w:r>
            <w:r>
              <w:rPr>
                <w:rFonts w:ascii="Arial" w:hAnsi="Arial" w:cs="Arial"/>
                <w:sz w:val="24"/>
                <w:szCs w:val="24"/>
              </w:rPr>
              <w:t xml:space="preserve">Gladstone £30K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UK £21K.</w:t>
            </w:r>
            <w:r w:rsidR="0039450A" w:rsidRPr="0029314E">
              <w:rPr>
                <w:rFonts w:ascii="Arial" w:hAnsi="Arial" w:cs="Arial"/>
                <w:szCs w:val="24"/>
              </w:rPr>
              <w:fldChar w:fldCharType="begin"/>
            </w:r>
            <w:r w:rsidR="0039450A" w:rsidRPr="0029314E">
              <w:rPr>
                <w:rFonts w:ascii="Arial" w:hAnsi="Arial" w:cs="Arial"/>
                <w:szCs w:val="24"/>
              </w:rPr>
              <w:instrText xml:space="preserve">  </w:instrText>
            </w:r>
            <w:r w:rsidR="0039450A" w:rsidRPr="0029314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bookmarkStart w:id="0" w:name="_GoBack"/>
      <w:bookmarkEnd w:id="0"/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39450A" w:rsidRPr="009B0904" w:rsidRDefault="0039450A" w:rsidP="00416BFF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416BFF">
      <w:pPr>
        <w:rPr>
          <w:rFonts w:ascii="Arial" w:hAnsi="Arial" w:cs="Arial"/>
          <w:szCs w:val="24"/>
        </w:rPr>
      </w:pPr>
    </w:p>
    <w:p w:rsidR="00655F80" w:rsidRPr="009B0904" w:rsidRDefault="0039450A" w:rsidP="000F274B">
      <w:pPr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Date:</w:t>
      </w:r>
      <w:r w:rsidRPr="009B0904">
        <w:rPr>
          <w:rFonts w:ascii="Arial" w:hAnsi="Arial" w:cs="Arial"/>
          <w:szCs w:val="24"/>
        </w:rPr>
        <w:tab/>
      </w:r>
      <w:r w:rsidRPr="009B0904">
        <w:rPr>
          <w:rFonts w:ascii="Arial" w:hAnsi="Arial" w:cs="Arial"/>
          <w:szCs w:val="24"/>
        </w:rPr>
        <w:tab/>
      </w:r>
      <w:r w:rsidR="003B450B">
        <w:rPr>
          <w:rFonts w:ascii="Arial" w:hAnsi="Arial" w:cs="Arial"/>
          <w:szCs w:val="24"/>
        </w:rPr>
        <w:t>13 June 2014</w:t>
      </w:r>
    </w:p>
    <w:p w:rsidR="003E6B08" w:rsidRDefault="003E6B08">
      <w:pPr>
        <w:rPr>
          <w:rFonts w:ascii="Arial" w:hAnsi="Arial" w:cs="Arial"/>
          <w:szCs w:val="24"/>
        </w:rPr>
        <w:sectPr w:rsidR="003E6B08" w:rsidSect="003B450B">
          <w:pgSz w:w="11906" w:h="16838"/>
          <w:pgMar w:top="1135" w:right="1440" w:bottom="1276" w:left="1440" w:header="720" w:footer="720" w:gutter="0"/>
          <w:cols w:space="720"/>
        </w:sectPr>
      </w:pPr>
    </w:p>
    <w:p w:rsidR="003E6B08" w:rsidRPr="00635750" w:rsidRDefault="003E6B08" w:rsidP="003E6B08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</w:t>
      </w:r>
      <w:r w:rsidRPr="00314C57">
        <w:rPr>
          <w:rFonts w:ascii="Arial" w:hAnsi="Arial" w:cs="Arial"/>
          <w:b/>
          <w:color w:val="000000"/>
          <w:szCs w:val="24"/>
        </w:rPr>
        <w:t>PPENDIX A</w:t>
      </w:r>
    </w:p>
    <w:p w:rsidR="003E6B08" w:rsidRDefault="003E6B08" w:rsidP="003E6B08">
      <w:pPr>
        <w:jc w:val="right"/>
        <w:rPr>
          <w:rFonts w:ascii="Arial" w:hAnsi="Arial" w:cs="Arial"/>
          <w:b/>
        </w:rPr>
      </w:pPr>
    </w:p>
    <w:p w:rsidR="00CE3569" w:rsidRDefault="003E6B08" w:rsidP="003E6B08">
      <w:pPr>
        <w:rPr>
          <w:rFonts w:ascii="Arial" w:hAnsi="Arial" w:cs="Arial"/>
          <w:b/>
          <w:color w:val="000000"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 xml:space="preserve">Consolidated results for the YTD </w:t>
      </w:r>
      <w:r w:rsidR="00554631">
        <w:rPr>
          <w:rFonts w:ascii="Arial" w:hAnsi="Arial" w:cs="Arial"/>
          <w:b/>
          <w:color w:val="000000"/>
          <w:szCs w:val="24"/>
        </w:rPr>
        <w:t>2013/14 and</w:t>
      </w:r>
      <w:r w:rsidRPr="0005207E">
        <w:rPr>
          <w:rFonts w:ascii="Arial" w:hAnsi="Arial" w:cs="Arial"/>
          <w:b/>
          <w:color w:val="000000"/>
          <w:szCs w:val="24"/>
        </w:rPr>
        <w:t xml:space="preserve"> Br</w:t>
      </w:r>
      <w:r w:rsidR="00554631">
        <w:rPr>
          <w:rFonts w:ascii="Arial" w:hAnsi="Arial" w:cs="Arial"/>
          <w:b/>
          <w:color w:val="000000"/>
          <w:szCs w:val="24"/>
        </w:rPr>
        <w:t>eakdown by Charity and Trading Companies</w:t>
      </w:r>
      <w:r w:rsidRPr="0005207E">
        <w:rPr>
          <w:rFonts w:ascii="Arial" w:hAnsi="Arial" w:cs="Arial"/>
          <w:b/>
          <w:color w:val="000000"/>
          <w:szCs w:val="24"/>
        </w:rPr>
        <w:t xml:space="preserve">   </w:t>
      </w:r>
    </w:p>
    <w:p w:rsidR="00CE3569" w:rsidRDefault="00CE3569" w:rsidP="003E6B08">
      <w:pPr>
        <w:rPr>
          <w:rFonts w:ascii="Arial" w:hAnsi="Arial" w:cs="Arial"/>
          <w:b/>
          <w:color w:val="000000"/>
          <w:szCs w:val="24"/>
        </w:rPr>
      </w:pPr>
    </w:p>
    <w:p w:rsidR="003E6B08" w:rsidRPr="0005207E" w:rsidRDefault="003E6B08" w:rsidP="003E6B08">
      <w:pPr>
        <w:rPr>
          <w:rFonts w:ascii="Arial" w:hAnsi="Arial" w:cs="Arial"/>
          <w:b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 xml:space="preserve">  </w:t>
      </w:r>
    </w:p>
    <w:p w:rsidR="00CE3569" w:rsidRDefault="00CE3569" w:rsidP="000F274B">
      <w:pPr>
        <w:rPr>
          <w:sz w:val="20"/>
        </w:rPr>
      </w:pPr>
      <w:r>
        <w:fldChar w:fldCharType="begin"/>
      </w:r>
      <w:r>
        <w:instrText xml:space="preserve"> LINK </w:instrText>
      </w:r>
      <w:r w:rsidR="00281BD6">
        <w:instrText xml:space="preserve">Excel.Sheet.12 "\\\\nthchq4\\highlifehighland\\Finance\\Monitoring\\2014.15 Monitoring\\MAY '15\\MAY '14 V2.xlsx" Reports!R1C10:R20C14 </w:instrText>
      </w:r>
      <w:r>
        <w:instrText xml:space="preserve">\a \f 4 \h </w:instrText>
      </w:r>
      <w:r>
        <w:fldChar w:fldCharType="separate"/>
      </w:r>
    </w:p>
    <w:tbl>
      <w:tblPr>
        <w:tblW w:w="13160" w:type="dxa"/>
        <w:tblInd w:w="108" w:type="dxa"/>
        <w:tblLook w:val="04A0" w:firstRow="1" w:lastRow="0" w:firstColumn="1" w:lastColumn="0" w:noHBand="0" w:noVBand="1"/>
      </w:tblPr>
      <w:tblGrid>
        <w:gridCol w:w="3100"/>
        <w:gridCol w:w="2980"/>
        <w:gridCol w:w="2440"/>
        <w:gridCol w:w="2320"/>
        <w:gridCol w:w="2320"/>
      </w:tblGrid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COMPANY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YTD Budget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£21,637,577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£4,531,674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£4,562,319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£30,644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(£5,353,377)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(£563,546)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(£586,002)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(£22,456)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(£16,284,200)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(£2,718,679)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(£2,723,301)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(£4,622)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Grand Total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£1,249,449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£1,253,015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£3,566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CHARITY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YTD Budget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£21,152,626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£4,444,504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£4,488,989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£44,485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(£5,147,396)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(£527,595)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(£551,142)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(£23,547)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(£16,284,200)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(£2,718,679)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(£2,739,301)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(£20,622)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Grand Total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(£278,970)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£1,198,230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£1,198,545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£316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TRADING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YTD Budget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£484,951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£87,170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£89,329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£2,159</w:t>
            </w: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(£205,981)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(£35,951)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(£34,860)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£1,091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Grand Total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£278,970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£51,220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£54,470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£3,250</w:t>
            </w:r>
          </w:p>
        </w:tc>
      </w:tr>
      <w:tr w:rsidR="00CE3569" w:rsidRPr="00CE3569" w:rsidTr="00CE3569">
        <w:trPr>
          <w:trHeight w:val="31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655F80" w:rsidRPr="009B0904" w:rsidRDefault="00CE3569" w:rsidP="000F27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fldChar w:fldCharType="end"/>
      </w:r>
    </w:p>
    <w:p w:rsidR="00D91DC8" w:rsidRDefault="00D91DC8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70225D" w:rsidRDefault="0070225D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70225D" w:rsidRDefault="0070225D" w:rsidP="003E6B08">
      <w:pPr>
        <w:jc w:val="right"/>
        <w:rPr>
          <w:rFonts w:ascii="Arial" w:hAnsi="Arial" w:cs="Arial"/>
          <w:b/>
          <w:color w:val="000000"/>
          <w:szCs w:val="24"/>
        </w:rPr>
      </w:pPr>
    </w:p>
    <w:p w:rsidR="003E6B08" w:rsidRDefault="003E6B08" w:rsidP="003E6B08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</w:t>
      </w:r>
      <w:r w:rsidRPr="001D6A37">
        <w:rPr>
          <w:rFonts w:ascii="Arial" w:hAnsi="Arial" w:cs="Arial"/>
          <w:b/>
          <w:color w:val="000000"/>
          <w:szCs w:val="24"/>
        </w:rPr>
        <w:t>PPENDIX B</w:t>
      </w:r>
    </w:p>
    <w:p w:rsidR="003E6B08" w:rsidRPr="0005207E" w:rsidRDefault="003E6B08" w:rsidP="003E6B08">
      <w:pPr>
        <w:rPr>
          <w:rFonts w:ascii="Arial" w:hAnsi="Arial" w:cs="Arial"/>
          <w:szCs w:val="24"/>
        </w:rPr>
      </w:pPr>
    </w:p>
    <w:p w:rsidR="003E6B08" w:rsidRDefault="003E6B08" w:rsidP="003E6B08">
      <w:pPr>
        <w:rPr>
          <w:rFonts w:ascii="Arial" w:hAnsi="Arial" w:cs="Arial"/>
          <w:b/>
          <w:color w:val="000000"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>Breakdown of Variance by Se</w:t>
      </w:r>
      <w:r w:rsidR="00D91DC8">
        <w:rPr>
          <w:rFonts w:ascii="Arial" w:hAnsi="Arial" w:cs="Arial"/>
          <w:b/>
          <w:color w:val="000000"/>
          <w:szCs w:val="24"/>
        </w:rPr>
        <w:t>rvice against budget.</w:t>
      </w:r>
    </w:p>
    <w:p w:rsidR="003E6B08" w:rsidRPr="0005207E" w:rsidRDefault="003E6B08" w:rsidP="003E6B08">
      <w:pPr>
        <w:rPr>
          <w:rFonts w:ascii="Arial" w:hAnsi="Arial" w:cs="Arial"/>
          <w:b/>
          <w:color w:val="000000"/>
          <w:szCs w:val="24"/>
        </w:rPr>
      </w:pPr>
    </w:p>
    <w:tbl>
      <w:tblPr>
        <w:tblW w:w="13240" w:type="dxa"/>
        <w:tblInd w:w="108" w:type="dxa"/>
        <w:tblLook w:val="04A0" w:firstRow="1" w:lastRow="0" w:firstColumn="1" w:lastColumn="0" w:noHBand="0" w:noVBand="1"/>
      </w:tblPr>
      <w:tblGrid>
        <w:gridCol w:w="3116"/>
        <w:gridCol w:w="2996"/>
        <w:gridCol w:w="2456"/>
        <w:gridCol w:w="2336"/>
        <w:gridCol w:w="2336"/>
      </w:tblGrid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E3569" w:rsidRPr="00CE3569" w:rsidTr="00CE3569">
        <w:trPr>
          <w:trHeight w:val="31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Service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Annual Budget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YTD Budget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Actual YTD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Variance YTD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(£763,555)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(£111,878)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(£110,488)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£1,390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(£611,727)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(£111,754)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(£111,226)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£528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(£289,294)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(£50,895)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(£51,221)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(£326)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Central Administration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(£211,092)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(£14,523)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(£15,023)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(£500)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(£2,334,921)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(£433,977)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(£439,374)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(£5,397)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(£3,925,468)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(£583,381)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(£589,633)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(£6,252)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(£1,527,884)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(£418,336)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(£418,856)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(£519)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(£552,998)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(£78,150)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(£73,834)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£4,316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(£145,270)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(£16,036)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(£19,720)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(£3,683)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Sport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(£466,356)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(£244,727)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(£235,018)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£9,710</w:t>
            </w:r>
          </w:p>
        </w:tc>
      </w:tr>
      <w:tr w:rsidR="00CE3569" w:rsidRPr="00CE3569" w:rsidTr="00CE3569">
        <w:trPr>
          <w:trHeight w:val="300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Youthwork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(£1,736,481)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(£298,618)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(£294,319)</w:t>
            </w: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£4,299</w:t>
            </w:r>
          </w:p>
        </w:tc>
      </w:tr>
      <w:tr w:rsidR="00CE3569" w:rsidRPr="00CE3569" w:rsidTr="00CE3569">
        <w:trPr>
          <w:trHeight w:val="31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Total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(£12,565,046)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(£2,362,276)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(£2,358,710)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£3,566</w:t>
            </w:r>
          </w:p>
        </w:tc>
      </w:tr>
      <w:tr w:rsidR="00CE3569" w:rsidRPr="00CE3569" w:rsidTr="00CE3569">
        <w:trPr>
          <w:trHeight w:val="31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APPENDIX C</w:t>
      </w: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>Variance by Se</w:t>
      </w:r>
      <w:r>
        <w:rPr>
          <w:rFonts w:ascii="Arial" w:hAnsi="Arial" w:cs="Arial"/>
          <w:b/>
          <w:color w:val="000000"/>
          <w:szCs w:val="24"/>
        </w:rPr>
        <w:t xml:space="preserve">rvice </w:t>
      </w:r>
      <w:r w:rsidRPr="0005207E">
        <w:rPr>
          <w:rFonts w:ascii="Arial" w:hAnsi="Arial" w:cs="Arial"/>
          <w:b/>
          <w:color w:val="000000"/>
          <w:szCs w:val="24"/>
        </w:rPr>
        <w:t>and Breakdown of Variance by Category for each sector</w:t>
      </w: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tbl>
      <w:tblPr>
        <w:tblW w:w="13300" w:type="dxa"/>
        <w:tblInd w:w="108" w:type="dxa"/>
        <w:tblLook w:val="04A0" w:firstRow="1" w:lastRow="0" w:firstColumn="1" w:lastColumn="0" w:noHBand="0" w:noVBand="1"/>
      </w:tblPr>
      <w:tblGrid>
        <w:gridCol w:w="2576"/>
        <w:gridCol w:w="2676"/>
        <w:gridCol w:w="3116"/>
        <w:gridCol w:w="2836"/>
        <w:gridCol w:w="2096"/>
      </w:tblGrid>
      <w:tr w:rsidR="00CE3569" w:rsidRPr="00CE3569" w:rsidTr="00CE3569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Service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Variance - Income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Variance - Other Costs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Variance -Staff Costs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569">
              <w:rPr>
                <w:rFonts w:ascii="Arial" w:hAnsi="Arial" w:cs="Arial"/>
                <w:b/>
                <w:bCs/>
                <w:color w:val="000000"/>
                <w:szCs w:val="24"/>
              </w:rPr>
              <w:t>Variance - Total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£1,537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(£167)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£1,390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£122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(£32)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£438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£528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£5,561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(£2,396)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(£3,491)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(£326)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Central Administration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(£0)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(£500)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£0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(£500)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(£5,571)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(£456)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£631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(£5,397)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(£2,068)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(£4,310)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£126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(£6,252)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£2,183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(£2,245)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(£457)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(£519)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(£621)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(£1,694)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£6,631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£4,316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£1,634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(£4,564)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(£754)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(£3,683)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Sport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£18,774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(£2,247)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(£6,817)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£9,710</w:t>
            </w:r>
          </w:p>
        </w:tc>
      </w:tr>
      <w:tr w:rsidR="00CE3569" w:rsidRPr="00CE3569" w:rsidTr="00CE3569">
        <w:trPr>
          <w:trHeight w:val="300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Youthwork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£10,610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(£5,549)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(£762)</w:t>
            </w: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£4,299</w:t>
            </w:r>
          </w:p>
        </w:tc>
      </w:tr>
      <w:tr w:rsidR="00CE3569" w:rsidRPr="00CE3569" w:rsidTr="00CE3569">
        <w:trPr>
          <w:trHeight w:val="315"/>
        </w:trPr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Total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£30,644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(£22,456)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FF0000"/>
                <w:szCs w:val="24"/>
              </w:rPr>
              <w:t>(£4,622)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3569" w:rsidRPr="00CE3569" w:rsidRDefault="00CE3569" w:rsidP="00CE356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569">
              <w:rPr>
                <w:rFonts w:ascii="Arial" w:hAnsi="Arial" w:cs="Arial"/>
                <w:color w:val="000000"/>
                <w:szCs w:val="24"/>
              </w:rPr>
              <w:t>£3,566</w:t>
            </w:r>
          </w:p>
        </w:tc>
      </w:tr>
    </w:tbl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CE3569" w:rsidRDefault="00CE3569" w:rsidP="00D91DC8">
      <w:pPr>
        <w:rPr>
          <w:rFonts w:ascii="Arial" w:hAnsi="Arial" w:cs="Arial"/>
          <w:b/>
          <w:color w:val="000000"/>
          <w:szCs w:val="24"/>
        </w:rPr>
      </w:pPr>
    </w:p>
    <w:p w:rsidR="00A3726F" w:rsidRDefault="00A3726F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D91DC8" w:rsidP="00D91DC8">
      <w:pPr>
        <w:rPr>
          <w:rFonts w:ascii="Arial" w:hAnsi="Arial" w:cs="Arial"/>
          <w:b/>
          <w:color w:val="000000"/>
          <w:szCs w:val="24"/>
        </w:rPr>
      </w:pPr>
    </w:p>
    <w:p w:rsidR="0070225D" w:rsidRDefault="0070225D" w:rsidP="00D91DC8">
      <w:pPr>
        <w:rPr>
          <w:rFonts w:ascii="Arial" w:hAnsi="Arial" w:cs="Arial"/>
          <w:b/>
          <w:color w:val="000000"/>
          <w:szCs w:val="24"/>
        </w:rPr>
      </w:pPr>
    </w:p>
    <w:p w:rsidR="0070225D" w:rsidRDefault="0070225D" w:rsidP="00D91DC8">
      <w:pPr>
        <w:rPr>
          <w:rFonts w:ascii="Arial" w:hAnsi="Arial" w:cs="Arial"/>
          <w:b/>
          <w:color w:val="000000"/>
          <w:szCs w:val="24"/>
        </w:rPr>
      </w:pPr>
    </w:p>
    <w:p w:rsidR="00D91DC8" w:rsidRDefault="00A3726F" w:rsidP="00A3726F">
      <w:pPr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lastRenderedPageBreak/>
        <w:t>APPENDIX D</w:t>
      </w:r>
    </w:p>
    <w:p w:rsidR="00F41E17" w:rsidRDefault="00D91DC8" w:rsidP="00D91DC8">
      <w:pPr>
        <w:rPr>
          <w:rFonts w:ascii="Arial" w:hAnsi="Arial" w:cs="Arial"/>
          <w:b/>
          <w:color w:val="000000"/>
          <w:szCs w:val="24"/>
        </w:rPr>
      </w:pPr>
      <w:r w:rsidRPr="008301D0">
        <w:rPr>
          <w:rFonts w:ascii="Arial" w:hAnsi="Arial" w:cs="Arial"/>
          <w:b/>
          <w:color w:val="000000"/>
          <w:szCs w:val="24"/>
        </w:rPr>
        <w:t xml:space="preserve">Variance Report </w:t>
      </w:r>
      <w:r w:rsidR="00131281">
        <w:rPr>
          <w:rFonts w:ascii="Arial" w:hAnsi="Arial" w:cs="Arial"/>
          <w:b/>
          <w:color w:val="000000"/>
          <w:szCs w:val="24"/>
        </w:rPr>
        <w:t>–</w:t>
      </w:r>
      <w:r w:rsidR="005E693A">
        <w:rPr>
          <w:rFonts w:ascii="Arial" w:hAnsi="Arial" w:cs="Arial"/>
          <w:b/>
          <w:color w:val="000000"/>
          <w:szCs w:val="24"/>
        </w:rPr>
        <w:t xml:space="preserve"> Explanation</w:t>
      </w:r>
    </w:p>
    <w:p w:rsidR="00131281" w:rsidRDefault="00131281" w:rsidP="00D91DC8">
      <w:pPr>
        <w:rPr>
          <w:rFonts w:ascii="Arial" w:hAnsi="Arial" w:cs="Arial"/>
          <w:b/>
          <w:color w:val="000000"/>
          <w:szCs w:val="24"/>
        </w:rPr>
      </w:pP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8079"/>
      </w:tblGrid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281">
              <w:rPr>
                <w:rFonts w:ascii="Arial" w:hAnsi="Arial" w:cs="Arial"/>
                <w:b/>
                <w:bCs/>
                <w:color w:val="000000"/>
                <w:szCs w:val="24"/>
              </w:rPr>
              <w:t>Service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31281">
              <w:rPr>
                <w:rFonts w:ascii="Arial" w:hAnsi="Arial" w:cs="Arial"/>
                <w:b/>
                <w:bCs/>
                <w:color w:val="000000"/>
                <w:szCs w:val="24"/>
              </w:rPr>
              <w:t>Variance - Total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£1,390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£528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(£326)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Central Administration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(£500)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(£5,397)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 xml:space="preserve">Timing of Income Generation </w:t>
            </w: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(£6,252)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Timing of Rental Charges - Will reverse during the year</w:t>
            </w: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(£519)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£4,316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Staff Profiling HFM - Variance will reverse</w:t>
            </w: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FF0000"/>
                <w:szCs w:val="24"/>
              </w:rPr>
              <w:t>(£3,683)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Sport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£9,710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Timing of Grant Income ( grants received up front at the start of the year)</w:t>
            </w:r>
          </w:p>
        </w:tc>
      </w:tr>
      <w:tr w:rsidR="0070225D" w:rsidRPr="00131281" w:rsidTr="0070225D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Youth</w:t>
            </w:r>
            <w:r>
              <w:rPr>
                <w:rFonts w:ascii="Arial" w:hAnsi="Arial" w:cs="Arial"/>
                <w:color w:val="000000"/>
                <w:szCs w:val="24"/>
              </w:rPr>
              <w:t>-</w:t>
            </w:r>
            <w:r w:rsidRPr="00131281">
              <w:rPr>
                <w:rFonts w:ascii="Arial" w:hAnsi="Arial" w:cs="Arial"/>
                <w:color w:val="000000"/>
                <w:szCs w:val="24"/>
              </w:rPr>
              <w:t>work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£4,299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Timing of Grant Income ( grants received up front at the start of the year)</w:t>
            </w:r>
          </w:p>
        </w:tc>
      </w:tr>
      <w:tr w:rsidR="0070225D" w:rsidRPr="00131281" w:rsidTr="0070225D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31281">
              <w:rPr>
                <w:rFonts w:ascii="Arial" w:hAnsi="Arial" w:cs="Arial"/>
                <w:color w:val="000000"/>
                <w:szCs w:val="24"/>
              </w:rPr>
              <w:t>£3,566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25D" w:rsidRPr="00131281" w:rsidRDefault="0070225D" w:rsidP="00131281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131281" w:rsidRPr="002A050E" w:rsidRDefault="00131281" w:rsidP="00D91DC8">
      <w:pPr>
        <w:rPr>
          <w:b/>
          <w:color w:val="000000"/>
          <w:szCs w:val="24"/>
        </w:rPr>
      </w:pPr>
    </w:p>
    <w:p w:rsidR="00F41E17" w:rsidRPr="00F41E17" w:rsidRDefault="00F41E17" w:rsidP="00F41E17">
      <w:pPr>
        <w:jc w:val="right"/>
        <w:rPr>
          <w:rFonts w:ascii="Arial" w:hAnsi="Arial" w:cs="Arial"/>
          <w:b/>
          <w:sz w:val="18"/>
          <w:szCs w:val="18"/>
        </w:rPr>
      </w:pPr>
    </w:p>
    <w:sectPr w:rsidR="00F41E17" w:rsidRPr="00F41E17" w:rsidSect="003E6B08">
      <w:pgSz w:w="16838" w:h="11906" w:orient="landscape"/>
      <w:pgMar w:top="1440" w:right="1440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CC" w:rsidRDefault="00CA48CC">
      <w:r>
        <w:separator/>
      </w:r>
    </w:p>
  </w:endnote>
  <w:endnote w:type="continuationSeparator" w:id="0">
    <w:p w:rsidR="00CA48CC" w:rsidRDefault="00CA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CC" w:rsidRDefault="00CA48CC">
      <w:r>
        <w:separator/>
      </w:r>
    </w:p>
  </w:footnote>
  <w:footnote w:type="continuationSeparator" w:id="0">
    <w:p w:rsidR="00CA48CC" w:rsidRDefault="00CA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375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4257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50F34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164570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71751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12"/>
  </w:num>
  <w:num w:numId="4">
    <w:abstractNumId w:val="5"/>
  </w:num>
  <w:num w:numId="5">
    <w:abstractNumId w:val="18"/>
  </w:num>
  <w:num w:numId="6">
    <w:abstractNumId w:val="23"/>
  </w:num>
  <w:num w:numId="7">
    <w:abstractNumId w:val="4"/>
  </w:num>
  <w:num w:numId="8">
    <w:abstractNumId w:val="27"/>
  </w:num>
  <w:num w:numId="9">
    <w:abstractNumId w:val="24"/>
  </w:num>
  <w:num w:numId="10">
    <w:abstractNumId w:val="20"/>
  </w:num>
  <w:num w:numId="11">
    <w:abstractNumId w:val="34"/>
  </w:num>
  <w:num w:numId="12">
    <w:abstractNumId w:val="35"/>
  </w:num>
  <w:num w:numId="13">
    <w:abstractNumId w:val="11"/>
  </w:num>
  <w:num w:numId="14">
    <w:abstractNumId w:val="30"/>
  </w:num>
  <w:num w:numId="15">
    <w:abstractNumId w:val="13"/>
  </w:num>
  <w:num w:numId="16">
    <w:abstractNumId w:val="33"/>
  </w:num>
  <w:num w:numId="17">
    <w:abstractNumId w:val="9"/>
  </w:num>
  <w:num w:numId="18">
    <w:abstractNumId w:val="22"/>
  </w:num>
  <w:num w:numId="19">
    <w:abstractNumId w:val="21"/>
  </w:num>
  <w:num w:numId="20">
    <w:abstractNumId w:val="26"/>
  </w:num>
  <w:num w:numId="21">
    <w:abstractNumId w:val="15"/>
  </w:num>
  <w:num w:numId="22">
    <w:abstractNumId w:val="10"/>
  </w:num>
  <w:num w:numId="23">
    <w:abstractNumId w:val="28"/>
  </w:num>
  <w:num w:numId="24">
    <w:abstractNumId w:val="8"/>
  </w:num>
  <w:num w:numId="25">
    <w:abstractNumId w:val="32"/>
  </w:num>
  <w:num w:numId="26">
    <w:abstractNumId w:val="6"/>
  </w:num>
  <w:num w:numId="27">
    <w:abstractNumId w:val="31"/>
  </w:num>
  <w:num w:numId="28">
    <w:abstractNumId w:val="3"/>
  </w:num>
  <w:num w:numId="29">
    <w:abstractNumId w:val="1"/>
  </w:num>
  <w:num w:numId="30">
    <w:abstractNumId w:val="7"/>
  </w:num>
  <w:num w:numId="31">
    <w:abstractNumId w:val="2"/>
  </w:num>
  <w:num w:numId="32">
    <w:abstractNumId w:val="14"/>
  </w:num>
  <w:num w:numId="33">
    <w:abstractNumId w:val="16"/>
  </w:num>
  <w:num w:numId="34">
    <w:abstractNumId w:val="19"/>
  </w:num>
  <w:num w:numId="35">
    <w:abstractNumId w:val="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29AC"/>
    <w:rsid w:val="000F6071"/>
    <w:rsid w:val="00102BA1"/>
    <w:rsid w:val="00104179"/>
    <w:rsid w:val="001072B4"/>
    <w:rsid w:val="00131281"/>
    <w:rsid w:val="001575A7"/>
    <w:rsid w:val="00186D8B"/>
    <w:rsid w:val="001B7F3F"/>
    <w:rsid w:val="001C4993"/>
    <w:rsid w:val="001C4B5C"/>
    <w:rsid w:val="001D1D38"/>
    <w:rsid w:val="001D5EE7"/>
    <w:rsid w:val="00226235"/>
    <w:rsid w:val="00226B15"/>
    <w:rsid w:val="0024004B"/>
    <w:rsid w:val="0024242C"/>
    <w:rsid w:val="00281BD6"/>
    <w:rsid w:val="00291E51"/>
    <w:rsid w:val="0029314E"/>
    <w:rsid w:val="002A050E"/>
    <w:rsid w:val="002A21D3"/>
    <w:rsid w:val="002A660A"/>
    <w:rsid w:val="002B7DC4"/>
    <w:rsid w:val="002C5CF0"/>
    <w:rsid w:val="002D76CB"/>
    <w:rsid w:val="002D7E65"/>
    <w:rsid w:val="0033499A"/>
    <w:rsid w:val="0034407D"/>
    <w:rsid w:val="00345B42"/>
    <w:rsid w:val="00351BDC"/>
    <w:rsid w:val="00356B53"/>
    <w:rsid w:val="00383762"/>
    <w:rsid w:val="003924C9"/>
    <w:rsid w:val="0039450A"/>
    <w:rsid w:val="003B450B"/>
    <w:rsid w:val="003D4E84"/>
    <w:rsid w:val="003E6B08"/>
    <w:rsid w:val="00402985"/>
    <w:rsid w:val="00416BFF"/>
    <w:rsid w:val="00445D1F"/>
    <w:rsid w:val="00472040"/>
    <w:rsid w:val="00485C73"/>
    <w:rsid w:val="004A13CB"/>
    <w:rsid w:val="004D3C32"/>
    <w:rsid w:val="004E2042"/>
    <w:rsid w:val="004F0983"/>
    <w:rsid w:val="004F6740"/>
    <w:rsid w:val="00504936"/>
    <w:rsid w:val="00540480"/>
    <w:rsid w:val="005458DE"/>
    <w:rsid w:val="00554631"/>
    <w:rsid w:val="00576020"/>
    <w:rsid w:val="00581415"/>
    <w:rsid w:val="00590256"/>
    <w:rsid w:val="00590C36"/>
    <w:rsid w:val="0059426B"/>
    <w:rsid w:val="005A64AF"/>
    <w:rsid w:val="005B050B"/>
    <w:rsid w:val="005C11FC"/>
    <w:rsid w:val="005D09D1"/>
    <w:rsid w:val="005E23D5"/>
    <w:rsid w:val="005E693A"/>
    <w:rsid w:val="0061518E"/>
    <w:rsid w:val="0063477B"/>
    <w:rsid w:val="00635750"/>
    <w:rsid w:val="00642DF4"/>
    <w:rsid w:val="00646F67"/>
    <w:rsid w:val="00655F80"/>
    <w:rsid w:val="00663093"/>
    <w:rsid w:val="0067538A"/>
    <w:rsid w:val="0067745D"/>
    <w:rsid w:val="0069001D"/>
    <w:rsid w:val="006A137F"/>
    <w:rsid w:val="006D0028"/>
    <w:rsid w:val="006D29ED"/>
    <w:rsid w:val="006D4204"/>
    <w:rsid w:val="0070225D"/>
    <w:rsid w:val="00707C87"/>
    <w:rsid w:val="007118F2"/>
    <w:rsid w:val="007161EF"/>
    <w:rsid w:val="007214D1"/>
    <w:rsid w:val="0074360E"/>
    <w:rsid w:val="00757433"/>
    <w:rsid w:val="007723DB"/>
    <w:rsid w:val="00776884"/>
    <w:rsid w:val="007A353F"/>
    <w:rsid w:val="007D3CAA"/>
    <w:rsid w:val="007D52F9"/>
    <w:rsid w:val="007E2203"/>
    <w:rsid w:val="007E4E27"/>
    <w:rsid w:val="00800D2C"/>
    <w:rsid w:val="00811A6F"/>
    <w:rsid w:val="008173B1"/>
    <w:rsid w:val="00817421"/>
    <w:rsid w:val="00824F07"/>
    <w:rsid w:val="00825FD9"/>
    <w:rsid w:val="008301D0"/>
    <w:rsid w:val="00831A88"/>
    <w:rsid w:val="0084154D"/>
    <w:rsid w:val="0089449E"/>
    <w:rsid w:val="008A1F14"/>
    <w:rsid w:val="008A685F"/>
    <w:rsid w:val="008B4D54"/>
    <w:rsid w:val="008E6DEF"/>
    <w:rsid w:val="008F5A22"/>
    <w:rsid w:val="009361C3"/>
    <w:rsid w:val="0097099E"/>
    <w:rsid w:val="00982461"/>
    <w:rsid w:val="00997DBB"/>
    <w:rsid w:val="009A5D16"/>
    <w:rsid w:val="009B0904"/>
    <w:rsid w:val="009B223B"/>
    <w:rsid w:val="009D3BFC"/>
    <w:rsid w:val="009E3DB8"/>
    <w:rsid w:val="009F701B"/>
    <w:rsid w:val="00A122DA"/>
    <w:rsid w:val="00A3726F"/>
    <w:rsid w:val="00A37942"/>
    <w:rsid w:val="00A40F8E"/>
    <w:rsid w:val="00A47A09"/>
    <w:rsid w:val="00A53534"/>
    <w:rsid w:val="00A57EC6"/>
    <w:rsid w:val="00A6213E"/>
    <w:rsid w:val="00A8159A"/>
    <w:rsid w:val="00AA1CCB"/>
    <w:rsid w:val="00AA54D9"/>
    <w:rsid w:val="00AC146F"/>
    <w:rsid w:val="00AD0502"/>
    <w:rsid w:val="00AD0D67"/>
    <w:rsid w:val="00AF02B6"/>
    <w:rsid w:val="00AF7FD6"/>
    <w:rsid w:val="00B0145D"/>
    <w:rsid w:val="00B437C8"/>
    <w:rsid w:val="00B43C0F"/>
    <w:rsid w:val="00B4511E"/>
    <w:rsid w:val="00B56CDC"/>
    <w:rsid w:val="00B65EFA"/>
    <w:rsid w:val="00B65F30"/>
    <w:rsid w:val="00B71D3A"/>
    <w:rsid w:val="00B71E7C"/>
    <w:rsid w:val="00B76551"/>
    <w:rsid w:val="00B84929"/>
    <w:rsid w:val="00B9658E"/>
    <w:rsid w:val="00BB271A"/>
    <w:rsid w:val="00BB4A08"/>
    <w:rsid w:val="00BD07BA"/>
    <w:rsid w:val="00BD6973"/>
    <w:rsid w:val="00C029AC"/>
    <w:rsid w:val="00C17981"/>
    <w:rsid w:val="00C443BA"/>
    <w:rsid w:val="00C51396"/>
    <w:rsid w:val="00C51930"/>
    <w:rsid w:val="00C65D64"/>
    <w:rsid w:val="00C73DE0"/>
    <w:rsid w:val="00C75BFB"/>
    <w:rsid w:val="00C8005D"/>
    <w:rsid w:val="00C97A35"/>
    <w:rsid w:val="00CA48CC"/>
    <w:rsid w:val="00CD28C3"/>
    <w:rsid w:val="00CD4E51"/>
    <w:rsid w:val="00CE1288"/>
    <w:rsid w:val="00CE3569"/>
    <w:rsid w:val="00CE4D7F"/>
    <w:rsid w:val="00CF10FD"/>
    <w:rsid w:val="00D15130"/>
    <w:rsid w:val="00D35C5C"/>
    <w:rsid w:val="00D57CDF"/>
    <w:rsid w:val="00D658D1"/>
    <w:rsid w:val="00D72885"/>
    <w:rsid w:val="00D842DB"/>
    <w:rsid w:val="00D91DC8"/>
    <w:rsid w:val="00DB3601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812AE"/>
    <w:rsid w:val="00E82BE9"/>
    <w:rsid w:val="00EA48CA"/>
    <w:rsid w:val="00EA70C6"/>
    <w:rsid w:val="00EB47AD"/>
    <w:rsid w:val="00EC455A"/>
    <w:rsid w:val="00EE431A"/>
    <w:rsid w:val="00EE6C0C"/>
    <w:rsid w:val="00EF519D"/>
    <w:rsid w:val="00F067E4"/>
    <w:rsid w:val="00F070CF"/>
    <w:rsid w:val="00F32670"/>
    <w:rsid w:val="00F41E17"/>
    <w:rsid w:val="00F66E63"/>
    <w:rsid w:val="00FA053D"/>
    <w:rsid w:val="00FA5BC7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1761-8901-4FB9-BA30-FF98CDF0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6</Pages>
  <Words>854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58</cp:revision>
  <cp:lastPrinted>2014-06-13T12:55:00Z</cp:lastPrinted>
  <dcterms:created xsi:type="dcterms:W3CDTF">2013-11-22T11:43:00Z</dcterms:created>
  <dcterms:modified xsi:type="dcterms:W3CDTF">2014-06-13T12:55:00Z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-37501526</vt:i4>
  </property>
  <property fmtid="{D5CDD505-2E9C-101B-9397-08002B2CF9AE}" pid="3" name="_NewReviewCycle">
    <vt:lpwstr/>
  </property>
  <property fmtid="{D5CDD505-2E9C-101B-9397-08002B2CF9AE}" pid="4" name="_EmailSubject">
    <vt:lpwstr>web updates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