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B84929" w:rsidRPr="0089449E" w:rsidTr="00B76551">
        <w:trPr>
          <w:cantSplit/>
          <w:trHeight w:val="993"/>
        </w:trPr>
        <w:tc>
          <w:tcPr>
            <w:tcW w:w="6204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LIFE HIGHLAND 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89449E" w:rsidRDefault="00F778E4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 October</w:t>
            </w:r>
            <w:r w:rsidR="00290EB5">
              <w:rPr>
                <w:rFonts w:ascii="Arial" w:hAnsi="Arial" w:cs="Arial"/>
                <w:szCs w:val="24"/>
              </w:rPr>
              <w:t xml:space="preserve"> 2014</w:t>
            </w:r>
          </w:p>
          <w:p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AGENDA ITEM </w:t>
            </w:r>
          </w:p>
          <w:p w:rsidR="00B84929" w:rsidRPr="0089449E" w:rsidRDefault="00B84929" w:rsidP="009D3BFC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 xml:space="preserve">HLH </w:t>
            </w:r>
            <w:r w:rsidR="00485C73">
              <w:rPr>
                <w:rFonts w:ascii="Arial" w:hAnsi="Arial" w:cs="Arial"/>
                <w:szCs w:val="24"/>
              </w:rPr>
              <w:t xml:space="preserve">  </w:t>
            </w:r>
            <w:r w:rsidR="001D5EE7">
              <w:rPr>
                <w:rFonts w:ascii="Arial" w:hAnsi="Arial" w:cs="Arial"/>
                <w:szCs w:val="24"/>
              </w:rPr>
              <w:t>/1</w:t>
            </w:r>
            <w:r w:rsidR="00B71E7C">
              <w:rPr>
                <w:rFonts w:ascii="Arial" w:hAnsi="Arial" w:cs="Arial"/>
                <w:szCs w:val="24"/>
              </w:rPr>
              <w:t>4</w:t>
            </w:r>
          </w:p>
        </w:tc>
      </w:tr>
    </w:tbl>
    <w:p w:rsidR="0039450A" w:rsidRPr="0089449E" w:rsidRDefault="0067745D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FINANCE REPORT</w:t>
      </w:r>
      <w:r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:rsidR="002B7DC4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</w:t>
            </w:r>
            <w:r w:rsidR="007E220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irectors with an update on the financial performance of High Life Highland f</w:t>
            </w:r>
            <w:r w:rsidR="007E2203">
              <w:rPr>
                <w:rFonts w:ascii="Arial" w:hAnsi="Arial" w:cs="Arial"/>
              </w:rPr>
              <w:t xml:space="preserve">or the </w:t>
            </w:r>
            <w:r w:rsidR="004A13CB">
              <w:rPr>
                <w:rFonts w:ascii="Arial" w:hAnsi="Arial" w:cs="Arial"/>
              </w:rPr>
              <w:t xml:space="preserve">period ending </w:t>
            </w:r>
            <w:r w:rsidR="00F778E4">
              <w:rPr>
                <w:rFonts w:ascii="Arial" w:hAnsi="Arial" w:cs="Arial"/>
              </w:rPr>
              <w:t>31 August</w:t>
            </w:r>
            <w:r w:rsidR="00CA48CC">
              <w:rPr>
                <w:rFonts w:ascii="Arial" w:hAnsi="Arial" w:cs="Arial"/>
              </w:rPr>
              <w:t xml:space="preserve"> 2014</w:t>
            </w:r>
            <w:r w:rsidR="00C519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provides information on contracts awarded since the previous meeting of the Board.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</w:t>
            </w:r>
            <w:r w:rsidR="00C17981">
              <w:rPr>
                <w:rFonts w:ascii="Arial" w:hAnsi="Arial" w:cs="Arial"/>
              </w:rPr>
              <w:t xml:space="preserve"> note</w:t>
            </w:r>
            <w:r w:rsidR="001766FB">
              <w:rPr>
                <w:rFonts w:ascii="Arial" w:hAnsi="Arial" w:cs="Arial"/>
              </w:rPr>
              <w:t>: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B71E7C" w:rsidRDefault="00B71E7C" w:rsidP="008A3353">
            <w:pPr>
              <w:pStyle w:val="ListParagraph"/>
              <w:numPr>
                <w:ilvl w:val="0"/>
                <w:numId w:val="39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023E37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current financial position of High Life Highland</w:t>
            </w:r>
            <w:r w:rsidR="00B43C0F" w:rsidRPr="00B71E7C">
              <w:rPr>
                <w:rFonts w:ascii="Arial" w:hAnsi="Arial" w:cs="Arial"/>
                <w:sz w:val="24"/>
                <w:szCs w:val="24"/>
              </w:rPr>
              <w:t xml:space="preserve"> as detailed in </w:t>
            </w:r>
            <w:r w:rsidR="00B43C0F" w:rsidRPr="00B71E7C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2D7E65" w:rsidP="008A3353">
            <w:pPr>
              <w:pStyle w:val="ListParagraph"/>
              <w:numPr>
                <w:ilvl w:val="0"/>
                <w:numId w:val="39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B71E7C">
              <w:rPr>
                <w:rFonts w:ascii="Arial" w:hAnsi="Arial" w:cs="Arial"/>
                <w:sz w:val="24"/>
                <w:szCs w:val="24"/>
              </w:rPr>
              <w:t>f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inancial </w:t>
            </w:r>
            <w:r w:rsidRPr="00B71E7C">
              <w:rPr>
                <w:rFonts w:ascii="Arial" w:hAnsi="Arial" w:cs="Arial"/>
                <w:sz w:val="24"/>
                <w:szCs w:val="24"/>
              </w:rPr>
              <w:t>r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esults for the </w:t>
            </w:r>
            <w:r w:rsidR="00F778E4">
              <w:rPr>
                <w:rFonts w:ascii="Arial" w:hAnsi="Arial" w:cs="Arial"/>
                <w:sz w:val="24"/>
                <w:szCs w:val="24"/>
              </w:rPr>
              <w:t>5</w:t>
            </w:r>
            <w:r w:rsidR="00CA48CC">
              <w:rPr>
                <w:rFonts w:ascii="Arial" w:hAnsi="Arial" w:cs="Arial"/>
                <w:sz w:val="24"/>
                <w:szCs w:val="24"/>
              </w:rPr>
              <w:t xml:space="preserve"> months to </w:t>
            </w:r>
            <w:r w:rsidR="00F778E4">
              <w:rPr>
                <w:rFonts w:ascii="Arial" w:hAnsi="Arial" w:cs="Arial"/>
                <w:sz w:val="24"/>
                <w:szCs w:val="24"/>
              </w:rPr>
              <w:t>31 August</w:t>
            </w:r>
            <w:r w:rsidR="00CA48CC">
              <w:rPr>
                <w:rFonts w:ascii="Arial" w:hAnsi="Arial" w:cs="Arial"/>
                <w:sz w:val="24"/>
                <w:szCs w:val="24"/>
              </w:rPr>
              <w:t xml:space="preserve"> 2014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 reports a </w:t>
            </w:r>
            <w:r w:rsidR="00CA48CC">
              <w:rPr>
                <w:rFonts w:ascii="Arial" w:hAnsi="Arial" w:cs="Arial"/>
                <w:sz w:val="24"/>
                <w:szCs w:val="24"/>
              </w:rPr>
              <w:t xml:space="preserve">positive 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variance on budget of 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>£</w:t>
            </w:r>
            <w:r w:rsidR="00B12596">
              <w:rPr>
                <w:rFonts w:ascii="Arial" w:hAnsi="Arial" w:cs="Arial"/>
                <w:sz w:val="24"/>
                <w:szCs w:val="24"/>
              </w:rPr>
              <w:t>4,628</w:t>
            </w:r>
            <w:r w:rsidR="00B0145D"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70225D" w:rsidP="008A3353">
            <w:pPr>
              <w:pStyle w:val="ListParagraph"/>
              <w:numPr>
                <w:ilvl w:val="0"/>
                <w:numId w:val="39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 xml:space="preserve">he projected final out-turn for the year </w:t>
            </w:r>
            <w:r w:rsidR="00CA48CC">
              <w:rPr>
                <w:rFonts w:ascii="Arial" w:hAnsi="Arial" w:cs="Arial"/>
                <w:sz w:val="24"/>
                <w:szCs w:val="24"/>
              </w:rPr>
              <w:t>remains o</w:t>
            </w:r>
            <w:r>
              <w:rPr>
                <w:rFonts w:ascii="Arial" w:hAnsi="Arial" w:cs="Arial"/>
                <w:sz w:val="24"/>
                <w:szCs w:val="24"/>
              </w:rPr>
              <w:t>n target to the approved budget; and</w:t>
            </w:r>
          </w:p>
          <w:p w:rsidR="0039450A" w:rsidRPr="0089449E" w:rsidRDefault="00023E37" w:rsidP="00B12596">
            <w:pPr>
              <w:pStyle w:val="ListParagraph"/>
              <w:numPr>
                <w:ilvl w:val="0"/>
                <w:numId w:val="39"/>
              </w:numPr>
              <w:ind w:left="567" w:hanging="283"/>
              <w:jc w:val="both"/>
              <w:rPr>
                <w:rFonts w:ascii="Arial" w:hAnsi="Arial" w:cs="Arial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the award of contract</w:t>
            </w:r>
            <w:r w:rsidR="00800D2C" w:rsidRPr="00B71E7C">
              <w:rPr>
                <w:rFonts w:ascii="Arial" w:hAnsi="Arial" w:cs="Arial"/>
                <w:sz w:val="24"/>
                <w:szCs w:val="24"/>
              </w:rPr>
              <w:t>s</w:t>
            </w:r>
            <w:r w:rsidR="00B0145D" w:rsidRPr="00B71E7C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5C11FC" w:rsidRPr="00B71E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2596">
              <w:rPr>
                <w:rFonts w:ascii="Arial" w:hAnsi="Arial" w:cs="Arial"/>
                <w:sz w:val="24"/>
                <w:szCs w:val="24"/>
              </w:rPr>
              <w:t>Cobbs Catering.</w:t>
            </w:r>
            <w:r w:rsidR="0039450A" w:rsidRPr="0089449E">
              <w:rPr>
                <w:rFonts w:ascii="Arial" w:hAnsi="Arial" w:cs="Arial"/>
                <w:szCs w:val="24"/>
              </w:rPr>
              <w:fldChar w:fldCharType="begin"/>
            </w:r>
            <w:r w:rsidR="0039450A"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="0039450A"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  <w:r w:rsidRPr="00B0145D">
              <w:rPr>
                <w:rFonts w:ascii="Arial" w:hAnsi="Arial" w:cs="Arial"/>
              </w:rPr>
              <w:t>This report supports the highlighted Business Outcome from the High Life Highland (HLH) Business Plan:</w:t>
            </w:r>
          </w:p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positive company image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growing company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Delivery of the contract with THC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awareness of our products and services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customer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145D">
              <w:rPr>
                <w:rFonts w:ascii="Arial" w:hAnsi="Arial" w:cs="Arial"/>
                <w:b/>
                <w:bCs/>
                <w:szCs w:val="24"/>
              </w:rPr>
              <w:t>Increased financial sustainability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internal collaboration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staff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Safety &amp; environmental compliance</w:t>
            </w:r>
          </w:p>
          <w:p w:rsidR="00C51930" w:rsidRPr="00B0145D" w:rsidRDefault="00C51930" w:rsidP="00B0145D">
            <w:pPr>
              <w:jc w:val="both"/>
              <w:rPr>
                <w:rFonts w:ascii="Arial" w:hAnsi="Arial" w:cs="Arial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8B4D54">
              <w:rPr>
                <w:rFonts w:ascii="Arial" w:hAnsi="Arial" w:cs="Arial"/>
                <w:szCs w:val="24"/>
              </w:rPr>
              <w:t>2.1</w:t>
            </w:r>
          </w:p>
          <w:p w:rsidR="004A13CB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Directors of HLH receive a Finance Report on </w:t>
            </w:r>
            <w:r w:rsidR="001C4B5C">
              <w:rPr>
                <w:rFonts w:ascii="Arial" w:hAnsi="Arial" w:cs="Arial"/>
                <w:szCs w:val="24"/>
              </w:rPr>
              <w:t>a bi-monthly</w:t>
            </w:r>
            <w:r w:rsidR="009E3DB8">
              <w:rPr>
                <w:rFonts w:ascii="Arial" w:hAnsi="Arial" w:cs="Arial"/>
                <w:szCs w:val="24"/>
              </w:rPr>
              <w:t xml:space="preserve"> basis. The primary purpose of the </w:t>
            </w:r>
            <w:r>
              <w:rPr>
                <w:rFonts w:ascii="Arial" w:hAnsi="Arial" w:cs="Arial"/>
                <w:szCs w:val="24"/>
              </w:rPr>
              <w:t xml:space="preserve">report is to summarise the financial performance of the organisation and its subsidiaries. </w:t>
            </w:r>
          </w:p>
          <w:p w:rsidR="004A13CB" w:rsidRPr="0097099E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>3.</w:t>
            </w:r>
          </w:p>
          <w:p w:rsidR="004A13CB" w:rsidRPr="008B4D54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 xml:space="preserve">Financial Performance to </w:t>
            </w:r>
            <w:r w:rsidR="00F778E4">
              <w:rPr>
                <w:rFonts w:ascii="Arial" w:hAnsi="Arial" w:cs="Arial"/>
                <w:b/>
                <w:szCs w:val="24"/>
              </w:rPr>
              <w:t xml:space="preserve">31 August </w:t>
            </w:r>
            <w:r w:rsidR="00CA48CC">
              <w:rPr>
                <w:rFonts w:ascii="Arial" w:hAnsi="Arial" w:cs="Arial"/>
                <w:b/>
                <w:szCs w:val="24"/>
              </w:rPr>
              <w:t xml:space="preserve"> 2014</w:t>
            </w:r>
          </w:p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CD28C3" w:rsidRDefault="00CD28C3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CD28C3">
              <w:rPr>
                <w:rFonts w:ascii="Arial" w:hAnsi="Arial" w:cs="Arial"/>
                <w:szCs w:val="24"/>
              </w:rPr>
              <w:t>3.1</w:t>
            </w:r>
          </w:p>
          <w:p w:rsidR="00B9658E" w:rsidRDefault="00B9658E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</w:t>
            </w: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3.3</w:t>
            </w: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2D76CB" w:rsidRDefault="002D76CB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414B67" w:rsidRDefault="00414B67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414B67" w:rsidRDefault="00414B67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4C0A19" w:rsidRDefault="004C0A19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414B67" w:rsidRDefault="00414B67" w:rsidP="00414B6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3.4</w:t>
            </w: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1766FB" w:rsidRPr="00CD28C3" w:rsidRDefault="001766FB" w:rsidP="00414B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B9658E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The outturn figure for the period to </w:t>
            </w:r>
            <w:r w:rsidR="00F778E4">
              <w:rPr>
                <w:rFonts w:ascii="Arial" w:hAnsi="Arial" w:cs="Arial"/>
                <w:szCs w:val="24"/>
              </w:rPr>
              <w:t>31 August</w:t>
            </w:r>
            <w:r w:rsidR="00CA48CC">
              <w:rPr>
                <w:rFonts w:ascii="Arial" w:hAnsi="Arial" w:cs="Arial"/>
                <w:szCs w:val="24"/>
              </w:rPr>
              <w:t xml:space="preserve"> 2014</w:t>
            </w:r>
            <w:r>
              <w:rPr>
                <w:rFonts w:ascii="Arial" w:hAnsi="Arial" w:cs="Arial"/>
                <w:szCs w:val="24"/>
              </w:rPr>
              <w:t xml:space="preserve"> has been prepared. </w:t>
            </w:r>
          </w:p>
          <w:p w:rsidR="00B9658E" w:rsidRDefault="00B9658E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B0145D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HLH’s consolidated financial performance for </w:t>
            </w:r>
            <w:r w:rsidR="00B0145D">
              <w:rPr>
                <w:rFonts w:ascii="Arial" w:hAnsi="Arial" w:cs="Arial"/>
                <w:szCs w:val="24"/>
              </w:rPr>
              <w:t>the year is summarised by the 9 </w:t>
            </w:r>
            <w:r>
              <w:rPr>
                <w:rFonts w:ascii="Arial" w:hAnsi="Arial" w:cs="Arial"/>
                <w:szCs w:val="24"/>
              </w:rPr>
              <w:t xml:space="preserve">business areas at </w:t>
            </w:r>
            <w:r w:rsidR="004A13CB" w:rsidRPr="00DE7C73">
              <w:rPr>
                <w:rFonts w:ascii="Arial" w:hAnsi="Arial" w:cs="Arial"/>
                <w:b/>
                <w:szCs w:val="24"/>
              </w:rPr>
              <w:t>Appendix A</w:t>
            </w:r>
            <w:r>
              <w:rPr>
                <w:rFonts w:ascii="Arial" w:hAnsi="Arial" w:cs="Arial"/>
                <w:b/>
                <w:szCs w:val="24"/>
              </w:rPr>
              <w:t xml:space="preserve">.  </w:t>
            </w:r>
            <w:r w:rsidR="00DE7C73">
              <w:rPr>
                <w:rFonts w:ascii="Arial" w:hAnsi="Arial" w:cs="Arial"/>
                <w:b/>
                <w:szCs w:val="24"/>
              </w:rPr>
              <w:t xml:space="preserve"> </w:t>
            </w:r>
            <w:r w:rsidR="00590256">
              <w:rPr>
                <w:rFonts w:ascii="Arial" w:hAnsi="Arial" w:cs="Arial"/>
                <w:szCs w:val="24"/>
              </w:rPr>
              <w:t>The outturn for the period</w:t>
            </w:r>
            <w:r>
              <w:rPr>
                <w:rFonts w:ascii="Arial" w:hAnsi="Arial" w:cs="Arial"/>
                <w:szCs w:val="24"/>
              </w:rPr>
              <w:t xml:space="preserve"> is split by cost category (revenues, staff costs and other costs) at </w:t>
            </w:r>
            <w:r w:rsidR="00686F9F">
              <w:rPr>
                <w:rFonts w:ascii="Arial" w:hAnsi="Arial" w:cs="Arial"/>
                <w:b/>
                <w:szCs w:val="24"/>
              </w:rPr>
              <w:t>Appendix</w:t>
            </w:r>
            <w:r w:rsidRPr="00635750">
              <w:rPr>
                <w:rFonts w:ascii="Arial" w:hAnsi="Arial" w:cs="Arial"/>
                <w:b/>
                <w:szCs w:val="24"/>
              </w:rPr>
              <w:t xml:space="preserve"> B</w:t>
            </w:r>
            <w:r>
              <w:rPr>
                <w:rFonts w:ascii="Arial" w:hAnsi="Arial" w:cs="Arial"/>
                <w:szCs w:val="24"/>
              </w:rPr>
              <w:t xml:space="preserve">.  </w:t>
            </w:r>
          </w:p>
          <w:p w:rsidR="00B0145D" w:rsidRDefault="00B0145D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414B67" w:rsidRDefault="001C4B5C" w:rsidP="00414B67">
            <w:pPr>
              <w:jc w:val="both"/>
              <w:rPr>
                <w:rFonts w:ascii="Arial" w:hAnsi="Arial" w:cs="Arial"/>
                <w:szCs w:val="24"/>
              </w:rPr>
            </w:pPr>
            <w:r w:rsidRPr="00CB4EE8">
              <w:rPr>
                <w:rFonts w:ascii="Arial" w:hAnsi="Arial" w:cs="Arial"/>
                <w:szCs w:val="24"/>
              </w:rPr>
              <w:lastRenderedPageBreak/>
              <w:t>This shows total revenues in excess of budget by £</w:t>
            </w:r>
            <w:r w:rsidR="00CF250B">
              <w:rPr>
                <w:rFonts w:ascii="Arial" w:hAnsi="Arial" w:cs="Arial"/>
                <w:szCs w:val="24"/>
              </w:rPr>
              <w:t>1</w:t>
            </w:r>
            <w:r w:rsidR="00B12596">
              <w:rPr>
                <w:rFonts w:ascii="Arial" w:hAnsi="Arial" w:cs="Arial"/>
                <w:szCs w:val="24"/>
              </w:rPr>
              <w:t>77</w:t>
            </w:r>
            <w:r w:rsidR="00CF250B">
              <w:rPr>
                <w:rFonts w:ascii="Arial" w:hAnsi="Arial" w:cs="Arial"/>
                <w:szCs w:val="24"/>
              </w:rPr>
              <w:t>K</w:t>
            </w:r>
            <w:r w:rsidR="0029314E">
              <w:rPr>
                <w:rFonts w:ascii="Arial" w:hAnsi="Arial" w:cs="Arial"/>
                <w:szCs w:val="24"/>
              </w:rPr>
              <w:t xml:space="preserve"> </w:t>
            </w:r>
            <w:r w:rsidR="008A3353">
              <w:rPr>
                <w:rFonts w:ascii="Arial" w:hAnsi="Arial" w:cs="Arial"/>
                <w:szCs w:val="24"/>
              </w:rPr>
              <w:t>(mainly due to timing of g</w:t>
            </w:r>
            <w:r w:rsidR="00CA48CC">
              <w:rPr>
                <w:rFonts w:ascii="Arial" w:hAnsi="Arial" w:cs="Arial"/>
                <w:szCs w:val="24"/>
              </w:rPr>
              <w:t>rant receipts upfront at the start of the year</w:t>
            </w:r>
            <w:r w:rsidR="00686F9F">
              <w:rPr>
                <w:rFonts w:ascii="Arial" w:hAnsi="Arial" w:cs="Arial"/>
                <w:szCs w:val="24"/>
              </w:rPr>
              <w:t xml:space="preserve"> primarily in Youth W</w:t>
            </w:r>
            <w:r w:rsidR="00CF250B">
              <w:rPr>
                <w:rFonts w:ascii="Arial" w:hAnsi="Arial" w:cs="Arial"/>
                <w:szCs w:val="24"/>
              </w:rPr>
              <w:t>ork</w:t>
            </w:r>
            <w:r w:rsidR="00686F9F">
              <w:rPr>
                <w:rFonts w:ascii="Arial" w:hAnsi="Arial" w:cs="Arial"/>
                <w:szCs w:val="24"/>
              </w:rPr>
              <w:t xml:space="preserve"> and Sports together with s</w:t>
            </w:r>
            <w:r w:rsidR="00414B67">
              <w:rPr>
                <w:rFonts w:ascii="Arial" w:hAnsi="Arial" w:cs="Arial"/>
                <w:szCs w:val="24"/>
              </w:rPr>
              <w:t>easonal activity in Outdoor Activities</w:t>
            </w:r>
            <w:r w:rsidR="00CA48CC">
              <w:rPr>
                <w:rFonts w:ascii="Arial" w:hAnsi="Arial" w:cs="Arial"/>
                <w:szCs w:val="24"/>
              </w:rPr>
              <w:t>),</w:t>
            </w:r>
            <w:r w:rsidRPr="00CB4EE8">
              <w:rPr>
                <w:rFonts w:ascii="Arial" w:hAnsi="Arial" w:cs="Arial"/>
                <w:szCs w:val="24"/>
              </w:rPr>
              <w:t xml:space="preserve"> staff costs over budget by £</w:t>
            </w:r>
            <w:r w:rsidR="00414B67">
              <w:rPr>
                <w:rFonts w:ascii="Arial" w:hAnsi="Arial" w:cs="Arial"/>
                <w:szCs w:val="24"/>
              </w:rPr>
              <w:t>80</w:t>
            </w:r>
            <w:r w:rsidR="00CF250B">
              <w:rPr>
                <w:rFonts w:ascii="Arial" w:hAnsi="Arial" w:cs="Arial"/>
                <w:szCs w:val="24"/>
              </w:rPr>
              <w:t>K</w:t>
            </w:r>
            <w:r w:rsidR="008A3353">
              <w:rPr>
                <w:rFonts w:ascii="Arial" w:hAnsi="Arial" w:cs="Arial"/>
                <w:szCs w:val="24"/>
              </w:rPr>
              <w:t xml:space="preserve"> </w:t>
            </w:r>
            <w:r w:rsidR="0029314E">
              <w:rPr>
                <w:rFonts w:ascii="Arial" w:hAnsi="Arial" w:cs="Arial"/>
                <w:szCs w:val="24"/>
              </w:rPr>
              <w:t xml:space="preserve">and </w:t>
            </w:r>
            <w:r w:rsidRPr="00CB4EE8">
              <w:rPr>
                <w:rFonts w:ascii="Arial" w:hAnsi="Arial" w:cs="Arial"/>
                <w:szCs w:val="24"/>
              </w:rPr>
              <w:t>other costs over budget by £</w:t>
            </w:r>
            <w:r w:rsidR="00414B67">
              <w:rPr>
                <w:rFonts w:ascii="Arial" w:hAnsi="Arial" w:cs="Arial"/>
                <w:szCs w:val="24"/>
              </w:rPr>
              <w:t>93</w:t>
            </w:r>
            <w:r w:rsidR="00CF250B">
              <w:rPr>
                <w:rFonts w:ascii="Arial" w:hAnsi="Arial" w:cs="Arial"/>
                <w:szCs w:val="24"/>
              </w:rPr>
              <w:t>K</w:t>
            </w:r>
            <w:r w:rsidR="0029314E">
              <w:rPr>
                <w:rFonts w:ascii="Arial" w:hAnsi="Arial" w:cs="Arial"/>
                <w:szCs w:val="24"/>
              </w:rPr>
              <w:t xml:space="preserve"> </w:t>
            </w:r>
            <w:r w:rsidR="00686F9F">
              <w:rPr>
                <w:rFonts w:ascii="Arial" w:hAnsi="Arial" w:cs="Arial"/>
                <w:szCs w:val="24"/>
              </w:rPr>
              <w:t>(</w:t>
            </w:r>
            <w:r w:rsidR="00414B67">
              <w:rPr>
                <w:rFonts w:ascii="Arial" w:hAnsi="Arial" w:cs="Arial"/>
                <w:szCs w:val="24"/>
              </w:rPr>
              <w:t>mainly do</w:t>
            </w:r>
            <w:r w:rsidR="00686F9F">
              <w:rPr>
                <w:rFonts w:ascii="Arial" w:hAnsi="Arial" w:cs="Arial"/>
                <w:szCs w:val="24"/>
              </w:rPr>
              <w:t>wn</w:t>
            </w:r>
            <w:r w:rsidR="00414B67">
              <w:rPr>
                <w:rFonts w:ascii="Arial" w:hAnsi="Arial" w:cs="Arial"/>
                <w:szCs w:val="24"/>
              </w:rPr>
              <w:t xml:space="preserve"> to t</w:t>
            </w:r>
            <w:r w:rsidR="004F0001">
              <w:rPr>
                <w:rFonts w:ascii="Arial" w:hAnsi="Arial" w:cs="Arial"/>
                <w:szCs w:val="24"/>
              </w:rPr>
              <w:t>he associated costs of delivering</w:t>
            </w:r>
            <w:r w:rsidR="00414B67">
              <w:rPr>
                <w:rFonts w:ascii="Arial" w:hAnsi="Arial" w:cs="Arial"/>
                <w:szCs w:val="24"/>
              </w:rPr>
              <w:t xml:space="preserve"> increased activity in Outdoor activity</w:t>
            </w:r>
            <w:r w:rsidR="00686F9F">
              <w:rPr>
                <w:rFonts w:ascii="Arial" w:hAnsi="Arial" w:cs="Arial"/>
                <w:szCs w:val="24"/>
              </w:rPr>
              <w:t xml:space="preserve">, Youth work and Sports).  </w:t>
            </w:r>
            <w:r w:rsidR="00414B67">
              <w:rPr>
                <w:rFonts w:ascii="Arial" w:hAnsi="Arial" w:cs="Arial"/>
                <w:szCs w:val="24"/>
              </w:rPr>
              <w:t>The additional income in Youth Work, Sport and Outdoor Activities must</w:t>
            </w:r>
            <w:r w:rsidR="004F0001">
              <w:rPr>
                <w:rFonts w:ascii="Arial" w:hAnsi="Arial" w:cs="Arial"/>
                <w:szCs w:val="24"/>
              </w:rPr>
              <w:t xml:space="preserve"> therefore </w:t>
            </w:r>
            <w:r w:rsidR="00414B67">
              <w:rPr>
                <w:rFonts w:ascii="Arial" w:hAnsi="Arial" w:cs="Arial"/>
                <w:szCs w:val="24"/>
              </w:rPr>
              <w:t xml:space="preserve">be analysed in conjunction with the additional </w:t>
            </w:r>
            <w:r w:rsidR="00686F9F">
              <w:rPr>
                <w:rFonts w:ascii="Arial" w:hAnsi="Arial" w:cs="Arial"/>
                <w:szCs w:val="24"/>
              </w:rPr>
              <w:t>staff costs and o</w:t>
            </w:r>
            <w:r w:rsidR="00414B67">
              <w:rPr>
                <w:rFonts w:ascii="Arial" w:hAnsi="Arial" w:cs="Arial"/>
                <w:szCs w:val="24"/>
              </w:rPr>
              <w:t xml:space="preserve">ther </w:t>
            </w:r>
            <w:r w:rsidR="00686F9F">
              <w:rPr>
                <w:rFonts w:ascii="Arial" w:hAnsi="Arial" w:cs="Arial"/>
                <w:szCs w:val="24"/>
              </w:rPr>
              <w:t>c</w:t>
            </w:r>
            <w:r w:rsidR="00414B67">
              <w:rPr>
                <w:rFonts w:ascii="Arial" w:hAnsi="Arial" w:cs="Arial"/>
                <w:szCs w:val="24"/>
              </w:rPr>
              <w:t>osts incurred as a result of receiving the grants – Summary table 3.4 shows the net effect.</w:t>
            </w:r>
          </w:p>
          <w:p w:rsidR="00414B67" w:rsidRDefault="00414B67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CF250B" w:rsidRPr="001766FB" w:rsidRDefault="004C0A19" w:rsidP="00CF250B">
            <w:pPr>
              <w:jc w:val="both"/>
              <w:rPr>
                <w:rFonts w:ascii="Arial" w:hAnsi="Arial" w:cs="Arial"/>
                <w:szCs w:val="24"/>
              </w:rPr>
            </w:pPr>
            <w:r w:rsidRPr="001766FB">
              <w:rPr>
                <w:rFonts w:ascii="Arial" w:hAnsi="Arial" w:cs="Arial"/>
                <w:szCs w:val="24"/>
              </w:rPr>
              <w:t>Summary results – Youth</w:t>
            </w:r>
            <w:r w:rsidR="00686F9F" w:rsidRPr="001766FB">
              <w:rPr>
                <w:rFonts w:ascii="Arial" w:hAnsi="Arial" w:cs="Arial"/>
                <w:szCs w:val="24"/>
              </w:rPr>
              <w:t xml:space="preserve"> W</w:t>
            </w:r>
            <w:r w:rsidRPr="001766FB">
              <w:rPr>
                <w:rFonts w:ascii="Arial" w:hAnsi="Arial" w:cs="Arial"/>
                <w:szCs w:val="24"/>
              </w:rPr>
              <w:t>ork, Sports and Outdoor Activities</w:t>
            </w:r>
          </w:p>
          <w:p w:rsidR="004C0A19" w:rsidRPr="001766FB" w:rsidRDefault="004C0A19" w:rsidP="00CF250B">
            <w:pPr>
              <w:jc w:val="both"/>
              <w:rPr>
                <w:rFonts w:ascii="Arial" w:hAnsi="Arial" w:cs="Arial"/>
                <w:szCs w:val="24"/>
              </w:rPr>
            </w:pPr>
          </w:p>
          <w:tbl>
            <w:tblPr>
              <w:tblW w:w="8278" w:type="dxa"/>
              <w:tblLayout w:type="fixed"/>
              <w:tblLook w:val="04A0" w:firstRow="1" w:lastRow="0" w:firstColumn="1" w:lastColumn="0" w:noHBand="0" w:noVBand="1"/>
            </w:tblPr>
            <w:tblGrid>
              <w:gridCol w:w="2096"/>
              <w:gridCol w:w="1729"/>
              <w:gridCol w:w="1578"/>
              <w:gridCol w:w="1405"/>
              <w:gridCol w:w="1470"/>
            </w:tblGrid>
            <w:tr w:rsidR="00414B67" w:rsidRPr="001766FB" w:rsidTr="00686F9F">
              <w:trPr>
                <w:trHeight w:val="552"/>
              </w:trPr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Activity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YTD Variance - Income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YTD Variance - Other costs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YTD Variance - Staff Costs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YTD - Total Variance</w:t>
                  </w:r>
                </w:p>
              </w:tc>
            </w:tr>
            <w:tr w:rsidR="00414B67" w:rsidRPr="001766FB" w:rsidTr="00686F9F">
              <w:trPr>
                <w:trHeight w:val="316"/>
              </w:trPr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Outdoor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£24,622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(£16,900)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(£9,803)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(£2,081)</w:t>
                  </w:r>
                </w:p>
              </w:tc>
            </w:tr>
            <w:tr w:rsidR="00414B67" w:rsidRPr="001766FB" w:rsidTr="00686F9F">
              <w:trPr>
                <w:trHeight w:val="316"/>
              </w:trPr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Sport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£42,109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(£13,633)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(£28,709)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(£234)</w:t>
                  </w:r>
                </w:p>
              </w:tc>
            </w:tr>
            <w:tr w:rsidR="00414B67" w:rsidRPr="001766FB" w:rsidTr="00686F9F">
              <w:trPr>
                <w:trHeight w:val="316"/>
              </w:trPr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Youth</w:t>
                  </w:r>
                  <w:r w:rsidR="004C0A19" w:rsidRPr="001766FB">
                    <w:rPr>
                      <w:rFonts w:ascii="Arial" w:hAnsi="Arial" w:cs="Arial"/>
                      <w:color w:val="000000"/>
                      <w:szCs w:val="24"/>
                    </w:rPr>
                    <w:t>-</w:t>
                  </w: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work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£90,340</w:t>
                  </w:r>
                </w:p>
              </w:tc>
              <w:tc>
                <w:tcPr>
                  <w:tcW w:w="1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(£28,090)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(£61,601)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£649</w:t>
                  </w:r>
                </w:p>
              </w:tc>
            </w:tr>
            <w:tr w:rsidR="00414B67" w:rsidRPr="001766FB" w:rsidTr="00686F9F">
              <w:trPr>
                <w:trHeight w:val="331"/>
              </w:trPr>
              <w:tc>
                <w:tcPr>
                  <w:tcW w:w="20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 xml:space="preserve">Surplus </w:t>
                  </w: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 Deficit)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000000"/>
                      <w:szCs w:val="24"/>
                    </w:rPr>
                    <w:t>£157,071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(£58,624)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(£100,113)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14B67" w:rsidRPr="001766FB" w:rsidRDefault="00414B67" w:rsidP="00414B67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color w:val="FF0000"/>
                      <w:szCs w:val="24"/>
                    </w:rPr>
                    <w:t>(£1,666)</w:t>
                  </w:r>
                </w:p>
              </w:tc>
            </w:tr>
          </w:tbl>
          <w:p w:rsidR="00B12596" w:rsidRDefault="00B12596" w:rsidP="00CF250B">
            <w:pPr>
              <w:jc w:val="both"/>
              <w:rPr>
                <w:rFonts w:ascii="Arial" w:hAnsi="Arial" w:cs="Arial"/>
                <w:szCs w:val="24"/>
              </w:rPr>
            </w:pPr>
          </w:p>
          <w:p w:rsidR="00817421" w:rsidRDefault="00635750" w:rsidP="00CF250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commentary on the major variances </w:t>
            </w:r>
            <w:r w:rsidR="001766FB">
              <w:rPr>
                <w:rFonts w:ascii="Arial" w:hAnsi="Arial" w:cs="Arial"/>
                <w:szCs w:val="24"/>
              </w:rPr>
              <w:t>(o</w:t>
            </w:r>
            <w:r w:rsidR="00755B8E">
              <w:rPr>
                <w:rFonts w:ascii="Arial" w:hAnsi="Arial" w:cs="Arial"/>
                <w:szCs w:val="24"/>
              </w:rPr>
              <w:t xml:space="preserve">ver £5K) </w:t>
            </w:r>
            <w:r>
              <w:rPr>
                <w:rFonts w:ascii="Arial" w:hAnsi="Arial" w:cs="Arial"/>
                <w:szCs w:val="24"/>
              </w:rPr>
              <w:t xml:space="preserve">is provided at </w:t>
            </w:r>
            <w:r w:rsidRPr="00635750">
              <w:rPr>
                <w:rFonts w:ascii="Arial" w:hAnsi="Arial" w:cs="Arial"/>
                <w:b/>
                <w:szCs w:val="24"/>
              </w:rPr>
              <w:t xml:space="preserve">Appendix </w:t>
            </w:r>
            <w:r w:rsidR="00CF250B">
              <w:rPr>
                <w:rFonts w:ascii="Arial" w:hAnsi="Arial" w:cs="Arial"/>
                <w:b/>
                <w:szCs w:val="24"/>
              </w:rPr>
              <w:t>C</w:t>
            </w:r>
            <w:r w:rsidR="0029314E">
              <w:rPr>
                <w:rFonts w:ascii="Arial" w:hAnsi="Arial" w:cs="Arial"/>
                <w:szCs w:val="24"/>
              </w:rPr>
              <w:t>.</w:t>
            </w:r>
          </w:p>
          <w:p w:rsidR="00CF250B" w:rsidRPr="002D76CB" w:rsidRDefault="00CF250B" w:rsidP="00CF250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A685F" w:rsidRPr="0089449E">
        <w:tc>
          <w:tcPr>
            <w:tcW w:w="817" w:type="dxa"/>
          </w:tcPr>
          <w:p w:rsidR="008A685F" w:rsidRDefault="008A685F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4</w:t>
            </w:r>
          </w:p>
          <w:p w:rsidR="008A685F" w:rsidRDefault="008A685F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:rsidR="00686F9F" w:rsidRPr="00686F9F" w:rsidRDefault="00686F9F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686F9F">
              <w:rPr>
                <w:rFonts w:ascii="Arial" w:hAnsi="Arial" w:cs="Arial"/>
                <w:szCs w:val="24"/>
              </w:rPr>
              <w:t>4.1</w:t>
            </w:r>
          </w:p>
        </w:tc>
        <w:tc>
          <w:tcPr>
            <w:tcW w:w="8647" w:type="dxa"/>
          </w:tcPr>
          <w:p w:rsidR="008A685F" w:rsidRDefault="008A685F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54631">
              <w:rPr>
                <w:rFonts w:ascii="Arial" w:hAnsi="Arial" w:cs="Arial"/>
                <w:b/>
                <w:szCs w:val="24"/>
              </w:rPr>
              <w:t>Tenders Approved / Contracts Awarded</w:t>
            </w:r>
          </w:p>
          <w:p w:rsidR="008A685F" w:rsidRDefault="008A685F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eGrid"/>
              <w:tblW w:w="8392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1842"/>
              <w:gridCol w:w="3181"/>
              <w:gridCol w:w="2835"/>
            </w:tblGrid>
            <w:tr w:rsidR="00B12596" w:rsidRPr="00F71E23" w:rsidTr="001766FB">
              <w:tc>
                <w:tcPr>
                  <w:tcW w:w="534" w:type="dxa"/>
                </w:tcPr>
                <w:p w:rsidR="00B12596" w:rsidRPr="00F71E23" w:rsidRDefault="00B12596" w:rsidP="00E4785E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842" w:type="dxa"/>
                </w:tcPr>
                <w:p w:rsidR="00B12596" w:rsidRPr="00B12596" w:rsidRDefault="00B12596" w:rsidP="00E4785E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Contractor</w:t>
                  </w:r>
                </w:p>
              </w:tc>
              <w:tc>
                <w:tcPr>
                  <w:tcW w:w="3181" w:type="dxa"/>
                </w:tcPr>
                <w:p w:rsidR="00B12596" w:rsidRPr="00B12596" w:rsidRDefault="00B12596" w:rsidP="00E4785E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</w:rPr>
                    <w:t>Services</w:t>
                  </w:r>
                </w:p>
              </w:tc>
              <w:tc>
                <w:tcPr>
                  <w:tcW w:w="2835" w:type="dxa"/>
                </w:tcPr>
                <w:p w:rsidR="00B12596" w:rsidRPr="00B12596" w:rsidRDefault="00B12596" w:rsidP="00E4785E">
                  <w:pPr>
                    <w:rPr>
                      <w:rFonts w:ascii="Arial" w:hAnsi="Arial" w:cs="Arial"/>
                      <w:b/>
                      <w:sz w:val="22"/>
                    </w:rPr>
                  </w:pPr>
                  <w:r w:rsidRPr="00B12596">
                    <w:rPr>
                      <w:rFonts w:ascii="Arial" w:hAnsi="Arial" w:cs="Arial"/>
                      <w:b/>
                      <w:sz w:val="22"/>
                    </w:rPr>
                    <w:t>Contract Duration</w:t>
                  </w:r>
                </w:p>
              </w:tc>
            </w:tr>
            <w:tr w:rsidR="00B12596" w:rsidRPr="00F71E23" w:rsidTr="001766FB">
              <w:tc>
                <w:tcPr>
                  <w:tcW w:w="534" w:type="dxa"/>
                </w:tcPr>
                <w:p w:rsidR="00B12596" w:rsidRPr="001766FB" w:rsidRDefault="00B12596" w:rsidP="00E4785E">
                  <w:pPr>
                    <w:rPr>
                      <w:rFonts w:ascii="Arial" w:hAnsi="Arial" w:cs="Arial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szCs w:val="24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B12596" w:rsidRPr="001766FB" w:rsidRDefault="00B12596" w:rsidP="00E4785E">
                  <w:pPr>
                    <w:rPr>
                      <w:rFonts w:ascii="Arial" w:hAnsi="Arial" w:cs="Arial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szCs w:val="24"/>
                    </w:rPr>
                    <w:t>Cobbs Catering</w:t>
                  </w:r>
                </w:p>
              </w:tc>
              <w:tc>
                <w:tcPr>
                  <w:tcW w:w="3181" w:type="dxa"/>
                </w:tcPr>
                <w:p w:rsidR="00B12596" w:rsidRPr="001766FB" w:rsidRDefault="00B12596" w:rsidP="00E4785E">
                  <w:pPr>
                    <w:rPr>
                      <w:rFonts w:ascii="Arial" w:hAnsi="Arial" w:cs="Arial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szCs w:val="24"/>
                    </w:rPr>
                    <w:t>Provision of Catering Services at IMAG</w:t>
                  </w:r>
                </w:p>
              </w:tc>
              <w:tc>
                <w:tcPr>
                  <w:tcW w:w="2835" w:type="dxa"/>
                </w:tcPr>
                <w:p w:rsidR="00B12596" w:rsidRPr="001766FB" w:rsidRDefault="00B12596" w:rsidP="00E4785E">
                  <w:pPr>
                    <w:rPr>
                      <w:rFonts w:ascii="Arial" w:hAnsi="Arial" w:cs="Arial"/>
                      <w:szCs w:val="24"/>
                    </w:rPr>
                  </w:pPr>
                  <w:r w:rsidRPr="001766FB">
                    <w:rPr>
                      <w:rFonts w:ascii="Arial" w:hAnsi="Arial" w:cs="Arial"/>
                      <w:szCs w:val="24"/>
                    </w:rPr>
                    <w:t>Oct ’14 – Sept ‘17</w:t>
                  </w:r>
                </w:p>
              </w:tc>
            </w:tr>
          </w:tbl>
          <w:p w:rsidR="008A685F" w:rsidRPr="00554631" w:rsidRDefault="008A685F" w:rsidP="00B3208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A3353" w:rsidRPr="009B0904" w:rsidTr="008A3353">
        <w:trPr>
          <w:trHeight w:val="498"/>
        </w:trPr>
        <w:tc>
          <w:tcPr>
            <w:tcW w:w="817" w:type="dxa"/>
          </w:tcPr>
          <w:p w:rsidR="00B12596" w:rsidRDefault="00B12596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A3353" w:rsidRPr="008A3353" w:rsidRDefault="00B12596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A3353" w:rsidRPr="008A3353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7" w:type="dxa"/>
          </w:tcPr>
          <w:p w:rsidR="00B12596" w:rsidRDefault="00B1259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8A3353" w:rsidRDefault="008A3353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A3353">
              <w:rPr>
                <w:rFonts w:ascii="Arial" w:hAnsi="Arial" w:cs="Arial"/>
                <w:b/>
              </w:rPr>
              <w:t>Implications</w:t>
            </w:r>
          </w:p>
          <w:p w:rsidR="00B12596" w:rsidRPr="008A3353" w:rsidRDefault="00B1259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53534" w:rsidRPr="009B0904" w:rsidTr="003B450B">
        <w:trPr>
          <w:trHeight w:val="2315"/>
        </w:trPr>
        <w:tc>
          <w:tcPr>
            <w:tcW w:w="817" w:type="dxa"/>
          </w:tcPr>
          <w:p w:rsidR="00A53534" w:rsidRPr="009B0904" w:rsidRDefault="00B1259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53534" w:rsidRPr="009B0904">
              <w:rPr>
                <w:rFonts w:ascii="Arial" w:hAnsi="Arial" w:cs="Arial"/>
              </w:rPr>
              <w:t>.1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B1259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A70C6" w:rsidRPr="009B0904">
              <w:rPr>
                <w:rFonts w:ascii="Arial" w:hAnsi="Arial" w:cs="Arial"/>
              </w:rPr>
              <w:t>.2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B1259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A70C6" w:rsidRPr="009B0904">
              <w:rPr>
                <w:rFonts w:ascii="Arial" w:hAnsi="Arial" w:cs="Arial"/>
              </w:rPr>
              <w:t>.3</w:t>
            </w:r>
          </w:p>
          <w:p w:rsidR="003924C9" w:rsidRPr="009B0904" w:rsidRDefault="003924C9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>Resource Implications –</w:t>
            </w:r>
            <w:r w:rsidR="002A21D3" w:rsidRPr="009B0904">
              <w:rPr>
                <w:rFonts w:ascii="Arial" w:hAnsi="Arial" w:cs="Arial"/>
              </w:rPr>
              <w:t xml:space="preserve">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resource implications arising from the content of this report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Legal Implications </w:t>
            </w:r>
            <w:r w:rsidR="002A21D3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legal implications arising from the content of this report.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3C32" w:rsidRPr="00F070CF" w:rsidRDefault="00EA70C6" w:rsidP="004720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9B0904">
              <w:rPr>
                <w:rFonts w:ascii="Arial" w:hAnsi="Arial" w:cs="Arial"/>
              </w:rPr>
              <w:t xml:space="preserve">Risk Implications </w:t>
            </w:r>
            <w:r w:rsidR="00023E37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023E37" w:rsidRPr="009B0904">
              <w:rPr>
                <w:rFonts w:ascii="Arial" w:hAnsi="Arial" w:cs="Arial"/>
              </w:rPr>
              <w:t>here are no new risks arising from the content of this report</w:t>
            </w:r>
            <w:r w:rsidR="00A53534" w:rsidRPr="009B0904">
              <w:rPr>
                <w:rFonts w:ascii="Arial" w:hAnsi="Arial" w:cs="Arial"/>
                <w:i/>
              </w:rPr>
              <w:t>.</w:t>
            </w:r>
          </w:p>
        </w:tc>
      </w:tr>
    </w:tbl>
    <w:p w:rsidR="0039450A" w:rsidRPr="009B0904" w:rsidRDefault="0039450A" w:rsidP="00416BFF">
      <w:pPr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9B0904">
        <w:trPr>
          <w:cantSplit/>
        </w:trPr>
        <w:tc>
          <w:tcPr>
            <w:tcW w:w="9464" w:type="dxa"/>
          </w:tcPr>
          <w:p w:rsidR="0039450A" w:rsidRPr="009B0904" w:rsidRDefault="002B7DC4" w:rsidP="00416BFF">
            <w:pPr>
              <w:pStyle w:val="Heading3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9B0904">
              <w:rPr>
                <w:rFonts w:ascii="Arial" w:hAnsi="Arial" w:cs="Arial"/>
                <w:szCs w:val="24"/>
                <w:u w:val="none"/>
              </w:rPr>
              <w:lastRenderedPageBreak/>
              <w:t>Recommendation</w:t>
            </w:r>
          </w:p>
          <w:p w:rsidR="00686F9F" w:rsidRDefault="00686F9F" w:rsidP="0083625F">
            <w:pPr>
              <w:jc w:val="both"/>
              <w:rPr>
                <w:rFonts w:ascii="Arial" w:hAnsi="Arial" w:cs="Arial"/>
                <w:szCs w:val="24"/>
              </w:rPr>
            </w:pPr>
          </w:p>
          <w:p w:rsidR="00686F9F" w:rsidRDefault="00686F9F" w:rsidP="00686F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 note:-</w:t>
            </w:r>
          </w:p>
          <w:p w:rsidR="00686F9F" w:rsidRDefault="00686F9F" w:rsidP="00686F9F">
            <w:pPr>
              <w:jc w:val="both"/>
              <w:rPr>
                <w:rFonts w:ascii="Arial" w:hAnsi="Arial" w:cs="Arial"/>
              </w:rPr>
            </w:pPr>
          </w:p>
          <w:p w:rsidR="00686F9F" w:rsidRDefault="00686F9F" w:rsidP="00686F9F">
            <w:pPr>
              <w:pStyle w:val="ListParagraph"/>
              <w:numPr>
                <w:ilvl w:val="0"/>
                <w:numId w:val="44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the current financial position of High Life Highland as detailed in </w:t>
            </w:r>
            <w:r w:rsidRPr="00B71E7C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6F9F" w:rsidRPr="00B71E7C" w:rsidRDefault="00686F9F" w:rsidP="00686F9F">
            <w:pPr>
              <w:pStyle w:val="ListParagraph"/>
              <w:numPr>
                <w:ilvl w:val="0"/>
                <w:numId w:val="44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the financial results for the </w:t>
            </w:r>
            <w:r>
              <w:rPr>
                <w:rFonts w:ascii="Arial" w:hAnsi="Arial" w:cs="Arial"/>
                <w:sz w:val="24"/>
                <w:szCs w:val="24"/>
              </w:rPr>
              <w:t>5 months to 31 August 2014</w:t>
            </w:r>
            <w:r w:rsidRPr="00B71E7C">
              <w:rPr>
                <w:rFonts w:ascii="Arial" w:hAnsi="Arial" w:cs="Arial"/>
                <w:sz w:val="24"/>
                <w:szCs w:val="24"/>
              </w:rPr>
              <w:t xml:space="preserve"> reports a </w:t>
            </w:r>
            <w:r>
              <w:rPr>
                <w:rFonts w:ascii="Arial" w:hAnsi="Arial" w:cs="Arial"/>
                <w:sz w:val="24"/>
                <w:szCs w:val="24"/>
              </w:rPr>
              <w:t xml:space="preserve">positive </w:t>
            </w:r>
            <w:r w:rsidRPr="00B71E7C">
              <w:rPr>
                <w:rFonts w:ascii="Arial" w:hAnsi="Arial" w:cs="Arial"/>
                <w:sz w:val="24"/>
                <w:szCs w:val="24"/>
              </w:rPr>
              <w:t>variance on budget of £</w:t>
            </w:r>
            <w:r>
              <w:rPr>
                <w:rFonts w:ascii="Arial" w:hAnsi="Arial" w:cs="Arial"/>
                <w:sz w:val="24"/>
                <w:szCs w:val="24"/>
              </w:rPr>
              <w:t>4,628</w:t>
            </w:r>
            <w:r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6F9F" w:rsidRPr="00686F9F" w:rsidRDefault="00686F9F" w:rsidP="00686F9F">
            <w:pPr>
              <w:pStyle w:val="ListParagraph"/>
              <w:numPr>
                <w:ilvl w:val="0"/>
                <w:numId w:val="44"/>
              </w:numPr>
              <w:ind w:left="567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B71E7C">
              <w:rPr>
                <w:rFonts w:ascii="Arial" w:hAnsi="Arial" w:cs="Arial"/>
                <w:sz w:val="24"/>
                <w:szCs w:val="24"/>
              </w:rPr>
              <w:t xml:space="preserve">he projected final out-turn for the year </w:t>
            </w:r>
            <w:r>
              <w:rPr>
                <w:rFonts w:ascii="Arial" w:hAnsi="Arial" w:cs="Arial"/>
                <w:sz w:val="24"/>
                <w:szCs w:val="24"/>
              </w:rPr>
              <w:t xml:space="preserve">remains on target to the approved budget; and </w:t>
            </w:r>
          </w:p>
          <w:p w:rsidR="0039450A" w:rsidRPr="0083625F" w:rsidRDefault="00686F9F" w:rsidP="00686F9F">
            <w:pPr>
              <w:pStyle w:val="ListParagraph"/>
              <w:numPr>
                <w:ilvl w:val="0"/>
                <w:numId w:val="44"/>
              </w:numPr>
              <w:ind w:left="567" w:hanging="283"/>
              <w:jc w:val="both"/>
              <w:rPr>
                <w:rFonts w:ascii="Arial" w:hAnsi="Arial" w:cs="Arial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the award of contracts to </w:t>
            </w:r>
            <w:r>
              <w:rPr>
                <w:rFonts w:ascii="Arial" w:hAnsi="Arial" w:cs="Arial"/>
                <w:sz w:val="24"/>
                <w:szCs w:val="24"/>
              </w:rPr>
              <w:t>Cobbs Catering.</w:t>
            </w:r>
            <w:r w:rsidR="0039450A" w:rsidRPr="0083625F">
              <w:rPr>
                <w:rFonts w:ascii="Arial" w:hAnsi="Arial" w:cs="Arial"/>
                <w:szCs w:val="24"/>
              </w:rPr>
              <w:fldChar w:fldCharType="begin"/>
            </w:r>
            <w:r w:rsidR="0039450A" w:rsidRPr="0083625F">
              <w:rPr>
                <w:rFonts w:ascii="Arial" w:hAnsi="Arial" w:cs="Arial"/>
                <w:szCs w:val="24"/>
              </w:rPr>
              <w:instrText xml:space="preserve">  </w:instrText>
            </w:r>
            <w:r w:rsidR="0039450A" w:rsidRPr="0083625F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281BD6" w:rsidRDefault="00281BD6" w:rsidP="00416BFF">
      <w:pPr>
        <w:rPr>
          <w:rFonts w:ascii="Arial" w:hAnsi="Arial" w:cs="Arial"/>
          <w:szCs w:val="24"/>
        </w:rPr>
      </w:pPr>
    </w:p>
    <w:p w:rsidR="0039450A" w:rsidRPr="009B0904" w:rsidRDefault="0039450A" w:rsidP="00416BFF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Signature:</w:t>
      </w:r>
      <w:r w:rsidR="006A137F" w:rsidRPr="009B0904">
        <w:rPr>
          <w:rFonts w:ascii="Arial" w:hAnsi="Arial" w:cs="Arial"/>
          <w:szCs w:val="24"/>
        </w:rPr>
        <w:tab/>
      </w:r>
    </w:p>
    <w:p w:rsidR="0039450A" w:rsidRPr="009B0904" w:rsidRDefault="0039450A" w:rsidP="00416BFF">
      <w:pPr>
        <w:rPr>
          <w:rFonts w:ascii="Arial" w:hAnsi="Arial" w:cs="Arial"/>
          <w:szCs w:val="24"/>
        </w:rPr>
      </w:pPr>
    </w:p>
    <w:p w:rsidR="0039450A" w:rsidRPr="009B0904" w:rsidRDefault="0039450A" w:rsidP="00416BFF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Designation:</w:t>
      </w:r>
      <w:r w:rsidR="0067538A" w:rsidRPr="009B0904">
        <w:rPr>
          <w:rFonts w:ascii="Arial" w:hAnsi="Arial" w:cs="Arial"/>
          <w:szCs w:val="24"/>
        </w:rPr>
        <w:tab/>
        <w:t>Chief Executive</w:t>
      </w:r>
    </w:p>
    <w:p w:rsidR="0039450A" w:rsidRPr="009B0904" w:rsidRDefault="0039450A" w:rsidP="00416BFF">
      <w:pPr>
        <w:rPr>
          <w:rFonts w:ascii="Arial" w:hAnsi="Arial" w:cs="Arial"/>
          <w:szCs w:val="24"/>
        </w:rPr>
      </w:pPr>
    </w:p>
    <w:p w:rsidR="00655F80" w:rsidRPr="009B0904" w:rsidRDefault="0039450A" w:rsidP="000F274B">
      <w:pPr>
        <w:rPr>
          <w:rFonts w:ascii="Arial" w:hAnsi="Arial" w:cs="Arial"/>
          <w:szCs w:val="24"/>
        </w:rPr>
      </w:pPr>
      <w:bookmarkStart w:id="0" w:name="_GoBack"/>
      <w:r w:rsidRPr="009B0904">
        <w:rPr>
          <w:rFonts w:ascii="Arial" w:hAnsi="Arial" w:cs="Arial"/>
          <w:szCs w:val="24"/>
        </w:rPr>
        <w:t>Date:</w:t>
      </w:r>
      <w:r w:rsidRPr="009B0904">
        <w:rPr>
          <w:rFonts w:ascii="Arial" w:hAnsi="Arial" w:cs="Arial"/>
          <w:szCs w:val="24"/>
        </w:rPr>
        <w:tab/>
      </w:r>
      <w:r w:rsidRPr="009B0904">
        <w:rPr>
          <w:rFonts w:ascii="Arial" w:hAnsi="Arial" w:cs="Arial"/>
          <w:szCs w:val="24"/>
        </w:rPr>
        <w:tab/>
      </w:r>
      <w:r w:rsidR="001766FB">
        <w:rPr>
          <w:rFonts w:ascii="Arial" w:hAnsi="Arial" w:cs="Arial"/>
          <w:szCs w:val="24"/>
        </w:rPr>
        <w:t>10</w:t>
      </w:r>
      <w:r w:rsidR="00B12596">
        <w:rPr>
          <w:rFonts w:ascii="Arial" w:hAnsi="Arial" w:cs="Arial"/>
          <w:szCs w:val="24"/>
        </w:rPr>
        <w:t xml:space="preserve"> October 2014</w:t>
      </w:r>
    </w:p>
    <w:p w:rsidR="003E6B08" w:rsidRDefault="003E6B08">
      <w:pPr>
        <w:rPr>
          <w:rFonts w:ascii="Arial" w:hAnsi="Arial" w:cs="Arial"/>
          <w:szCs w:val="24"/>
        </w:rPr>
        <w:sectPr w:rsidR="003E6B08" w:rsidSect="003B450B">
          <w:pgSz w:w="11906" w:h="16838"/>
          <w:pgMar w:top="1135" w:right="1440" w:bottom="1276" w:left="1440" w:header="720" w:footer="720" w:gutter="0"/>
          <w:cols w:space="720"/>
        </w:sectPr>
      </w:pPr>
    </w:p>
    <w:bookmarkEnd w:id="0"/>
    <w:p w:rsidR="00290EB5" w:rsidRDefault="00290EB5" w:rsidP="00290EB5">
      <w:pPr>
        <w:rPr>
          <w:rFonts w:ascii="Arial" w:hAnsi="Arial" w:cs="Arial"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  <w:r w:rsidRPr="00D943A1">
        <w:rPr>
          <w:rFonts w:ascii="Arial" w:hAnsi="Arial" w:cs="Arial"/>
          <w:b/>
          <w:szCs w:val="24"/>
        </w:rPr>
        <w:t>Summary Results - Consolidated</w:t>
      </w:r>
      <w:r w:rsidRPr="00D943A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</w:t>
      </w:r>
      <w:r w:rsidR="00686F9F">
        <w:rPr>
          <w:rFonts w:ascii="Arial" w:hAnsi="Arial" w:cs="Arial"/>
          <w:szCs w:val="24"/>
        </w:rPr>
        <w:t xml:space="preserve">            </w:t>
      </w:r>
      <w:r w:rsidRPr="00D943A1">
        <w:rPr>
          <w:rFonts w:ascii="Arial" w:hAnsi="Arial" w:cs="Arial"/>
          <w:b/>
          <w:szCs w:val="24"/>
        </w:rPr>
        <w:t xml:space="preserve">APPENDIX A 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Pr="00D943A1" w:rsidRDefault="00290EB5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tbl>
      <w:tblPr>
        <w:tblW w:w="12760" w:type="dxa"/>
        <w:tblInd w:w="108" w:type="dxa"/>
        <w:tblLook w:val="04A0" w:firstRow="1" w:lastRow="0" w:firstColumn="1" w:lastColumn="0" w:noHBand="0" w:noVBand="1"/>
      </w:tblPr>
      <w:tblGrid>
        <w:gridCol w:w="2856"/>
        <w:gridCol w:w="2216"/>
        <w:gridCol w:w="2876"/>
        <w:gridCol w:w="2676"/>
        <w:gridCol w:w="2136"/>
      </w:tblGrid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Consolidated Results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Annual Budget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YTD Budget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YTD Actual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Variance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£21,971,467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£10,270,500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£10,447,967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£177,467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Other Costs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(£5,752,975)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(£1,309,748)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(£1,402,280)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(£92,532)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Staff Costs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(£16,218,492)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(£6,775,201)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(£6,855,508)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(£80,307)</w:t>
            </w:r>
          </w:p>
        </w:tc>
      </w:tr>
      <w:tr w:rsidR="00B074BD" w:rsidRPr="00B074BD" w:rsidTr="00B074BD">
        <w:trPr>
          <w:trHeight w:val="31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 xml:space="preserve">Surplus </w:t>
            </w: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 Deficit)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£2,185,551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£2,190,180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£4,628</w:t>
            </w:r>
          </w:p>
        </w:tc>
      </w:tr>
    </w:tbl>
    <w:p w:rsidR="00290EB5" w:rsidRDefault="00290EB5" w:rsidP="00290EB5">
      <w:pPr>
        <w:rPr>
          <w:rFonts w:ascii="Arial" w:hAnsi="Arial" w:cs="Arial"/>
          <w:szCs w:val="24"/>
        </w:rPr>
      </w:pPr>
    </w:p>
    <w:p w:rsidR="00686F9F" w:rsidRDefault="00686F9F">
      <w:pPr>
        <w:rPr>
          <w:rFonts w:ascii="Arial" w:hAnsi="Arial" w:cs="Arial"/>
          <w:b/>
          <w:szCs w:val="24"/>
        </w:rPr>
      </w:pPr>
    </w:p>
    <w:p w:rsidR="00290EB5" w:rsidRDefault="00B074BD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</w:t>
      </w:r>
      <w:r w:rsidR="00290EB5" w:rsidRPr="00D943A1">
        <w:rPr>
          <w:rFonts w:ascii="Arial" w:hAnsi="Arial" w:cs="Arial"/>
          <w:b/>
          <w:szCs w:val="24"/>
        </w:rPr>
        <w:t>reakdown of Results – By Activity</w:t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 xml:space="preserve">                                                     </w:t>
      </w:r>
      <w:r w:rsidR="00290EB5" w:rsidRPr="00D943A1">
        <w:rPr>
          <w:rFonts w:ascii="Arial" w:hAnsi="Arial" w:cs="Arial"/>
          <w:b/>
          <w:szCs w:val="24"/>
        </w:rPr>
        <w:t>APPENDIX B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12760" w:type="dxa"/>
        <w:tblInd w:w="108" w:type="dxa"/>
        <w:tblLook w:val="04A0" w:firstRow="1" w:lastRow="0" w:firstColumn="1" w:lastColumn="0" w:noHBand="0" w:noVBand="1"/>
      </w:tblPr>
      <w:tblGrid>
        <w:gridCol w:w="2856"/>
        <w:gridCol w:w="2216"/>
        <w:gridCol w:w="2876"/>
        <w:gridCol w:w="2676"/>
        <w:gridCol w:w="2136"/>
      </w:tblGrid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Activity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Annual Budget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YTD Budget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YTD Actual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Variance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(£710,555)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(£240,092)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(£237,445)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£2,647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Archives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(£584,727)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(£273,140)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(£272,761)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£379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(£289,294)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(£129,427)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(£130,927)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(£1,500)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Central Administration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(£210,092)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(£44,638)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(£44,639)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(£0)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Facilities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(£2,278,121)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(£842,620)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(£844,684)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(£2,063)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Libraries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(£3,926,468)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(£1,530,691)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(£1,531,323)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(£632)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(£1,826,733)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(£793,591)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(£794,025)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(£433)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Management - H &amp;W Project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£172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£172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Museums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(£552,998)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(£228,505)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(£220,780)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£7,725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Outdoor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(£145,270)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(£47,004)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(£49,085)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(£2,081)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SLA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£12,762,695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£7,223,450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£7,223,450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(£501,956)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(£132,738)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(£132,972)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(£234)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Youth</w:t>
            </w:r>
            <w:r w:rsidR="004C0A1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work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(£1,736,481)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(£775,452)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(£774,803)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£649</w:t>
            </w:r>
          </w:p>
        </w:tc>
      </w:tr>
      <w:tr w:rsidR="00B074BD" w:rsidRPr="00B074BD" w:rsidTr="00B074BD">
        <w:trPr>
          <w:trHeight w:val="31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 xml:space="preserve">Surplus </w:t>
            </w: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 Deficit)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£2,185,551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£2,190,180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£4,628</w:t>
            </w:r>
          </w:p>
        </w:tc>
      </w:tr>
    </w:tbl>
    <w:p w:rsidR="00686F9F" w:rsidRDefault="00686F9F" w:rsidP="00290EB5">
      <w:pPr>
        <w:rPr>
          <w:rFonts w:ascii="Arial" w:hAnsi="Arial" w:cs="Arial"/>
          <w:b/>
          <w:szCs w:val="24"/>
        </w:rPr>
      </w:pPr>
    </w:p>
    <w:p w:rsidR="00686F9F" w:rsidRDefault="00686F9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Breakdown of Variance -  By Activity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                                   Appendix B Contd.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12760" w:type="dxa"/>
        <w:tblInd w:w="108" w:type="dxa"/>
        <w:tblLook w:val="04A0" w:firstRow="1" w:lastRow="0" w:firstColumn="1" w:lastColumn="0" w:noHBand="0" w:noVBand="1"/>
      </w:tblPr>
      <w:tblGrid>
        <w:gridCol w:w="2856"/>
        <w:gridCol w:w="2216"/>
        <w:gridCol w:w="2876"/>
        <w:gridCol w:w="2676"/>
        <w:gridCol w:w="2136"/>
      </w:tblGrid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Activity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YTD Variance - Income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YTD Variance - Other costs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YTD Variance - Staff Costs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YTD - Total Variance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(£1,188)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£2,743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£1,091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£2,647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Archives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(£164)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(£2,858)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£3,401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£379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£16,098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(£12,536)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(£5,062)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(£1,500)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Facilities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(£11,491)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(£1,700)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£11,128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(£2,063)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Libraries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(£8,523)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(£42)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£7,934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(£632)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£8,840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(£9,699)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£425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(£433)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Management - H &amp;W Project 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£8,343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(£8,171)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£172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Museums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£8,481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(£1,644)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£888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£7,725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Outdoor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£24,622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(£16,900)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(£9,803)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(£2,081)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SLA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£0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£42,109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(£13,633)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(£28,709)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(£234)</w:t>
            </w:r>
          </w:p>
        </w:tc>
      </w:tr>
      <w:tr w:rsidR="00B074BD" w:rsidRPr="00B074BD" w:rsidTr="00B074BD">
        <w:trPr>
          <w:trHeight w:val="300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Youth</w:t>
            </w:r>
            <w:r w:rsidR="004C0A1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work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£90,340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(£28,090)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(£61,601)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£649</w:t>
            </w:r>
          </w:p>
        </w:tc>
      </w:tr>
      <w:tr w:rsidR="00B074BD" w:rsidRPr="00B074BD" w:rsidTr="00B074BD">
        <w:trPr>
          <w:trHeight w:val="315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 xml:space="preserve">Surplus </w:t>
            </w: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 Deficit)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£177,467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(£92,531)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FF0000"/>
                <w:sz w:val="22"/>
                <w:szCs w:val="22"/>
              </w:rPr>
              <w:t>(£80,307)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74BD" w:rsidRPr="00B074BD" w:rsidRDefault="00B074BD" w:rsidP="00B07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74BD">
              <w:rPr>
                <w:rFonts w:ascii="Arial" w:hAnsi="Arial" w:cs="Arial"/>
                <w:color w:val="000000"/>
                <w:sz w:val="22"/>
                <w:szCs w:val="22"/>
              </w:rPr>
              <w:t>£4,629</w:t>
            </w:r>
          </w:p>
        </w:tc>
      </w:tr>
    </w:tbl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B074BD" w:rsidRDefault="00B074BD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F22C6B" w:rsidRDefault="00F22C6B" w:rsidP="00290EB5">
      <w:pPr>
        <w:rPr>
          <w:rFonts w:ascii="Arial" w:hAnsi="Arial" w:cs="Arial"/>
          <w:b/>
          <w:szCs w:val="24"/>
        </w:rPr>
      </w:pPr>
    </w:p>
    <w:p w:rsidR="00290EB5" w:rsidRDefault="00B074BD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Ex</w:t>
      </w:r>
      <w:r w:rsidR="00290EB5">
        <w:rPr>
          <w:rFonts w:ascii="Arial" w:hAnsi="Arial" w:cs="Arial"/>
          <w:b/>
          <w:szCs w:val="24"/>
        </w:rPr>
        <w:t xml:space="preserve">planation of </w:t>
      </w:r>
      <w:r w:rsidR="00F22C6B">
        <w:rPr>
          <w:rFonts w:ascii="Arial" w:hAnsi="Arial" w:cs="Arial"/>
          <w:b/>
          <w:szCs w:val="24"/>
        </w:rPr>
        <w:t xml:space="preserve">Major </w:t>
      </w:r>
      <w:r w:rsidR="00290EB5">
        <w:rPr>
          <w:rFonts w:ascii="Arial" w:hAnsi="Arial" w:cs="Arial"/>
          <w:b/>
          <w:szCs w:val="24"/>
        </w:rPr>
        <w:t>Variance</w:t>
      </w:r>
      <w:r w:rsidR="00F22C6B">
        <w:rPr>
          <w:rFonts w:ascii="Arial" w:hAnsi="Arial" w:cs="Arial"/>
          <w:b/>
          <w:szCs w:val="24"/>
        </w:rPr>
        <w:t xml:space="preserve"> (Over £5K)</w:t>
      </w:r>
      <w:r w:rsidR="00290EB5">
        <w:rPr>
          <w:rFonts w:ascii="Arial" w:hAnsi="Arial" w:cs="Arial"/>
          <w:b/>
          <w:szCs w:val="24"/>
        </w:rPr>
        <w:t xml:space="preserve"> – By Activity</w:t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  <w:t xml:space="preserve">                                                   Appendix C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15500" w:type="dxa"/>
        <w:tblInd w:w="103" w:type="dxa"/>
        <w:tblLook w:val="04A0" w:firstRow="1" w:lastRow="0" w:firstColumn="1" w:lastColumn="0" w:noHBand="0" w:noVBand="1"/>
      </w:tblPr>
      <w:tblGrid>
        <w:gridCol w:w="2820"/>
        <w:gridCol w:w="1060"/>
        <w:gridCol w:w="4240"/>
        <w:gridCol w:w="3680"/>
        <w:gridCol w:w="3700"/>
      </w:tblGrid>
      <w:tr w:rsidR="003D2A83" w:rsidRPr="003D2A83" w:rsidTr="003D2A83">
        <w:trPr>
          <w:trHeight w:val="28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755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755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755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Other Costs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755B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Staff Costs</w:t>
            </w:r>
          </w:p>
        </w:tc>
      </w:tr>
      <w:tr w:rsidR="003D2A83" w:rsidRPr="003D2A83" w:rsidTr="003D2A8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FF0000"/>
                <w:sz w:val="22"/>
                <w:szCs w:val="22"/>
              </w:rPr>
              <w:t>(£1,500)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Income Over budget - Additional Income from THC for consultancy ( Staff Member)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DA76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Costs Over Budget -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Exhibits  and Consultancy to cover Manager backfill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Acting up allowance and Cover ref: Additional Income</w:t>
            </w:r>
          </w:p>
        </w:tc>
      </w:tr>
      <w:tr w:rsidR="003D2A83" w:rsidRPr="003D2A83" w:rsidTr="003D2A83">
        <w:trPr>
          <w:trHeight w:val="11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FF0000"/>
                <w:sz w:val="22"/>
                <w:szCs w:val="22"/>
              </w:rPr>
              <w:t>(£2,063)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F22C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Income under budget due  to delay in refurbishment </w:t>
            </w:r>
            <w:r w:rsidR="00F22C6B">
              <w:rPr>
                <w:rFonts w:ascii="Arial" w:hAnsi="Arial" w:cs="Arial"/>
                <w:color w:val="000000"/>
                <w:sz w:val="22"/>
                <w:szCs w:val="22"/>
              </w:rPr>
              <w:t xml:space="preserve">of </w:t>
            </w: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Invergordon </w:t>
            </w:r>
            <w:r w:rsidR="00F22C6B">
              <w:rPr>
                <w:rFonts w:ascii="Arial" w:hAnsi="Arial" w:cs="Arial"/>
                <w:color w:val="000000"/>
                <w:sz w:val="22"/>
                <w:szCs w:val="22"/>
              </w:rPr>
              <w:t>and the take - over of Hilton Community Centre</w:t>
            </w: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- Is forecasted to come on budget to year end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Costs under budget - seasonal may reverse is likely to come on target to year end</w:t>
            </w:r>
          </w:p>
        </w:tc>
      </w:tr>
      <w:tr w:rsidR="003D2A83" w:rsidRPr="003D2A83" w:rsidTr="003D2A8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Libraries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FF0000"/>
                <w:sz w:val="22"/>
                <w:szCs w:val="22"/>
              </w:rPr>
              <w:t>(£632)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DA76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Income under budget Vending and lending Audio Visual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Under Budget -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Staff Vacancies</w:t>
            </w:r>
          </w:p>
        </w:tc>
      </w:tr>
      <w:tr w:rsidR="003D2A83" w:rsidRPr="003D2A83" w:rsidTr="003D2A83">
        <w:trPr>
          <w:trHeight w:val="11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FF0000"/>
                <w:sz w:val="22"/>
                <w:szCs w:val="22"/>
              </w:rPr>
              <w:t>(£433)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Income Over budget - Consultancy fees with the THC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C234B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Costs Over Budget -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Travel &amp; Hospitality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&amp;</w:t>
            </w:r>
            <w:r w:rsidR="00DA76B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Cleaning supplies Areas being addressed with cost curtailment committee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</w:tr>
      <w:tr w:rsidR="003D2A83" w:rsidRPr="003D2A83" w:rsidTr="003D2A8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Management - H &amp;W Project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£172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Income over Budget -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Grant Income Received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Associated costs with delivering Programme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D2A83" w:rsidRPr="003D2A83" w:rsidTr="003D2A8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Museums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£7,725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DA76B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ncome Over budget - HFM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Costs Over Budget -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Associated Cost of Sales for additional income HFM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</w:tr>
      <w:tr w:rsidR="003D2A83" w:rsidRPr="003D2A83" w:rsidTr="003D2A8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Outdoor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FF0000"/>
                <w:sz w:val="22"/>
                <w:szCs w:val="22"/>
              </w:rPr>
              <w:t>(£2,081)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Income Over Budget -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Additional Income generated from Activities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Associated costs of delivering additional Programme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Additional Tutor Costs of running activities</w:t>
            </w:r>
          </w:p>
        </w:tc>
      </w:tr>
      <w:tr w:rsidR="003D2A83" w:rsidRPr="003D2A83" w:rsidTr="003D2A8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FF0000"/>
                <w:sz w:val="22"/>
                <w:szCs w:val="22"/>
              </w:rPr>
              <w:t>(£234)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83" w:rsidRPr="003D2A83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Income Over Budget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Additional Income generated by Active schools from activities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83" w:rsidRPr="003D2A83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Additional costs for running the ASC Activities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83" w:rsidRPr="003D2A83" w:rsidRDefault="00C234B4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Additional Staff Costs - ASC Activity</w:t>
            </w:r>
          </w:p>
        </w:tc>
      </w:tr>
      <w:tr w:rsidR="003D2A83" w:rsidRPr="003D2A83" w:rsidTr="003D2A83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Youth</w:t>
            </w:r>
            <w:r w:rsidR="004C0A19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work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£649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C234B4" w:rsidP="00664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Income Over Budget –</w:t>
            </w:r>
            <w:r w:rsidR="00664A83"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 Grants Received - for youth work programme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664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Costs Over Budget - </w:t>
            </w: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Additional Other costs paid out of fund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664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Cost over budget - </w:t>
            </w: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Additional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Seasonal </w:t>
            </w: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>Staff costs paid out of fund</w:t>
            </w:r>
            <w:r w:rsidR="003D2A83" w:rsidRPr="003D2A8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D2A83" w:rsidRPr="003D2A83" w:rsidTr="003D2A83">
        <w:trPr>
          <w:trHeight w:val="5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A83" w:rsidRPr="003D2A83" w:rsidRDefault="003D2A83" w:rsidP="003D2A8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color w:val="000000"/>
                <w:sz w:val="22"/>
                <w:szCs w:val="22"/>
              </w:rPr>
              <w:t xml:space="preserve">Surplus </w:t>
            </w:r>
            <w:r w:rsidRPr="003D2A83">
              <w:rPr>
                <w:rFonts w:ascii="Arial" w:hAnsi="Arial" w:cs="Arial"/>
                <w:color w:val="FF0000"/>
                <w:sz w:val="22"/>
                <w:szCs w:val="22"/>
              </w:rPr>
              <w:t>( Deficit)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3D2A83" w:rsidRPr="003D2A83" w:rsidRDefault="003D2A83" w:rsidP="003D2A8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D2A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£4,629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A83" w:rsidRPr="003D2A83" w:rsidRDefault="003D2A83" w:rsidP="003D2A8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41E17" w:rsidRPr="00F41E17" w:rsidRDefault="00F41E17" w:rsidP="00686F9F">
      <w:pPr>
        <w:rPr>
          <w:rFonts w:ascii="Arial" w:hAnsi="Arial" w:cs="Arial"/>
          <w:b/>
          <w:sz w:val="18"/>
          <w:szCs w:val="18"/>
        </w:rPr>
      </w:pPr>
    </w:p>
    <w:p w:rsidR="00F22C6B" w:rsidRPr="00F41E17" w:rsidRDefault="00F22C6B">
      <w:pPr>
        <w:rPr>
          <w:rFonts w:ascii="Arial" w:hAnsi="Arial" w:cs="Arial"/>
          <w:b/>
          <w:sz w:val="18"/>
          <w:szCs w:val="18"/>
        </w:rPr>
      </w:pPr>
    </w:p>
    <w:sectPr w:rsidR="00F22C6B" w:rsidRPr="00F41E17" w:rsidSect="00686F9F">
      <w:pgSz w:w="16838" w:h="11906" w:orient="landscape" w:code="9"/>
      <w:pgMar w:top="993" w:right="992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67" w:rsidRDefault="00541767">
      <w:r>
        <w:separator/>
      </w:r>
    </w:p>
  </w:endnote>
  <w:endnote w:type="continuationSeparator" w:id="0">
    <w:p w:rsidR="00541767" w:rsidRDefault="0054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67" w:rsidRDefault="00541767">
      <w:r>
        <w:separator/>
      </w:r>
    </w:p>
  </w:footnote>
  <w:footnote w:type="continuationSeparator" w:id="0">
    <w:p w:rsidR="00541767" w:rsidRDefault="00541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56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29485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2F4A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6E3464"/>
    <w:multiLevelType w:val="hybridMultilevel"/>
    <w:tmpl w:val="2ADECF5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0092"/>
    <w:multiLevelType w:val="hybridMultilevel"/>
    <w:tmpl w:val="B3A8E064"/>
    <w:lvl w:ilvl="0" w:tplc="E4BA65FA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3B80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23E4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942576"/>
    <w:multiLevelType w:val="hybridMultilevel"/>
    <w:tmpl w:val="B48271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7976D3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C58A7"/>
    <w:multiLevelType w:val="hybridMultilevel"/>
    <w:tmpl w:val="B67E8A5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5BA8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7168E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E7D7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F7412"/>
    <w:multiLevelType w:val="hybridMultilevel"/>
    <w:tmpl w:val="39DA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93A1F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523BE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F65EB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50F34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260D5C"/>
    <w:multiLevelType w:val="hybridMultilevel"/>
    <w:tmpl w:val="4A58A3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9F0BEE"/>
    <w:multiLevelType w:val="hybridMultilevel"/>
    <w:tmpl w:val="21924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164570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7764D4A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87B5C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C953D2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F85D30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11B3B28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97BC5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86A8B"/>
    <w:multiLevelType w:val="hybridMultilevel"/>
    <w:tmpl w:val="110AEF24"/>
    <w:lvl w:ilvl="0" w:tplc="778CB986">
      <w:start w:val="1"/>
      <w:numFmt w:val="lowerRoman"/>
      <w:lvlText w:val="%1."/>
      <w:lvlJc w:val="left"/>
      <w:pPr>
        <w:ind w:left="1444" w:hanging="7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3B2DA5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9E912A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71751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3E16F2"/>
    <w:multiLevelType w:val="hybridMultilevel"/>
    <w:tmpl w:val="B48271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944CAD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0B1BE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A310E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3B5B72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2449F6"/>
    <w:multiLevelType w:val="multilevel"/>
    <w:tmpl w:val="2A6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6BD62EC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A7BCC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C454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54A1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86936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14"/>
  </w:num>
  <w:num w:numId="4">
    <w:abstractNumId w:val="5"/>
  </w:num>
  <w:num w:numId="5">
    <w:abstractNumId w:val="20"/>
  </w:num>
  <w:num w:numId="6">
    <w:abstractNumId w:val="28"/>
  </w:num>
  <w:num w:numId="7">
    <w:abstractNumId w:val="4"/>
  </w:num>
  <w:num w:numId="8">
    <w:abstractNumId w:val="34"/>
  </w:num>
  <w:num w:numId="9">
    <w:abstractNumId w:val="30"/>
  </w:num>
  <w:num w:numId="10">
    <w:abstractNumId w:val="22"/>
  </w:num>
  <w:num w:numId="11">
    <w:abstractNumId w:val="42"/>
  </w:num>
  <w:num w:numId="12">
    <w:abstractNumId w:val="43"/>
  </w:num>
  <w:num w:numId="13">
    <w:abstractNumId w:val="13"/>
  </w:num>
  <w:num w:numId="14">
    <w:abstractNumId w:val="38"/>
  </w:num>
  <w:num w:numId="15">
    <w:abstractNumId w:val="15"/>
  </w:num>
  <w:num w:numId="16">
    <w:abstractNumId w:val="41"/>
  </w:num>
  <w:num w:numId="17">
    <w:abstractNumId w:val="10"/>
  </w:num>
  <w:num w:numId="18">
    <w:abstractNumId w:val="27"/>
  </w:num>
  <w:num w:numId="19">
    <w:abstractNumId w:val="26"/>
  </w:num>
  <w:num w:numId="20">
    <w:abstractNumId w:val="33"/>
  </w:num>
  <w:num w:numId="21">
    <w:abstractNumId w:val="17"/>
  </w:num>
  <w:num w:numId="22">
    <w:abstractNumId w:val="12"/>
  </w:num>
  <w:num w:numId="23">
    <w:abstractNumId w:val="35"/>
  </w:num>
  <w:num w:numId="24">
    <w:abstractNumId w:val="9"/>
  </w:num>
  <w:num w:numId="25">
    <w:abstractNumId w:val="40"/>
  </w:num>
  <w:num w:numId="26">
    <w:abstractNumId w:val="6"/>
  </w:num>
  <w:num w:numId="27">
    <w:abstractNumId w:val="39"/>
  </w:num>
  <w:num w:numId="28">
    <w:abstractNumId w:val="3"/>
  </w:num>
  <w:num w:numId="29">
    <w:abstractNumId w:val="1"/>
  </w:num>
  <w:num w:numId="30">
    <w:abstractNumId w:val="8"/>
  </w:num>
  <w:num w:numId="31">
    <w:abstractNumId w:val="2"/>
  </w:num>
  <w:num w:numId="32">
    <w:abstractNumId w:val="16"/>
  </w:num>
  <w:num w:numId="33">
    <w:abstractNumId w:val="18"/>
  </w:num>
  <w:num w:numId="34">
    <w:abstractNumId w:val="21"/>
  </w:num>
  <w:num w:numId="35">
    <w:abstractNumId w:val="0"/>
  </w:num>
  <w:num w:numId="36">
    <w:abstractNumId w:val="31"/>
  </w:num>
  <w:num w:numId="37">
    <w:abstractNumId w:val="29"/>
  </w:num>
  <w:num w:numId="38">
    <w:abstractNumId w:val="32"/>
  </w:num>
  <w:num w:numId="39">
    <w:abstractNumId w:val="36"/>
  </w:num>
  <w:num w:numId="40">
    <w:abstractNumId w:val="7"/>
  </w:num>
  <w:num w:numId="41">
    <w:abstractNumId w:val="23"/>
  </w:num>
  <w:num w:numId="42">
    <w:abstractNumId w:val="11"/>
  </w:num>
  <w:num w:numId="43">
    <w:abstractNumId w:val="24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A"/>
    <w:rsid w:val="00023E37"/>
    <w:rsid w:val="000261C0"/>
    <w:rsid w:val="0005207E"/>
    <w:rsid w:val="00054DE1"/>
    <w:rsid w:val="000551EE"/>
    <w:rsid w:val="000B0A7F"/>
    <w:rsid w:val="000F274B"/>
    <w:rsid w:val="000F29AC"/>
    <w:rsid w:val="000F6071"/>
    <w:rsid w:val="00102BA1"/>
    <w:rsid w:val="00104179"/>
    <w:rsid w:val="001072B4"/>
    <w:rsid w:val="00131281"/>
    <w:rsid w:val="001575A7"/>
    <w:rsid w:val="001766FB"/>
    <w:rsid w:val="00186D8B"/>
    <w:rsid w:val="001B7F3F"/>
    <w:rsid w:val="001C4993"/>
    <w:rsid w:val="001C4B5C"/>
    <w:rsid w:val="001D1D38"/>
    <w:rsid w:val="001D5EE7"/>
    <w:rsid w:val="00226235"/>
    <w:rsid w:val="00226B15"/>
    <w:rsid w:val="0024004B"/>
    <w:rsid w:val="0024242C"/>
    <w:rsid w:val="00281BD6"/>
    <w:rsid w:val="00283C8A"/>
    <w:rsid w:val="00290EB5"/>
    <w:rsid w:val="00291E51"/>
    <w:rsid w:val="0029314E"/>
    <w:rsid w:val="002A050E"/>
    <w:rsid w:val="002A21D3"/>
    <w:rsid w:val="002A660A"/>
    <w:rsid w:val="002B078E"/>
    <w:rsid w:val="002B7DC4"/>
    <w:rsid w:val="002C5CF0"/>
    <w:rsid w:val="002D76CB"/>
    <w:rsid w:val="002D7E65"/>
    <w:rsid w:val="00312F45"/>
    <w:rsid w:val="0033499A"/>
    <w:rsid w:val="0034407D"/>
    <w:rsid w:val="00345B42"/>
    <w:rsid w:val="00351BDC"/>
    <w:rsid w:val="00356B53"/>
    <w:rsid w:val="00383762"/>
    <w:rsid w:val="003924C9"/>
    <w:rsid w:val="0039450A"/>
    <w:rsid w:val="003B450B"/>
    <w:rsid w:val="003D2A83"/>
    <w:rsid w:val="003D4E84"/>
    <w:rsid w:val="003E6B08"/>
    <w:rsid w:val="00402985"/>
    <w:rsid w:val="00414B67"/>
    <w:rsid w:val="00416BFF"/>
    <w:rsid w:val="00445D1F"/>
    <w:rsid w:val="00472040"/>
    <w:rsid w:val="00485C73"/>
    <w:rsid w:val="004A13CB"/>
    <w:rsid w:val="004C0A19"/>
    <w:rsid w:val="004D3C32"/>
    <w:rsid w:val="004E2042"/>
    <w:rsid w:val="004F0001"/>
    <w:rsid w:val="004F0983"/>
    <w:rsid w:val="004F6740"/>
    <w:rsid w:val="00504936"/>
    <w:rsid w:val="00540480"/>
    <w:rsid w:val="00541767"/>
    <w:rsid w:val="005458DE"/>
    <w:rsid w:val="00554631"/>
    <w:rsid w:val="00562183"/>
    <w:rsid w:val="00576020"/>
    <w:rsid w:val="00581415"/>
    <w:rsid w:val="00590256"/>
    <w:rsid w:val="00590C36"/>
    <w:rsid w:val="0059426B"/>
    <w:rsid w:val="005A64AF"/>
    <w:rsid w:val="005B050B"/>
    <w:rsid w:val="005C11FC"/>
    <w:rsid w:val="005D09D1"/>
    <w:rsid w:val="005E23D5"/>
    <w:rsid w:val="005E693A"/>
    <w:rsid w:val="0061518E"/>
    <w:rsid w:val="0063477B"/>
    <w:rsid w:val="00635750"/>
    <w:rsid w:val="00642DF4"/>
    <w:rsid w:val="00646F67"/>
    <w:rsid w:val="00655F80"/>
    <w:rsid w:val="00663093"/>
    <w:rsid w:val="00664A83"/>
    <w:rsid w:val="0067538A"/>
    <w:rsid w:val="006753D0"/>
    <w:rsid w:val="0067745D"/>
    <w:rsid w:val="00686F9F"/>
    <w:rsid w:val="0069001D"/>
    <w:rsid w:val="006A137F"/>
    <w:rsid w:val="006D0028"/>
    <w:rsid w:val="006D29ED"/>
    <w:rsid w:val="006D4204"/>
    <w:rsid w:val="0070225D"/>
    <w:rsid w:val="00707C87"/>
    <w:rsid w:val="007118F2"/>
    <w:rsid w:val="007161EF"/>
    <w:rsid w:val="007214D1"/>
    <w:rsid w:val="0074360E"/>
    <w:rsid w:val="00755B8E"/>
    <w:rsid w:val="00757433"/>
    <w:rsid w:val="00764050"/>
    <w:rsid w:val="007723DB"/>
    <w:rsid w:val="00776884"/>
    <w:rsid w:val="007A353F"/>
    <w:rsid w:val="007D3CAA"/>
    <w:rsid w:val="007D52F9"/>
    <w:rsid w:val="007E2203"/>
    <w:rsid w:val="007E4E27"/>
    <w:rsid w:val="00800D2C"/>
    <w:rsid w:val="00811A6F"/>
    <w:rsid w:val="008173B1"/>
    <w:rsid w:val="00817421"/>
    <w:rsid w:val="00824F07"/>
    <w:rsid w:val="00825FD9"/>
    <w:rsid w:val="0083012E"/>
    <w:rsid w:val="008301D0"/>
    <w:rsid w:val="00831A88"/>
    <w:rsid w:val="0083625F"/>
    <w:rsid w:val="0084154D"/>
    <w:rsid w:val="0089449E"/>
    <w:rsid w:val="008A1F14"/>
    <w:rsid w:val="008A3353"/>
    <w:rsid w:val="008A685F"/>
    <w:rsid w:val="008B4D54"/>
    <w:rsid w:val="008E6DEF"/>
    <w:rsid w:val="008F5A22"/>
    <w:rsid w:val="009361C3"/>
    <w:rsid w:val="0097099E"/>
    <w:rsid w:val="00982461"/>
    <w:rsid w:val="00997DBB"/>
    <w:rsid w:val="009A5D16"/>
    <w:rsid w:val="009B0904"/>
    <w:rsid w:val="009B223B"/>
    <w:rsid w:val="009D3BFC"/>
    <w:rsid w:val="009E3DB8"/>
    <w:rsid w:val="009F701B"/>
    <w:rsid w:val="00A122DA"/>
    <w:rsid w:val="00A3726F"/>
    <w:rsid w:val="00A37942"/>
    <w:rsid w:val="00A40F8E"/>
    <w:rsid w:val="00A47A09"/>
    <w:rsid w:val="00A53534"/>
    <w:rsid w:val="00A57EC6"/>
    <w:rsid w:val="00A6213E"/>
    <w:rsid w:val="00A8159A"/>
    <w:rsid w:val="00AA1CCB"/>
    <w:rsid w:val="00AA54D9"/>
    <w:rsid w:val="00AC146F"/>
    <w:rsid w:val="00AD0502"/>
    <w:rsid w:val="00AD0D67"/>
    <w:rsid w:val="00AF02B6"/>
    <w:rsid w:val="00AF7FD6"/>
    <w:rsid w:val="00B0145D"/>
    <w:rsid w:val="00B074BD"/>
    <w:rsid w:val="00B12596"/>
    <w:rsid w:val="00B437C8"/>
    <w:rsid w:val="00B43C0F"/>
    <w:rsid w:val="00B4511E"/>
    <w:rsid w:val="00B56CDC"/>
    <w:rsid w:val="00B65EFA"/>
    <w:rsid w:val="00B65F30"/>
    <w:rsid w:val="00B71D3A"/>
    <w:rsid w:val="00B71E7C"/>
    <w:rsid w:val="00B76551"/>
    <w:rsid w:val="00B84929"/>
    <w:rsid w:val="00B9658E"/>
    <w:rsid w:val="00BB271A"/>
    <w:rsid w:val="00BB4A08"/>
    <w:rsid w:val="00BD07BA"/>
    <w:rsid w:val="00BD6973"/>
    <w:rsid w:val="00C029AC"/>
    <w:rsid w:val="00C17981"/>
    <w:rsid w:val="00C22F15"/>
    <w:rsid w:val="00C234B4"/>
    <w:rsid w:val="00C443BA"/>
    <w:rsid w:val="00C51396"/>
    <w:rsid w:val="00C51930"/>
    <w:rsid w:val="00C65D64"/>
    <w:rsid w:val="00C73DE0"/>
    <w:rsid w:val="00C75BFB"/>
    <w:rsid w:val="00C8005D"/>
    <w:rsid w:val="00C97A35"/>
    <w:rsid w:val="00CA48CC"/>
    <w:rsid w:val="00CD28C3"/>
    <w:rsid w:val="00CD4E51"/>
    <w:rsid w:val="00CE1288"/>
    <w:rsid w:val="00CE3569"/>
    <w:rsid w:val="00CE4D7F"/>
    <w:rsid w:val="00CF10FD"/>
    <w:rsid w:val="00CF250B"/>
    <w:rsid w:val="00D15130"/>
    <w:rsid w:val="00D35C5C"/>
    <w:rsid w:val="00D57CDF"/>
    <w:rsid w:val="00D658D1"/>
    <w:rsid w:val="00D72885"/>
    <w:rsid w:val="00D842DB"/>
    <w:rsid w:val="00D91DC8"/>
    <w:rsid w:val="00DA76B5"/>
    <w:rsid w:val="00DB3601"/>
    <w:rsid w:val="00DD646D"/>
    <w:rsid w:val="00DD6E3A"/>
    <w:rsid w:val="00DE1E6C"/>
    <w:rsid w:val="00DE3803"/>
    <w:rsid w:val="00DE5F32"/>
    <w:rsid w:val="00DE7C73"/>
    <w:rsid w:val="00E2541B"/>
    <w:rsid w:val="00E25D85"/>
    <w:rsid w:val="00E345B1"/>
    <w:rsid w:val="00E41E4E"/>
    <w:rsid w:val="00E812AE"/>
    <w:rsid w:val="00E82BE9"/>
    <w:rsid w:val="00EA48CA"/>
    <w:rsid w:val="00EA70C6"/>
    <w:rsid w:val="00EB47AD"/>
    <w:rsid w:val="00EC455A"/>
    <w:rsid w:val="00EE431A"/>
    <w:rsid w:val="00EE6C0C"/>
    <w:rsid w:val="00EF519D"/>
    <w:rsid w:val="00F067E4"/>
    <w:rsid w:val="00F070CF"/>
    <w:rsid w:val="00F13F0F"/>
    <w:rsid w:val="00F22C6B"/>
    <w:rsid w:val="00F32670"/>
    <w:rsid w:val="00F41E17"/>
    <w:rsid w:val="00F66E63"/>
    <w:rsid w:val="00F778E4"/>
    <w:rsid w:val="00FA053D"/>
    <w:rsid w:val="00FA5BC7"/>
    <w:rsid w:val="00FB11B3"/>
    <w:rsid w:val="00FB7E98"/>
    <w:rsid w:val="00FD3F7E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74B1-EF82-4C41-AD59-07B2A0D8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1118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- High Life Highland</cp:lastModifiedBy>
  <cp:revision>8</cp:revision>
  <cp:lastPrinted>2014-10-10T07:29:00Z</cp:lastPrinted>
  <dcterms:created xsi:type="dcterms:W3CDTF">2014-10-09T12:40:00Z</dcterms:created>
  <dcterms:modified xsi:type="dcterms:W3CDTF">2014-10-10T07:29:00Z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286676546</vt:i4>
  </property>
  <property fmtid="{D5CDD505-2E9C-101B-9397-08002B2CF9AE}" pid="3" name="_NewReviewCycle">
    <vt:lpwstr/>
  </property>
  <property fmtid="{D5CDD505-2E9C-101B-9397-08002B2CF9AE}" pid="4" name="_EmailSubject">
    <vt:lpwstr>HLH BOARD MEETING - AGENDA AND PAPERS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</Properties>
</file>