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39" w:rsidRDefault="00DA1139">
      <w:r>
        <w:tab/>
      </w:r>
      <w:r>
        <w:tab/>
      </w:r>
      <w:r>
        <w:tab/>
      </w:r>
      <w:r>
        <w:tab/>
      </w:r>
      <w:r>
        <w:tab/>
      </w:r>
      <w:r>
        <w:tab/>
      </w:r>
      <w:r>
        <w:tab/>
      </w:r>
      <w:r>
        <w:tab/>
      </w:r>
      <w:r>
        <w:tab/>
      </w:r>
      <w:r>
        <w:tab/>
        <w:t xml:space="preserve">AGENDA ITEM </w:t>
      </w:r>
      <w:r w:rsidR="00D922B5">
        <w:t>7</w:t>
      </w:r>
    </w:p>
    <w:p w:rsidR="00F23DCB" w:rsidRDefault="00C06F21">
      <w:r>
        <w:t xml:space="preserve">Matters Arising </w:t>
      </w:r>
      <w:r w:rsidR="00DA1139">
        <w:t>From HLH Board Meeting</w:t>
      </w:r>
      <w:r>
        <w:t xml:space="preserve"> </w:t>
      </w:r>
      <w:r w:rsidR="00B34DB3">
        <w:t>28 March 2013</w:t>
      </w:r>
    </w:p>
    <w:tbl>
      <w:tblPr>
        <w:tblStyle w:val="TableGrid"/>
        <w:tblW w:w="0" w:type="auto"/>
        <w:tblLook w:val="04A0" w:firstRow="1" w:lastRow="0" w:firstColumn="1" w:lastColumn="0" w:noHBand="0" w:noVBand="1"/>
      </w:tblPr>
      <w:tblGrid>
        <w:gridCol w:w="1183"/>
        <w:gridCol w:w="5405"/>
        <w:gridCol w:w="1494"/>
        <w:gridCol w:w="1494"/>
      </w:tblGrid>
      <w:tr w:rsidR="00C06F21" w:rsidTr="00DA1139">
        <w:tc>
          <w:tcPr>
            <w:tcW w:w="1183" w:type="dxa"/>
          </w:tcPr>
          <w:p w:rsidR="00C06F21" w:rsidRDefault="00DF1780">
            <w:r>
              <w:t>ITEM</w:t>
            </w:r>
          </w:p>
        </w:tc>
        <w:tc>
          <w:tcPr>
            <w:tcW w:w="5405" w:type="dxa"/>
          </w:tcPr>
          <w:p w:rsidR="00C06F21" w:rsidRDefault="00DF1780">
            <w:r>
              <w:t>DETAIL</w:t>
            </w:r>
          </w:p>
        </w:tc>
        <w:tc>
          <w:tcPr>
            <w:tcW w:w="1494" w:type="dxa"/>
          </w:tcPr>
          <w:p w:rsidR="00C06F21" w:rsidRDefault="00DF1780" w:rsidP="00DA1139">
            <w:r>
              <w:t>LEAD</w:t>
            </w:r>
          </w:p>
        </w:tc>
        <w:tc>
          <w:tcPr>
            <w:tcW w:w="1494" w:type="dxa"/>
          </w:tcPr>
          <w:p w:rsidR="00C06F21" w:rsidRDefault="00DF1780">
            <w:r>
              <w:t>DUE DATE</w:t>
            </w:r>
          </w:p>
        </w:tc>
      </w:tr>
      <w:tr w:rsidR="00B34DB3" w:rsidTr="00DA1139">
        <w:tc>
          <w:tcPr>
            <w:tcW w:w="1183" w:type="dxa"/>
          </w:tcPr>
          <w:p w:rsidR="00B34DB3" w:rsidRDefault="00B34DB3" w:rsidP="001846AA">
            <w:pPr>
              <w:jc w:val="both"/>
            </w:pPr>
            <w:r>
              <w:t>3.</w:t>
            </w: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p w:rsidR="00F664CB" w:rsidRDefault="00F664CB" w:rsidP="001846AA">
            <w:pPr>
              <w:jc w:val="both"/>
            </w:pPr>
          </w:p>
        </w:tc>
        <w:tc>
          <w:tcPr>
            <w:tcW w:w="5405" w:type="dxa"/>
          </w:tcPr>
          <w:p w:rsidR="00B34DB3" w:rsidRDefault="00B34DB3" w:rsidP="001846AA">
            <w:pPr>
              <w:jc w:val="both"/>
            </w:pPr>
            <w:r>
              <w:t>High Life Highland Purpose, Key Business Objectives and Corporate Values:</w:t>
            </w:r>
          </w:p>
          <w:p w:rsidR="00B34DB3" w:rsidRDefault="00B34DB3" w:rsidP="001846AA">
            <w:pPr>
              <w:jc w:val="both"/>
            </w:pPr>
            <w:r>
              <w:t>Business objectives to be listed alphabetically and numbered.</w:t>
            </w:r>
          </w:p>
          <w:p w:rsidR="00B34DB3" w:rsidRDefault="00B34DB3" w:rsidP="001846AA">
            <w:pPr>
              <w:jc w:val="both"/>
              <w:rPr>
                <w:i/>
              </w:rPr>
            </w:pPr>
            <w:r>
              <w:rPr>
                <w:i/>
              </w:rPr>
              <w:t>Document updated as requested.</w:t>
            </w:r>
          </w:p>
          <w:p w:rsidR="00B34DB3" w:rsidRDefault="00B36E50" w:rsidP="001846AA">
            <w:pPr>
              <w:jc w:val="both"/>
            </w:pPr>
            <w:r>
              <w:t>A joint development session of the Trading and Main HLH Board to be arranged.</w:t>
            </w:r>
          </w:p>
          <w:p w:rsidR="00B36E50" w:rsidRPr="006154DA" w:rsidRDefault="006154DA" w:rsidP="001846AA">
            <w:pPr>
              <w:jc w:val="both"/>
            </w:pPr>
            <w:r w:rsidRPr="006154DA">
              <w:rPr>
                <w:i/>
              </w:rPr>
              <w:t>Half day joint development s</w:t>
            </w:r>
            <w:r w:rsidR="00481B26" w:rsidRPr="006154DA">
              <w:rPr>
                <w:i/>
              </w:rPr>
              <w:t xml:space="preserve">ession arranged for </w:t>
            </w:r>
            <w:r w:rsidRPr="006154DA">
              <w:rPr>
                <w:i/>
              </w:rPr>
              <w:t>23 August 2013</w:t>
            </w:r>
          </w:p>
          <w:p w:rsidR="00B36E50" w:rsidRDefault="00B36E50" w:rsidP="001846AA">
            <w:pPr>
              <w:jc w:val="both"/>
            </w:pPr>
            <w:r>
              <w:t>Subject to the agreement of the Trading Company Directors, main Board meetings to be scheduled prior to the Trading Board meeting from June 2013.</w:t>
            </w:r>
          </w:p>
          <w:p w:rsidR="00B36E50" w:rsidRDefault="00481B26" w:rsidP="001846AA">
            <w:pPr>
              <w:jc w:val="both"/>
              <w:rPr>
                <w:i/>
              </w:rPr>
            </w:pPr>
            <w:r>
              <w:rPr>
                <w:i/>
              </w:rPr>
              <w:t>Chairs/Vice Chairs agreement confirmed and new arrangements issued.</w:t>
            </w:r>
          </w:p>
          <w:p w:rsidR="00F853F5" w:rsidRDefault="00F853F5" w:rsidP="001846AA">
            <w:pPr>
              <w:jc w:val="both"/>
            </w:pPr>
            <w:r>
              <w:t xml:space="preserve">A short life working group for the Wick Archive Centre to be established with members Douglas Graham, Laurence Young and Ken Nicol (subject to membership of the group not </w:t>
            </w:r>
            <w:r w:rsidRPr="001E31FC">
              <w:t>constituting a conf</w:t>
            </w:r>
            <w:r w:rsidR="00AB439C" w:rsidRPr="001E31FC">
              <w:t>lict of interest for Ken Nicol) with a report and presentation being given at the June 2013 HLH Board meeting and an interim report being circulated electronically.</w:t>
            </w:r>
          </w:p>
          <w:p w:rsidR="00AB439C" w:rsidRPr="00402196" w:rsidRDefault="00D8542B" w:rsidP="001846AA">
            <w:pPr>
              <w:jc w:val="both"/>
              <w:rPr>
                <w:i/>
                <w:color w:val="FF0000"/>
              </w:rPr>
            </w:pPr>
            <w:r w:rsidRPr="00D8542B">
              <w:rPr>
                <w:i/>
              </w:rPr>
              <w:t xml:space="preserve">A verbal update will be given at the 20 June 2013 meeting </w:t>
            </w:r>
          </w:p>
        </w:tc>
        <w:tc>
          <w:tcPr>
            <w:tcW w:w="1494" w:type="dxa"/>
          </w:tcPr>
          <w:p w:rsidR="00B34DB3" w:rsidRDefault="00B34DB3" w:rsidP="001846AA">
            <w:pPr>
              <w:jc w:val="both"/>
            </w:pPr>
          </w:p>
          <w:p w:rsidR="00B34DB3" w:rsidRDefault="00B34DB3" w:rsidP="001846AA">
            <w:pPr>
              <w:jc w:val="both"/>
            </w:pPr>
          </w:p>
          <w:p w:rsidR="00B34DB3" w:rsidRDefault="00B34DB3" w:rsidP="001846AA">
            <w:pPr>
              <w:jc w:val="both"/>
            </w:pPr>
          </w:p>
          <w:p w:rsidR="00B34DB3" w:rsidRDefault="00B34DB3" w:rsidP="001846AA">
            <w:pPr>
              <w:jc w:val="both"/>
            </w:pPr>
          </w:p>
          <w:p w:rsidR="00B34DB3" w:rsidRDefault="00B34DB3" w:rsidP="001846AA">
            <w:pPr>
              <w:jc w:val="both"/>
            </w:pPr>
            <w:r>
              <w:t>IM</w:t>
            </w:r>
          </w:p>
          <w:p w:rsidR="00B36E50" w:rsidRDefault="00B36E50" w:rsidP="001846AA">
            <w:pPr>
              <w:jc w:val="both"/>
            </w:pPr>
          </w:p>
          <w:p w:rsidR="00B36E50" w:rsidRDefault="00B36E50" w:rsidP="001846AA">
            <w:pPr>
              <w:jc w:val="both"/>
            </w:pPr>
          </w:p>
          <w:p w:rsidR="00B36E50" w:rsidRDefault="00B36E50" w:rsidP="001846AA">
            <w:pPr>
              <w:jc w:val="both"/>
            </w:pPr>
            <w:r>
              <w:t>IM</w:t>
            </w:r>
          </w:p>
          <w:p w:rsidR="00481B26" w:rsidRDefault="00481B26" w:rsidP="001846AA">
            <w:pPr>
              <w:jc w:val="both"/>
            </w:pPr>
          </w:p>
          <w:p w:rsidR="00481B26" w:rsidRDefault="00481B26" w:rsidP="001846AA">
            <w:pPr>
              <w:jc w:val="both"/>
            </w:pPr>
          </w:p>
          <w:p w:rsidR="00481B26" w:rsidRDefault="00481B26" w:rsidP="001846AA">
            <w:pPr>
              <w:jc w:val="both"/>
            </w:pPr>
          </w:p>
          <w:p w:rsidR="006154DA" w:rsidRDefault="006154DA" w:rsidP="001846AA">
            <w:pPr>
              <w:jc w:val="both"/>
            </w:pPr>
          </w:p>
          <w:p w:rsidR="00481B26" w:rsidRDefault="00481B26" w:rsidP="001846AA">
            <w:pPr>
              <w:jc w:val="both"/>
            </w:pPr>
            <w:r>
              <w:t>MM</w:t>
            </w: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p>
          <w:p w:rsidR="001E31FC" w:rsidRDefault="001E31FC" w:rsidP="001846AA">
            <w:pPr>
              <w:jc w:val="both"/>
            </w:pPr>
          </w:p>
          <w:p w:rsidR="001E31FC" w:rsidRDefault="001E31FC" w:rsidP="001846AA">
            <w:pPr>
              <w:jc w:val="both"/>
            </w:pPr>
          </w:p>
          <w:p w:rsidR="001E31FC" w:rsidRDefault="001E31FC" w:rsidP="001846AA">
            <w:pPr>
              <w:jc w:val="both"/>
            </w:pPr>
          </w:p>
          <w:p w:rsidR="001E31FC" w:rsidRDefault="001E31FC" w:rsidP="001846AA">
            <w:pPr>
              <w:jc w:val="both"/>
            </w:pPr>
            <w:r>
              <w:t>GW</w:t>
            </w:r>
          </w:p>
        </w:tc>
        <w:tc>
          <w:tcPr>
            <w:tcW w:w="1494" w:type="dxa"/>
          </w:tcPr>
          <w:p w:rsidR="00B34DB3" w:rsidRDefault="00B34DB3" w:rsidP="001846AA">
            <w:pPr>
              <w:jc w:val="both"/>
            </w:pPr>
          </w:p>
          <w:p w:rsidR="00B34DB3" w:rsidRDefault="00B34DB3" w:rsidP="001846AA">
            <w:pPr>
              <w:jc w:val="both"/>
            </w:pPr>
          </w:p>
          <w:p w:rsidR="00B34DB3" w:rsidRDefault="00B34DB3" w:rsidP="001846AA">
            <w:pPr>
              <w:jc w:val="both"/>
            </w:pPr>
          </w:p>
          <w:p w:rsidR="00B34DB3" w:rsidRDefault="00B34DB3" w:rsidP="001846AA">
            <w:pPr>
              <w:jc w:val="both"/>
            </w:pPr>
          </w:p>
          <w:p w:rsidR="00B34DB3" w:rsidRDefault="00B34DB3" w:rsidP="001846AA">
            <w:pPr>
              <w:jc w:val="both"/>
            </w:pPr>
            <w:r>
              <w:t>Complete</w:t>
            </w:r>
          </w:p>
          <w:p w:rsidR="00481B26" w:rsidRDefault="00481B26" w:rsidP="001846AA">
            <w:pPr>
              <w:jc w:val="both"/>
            </w:pPr>
          </w:p>
          <w:p w:rsidR="00481B26" w:rsidRDefault="00481B26" w:rsidP="001846AA">
            <w:pPr>
              <w:jc w:val="both"/>
            </w:pPr>
          </w:p>
          <w:p w:rsidR="00481B26" w:rsidRPr="006154DA" w:rsidRDefault="006154DA" w:rsidP="001846AA">
            <w:pPr>
              <w:jc w:val="both"/>
            </w:pPr>
            <w:r w:rsidRPr="006154DA">
              <w:t>August 2013</w:t>
            </w:r>
          </w:p>
          <w:p w:rsidR="00481B26" w:rsidRDefault="00481B26" w:rsidP="001846AA">
            <w:pPr>
              <w:jc w:val="both"/>
            </w:pPr>
          </w:p>
          <w:p w:rsidR="00481B26" w:rsidRDefault="00481B26" w:rsidP="001846AA">
            <w:pPr>
              <w:jc w:val="both"/>
            </w:pPr>
          </w:p>
          <w:p w:rsidR="00481B26" w:rsidRDefault="00481B26" w:rsidP="001846AA">
            <w:pPr>
              <w:jc w:val="both"/>
            </w:pPr>
          </w:p>
          <w:p w:rsidR="006154DA" w:rsidRDefault="006154DA" w:rsidP="001846AA">
            <w:pPr>
              <w:jc w:val="both"/>
              <w:rPr>
                <w:color w:val="FF0000"/>
              </w:rPr>
            </w:pPr>
          </w:p>
          <w:p w:rsidR="00481B26" w:rsidRDefault="00481B26" w:rsidP="001846AA">
            <w:pPr>
              <w:jc w:val="both"/>
            </w:pPr>
            <w:r w:rsidRPr="006154DA">
              <w:t>Complete</w:t>
            </w:r>
          </w:p>
          <w:p w:rsidR="00D8542B" w:rsidRDefault="00D8542B" w:rsidP="001846AA">
            <w:pPr>
              <w:jc w:val="both"/>
            </w:pPr>
          </w:p>
          <w:p w:rsidR="00D8542B" w:rsidRDefault="00D8542B" w:rsidP="001846AA">
            <w:pPr>
              <w:jc w:val="both"/>
            </w:pPr>
          </w:p>
          <w:p w:rsidR="00D8542B" w:rsidRDefault="00D8542B" w:rsidP="001846AA">
            <w:pPr>
              <w:jc w:val="both"/>
            </w:pPr>
          </w:p>
          <w:p w:rsidR="00D8542B" w:rsidRDefault="00D8542B" w:rsidP="001846AA">
            <w:pPr>
              <w:jc w:val="both"/>
            </w:pPr>
          </w:p>
          <w:p w:rsidR="00D8542B" w:rsidRDefault="00D8542B" w:rsidP="001846AA">
            <w:pPr>
              <w:jc w:val="both"/>
            </w:pPr>
          </w:p>
          <w:p w:rsidR="00D8542B" w:rsidRDefault="00D8542B" w:rsidP="001846AA">
            <w:pPr>
              <w:jc w:val="both"/>
            </w:pPr>
          </w:p>
          <w:p w:rsidR="00D8542B" w:rsidRDefault="00D8542B" w:rsidP="001846AA">
            <w:pPr>
              <w:jc w:val="both"/>
            </w:pPr>
          </w:p>
          <w:p w:rsidR="00D8542B" w:rsidRDefault="00D8542B" w:rsidP="001846AA">
            <w:pPr>
              <w:jc w:val="both"/>
            </w:pPr>
          </w:p>
          <w:p w:rsidR="00481B26" w:rsidRDefault="00D8542B" w:rsidP="001E31FC">
            <w:pPr>
              <w:jc w:val="both"/>
            </w:pPr>
            <w:r>
              <w:t>June 2013</w:t>
            </w:r>
          </w:p>
        </w:tc>
      </w:tr>
      <w:tr w:rsidR="00C06F21" w:rsidTr="00DA1139">
        <w:tc>
          <w:tcPr>
            <w:tcW w:w="1183" w:type="dxa"/>
          </w:tcPr>
          <w:p w:rsidR="00481B26" w:rsidRDefault="00F853F5" w:rsidP="001846AA">
            <w:pPr>
              <w:jc w:val="both"/>
            </w:pPr>
            <w:r>
              <w:t>5</w:t>
            </w:r>
            <w:r w:rsidR="00481B26">
              <w:t>ii</w:t>
            </w: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p>
          <w:p w:rsidR="00C06F21" w:rsidRDefault="00481B26" w:rsidP="001846AA">
            <w:pPr>
              <w:jc w:val="both"/>
            </w:pPr>
            <w:r>
              <w:t>5iii</w:t>
            </w:r>
            <w:r w:rsidR="00F853F5">
              <w:t>.</w:t>
            </w:r>
          </w:p>
        </w:tc>
        <w:tc>
          <w:tcPr>
            <w:tcW w:w="5405" w:type="dxa"/>
          </w:tcPr>
          <w:p w:rsidR="00481B26" w:rsidRDefault="00481B26" w:rsidP="001846AA">
            <w:pPr>
              <w:jc w:val="both"/>
            </w:pPr>
            <w:r>
              <w:t>A report recommending a strategic direction for HLH’s contribution to the Preventative Direction to be brought to a future meeting of the Board.</w:t>
            </w:r>
          </w:p>
          <w:p w:rsidR="00481B26" w:rsidRPr="00481B26" w:rsidRDefault="00481B26" w:rsidP="001846AA">
            <w:pPr>
              <w:jc w:val="both"/>
              <w:rPr>
                <w:i/>
              </w:rPr>
            </w:pPr>
            <w:r w:rsidRPr="00481B26">
              <w:rPr>
                <w:i/>
              </w:rPr>
              <w:t xml:space="preserve">To be included at agenda item </w:t>
            </w:r>
            <w:r w:rsidR="00D922B5" w:rsidRPr="00D922B5">
              <w:rPr>
                <w:i/>
              </w:rPr>
              <w:t>4</w:t>
            </w:r>
            <w:r w:rsidRPr="00D922B5">
              <w:rPr>
                <w:i/>
              </w:rPr>
              <w:t xml:space="preserve"> on </w:t>
            </w:r>
            <w:r w:rsidR="00D922B5">
              <w:rPr>
                <w:i/>
              </w:rPr>
              <w:t>HLH Board agenda on 20 June 2013</w:t>
            </w:r>
          </w:p>
          <w:p w:rsidR="00C06F21" w:rsidRDefault="00F853F5" w:rsidP="001846AA">
            <w:pPr>
              <w:jc w:val="both"/>
            </w:pPr>
            <w:r>
              <w:t>THC Convener to be contacted in relation to a strategic HLH presentation to the Council on HLH’s contribution to the preventative agenda.  This to take place after the planned development session.</w:t>
            </w:r>
          </w:p>
          <w:p w:rsidR="00F853F5" w:rsidRPr="00481B26" w:rsidRDefault="00481B26" w:rsidP="001E31FC">
            <w:pPr>
              <w:jc w:val="both"/>
              <w:rPr>
                <w:i/>
              </w:rPr>
            </w:pPr>
            <w:r w:rsidRPr="00481B26">
              <w:rPr>
                <w:i/>
              </w:rPr>
              <w:t xml:space="preserve">October slot pencilled in (to enable incorporation of joint Board </w:t>
            </w:r>
            <w:r w:rsidRPr="001E31FC">
              <w:rPr>
                <w:i/>
              </w:rPr>
              <w:t>development session in August)</w:t>
            </w:r>
          </w:p>
        </w:tc>
        <w:tc>
          <w:tcPr>
            <w:tcW w:w="1494" w:type="dxa"/>
          </w:tcPr>
          <w:p w:rsidR="00C06F21" w:rsidRDefault="00C06F21" w:rsidP="001846AA">
            <w:pPr>
              <w:jc w:val="both"/>
            </w:pPr>
          </w:p>
          <w:p w:rsidR="00481B26" w:rsidRDefault="00481B26" w:rsidP="001846AA">
            <w:pPr>
              <w:jc w:val="both"/>
            </w:pPr>
          </w:p>
          <w:p w:rsidR="00481B26" w:rsidRDefault="00481B26" w:rsidP="001846AA">
            <w:pPr>
              <w:jc w:val="both"/>
            </w:pPr>
          </w:p>
          <w:p w:rsidR="00481B26" w:rsidRDefault="00F664CB" w:rsidP="001846AA">
            <w:pPr>
              <w:jc w:val="both"/>
            </w:pPr>
            <w:r>
              <w:t>GW</w:t>
            </w: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p>
          <w:p w:rsidR="00481B26" w:rsidRDefault="00481B26" w:rsidP="001846AA">
            <w:pPr>
              <w:jc w:val="both"/>
            </w:pPr>
            <w:r>
              <w:t>IM</w:t>
            </w:r>
          </w:p>
        </w:tc>
        <w:tc>
          <w:tcPr>
            <w:tcW w:w="1494" w:type="dxa"/>
          </w:tcPr>
          <w:p w:rsidR="009A3157" w:rsidRDefault="009A3157" w:rsidP="001846AA">
            <w:pPr>
              <w:jc w:val="both"/>
            </w:pPr>
          </w:p>
          <w:p w:rsidR="00481B26" w:rsidRDefault="00481B26" w:rsidP="001846AA">
            <w:pPr>
              <w:jc w:val="both"/>
            </w:pPr>
          </w:p>
          <w:p w:rsidR="00481B26" w:rsidRDefault="00481B26" w:rsidP="001846AA">
            <w:pPr>
              <w:jc w:val="both"/>
            </w:pPr>
          </w:p>
          <w:p w:rsidR="00481B26" w:rsidRPr="00F664CB" w:rsidRDefault="00F664CB" w:rsidP="001846AA">
            <w:pPr>
              <w:jc w:val="both"/>
            </w:pPr>
            <w:r w:rsidRPr="00F664CB">
              <w:t>20 June 2013</w:t>
            </w:r>
          </w:p>
          <w:p w:rsidR="00481B26" w:rsidRDefault="00481B26" w:rsidP="001846AA">
            <w:pPr>
              <w:jc w:val="both"/>
              <w:rPr>
                <w:color w:val="FF0000"/>
              </w:rPr>
            </w:pPr>
          </w:p>
          <w:p w:rsidR="00481B26" w:rsidRDefault="00481B26" w:rsidP="001846AA">
            <w:pPr>
              <w:jc w:val="both"/>
              <w:rPr>
                <w:color w:val="FF0000"/>
              </w:rPr>
            </w:pPr>
          </w:p>
          <w:p w:rsidR="00481B26" w:rsidRDefault="00481B26" w:rsidP="001846AA">
            <w:pPr>
              <w:jc w:val="both"/>
              <w:rPr>
                <w:color w:val="FF0000"/>
              </w:rPr>
            </w:pPr>
          </w:p>
          <w:p w:rsidR="00481B26" w:rsidRDefault="00481B26" w:rsidP="001846AA">
            <w:pPr>
              <w:jc w:val="both"/>
              <w:rPr>
                <w:color w:val="FF0000"/>
              </w:rPr>
            </w:pPr>
          </w:p>
          <w:p w:rsidR="00481B26" w:rsidRDefault="00481B26" w:rsidP="001846AA">
            <w:pPr>
              <w:jc w:val="both"/>
            </w:pPr>
            <w:r w:rsidRPr="001E31FC">
              <w:t>October 2013</w:t>
            </w:r>
          </w:p>
        </w:tc>
      </w:tr>
      <w:tr w:rsidR="00C06F21" w:rsidTr="00DA1139">
        <w:tc>
          <w:tcPr>
            <w:tcW w:w="1183" w:type="dxa"/>
          </w:tcPr>
          <w:p w:rsidR="00C06F21" w:rsidRDefault="00C06F21" w:rsidP="001846AA">
            <w:pPr>
              <w:jc w:val="both"/>
            </w:pPr>
            <w:r>
              <w:t>7.</w:t>
            </w:r>
          </w:p>
        </w:tc>
        <w:tc>
          <w:tcPr>
            <w:tcW w:w="5405" w:type="dxa"/>
          </w:tcPr>
          <w:p w:rsidR="00C06F21" w:rsidRPr="00D922B5" w:rsidRDefault="00FC0CA8" w:rsidP="001846AA">
            <w:pPr>
              <w:jc w:val="both"/>
            </w:pPr>
            <w:r w:rsidRPr="00D922B5">
              <w:t xml:space="preserve">Subject to the outcome of preliminary discussions with the Leader of The Highland Council, agreed to establish a short life project group comprising Ken </w:t>
            </w:r>
            <w:proofErr w:type="spellStart"/>
            <w:r w:rsidRPr="00D922B5">
              <w:t>Gowans</w:t>
            </w:r>
            <w:proofErr w:type="spellEnd"/>
            <w:r w:rsidRPr="00D922B5">
              <w:t xml:space="preserve">, Bette </w:t>
            </w:r>
            <w:proofErr w:type="spellStart"/>
            <w:r w:rsidRPr="00D922B5">
              <w:t>McArdle</w:t>
            </w:r>
            <w:proofErr w:type="spellEnd"/>
            <w:r w:rsidRPr="00D922B5">
              <w:t xml:space="preserve"> and Donald McLachlan to formulate a draft </w:t>
            </w:r>
            <w:r w:rsidR="00481B26" w:rsidRPr="00D922B5">
              <w:t>way forward</w:t>
            </w:r>
            <w:r w:rsidRPr="00D922B5">
              <w:t xml:space="preserve"> for the development of a</w:t>
            </w:r>
            <w:r w:rsidR="00481B26" w:rsidRPr="00D922B5">
              <w:t xml:space="preserve"> cultural</w:t>
            </w:r>
            <w:r w:rsidRPr="00D922B5">
              <w:t xml:space="preserve"> building for Inverness, as discussed, to be reported to the next Board meeting.</w:t>
            </w:r>
          </w:p>
          <w:p w:rsidR="00F664CB" w:rsidRPr="008A1B8C" w:rsidRDefault="00D922B5" w:rsidP="001846AA">
            <w:pPr>
              <w:jc w:val="both"/>
              <w:rPr>
                <w:i/>
              </w:rPr>
            </w:pPr>
            <w:r w:rsidRPr="008A1B8C">
              <w:rPr>
                <w:i/>
              </w:rPr>
              <w:t>A verbal update will be given at 20 June HLH Board meeting.</w:t>
            </w:r>
          </w:p>
          <w:p w:rsidR="00FC0CA8" w:rsidRPr="00D922B5" w:rsidRDefault="00FC0CA8" w:rsidP="001846AA">
            <w:pPr>
              <w:jc w:val="both"/>
              <w:rPr>
                <w:i/>
              </w:rPr>
            </w:pPr>
          </w:p>
        </w:tc>
        <w:tc>
          <w:tcPr>
            <w:tcW w:w="1494" w:type="dxa"/>
          </w:tcPr>
          <w:p w:rsidR="00C06F21" w:rsidRPr="00D922B5" w:rsidRDefault="00C06F21" w:rsidP="001846AA">
            <w:pPr>
              <w:jc w:val="both"/>
            </w:pPr>
          </w:p>
          <w:p w:rsidR="00030587" w:rsidRPr="00D922B5" w:rsidRDefault="00030587" w:rsidP="001846AA">
            <w:pPr>
              <w:jc w:val="both"/>
            </w:pPr>
          </w:p>
          <w:p w:rsidR="00030587" w:rsidRPr="00D922B5" w:rsidRDefault="00030587" w:rsidP="001846AA">
            <w:pPr>
              <w:jc w:val="both"/>
            </w:pPr>
          </w:p>
          <w:p w:rsidR="00030587" w:rsidRPr="00D922B5" w:rsidRDefault="00030587" w:rsidP="001846AA">
            <w:pPr>
              <w:jc w:val="both"/>
            </w:pPr>
          </w:p>
          <w:p w:rsidR="00030587" w:rsidRPr="00D922B5" w:rsidRDefault="00030587" w:rsidP="001846AA">
            <w:pPr>
              <w:jc w:val="both"/>
            </w:pPr>
          </w:p>
          <w:p w:rsidR="00030587" w:rsidRPr="00D922B5" w:rsidRDefault="00030587" w:rsidP="001846AA">
            <w:pPr>
              <w:jc w:val="both"/>
            </w:pPr>
          </w:p>
          <w:p w:rsidR="00030587" w:rsidRPr="00D922B5" w:rsidRDefault="00030587" w:rsidP="001846AA">
            <w:pPr>
              <w:jc w:val="both"/>
            </w:pPr>
          </w:p>
          <w:p w:rsidR="00030587" w:rsidRPr="00D922B5" w:rsidRDefault="008A1B8C" w:rsidP="001846AA">
            <w:pPr>
              <w:jc w:val="both"/>
            </w:pPr>
            <w:r>
              <w:t>LK/</w:t>
            </w:r>
            <w:r w:rsidR="00D922B5" w:rsidRPr="00D922B5">
              <w:t>GW</w:t>
            </w:r>
          </w:p>
        </w:tc>
        <w:tc>
          <w:tcPr>
            <w:tcW w:w="1494" w:type="dxa"/>
          </w:tcPr>
          <w:p w:rsidR="00030587" w:rsidRDefault="00030587" w:rsidP="001846AA">
            <w:pPr>
              <w:jc w:val="both"/>
            </w:pPr>
          </w:p>
          <w:p w:rsidR="00D922B5" w:rsidRDefault="00D922B5" w:rsidP="001846AA">
            <w:pPr>
              <w:jc w:val="both"/>
            </w:pPr>
          </w:p>
          <w:p w:rsidR="00D922B5" w:rsidRDefault="00D922B5" w:rsidP="001846AA">
            <w:pPr>
              <w:jc w:val="both"/>
            </w:pPr>
          </w:p>
          <w:p w:rsidR="00D922B5" w:rsidRDefault="00D922B5" w:rsidP="001846AA">
            <w:pPr>
              <w:jc w:val="both"/>
            </w:pPr>
          </w:p>
          <w:p w:rsidR="00D922B5" w:rsidRDefault="00D922B5" w:rsidP="001846AA">
            <w:pPr>
              <w:jc w:val="both"/>
            </w:pPr>
          </w:p>
          <w:p w:rsidR="00D922B5" w:rsidRDefault="00D922B5" w:rsidP="001846AA">
            <w:pPr>
              <w:jc w:val="both"/>
            </w:pPr>
          </w:p>
          <w:p w:rsidR="00D922B5" w:rsidRDefault="00D922B5" w:rsidP="001846AA">
            <w:pPr>
              <w:jc w:val="both"/>
            </w:pPr>
          </w:p>
          <w:p w:rsidR="00030587" w:rsidRDefault="00D922B5" w:rsidP="001846AA">
            <w:pPr>
              <w:jc w:val="both"/>
            </w:pPr>
            <w:r>
              <w:t>20 June 2013</w:t>
            </w:r>
          </w:p>
          <w:p w:rsidR="00F664CB" w:rsidRDefault="00F664CB" w:rsidP="001846AA">
            <w:pPr>
              <w:jc w:val="both"/>
              <w:rPr>
                <w:color w:val="FF0000"/>
              </w:rPr>
            </w:pPr>
          </w:p>
          <w:p w:rsidR="00030587" w:rsidRDefault="00030587" w:rsidP="001846AA">
            <w:pPr>
              <w:jc w:val="both"/>
            </w:pPr>
          </w:p>
        </w:tc>
      </w:tr>
      <w:tr w:rsidR="00C06F21" w:rsidTr="00DA1139">
        <w:tc>
          <w:tcPr>
            <w:tcW w:w="1183" w:type="dxa"/>
          </w:tcPr>
          <w:p w:rsidR="00C10DEA" w:rsidRDefault="00F853F5" w:rsidP="001846AA">
            <w:pPr>
              <w:jc w:val="both"/>
            </w:pPr>
            <w:r>
              <w:lastRenderedPageBreak/>
              <w:t>8b.</w:t>
            </w:r>
          </w:p>
          <w:p w:rsidR="00F853F5" w:rsidRDefault="00F853F5" w:rsidP="001846AA">
            <w:pPr>
              <w:jc w:val="both"/>
            </w:pPr>
          </w:p>
          <w:p w:rsidR="00F853F5" w:rsidRDefault="00F853F5" w:rsidP="001846AA">
            <w:pPr>
              <w:jc w:val="both"/>
            </w:pPr>
          </w:p>
          <w:p w:rsidR="00F853F5" w:rsidRDefault="00F853F5" w:rsidP="001846AA">
            <w:pPr>
              <w:jc w:val="both"/>
            </w:pPr>
          </w:p>
          <w:p w:rsidR="00697463" w:rsidRDefault="00697463" w:rsidP="001846AA">
            <w:pPr>
              <w:jc w:val="both"/>
            </w:pPr>
          </w:p>
        </w:tc>
        <w:tc>
          <w:tcPr>
            <w:tcW w:w="5405" w:type="dxa"/>
          </w:tcPr>
          <w:p w:rsidR="00C10DEA" w:rsidRDefault="00F853F5" w:rsidP="001846AA">
            <w:pPr>
              <w:jc w:val="both"/>
            </w:pPr>
            <w:r>
              <w:t xml:space="preserve">A draft skills set for Craig Ewan’s replacement to be </w:t>
            </w:r>
            <w:r w:rsidR="00030587">
              <w:t>agreed</w:t>
            </w:r>
            <w:r>
              <w:t xml:space="preserve"> with the aim of recruiting a replacement Director before the 20 June 2013 Board meeting.</w:t>
            </w:r>
          </w:p>
          <w:p w:rsidR="00784CF5" w:rsidRPr="00030587" w:rsidRDefault="00030587" w:rsidP="00D922B5">
            <w:pPr>
              <w:jc w:val="both"/>
              <w:rPr>
                <w:i/>
              </w:rPr>
            </w:pPr>
            <w:r>
              <w:rPr>
                <w:i/>
              </w:rPr>
              <w:t>V</w:t>
            </w:r>
            <w:r w:rsidR="00F853F5">
              <w:rPr>
                <w:i/>
              </w:rPr>
              <w:t>acancy advertised week commencing</w:t>
            </w:r>
            <w:r>
              <w:rPr>
                <w:i/>
              </w:rPr>
              <w:t xml:space="preserve"> </w:t>
            </w:r>
            <w:r w:rsidR="00F853F5">
              <w:rPr>
                <w:i/>
              </w:rPr>
              <w:t xml:space="preserve">22 April 2013.  </w:t>
            </w:r>
            <w:r w:rsidR="00D922B5">
              <w:rPr>
                <w:i/>
              </w:rPr>
              <w:t xml:space="preserve">A verbal update will be given at </w:t>
            </w:r>
            <w:proofErr w:type="gramStart"/>
            <w:r w:rsidR="00D922B5">
              <w:rPr>
                <w:i/>
              </w:rPr>
              <w:t xml:space="preserve">20 </w:t>
            </w:r>
            <w:r w:rsidR="00F853F5">
              <w:rPr>
                <w:i/>
              </w:rPr>
              <w:t xml:space="preserve"> June</w:t>
            </w:r>
            <w:proofErr w:type="gramEnd"/>
            <w:r w:rsidR="00F853F5">
              <w:rPr>
                <w:i/>
              </w:rPr>
              <w:t xml:space="preserve"> </w:t>
            </w:r>
            <w:r w:rsidR="00D922B5">
              <w:rPr>
                <w:i/>
              </w:rPr>
              <w:t>HLH Board meeting</w:t>
            </w:r>
            <w:r w:rsidR="00F853F5">
              <w:rPr>
                <w:i/>
              </w:rPr>
              <w:t>.</w:t>
            </w:r>
          </w:p>
        </w:tc>
        <w:tc>
          <w:tcPr>
            <w:tcW w:w="1494" w:type="dxa"/>
          </w:tcPr>
          <w:p w:rsidR="00C10DEA" w:rsidRDefault="00C10DEA" w:rsidP="001846AA">
            <w:pPr>
              <w:jc w:val="both"/>
            </w:pPr>
          </w:p>
          <w:p w:rsidR="00030587" w:rsidRDefault="00030587" w:rsidP="001846AA">
            <w:pPr>
              <w:jc w:val="both"/>
            </w:pPr>
          </w:p>
          <w:p w:rsidR="00030587" w:rsidRDefault="00030587" w:rsidP="001846AA">
            <w:pPr>
              <w:jc w:val="both"/>
            </w:pPr>
          </w:p>
          <w:p w:rsidR="00030587" w:rsidRDefault="00030587" w:rsidP="001846AA">
            <w:pPr>
              <w:jc w:val="both"/>
            </w:pPr>
            <w:r>
              <w:t>MM</w:t>
            </w:r>
          </w:p>
        </w:tc>
        <w:tc>
          <w:tcPr>
            <w:tcW w:w="1494" w:type="dxa"/>
          </w:tcPr>
          <w:p w:rsidR="009A3157" w:rsidRDefault="009A3157" w:rsidP="001846AA">
            <w:pPr>
              <w:jc w:val="both"/>
            </w:pPr>
          </w:p>
          <w:p w:rsidR="00030587" w:rsidRDefault="00030587" w:rsidP="001846AA">
            <w:pPr>
              <w:jc w:val="both"/>
            </w:pPr>
          </w:p>
          <w:p w:rsidR="00030587" w:rsidRDefault="00030587" w:rsidP="001846AA">
            <w:pPr>
              <w:jc w:val="both"/>
            </w:pPr>
          </w:p>
          <w:p w:rsidR="00030587" w:rsidRDefault="00030587" w:rsidP="001846AA">
            <w:pPr>
              <w:jc w:val="both"/>
            </w:pPr>
            <w:r>
              <w:t>Complete</w:t>
            </w:r>
          </w:p>
        </w:tc>
      </w:tr>
      <w:tr w:rsidR="00C06F21" w:rsidTr="00DA1139">
        <w:tc>
          <w:tcPr>
            <w:tcW w:w="1183" w:type="dxa"/>
          </w:tcPr>
          <w:p w:rsidR="00C06F21" w:rsidRDefault="00784CF5" w:rsidP="001846AA">
            <w:pPr>
              <w:jc w:val="both"/>
            </w:pPr>
            <w:r>
              <w:t>9.</w:t>
            </w:r>
          </w:p>
        </w:tc>
        <w:tc>
          <w:tcPr>
            <w:tcW w:w="5405" w:type="dxa"/>
          </w:tcPr>
          <w:p w:rsidR="00C10DEA" w:rsidRDefault="00784CF5" w:rsidP="001846AA">
            <w:pPr>
              <w:jc w:val="both"/>
            </w:pPr>
            <w:r>
              <w:t>“Other agencies including UHI and HIE” to be added to Section 4 of the Chief Executive’s Performance Review target document.</w:t>
            </w:r>
          </w:p>
          <w:p w:rsidR="00784CF5" w:rsidRPr="00784CF5" w:rsidRDefault="00784CF5" w:rsidP="001846AA">
            <w:pPr>
              <w:jc w:val="both"/>
              <w:rPr>
                <w:i/>
              </w:rPr>
            </w:pPr>
            <w:r>
              <w:rPr>
                <w:i/>
              </w:rPr>
              <w:t>Targets document updated to include the above.</w:t>
            </w:r>
          </w:p>
        </w:tc>
        <w:tc>
          <w:tcPr>
            <w:tcW w:w="1494" w:type="dxa"/>
          </w:tcPr>
          <w:p w:rsidR="00C06F21" w:rsidRDefault="00C06F21" w:rsidP="001846AA">
            <w:pPr>
              <w:jc w:val="both"/>
            </w:pPr>
          </w:p>
          <w:p w:rsidR="00784CF5" w:rsidRDefault="00784CF5" w:rsidP="001846AA">
            <w:pPr>
              <w:jc w:val="both"/>
            </w:pPr>
          </w:p>
          <w:p w:rsidR="00784CF5" w:rsidRDefault="00784CF5" w:rsidP="001846AA">
            <w:pPr>
              <w:jc w:val="both"/>
            </w:pPr>
          </w:p>
          <w:p w:rsidR="00784CF5" w:rsidRDefault="00030587" w:rsidP="001846AA">
            <w:pPr>
              <w:jc w:val="both"/>
            </w:pPr>
            <w:r>
              <w:t>IM</w:t>
            </w:r>
          </w:p>
        </w:tc>
        <w:tc>
          <w:tcPr>
            <w:tcW w:w="1494" w:type="dxa"/>
          </w:tcPr>
          <w:p w:rsidR="00A35CB5" w:rsidRDefault="00A35CB5" w:rsidP="001846AA">
            <w:pPr>
              <w:jc w:val="both"/>
            </w:pPr>
          </w:p>
          <w:p w:rsidR="00030587" w:rsidRDefault="00030587" w:rsidP="001846AA">
            <w:pPr>
              <w:jc w:val="both"/>
            </w:pPr>
          </w:p>
          <w:p w:rsidR="00030587" w:rsidRDefault="00030587" w:rsidP="001846AA">
            <w:pPr>
              <w:jc w:val="both"/>
            </w:pPr>
          </w:p>
          <w:p w:rsidR="00030587" w:rsidRDefault="00030587" w:rsidP="001846AA">
            <w:pPr>
              <w:jc w:val="both"/>
            </w:pPr>
            <w:r>
              <w:t>Complete</w:t>
            </w:r>
          </w:p>
        </w:tc>
      </w:tr>
      <w:tr w:rsidR="009C4998" w:rsidTr="00DA1139">
        <w:tc>
          <w:tcPr>
            <w:tcW w:w="1183" w:type="dxa"/>
          </w:tcPr>
          <w:p w:rsidR="009C4998" w:rsidRDefault="009C4998" w:rsidP="001846AA">
            <w:pPr>
              <w:jc w:val="both"/>
            </w:pPr>
            <w:r>
              <w:t>10.</w:t>
            </w:r>
          </w:p>
        </w:tc>
        <w:tc>
          <w:tcPr>
            <w:tcW w:w="5405" w:type="dxa"/>
          </w:tcPr>
          <w:p w:rsidR="003A7161" w:rsidRDefault="003A7161" w:rsidP="003A7161">
            <w:pPr>
              <w:jc w:val="both"/>
            </w:pPr>
            <w:r>
              <w:t>Directors asked to email the Chair and Chief Executive with their three main areas of interest.</w:t>
            </w:r>
          </w:p>
          <w:p w:rsidR="001D6E6C" w:rsidRPr="00DE6212" w:rsidRDefault="00DE6212" w:rsidP="00DE6212">
            <w:pPr>
              <w:jc w:val="both"/>
              <w:rPr>
                <w:i/>
                <w:color w:val="FF0000"/>
              </w:rPr>
            </w:pPr>
            <w:r w:rsidRPr="00DE6212">
              <w:rPr>
                <w:i/>
              </w:rPr>
              <w:t>Areas of interested received by all Directors</w:t>
            </w:r>
            <w:r>
              <w:rPr>
                <w:i/>
              </w:rPr>
              <w:t>.  Chair to give a verbal update at the 20 June 2013 Board meeting.</w:t>
            </w:r>
          </w:p>
        </w:tc>
        <w:tc>
          <w:tcPr>
            <w:tcW w:w="1494" w:type="dxa"/>
          </w:tcPr>
          <w:p w:rsidR="009C4998" w:rsidRDefault="009C4998" w:rsidP="001846AA">
            <w:pPr>
              <w:jc w:val="both"/>
            </w:pPr>
          </w:p>
          <w:p w:rsidR="009C4998" w:rsidRDefault="009C4998" w:rsidP="001846AA">
            <w:pPr>
              <w:jc w:val="both"/>
            </w:pPr>
          </w:p>
          <w:p w:rsidR="00DE6212" w:rsidRDefault="00DE6212" w:rsidP="001846AA">
            <w:pPr>
              <w:jc w:val="both"/>
            </w:pPr>
            <w:r>
              <w:t>LK</w:t>
            </w:r>
          </w:p>
        </w:tc>
        <w:tc>
          <w:tcPr>
            <w:tcW w:w="1494" w:type="dxa"/>
          </w:tcPr>
          <w:p w:rsidR="009C4998" w:rsidRDefault="009C4998" w:rsidP="001846AA">
            <w:pPr>
              <w:jc w:val="both"/>
            </w:pPr>
          </w:p>
          <w:p w:rsidR="009C4998" w:rsidRDefault="009C4998" w:rsidP="001846AA">
            <w:pPr>
              <w:jc w:val="both"/>
            </w:pPr>
          </w:p>
          <w:p w:rsidR="00DE6212" w:rsidRDefault="00DE6212" w:rsidP="001846AA">
            <w:pPr>
              <w:jc w:val="both"/>
            </w:pPr>
            <w:r>
              <w:t>20 June 2013</w:t>
            </w:r>
          </w:p>
        </w:tc>
      </w:tr>
      <w:tr w:rsidR="00C06F21" w:rsidTr="00DA1139">
        <w:tc>
          <w:tcPr>
            <w:tcW w:w="1183" w:type="dxa"/>
          </w:tcPr>
          <w:p w:rsidR="00C06F21" w:rsidRDefault="00784CF5" w:rsidP="001846AA">
            <w:pPr>
              <w:jc w:val="both"/>
            </w:pPr>
            <w:r>
              <w:t>11.</w:t>
            </w:r>
          </w:p>
        </w:tc>
        <w:tc>
          <w:tcPr>
            <w:tcW w:w="5405" w:type="dxa"/>
          </w:tcPr>
          <w:p w:rsidR="00C06F21" w:rsidRDefault="00784CF5" w:rsidP="001846AA">
            <w:pPr>
              <w:jc w:val="both"/>
            </w:pPr>
            <w:r>
              <w:t xml:space="preserve">“Vacancy Management </w:t>
            </w:r>
            <w:proofErr w:type="gramStart"/>
            <w:r>
              <w:t>“ to</w:t>
            </w:r>
            <w:proofErr w:type="gramEnd"/>
            <w:r>
              <w:t xml:space="preserve"> be replaced with “vacancy” if not part of a planned vacancy management policy.</w:t>
            </w:r>
          </w:p>
          <w:p w:rsidR="00784CF5" w:rsidRPr="001B2BCD" w:rsidRDefault="001B2BCD" w:rsidP="001B2BCD">
            <w:pPr>
              <w:jc w:val="both"/>
              <w:rPr>
                <w:i/>
              </w:rPr>
            </w:pPr>
            <w:r w:rsidRPr="001B2BCD">
              <w:rPr>
                <w:i/>
              </w:rPr>
              <w:t>Template for future reports updated</w:t>
            </w:r>
          </w:p>
        </w:tc>
        <w:tc>
          <w:tcPr>
            <w:tcW w:w="1494" w:type="dxa"/>
          </w:tcPr>
          <w:p w:rsidR="00446BF3" w:rsidRDefault="00446BF3" w:rsidP="001846AA">
            <w:pPr>
              <w:jc w:val="both"/>
            </w:pPr>
          </w:p>
          <w:p w:rsidR="00030587" w:rsidRDefault="00030587" w:rsidP="001846AA">
            <w:pPr>
              <w:jc w:val="both"/>
            </w:pPr>
          </w:p>
          <w:p w:rsidR="00030587" w:rsidRDefault="00030587" w:rsidP="001846AA">
            <w:pPr>
              <w:jc w:val="both"/>
            </w:pPr>
            <w:r>
              <w:t>GW</w:t>
            </w:r>
          </w:p>
        </w:tc>
        <w:tc>
          <w:tcPr>
            <w:tcW w:w="1494" w:type="dxa"/>
          </w:tcPr>
          <w:p w:rsidR="00446BF3" w:rsidRDefault="00446BF3" w:rsidP="001846AA">
            <w:pPr>
              <w:jc w:val="both"/>
            </w:pPr>
          </w:p>
          <w:p w:rsidR="00030587" w:rsidRDefault="00030587" w:rsidP="001846AA">
            <w:pPr>
              <w:jc w:val="both"/>
            </w:pPr>
          </w:p>
          <w:p w:rsidR="00030587" w:rsidRDefault="001B2BCD" w:rsidP="001846AA">
            <w:pPr>
              <w:jc w:val="both"/>
            </w:pPr>
            <w:r>
              <w:t>Complete</w:t>
            </w:r>
          </w:p>
        </w:tc>
      </w:tr>
      <w:tr w:rsidR="00C06F21" w:rsidTr="00DA1139">
        <w:tc>
          <w:tcPr>
            <w:tcW w:w="1183" w:type="dxa"/>
          </w:tcPr>
          <w:p w:rsidR="00C06F21" w:rsidRDefault="00784CF5" w:rsidP="001846AA">
            <w:pPr>
              <w:jc w:val="both"/>
            </w:pPr>
            <w:r>
              <w:t>12i and ii.</w:t>
            </w:r>
          </w:p>
        </w:tc>
        <w:tc>
          <w:tcPr>
            <w:tcW w:w="5405" w:type="dxa"/>
          </w:tcPr>
          <w:p w:rsidR="00784CF5" w:rsidRDefault="00784CF5" w:rsidP="001846AA">
            <w:pPr>
              <w:jc w:val="both"/>
            </w:pPr>
            <w:r>
              <w:t xml:space="preserve">Feedback to be given to the employee who had requested staff representation on the Board and </w:t>
            </w:r>
          </w:p>
          <w:p w:rsidR="00C06F21" w:rsidRDefault="00784CF5" w:rsidP="00030587">
            <w:pPr>
              <w:pStyle w:val="ListParagraph"/>
              <w:numPr>
                <w:ilvl w:val="0"/>
                <w:numId w:val="2"/>
              </w:numPr>
              <w:jc w:val="both"/>
            </w:pPr>
            <w:r>
              <w:t xml:space="preserve">this to be considered by the Board in due course </w:t>
            </w:r>
            <w:r w:rsidR="00030587">
              <w:t>AND</w:t>
            </w:r>
          </w:p>
          <w:p w:rsidR="00784CF5" w:rsidRDefault="00784CF5" w:rsidP="00784CF5">
            <w:pPr>
              <w:pStyle w:val="ListParagraph"/>
              <w:numPr>
                <w:ilvl w:val="0"/>
                <w:numId w:val="2"/>
              </w:numPr>
              <w:jc w:val="both"/>
            </w:pPr>
            <w:proofErr w:type="gramStart"/>
            <w:r>
              <w:t>a</w:t>
            </w:r>
            <w:proofErr w:type="gramEnd"/>
            <w:r>
              <w:t xml:space="preserve"> report be submitted to the next meeting of the Board detailing how staff representation might be achieved.</w:t>
            </w:r>
          </w:p>
          <w:p w:rsidR="00784CF5" w:rsidRPr="001B2BCD" w:rsidRDefault="006154DA" w:rsidP="00402196">
            <w:pPr>
              <w:jc w:val="both"/>
              <w:rPr>
                <w:i/>
              </w:rPr>
            </w:pPr>
            <w:r>
              <w:rPr>
                <w:i/>
              </w:rPr>
              <w:t>Letter sent</w:t>
            </w:r>
            <w:r w:rsidR="00030587" w:rsidRPr="001B2BCD">
              <w:rPr>
                <w:i/>
              </w:rPr>
              <w:t xml:space="preserve"> </w:t>
            </w:r>
            <w:r w:rsidR="00402196" w:rsidRPr="00402196">
              <w:rPr>
                <w:i/>
              </w:rPr>
              <w:t xml:space="preserve">15 May 2013 </w:t>
            </w:r>
            <w:r w:rsidR="00030587" w:rsidRPr="00402196">
              <w:rPr>
                <w:i/>
              </w:rPr>
              <w:t xml:space="preserve">based </w:t>
            </w:r>
            <w:r w:rsidR="00030587" w:rsidRPr="001B2BCD">
              <w:rPr>
                <w:i/>
              </w:rPr>
              <w:t xml:space="preserve">on a) </w:t>
            </w:r>
            <w:r w:rsidR="001B2BCD" w:rsidRPr="001B2BCD">
              <w:rPr>
                <w:i/>
              </w:rPr>
              <w:t xml:space="preserve">and b) </w:t>
            </w:r>
            <w:r w:rsidR="00030587" w:rsidRPr="001B2BCD">
              <w:rPr>
                <w:i/>
              </w:rPr>
              <w:t>above</w:t>
            </w:r>
          </w:p>
        </w:tc>
        <w:tc>
          <w:tcPr>
            <w:tcW w:w="1494" w:type="dxa"/>
          </w:tcPr>
          <w:p w:rsidR="00314CA2" w:rsidRPr="00402196" w:rsidRDefault="00314CA2" w:rsidP="001846AA">
            <w:pPr>
              <w:jc w:val="both"/>
            </w:pPr>
          </w:p>
          <w:p w:rsidR="001B2BCD" w:rsidRPr="00402196" w:rsidRDefault="001B2BCD" w:rsidP="001846AA">
            <w:pPr>
              <w:jc w:val="both"/>
            </w:pPr>
          </w:p>
          <w:p w:rsidR="001B2BCD" w:rsidRPr="00402196" w:rsidRDefault="001B2BCD" w:rsidP="001846AA">
            <w:pPr>
              <w:jc w:val="both"/>
            </w:pPr>
          </w:p>
          <w:p w:rsidR="001B2BCD" w:rsidRPr="00402196" w:rsidRDefault="001B2BCD" w:rsidP="001846AA">
            <w:pPr>
              <w:jc w:val="both"/>
            </w:pPr>
          </w:p>
          <w:p w:rsidR="001B2BCD" w:rsidRPr="00402196" w:rsidRDefault="001B2BCD" w:rsidP="001846AA">
            <w:pPr>
              <w:jc w:val="both"/>
            </w:pPr>
          </w:p>
          <w:p w:rsidR="001B2BCD" w:rsidRPr="00402196" w:rsidRDefault="001B2BCD" w:rsidP="001846AA">
            <w:pPr>
              <w:jc w:val="both"/>
            </w:pPr>
          </w:p>
          <w:p w:rsidR="001B2BCD" w:rsidRPr="00402196" w:rsidRDefault="001B2BCD" w:rsidP="001846AA">
            <w:pPr>
              <w:jc w:val="both"/>
            </w:pPr>
          </w:p>
          <w:p w:rsidR="001B2BCD" w:rsidRPr="00402196" w:rsidRDefault="001B2BCD" w:rsidP="001846AA">
            <w:pPr>
              <w:jc w:val="both"/>
            </w:pPr>
            <w:r w:rsidRPr="00402196">
              <w:t>IM</w:t>
            </w:r>
          </w:p>
        </w:tc>
        <w:tc>
          <w:tcPr>
            <w:tcW w:w="1494" w:type="dxa"/>
          </w:tcPr>
          <w:p w:rsidR="00314CA2" w:rsidRPr="00402196" w:rsidRDefault="00314CA2" w:rsidP="00D07845">
            <w:pPr>
              <w:jc w:val="both"/>
            </w:pPr>
          </w:p>
          <w:p w:rsidR="001B2BCD" w:rsidRPr="00402196" w:rsidRDefault="001B2BCD" w:rsidP="00D07845">
            <w:pPr>
              <w:jc w:val="both"/>
            </w:pPr>
          </w:p>
          <w:p w:rsidR="001B2BCD" w:rsidRPr="00402196" w:rsidRDefault="001B2BCD" w:rsidP="00D07845">
            <w:pPr>
              <w:jc w:val="both"/>
            </w:pPr>
          </w:p>
          <w:p w:rsidR="001B2BCD" w:rsidRPr="00402196" w:rsidRDefault="001B2BCD" w:rsidP="00D07845">
            <w:pPr>
              <w:jc w:val="both"/>
            </w:pPr>
          </w:p>
          <w:p w:rsidR="001B2BCD" w:rsidRPr="00402196" w:rsidRDefault="001B2BCD" w:rsidP="00D07845">
            <w:pPr>
              <w:jc w:val="both"/>
            </w:pPr>
          </w:p>
          <w:p w:rsidR="001B2BCD" w:rsidRPr="00402196" w:rsidRDefault="001B2BCD" w:rsidP="00D07845">
            <w:pPr>
              <w:jc w:val="both"/>
            </w:pPr>
          </w:p>
          <w:p w:rsidR="001B2BCD" w:rsidRPr="00402196" w:rsidRDefault="001B2BCD" w:rsidP="00D07845">
            <w:pPr>
              <w:jc w:val="both"/>
            </w:pPr>
          </w:p>
          <w:p w:rsidR="001B2BCD" w:rsidRPr="00402196" w:rsidRDefault="00004371" w:rsidP="00D07845">
            <w:pPr>
              <w:jc w:val="both"/>
            </w:pPr>
            <w:r w:rsidRPr="00402196">
              <w:t>Complete</w:t>
            </w:r>
          </w:p>
        </w:tc>
      </w:tr>
      <w:tr w:rsidR="00C06F21" w:rsidTr="00DA1139">
        <w:tc>
          <w:tcPr>
            <w:tcW w:w="1183" w:type="dxa"/>
          </w:tcPr>
          <w:p w:rsidR="00DF1780" w:rsidRDefault="00784CF5" w:rsidP="001846AA">
            <w:pPr>
              <w:jc w:val="both"/>
            </w:pPr>
            <w:r>
              <w:t>14.</w:t>
            </w:r>
          </w:p>
        </w:tc>
        <w:tc>
          <w:tcPr>
            <w:tcW w:w="5405" w:type="dxa"/>
          </w:tcPr>
          <w:p w:rsidR="00DF1780" w:rsidRDefault="00784CF5" w:rsidP="00A35CB5">
            <w:pPr>
              <w:jc w:val="both"/>
            </w:pPr>
            <w:r>
              <w:t>A letter to be sent to THC in relation to legionella testing, as discussed at the meeting, and that appropriate action be taken to undertake the required testing if the response from the Council proved unsatisfactory.</w:t>
            </w:r>
          </w:p>
          <w:p w:rsidR="00063267" w:rsidRPr="00A345B0" w:rsidRDefault="00A345B0" w:rsidP="001E31FC">
            <w:pPr>
              <w:jc w:val="both"/>
              <w:rPr>
                <w:i/>
              </w:rPr>
            </w:pPr>
            <w:r w:rsidRPr="00A345B0">
              <w:rPr>
                <w:i/>
              </w:rPr>
              <w:t xml:space="preserve">A letter was sent by Chair </w:t>
            </w:r>
            <w:r w:rsidR="001E31FC">
              <w:rPr>
                <w:i/>
              </w:rPr>
              <w:t>2 April 2013.</w:t>
            </w:r>
          </w:p>
        </w:tc>
        <w:tc>
          <w:tcPr>
            <w:tcW w:w="1494" w:type="dxa"/>
          </w:tcPr>
          <w:p w:rsidR="00E41460" w:rsidRDefault="00E41460" w:rsidP="001846AA">
            <w:pPr>
              <w:jc w:val="both"/>
            </w:pPr>
          </w:p>
          <w:p w:rsidR="00A345B0" w:rsidRDefault="00A345B0" w:rsidP="001846AA">
            <w:pPr>
              <w:jc w:val="both"/>
            </w:pPr>
          </w:p>
          <w:p w:rsidR="00A345B0" w:rsidRDefault="00A345B0" w:rsidP="001846AA">
            <w:pPr>
              <w:jc w:val="both"/>
            </w:pPr>
          </w:p>
          <w:p w:rsidR="00A345B0" w:rsidRDefault="00A345B0" w:rsidP="001846AA">
            <w:pPr>
              <w:jc w:val="both"/>
            </w:pPr>
          </w:p>
          <w:p w:rsidR="00A345B0" w:rsidRDefault="00004371" w:rsidP="001846AA">
            <w:pPr>
              <w:jc w:val="both"/>
            </w:pPr>
            <w:r>
              <w:t>LK</w:t>
            </w:r>
          </w:p>
        </w:tc>
        <w:tc>
          <w:tcPr>
            <w:tcW w:w="1494" w:type="dxa"/>
          </w:tcPr>
          <w:p w:rsidR="00E41460" w:rsidRDefault="00E41460" w:rsidP="001846AA">
            <w:pPr>
              <w:jc w:val="both"/>
            </w:pPr>
          </w:p>
          <w:p w:rsidR="00A345B0" w:rsidRDefault="00A345B0" w:rsidP="001846AA">
            <w:pPr>
              <w:jc w:val="both"/>
            </w:pPr>
          </w:p>
          <w:p w:rsidR="00A345B0" w:rsidRDefault="00A345B0" w:rsidP="001846AA">
            <w:pPr>
              <w:jc w:val="both"/>
            </w:pPr>
          </w:p>
          <w:p w:rsidR="00A345B0" w:rsidRDefault="00A345B0" w:rsidP="001846AA">
            <w:pPr>
              <w:jc w:val="both"/>
            </w:pPr>
          </w:p>
          <w:p w:rsidR="00A345B0" w:rsidRDefault="00A345B0" w:rsidP="001846AA">
            <w:pPr>
              <w:jc w:val="both"/>
            </w:pPr>
            <w:r>
              <w:t>Complete</w:t>
            </w:r>
          </w:p>
        </w:tc>
      </w:tr>
      <w:tr w:rsidR="009C4998" w:rsidTr="00DA1139">
        <w:tc>
          <w:tcPr>
            <w:tcW w:w="1183" w:type="dxa"/>
          </w:tcPr>
          <w:p w:rsidR="009C4998" w:rsidRDefault="009C4998" w:rsidP="001846AA">
            <w:pPr>
              <w:jc w:val="both"/>
            </w:pPr>
            <w:r>
              <w:t>16.</w:t>
            </w:r>
          </w:p>
        </w:tc>
        <w:tc>
          <w:tcPr>
            <w:tcW w:w="5405" w:type="dxa"/>
          </w:tcPr>
          <w:p w:rsidR="009C4998" w:rsidRDefault="009C4998" w:rsidP="00A35CB5">
            <w:pPr>
              <w:jc w:val="both"/>
            </w:pPr>
            <w:r>
              <w:t>Consideration of Scheme of Delegation deferred to June 2013.</w:t>
            </w:r>
          </w:p>
          <w:p w:rsidR="009C4998" w:rsidRPr="009C4998" w:rsidRDefault="009C4998" w:rsidP="00D922B5">
            <w:pPr>
              <w:jc w:val="both"/>
              <w:rPr>
                <w:i/>
              </w:rPr>
            </w:pPr>
            <w:r>
              <w:rPr>
                <w:i/>
              </w:rPr>
              <w:t xml:space="preserve">To be included at agenda item </w:t>
            </w:r>
            <w:r w:rsidR="00D922B5">
              <w:rPr>
                <w:i/>
              </w:rPr>
              <w:t>13</w:t>
            </w:r>
            <w:r>
              <w:rPr>
                <w:i/>
              </w:rPr>
              <w:t xml:space="preserve"> on 20 June 2013 HLH Board agenda.</w:t>
            </w:r>
          </w:p>
        </w:tc>
        <w:tc>
          <w:tcPr>
            <w:tcW w:w="1494" w:type="dxa"/>
          </w:tcPr>
          <w:p w:rsidR="009C4998" w:rsidRDefault="009C4998" w:rsidP="001846AA">
            <w:pPr>
              <w:jc w:val="both"/>
            </w:pPr>
          </w:p>
          <w:p w:rsidR="009C4998" w:rsidRDefault="009C4998" w:rsidP="001846AA">
            <w:pPr>
              <w:jc w:val="both"/>
            </w:pPr>
          </w:p>
          <w:p w:rsidR="009C4998" w:rsidRDefault="009C4998" w:rsidP="001846AA">
            <w:pPr>
              <w:jc w:val="both"/>
            </w:pPr>
            <w:r>
              <w:t>MM</w:t>
            </w:r>
          </w:p>
        </w:tc>
        <w:tc>
          <w:tcPr>
            <w:tcW w:w="1494" w:type="dxa"/>
          </w:tcPr>
          <w:p w:rsidR="009C4998" w:rsidRDefault="009C4998" w:rsidP="001846AA">
            <w:pPr>
              <w:jc w:val="both"/>
            </w:pPr>
          </w:p>
          <w:p w:rsidR="009C4998" w:rsidRDefault="009C4998" w:rsidP="001846AA">
            <w:pPr>
              <w:jc w:val="both"/>
            </w:pPr>
          </w:p>
          <w:p w:rsidR="009C4998" w:rsidRDefault="00D922B5" w:rsidP="001846AA">
            <w:pPr>
              <w:jc w:val="both"/>
            </w:pPr>
            <w:r>
              <w:t xml:space="preserve">20 </w:t>
            </w:r>
            <w:r w:rsidR="009C4998">
              <w:t>June 2013</w:t>
            </w:r>
          </w:p>
        </w:tc>
      </w:tr>
      <w:tr w:rsidR="009C4998" w:rsidTr="00DA1139">
        <w:tc>
          <w:tcPr>
            <w:tcW w:w="1183" w:type="dxa"/>
          </w:tcPr>
          <w:p w:rsidR="009C4998" w:rsidRDefault="009C4998" w:rsidP="001846AA">
            <w:pPr>
              <w:jc w:val="both"/>
            </w:pPr>
            <w:r>
              <w:t>17.</w:t>
            </w:r>
          </w:p>
        </w:tc>
        <w:tc>
          <w:tcPr>
            <w:tcW w:w="5405" w:type="dxa"/>
          </w:tcPr>
          <w:p w:rsidR="009C4998" w:rsidRPr="009C4998" w:rsidRDefault="009C4998" w:rsidP="00A35CB5">
            <w:pPr>
              <w:jc w:val="both"/>
            </w:pPr>
            <w:r w:rsidRPr="009C4998">
              <w:t>Consideration of amendments to Memorandum and Articles of Association deferred to June 2013</w:t>
            </w:r>
          </w:p>
          <w:p w:rsidR="009C4998" w:rsidRDefault="009C4998" w:rsidP="00D922B5">
            <w:pPr>
              <w:jc w:val="both"/>
            </w:pPr>
            <w:r>
              <w:rPr>
                <w:i/>
              </w:rPr>
              <w:t>To be included at agenda item</w:t>
            </w:r>
            <w:r w:rsidR="00D922B5">
              <w:rPr>
                <w:i/>
              </w:rPr>
              <w:t xml:space="preserve"> 14</w:t>
            </w:r>
            <w:r>
              <w:rPr>
                <w:i/>
              </w:rPr>
              <w:t xml:space="preserve"> on 20 June 2013 HLH Board agenda.</w:t>
            </w:r>
          </w:p>
        </w:tc>
        <w:tc>
          <w:tcPr>
            <w:tcW w:w="1494" w:type="dxa"/>
          </w:tcPr>
          <w:p w:rsidR="009C4998" w:rsidRDefault="009C4998" w:rsidP="001846AA">
            <w:pPr>
              <w:jc w:val="both"/>
            </w:pPr>
          </w:p>
          <w:p w:rsidR="009C4998" w:rsidRDefault="009C4998" w:rsidP="001846AA">
            <w:pPr>
              <w:jc w:val="both"/>
            </w:pPr>
          </w:p>
          <w:p w:rsidR="009C4998" w:rsidRDefault="009C4998" w:rsidP="001846AA">
            <w:pPr>
              <w:jc w:val="both"/>
            </w:pPr>
            <w:r>
              <w:t>MM</w:t>
            </w:r>
          </w:p>
        </w:tc>
        <w:tc>
          <w:tcPr>
            <w:tcW w:w="1494" w:type="dxa"/>
          </w:tcPr>
          <w:p w:rsidR="009C4998" w:rsidRDefault="009C4998" w:rsidP="001846AA">
            <w:pPr>
              <w:jc w:val="both"/>
            </w:pPr>
          </w:p>
          <w:p w:rsidR="009C4998" w:rsidRDefault="009C4998" w:rsidP="001846AA">
            <w:pPr>
              <w:jc w:val="both"/>
            </w:pPr>
          </w:p>
          <w:p w:rsidR="009C4998" w:rsidRDefault="00D922B5" w:rsidP="001846AA">
            <w:pPr>
              <w:jc w:val="both"/>
            </w:pPr>
            <w:r>
              <w:t xml:space="preserve">20 </w:t>
            </w:r>
            <w:r w:rsidR="009C4998">
              <w:t>June 2013</w:t>
            </w:r>
          </w:p>
        </w:tc>
      </w:tr>
      <w:tr w:rsidR="009C4998" w:rsidTr="00DA1139">
        <w:tc>
          <w:tcPr>
            <w:tcW w:w="1183" w:type="dxa"/>
          </w:tcPr>
          <w:p w:rsidR="009C4998" w:rsidRDefault="00657EAC" w:rsidP="001846AA">
            <w:pPr>
              <w:jc w:val="both"/>
            </w:pPr>
            <w:r>
              <w:t>1</w:t>
            </w:r>
            <w:bookmarkStart w:id="0" w:name="_GoBack"/>
            <w:bookmarkEnd w:id="0"/>
            <w:r w:rsidR="006E397B">
              <w:t>8</w:t>
            </w:r>
            <w:r w:rsidR="009C4998">
              <w:t>.</w:t>
            </w:r>
          </w:p>
        </w:tc>
        <w:tc>
          <w:tcPr>
            <w:tcW w:w="5405" w:type="dxa"/>
          </w:tcPr>
          <w:p w:rsidR="009C4998" w:rsidRDefault="009C4998" w:rsidP="00A35CB5">
            <w:pPr>
              <w:jc w:val="both"/>
            </w:pPr>
            <w:r>
              <w:t xml:space="preserve">Signing of Service Level Agreements and Leases and </w:t>
            </w:r>
            <w:r w:rsidRPr="00D922B5">
              <w:t xml:space="preserve">Clerking Support for Company Business.  </w:t>
            </w:r>
          </w:p>
          <w:p w:rsidR="009C4998" w:rsidRPr="009C4998" w:rsidRDefault="00D922B5" w:rsidP="00A35CB5">
            <w:pPr>
              <w:jc w:val="both"/>
              <w:rPr>
                <w:i/>
              </w:rPr>
            </w:pPr>
            <w:r>
              <w:rPr>
                <w:i/>
              </w:rPr>
              <w:t>To be included at agenda item 15 on 20 June 2013 HLH Board agenda.</w:t>
            </w:r>
          </w:p>
        </w:tc>
        <w:tc>
          <w:tcPr>
            <w:tcW w:w="1494" w:type="dxa"/>
          </w:tcPr>
          <w:p w:rsidR="009C4998" w:rsidRPr="00D922B5" w:rsidRDefault="009C4998" w:rsidP="001846AA">
            <w:pPr>
              <w:jc w:val="both"/>
            </w:pPr>
          </w:p>
          <w:p w:rsidR="009C4998" w:rsidRPr="00D922B5" w:rsidRDefault="009C4998" w:rsidP="001846AA">
            <w:pPr>
              <w:jc w:val="both"/>
            </w:pPr>
          </w:p>
          <w:p w:rsidR="009C4998" w:rsidRDefault="00D922B5" w:rsidP="001846AA">
            <w:pPr>
              <w:jc w:val="both"/>
            </w:pPr>
            <w:r>
              <w:t>MM</w:t>
            </w:r>
          </w:p>
        </w:tc>
        <w:tc>
          <w:tcPr>
            <w:tcW w:w="1494" w:type="dxa"/>
          </w:tcPr>
          <w:p w:rsidR="009C4998" w:rsidRDefault="009C4998" w:rsidP="001846AA">
            <w:pPr>
              <w:jc w:val="both"/>
            </w:pPr>
          </w:p>
          <w:p w:rsidR="009C4998" w:rsidRDefault="009C4998" w:rsidP="001846AA">
            <w:pPr>
              <w:jc w:val="both"/>
            </w:pPr>
          </w:p>
          <w:p w:rsidR="009C4998" w:rsidRDefault="00D922B5" w:rsidP="001846AA">
            <w:pPr>
              <w:jc w:val="both"/>
            </w:pPr>
            <w:r>
              <w:t xml:space="preserve">20 </w:t>
            </w:r>
            <w:r w:rsidR="009C4998">
              <w:t>June 2013</w:t>
            </w:r>
          </w:p>
          <w:p w:rsidR="009C4998" w:rsidRDefault="009C4998" w:rsidP="001846AA">
            <w:pPr>
              <w:jc w:val="both"/>
            </w:pPr>
          </w:p>
          <w:p w:rsidR="009C4998" w:rsidRDefault="009C4998" w:rsidP="001846AA">
            <w:pPr>
              <w:jc w:val="both"/>
            </w:pPr>
          </w:p>
        </w:tc>
      </w:tr>
    </w:tbl>
    <w:p w:rsidR="00C06F21" w:rsidRPr="00C06F21" w:rsidRDefault="00C06F21" w:rsidP="001846AA">
      <w:pPr>
        <w:jc w:val="both"/>
      </w:pPr>
    </w:p>
    <w:sectPr w:rsidR="00C06F21" w:rsidRPr="00C06F21" w:rsidSect="00F2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30587"/>
    <w:rsid w:val="00063267"/>
    <w:rsid w:val="00083680"/>
    <w:rsid w:val="00182560"/>
    <w:rsid w:val="001846AA"/>
    <w:rsid w:val="001B1293"/>
    <w:rsid w:val="001B2BCD"/>
    <w:rsid w:val="001D6E6C"/>
    <w:rsid w:val="001E31FC"/>
    <w:rsid w:val="00211E12"/>
    <w:rsid w:val="00266B80"/>
    <w:rsid w:val="00287306"/>
    <w:rsid w:val="002C2C69"/>
    <w:rsid w:val="00314CA2"/>
    <w:rsid w:val="003A7161"/>
    <w:rsid w:val="00402196"/>
    <w:rsid w:val="00444234"/>
    <w:rsid w:val="00446BF3"/>
    <w:rsid w:val="0047044E"/>
    <w:rsid w:val="00481B26"/>
    <w:rsid w:val="00587D92"/>
    <w:rsid w:val="006154DA"/>
    <w:rsid w:val="00657EAC"/>
    <w:rsid w:val="00687BEA"/>
    <w:rsid w:val="00697463"/>
    <w:rsid w:val="006E397B"/>
    <w:rsid w:val="00702DC6"/>
    <w:rsid w:val="007046F9"/>
    <w:rsid w:val="00784CF5"/>
    <w:rsid w:val="00864133"/>
    <w:rsid w:val="008A1A0C"/>
    <w:rsid w:val="008A1B8C"/>
    <w:rsid w:val="009A3157"/>
    <w:rsid w:val="009C4998"/>
    <w:rsid w:val="00A345B0"/>
    <w:rsid w:val="00A35CB5"/>
    <w:rsid w:val="00A615BC"/>
    <w:rsid w:val="00AB439C"/>
    <w:rsid w:val="00B34DB3"/>
    <w:rsid w:val="00B36E50"/>
    <w:rsid w:val="00C06F21"/>
    <w:rsid w:val="00C10DEA"/>
    <w:rsid w:val="00C21D23"/>
    <w:rsid w:val="00CE2764"/>
    <w:rsid w:val="00D02DB3"/>
    <w:rsid w:val="00D07845"/>
    <w:rsid w:val="00D8542B"/>
    <w:rsid w:val="00D922B5"/>
    <w:rsid w:val="00DA1139"/>
    <w:rsid w:val="00DB7F4C"/>
    <w:rsid w:val="00DE6212"/>
    <w:rsid w:val="00DF1780"/>
    <w:rsid w:val="00E41460"/>
    <w:rsid w:val="00F23DCB"/>
    <w:rsid w:val="00F664CB"/>
    <w:rsid w:val="00F853F5"/>
    <w:rsid w:val="00FC0C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01DA-A28E-4FA3-B2A2-CA7446F97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High Life Highland</cp:lastModifiedBy>
  <cp:revision>26</cp:revision>
  <cp:lastPrinted>2013-05-02T12:50:00Z</cp:lastPrinted>
  <dcterms:created xsi:type="dcterms:W3CDTF">2013-04-18T13:24:00Z</dcterms:created>
  <dcterms:modified xsi:type="dcterms:W3CDTF">2013-06-12T12:58:00Z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-1787691718</vt:i4>
  </property>
  <property fmtid="{D5CDD505-2E9C-101B-9397-08002B2CF9AE}" pid="3" name="_NewReviewCycle">
    <vt:lpwstr/>
  </property>
  <property fmtid="{D5CDD505-2E9C-101B-9397-08002B2CF9AE}" pid="4" name="_EmailSubject">
    <vt:lpwstr>HLH BOARD AGENDA AND PAPERS FOR UPLOADING</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ies>
</file>