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DB6" w:rsidRDefault="00DA1139" w:rsidP="00131DB6">
      <w:pPr>
        <w:spacing w:after="0"/>
      </w:pPr>
      <w:r>
        <w:tab/>
      </w:r>
      <w:r w:rsidR="007521A6">
        <w:tab/>
      </w:r>
      <w:r w:rsidR="007521A6">
        <w:tab/>
      </w:r>
      <w:r w:rsidR="007521A6">
        <w:tab/>
      </w:r>
      <w:r w:rsidR="007521A6">
        <w:tab/>
      </w:r>
      <w:r w:rsidR="007521A6">
        <w:tab/>
      </w:r>
      <w:r w:rsidR="007521A6">
        <w:tab/>
      </w:r>
      <w:r w:rsidR="007521A6">
        <w:tab/>
      </w:r>
      <w:r w:rsidR="007521A6">
        <w:tab/>
      </w:r>
      <w:r w:rsidR="007521A6">
        <w:tab/>
        <w:t>AGENDA ITEM</w:t>
      </w:r>
      <w:r w:rsidR="001526F3">
        <w:t xml:space="preserve"> </w:t>
      </w:r>
      <w:r w:rsidR="00C31D79">
        <w:t>5</w:t>
      </w:r>
      <w:bookmarkStart w:id="0" w:name="_GoBack"/>
      <w:bookmarkEnd w:id="0"/>
      <w:r w:rsidR="00B334B9">
        <w:t xml:space="preserve"> </w:t>
      </w:r>
    </w:p>
    <w:p w:rsidR="00F23DCB" w:rsidRPr="00DA7DFB" w:rsidRDefault="00C06F21" w:rsidP="00131DB6">
      <w:pPr>
        <w:spacing w:after="0"/>
      </w:pPr>
      <w:r w:rsidRPr="00DA7DFB">
        <w:t xml:space="preserve">Matters Arising </w:t>
      </w:r>
      <w:r w:rsidR="00DA1139" w:rsidRPr="00DA7DFB">
        <w:t>From HLH Board Meeting</w:t>
      </w:r>
      <w:r w:rsidRPr="00DA7DFB">
        <w:t xml:space="preserve"> </w:t>
      </w:r>
      <w:r w:rsidR="00134D07">
        <w:t>15 March 2016</w:t>
      </w:r>
    </w:p>
    <w:tbl>
      <w:tblPr>
        <w:tblStyle w:val="TableGrid"/>
        <w:tblW w:w="10173" w:type="dxa"/>
        <w:tblLook w:val="04A0" w:firstRow="1" w:lastRow="0" w:firstColumn="1" w:lastColumn="0" w:noHBand="0" w:noVBand="1"/>
      </w:tblPr>
      <w:tblGrid>
        <w:gridCol w:w="955"/>
        <w:gridCol w:w="6438"/>
        <w:gridCol w:w="1228"/>
        <w:gridCol w:w="1552"/>
      </w:tblGrid>
      <w:tr w:rsidR="00C06F21" w:rsidRPr="00DA7DFB" w:rsidTr="00C41F97">
        <w:trPr>
          <w:trHeight w:val="399"/>
        </w:trPr>
        <w:tc>
          <w:tcPr>
            <w:tcW w:w="955" w:type="dxa"/>
          </w:tcPr>
          <w:p w:rsidR="00C06F21" w:rsidRPr="00DA7DFB" w:rsidRDefault="00DF1780">
            <w:r w:rsidRPr="00DA7DFB">
              <w:t>ITEM</w:t>
            </w:r>
          </w:p>
        </w:tc>
        <w:tc>
          <w:tcPr>
            <w:tcW w:w="6438" w:type="dxa"/>
          </w:tcPr>
          <w:p w:rsidR="00C06F21" w:rsidRPr="00DA7DFB" w:rsidRDefault="00DF1780">
            <w:r w:rsidRPr="00DA7DFB">
              <w:t>DETAIL</w:t>
            </w:r>
          </w:p>
        </w:tc>
        <w:tc>
          <w:tcPr>
            <w:tcW w:w="1228" w:type="dxa"/>
          </w:tcPr>
          <w:p w:rsidR="00C06F21" w:rsidRPr="00DA7DFB" w:rsidRDefault="00DF1780" w:rsidP="00DA1139">
            <w:r w:rsidRPr="00DA7DFB">
              <w:t>LEAD</w:t>
            </w:r>
          </w:p>
        </w:tc>
        <w:tc>
          <w:tcPr>
            <w:tcW w:w="1552" w:type="dxa"/>
          </w:tcPr>
          <w:p w:rsidR="00C06F21" w:rsidRPr="00DA7DFB" w:rsidRDefault="00DF1780" w:rsidP="00D20B18">
            <w:r w:rsidRPr="00DA7DFB">
              <w:t>DUE DATE</w:t>
            </w:r>
          </w:p>
        </w:tc>
      </w:tr>
      <w:tr w:rsidR="00C41F97" w:rsidRPr="00DA7DFB" w:rsidTr="0060668F">
        <w:tc>
          <w:tcPr>
            <w:tcW w:w="955" w:type="dxa"/>
          </w:tcPr>
          <w:p w:rsidR="001E68EE" w:rsidRDefault="001E68EE"/>
          <w:p w:rsidR="00C41F97" w:rsidRPr="00DA7DFB" w:rsidRDefault="00F337FC">
            <w:r>
              <w:t>6ii</w:t>
            </w:r>
          </w:p>
        </w:tc>
        <w:tc>
          <w:tcPr>
            <w:tcW w:w="6438" w:type="dxa"/>
          </w:tcPr>
          <w:p w:rsidR="00006EE9" w:rsidRPr="00336027" w:rsidRDefault="00F337FC" w:rsidP="001917AD">
            <w:pPr>
              <w:widowControl w:val="0"/>
              <w:jc w:val="both"/>
            </w:pPr>
            <w:r w:rsidRPr="00336027">
              <w:t>High Life Highland Successes</w:t>
            </w:r>
          </w:p>
          <w:p w:rsidR="00131DB6" w:rsidRPr="00336027" w:rsidRDefault="00F337FC" w:rsidP="0086732F">
            <w:pPr>
              <w:widowControl w:val="0"/>
              <w:jc w:val="both"/>
            </w:pPr>
            <w:r w:rsidRPr="00336027">
              <w:t>Agreed to review the current format, in accordance with the suggestions of the selection group, that a workshop be held involving a selection of staff members, managers and two Directors (Mrs MacRae and Mr Tate) to propose a revised format.</w:t>
            </w:r>
            <w:r w:rsidR="0086732F" w:rsidRPr="00336027">
              <w:t xml:space="preserve">  </w:t>
            </w:r>
          </w:p>
          <w:p w:rsidR="009618B1" w:rsidRPr="009618B1" w:rsidRDefault="0086732F" w:rsidP="009618B1">
            <w:pPr>
              <w:widowControl w:val="0"/>
              <w:jc w:val="both"/>
              <w:rPr>
                <w:rFonts w:ascii="Calibri" w:eastAsia="Calibri" w:hAnsi="Calibri" w:cs="Times New Roman"/>
                <w:i/>
                <w:lang w:eastAsia="en-US"/>
              </w:rPr>
            </w:pPr>
            <w:r w:rsidRPr="00336027">
              <w:rPr>
                <w:i/>
              </w:rPr>
              <w:t>A w</w:t>
            </w:r>
            <w:r w:rsidR="004259D8" w:rsidRPr="00336027">
              <w:rPr>
                <w:i/>
              </w:rPr>
              <w:t xml:space="preserve">orkshop </w:t>
            </w:r>
            <w:r w:rsidRPr="00336027">
              <w:rPr>
                <w:i/>
              </w:rPr>
              <w:t xml:space="preserve">was </w:t>
            </w:r>
            <w:r w:rsidR="004259D8" w:rsidRPr="00336027">
              <w:rPr>
                <w:i/>
              </w:rPr>
              <w:t xml:space="preserve">held on </w:t>
            </w:r>
            <w:r w:rsidR="00E941A5" w:rsidRPr="00336027">
              <w:rPr>
                <w:i/>
              </w:rPr>
              <w:t xml:space="preserve">26 May 2016 to consider </w:t>
            </w:r>
            <w:r w:rsidRPr="00336027">
              <w:rPr>
                <w:i/>
              </w:rPr>
              <w:t>an al</w:t>
            </w:r>
            <w:r w:rsidR="009618B1">
              <w:rPr>
                <w:i/>
              </w:rPr>
              <w:t>ternative format.</w:t>
            </w:r>
            <w:r w:rsidR="009618B1" w:rsidRPr="009618B1">
              <w:rPr>
                <w:rFonts w:ascii="Calibri" w:eastAsia="Calibri" w:hAnsi="Calibri" w:cs="Times New Roman"/>
                <w:i/>
                <w:lang w:eastAsia="en-US"/>
              </w:rPr>
              <w:t xml:space="preserve"> Each service was represented </w:t>
            </w:r>
            <w:r w:rsidR="009618B1">
              <w:rPr>
                <w:rFonts w:ascii="Calibri" w:eastAsia="Calibri" w:hAnsi="Calibri" w:cs="Times New Roman"/>
                <w:i/>
                <w:lang w:eastAsia="en-US"/>
              </w:rPr>
              <w:t>and there was unanimous</w:t>
            </w:r>
            <w:r w:rsidR="009618B1" w:rsidRPr="009618B1">
              <w:rPr>
                <w:rFonts w:ascii="Calibri" w:eastAsia="Calibri" w:hAnsi="Calibri" w:cs="Times New Roman"/>
                <w:i/>
                <w:lang w:eastAsia="en-US"/>
              </w:rPr>
              <w:t xml:space="preserve"> agreement that a Staff Recognition scheme was seen as a positive aspect of HLH’s commitment to its staff and should be retained. </w:t>
            </w:r>
            <w:r w:rsidR="009618B1">
              <w:rPr>
                <w:rFonts w:ascii="Calibri" w:eastAsia="Calibri" w:hAnsi="Calibri" w:cs="Times New Roman"/>
                <w:i/>
                <w:lang w:eastAsia="en-US"/>
              </w:rPr>
              <w:t xml:space="preserve">  </w:t>
            </w:r>
            <w:r w:rsidR="009618B1" w:rsidRPr="009618B1">
              <w:rPr>
                <w:rFonts w:ascii="Calibri" w:eastAsia="Calibri" w:hAnsi="Calibri" w:cs="Times New Roman"/>
                <w:i/>
                <w:lang w:eastAsia="en-US"/>
              </w:rPr>
              <w:t>The session went on to lay positive foundations for the redevelopment of the scheme going forward. It was agreed that a follow-up session should be scheduled to take place before the end of June to consider the criteria of the five categories and specifically how the ‘new’ scheme would be communicated to staff across all services</w:t>
            </w:r>
            <w:r w:rsidR="001E349A">
              <w:rPr>
                <w:rFonts w:ascii="Calibri" w:eastAsia="Calibri" w:hAnsi="Calibri" w:cs="Times New Roman"/>
                <w:i/>
                <w:lang w:eastAsia="en-US"/>
              </w:rPr>
              <w:t>.  A</w:t>
            </w:r>
            <w:r w:rsidR="009618B1">
              <w:rPr>
                <w:rFonts w:ascii="Calibri" w:eastAsia="Calibri" w:hAnsi="Calibri" w:cs="Times New Roman"/>
                <w:i/>
                <w:lang w:eastAsia="en-US"/>
              </w:rPr>
              <w:t xml:space="preserve"> further update will be provided at the August Board meeting.</w:t>
            </w:r>
          </w:p>
          <w:p w:rsidR="009618B1" w:rsidRPr="00336027" w:rsidRDefault="009618B1" w:rsidP="0086732F">
            <w:pPr>
              <w:widowControl w:val="0"/>
              <w:jc w:val="both"/>
              <w:rPr>
                <w:i/>
              </w:rPr>
            </w:pPr>
          </w:p>
        </w:tc>
        <w:tc>
          <w:tcPr>
            <w:tcW w:w="1228" w:type="dxa"/>
          </w:tcPr>
          <w:p w:rsidR="00C41F97" w:rsidRPr="00336027" w:rsidRDefault="00C41F97" w:rsidP="00DA1139"/>
          <w:p w:rsidR="004259D8" w:rsidRPr="00336027" w:rsidRDefault="004259D8" w:rsidP="00DA1139"/>
          <w:p w:rsidR="004259D8" w:rsidRPr="00336027" w:rsidRDefault="004259D8" w:rsidP="00DA1139"/>
          <w:p w:rsidR="004259D8" w:rsidRPr="00336027" w:rsidRDefault="004259D8" w:rsidP="00DA1139"/>
          <w:p w:rsidR="004259D8" w:rsidRPr="00336027" w:rsidRDefault="004259D8" w:rsidP="00DA1139"/>
          <w:p w:rsidR="004259D8" w:rsidRPr="00336027" w:rsidRDefault="004259D8" w:rsidP="00DA1139">
            <w:r w:rsidRPr="00336027">
              <w:t>JWM</w:t>
            </w:r>
          </w:p>
        </w:tc>
        <w:tc>
          <w:tcPr>
            <w:tcW w:w="1552" w:type="dxa"/>
          </w:tcPr>
          <w:p w:rsidR="00C41F97" w:rsidRPr="00336027" w:rsidRDefault="00C41F97" w:rsidP="00D20B18"/>
          <w:p w:rsidR="004259D8" w:rsidRPr="00336027" w:rsidRDefault="004259D8" w:rsidP="00D20B18"/>
          <w:p w:rsidR="004259D8" w:rsidRPr="00336027" w:rsidRDefault="004259D8" w:rsidP="00D20B18"/>
          <w:p w:rsidR="004259D8" w:rsidRPr="00336027" w:rsidRDefault="004259D8" w:rsidP="00D20B18"/>
          <w:p w:rsidR="004259D8" w:rsidRPr="00336027" w:rsidRDefault="004259D8" w:rsidP="00D20B18"/>
          <w:p w:rsidR="004259D8" w:rsidRPr="00336027" w:rsidRDefault="00E941A5" w:rsidP="00D20B18">
            <w:r w:rsidRPr="00336027">
              <w:t>June 2016</w:t>
            </w:r>
          </w:p>
        </w:tc>
      </w:tr>
      <w:tr w:rsidR="00C41F97" w:rsidRPr="00DA7DFB" w:rsidTr="0060668F">
        <w:tc>
          <w:tcPr>
            <w:tcW w:w="955" w:type="dxa"/>
          </w:tcPr>
          <w:p w:rsidR="001E68EE" w:rsidRDefault="001E68EE" w:rsidP="00C41F97"/>
          <w:p w:rsidR="001E68EE" w:rsidRDefault="001E68EE" w:rsidP="00C41F97">
            <w:r>
              <w:t>7ii</w:t>
            </w:r>
          </w:p>
          <w:p w:rsidR="001E68EE" w:rsidRDefault="001E68EE" w:rsidP="00C41F97"/>
          <w:p w:rsidR="004259D8" w:rsidRDefault="004259D8" w:rsidP="00C41F97"/>
          <w:p w:rsidR="001E68EE" w:rsidRPr="00DA7DFB" w:rsidRDefault="001E68EE" w:rsidP="00C41F97">
            <w:r>
              <w:t>7iii</w:t>
            </w:r>
          </w:p>
        </w:tc>
        <w:tc>
          <w:tcPr>
            <w:tcW w:w="6438" w:type="dxa"/>
          </w:tcPr>
          <w:p w:rsidR="00AF576E" w:rsidRPr="00336027" w:rsidRDefault="001E68EE" w:rsidP="00BD15CF">
            <w:pPr>
              <w:ind w:left="38"/>
              <w:jc w:val="both"/>
            </w:pPr>
            <w:r w:rsidRPr="00336027">
              <w:t>Appointments</w:t>
            </w:r>
          </w:p>
          <w:p w:rsidR="001E68EE" w:rsidRPr="00336027" w:rsidRDefault="001E68EE" w:rsidP="00BD15CF">
            <w:pPr>
              <w:ind w:left="38"/>
              <w:jc w:val="both"/>
            </w:pPr>
            <w:r w:rsidRPr="00336027">
              <w:t>Mr M Tate to consider appointment to High Life Highland (Trading) C.I.C.</w:t>
            </w:r>
          </w:p>
          <w:p w:rsidR="004259D8" w:rsidRPr="00336027" w:rsidRDefault="004259D8" w:rsidP="00BD15CF">
            <w:pPr>
              <w:ind w:left="38"/>
              <w:jc w:val="both"/>
              <w:rPr>
                <w:i/>
              </w:rPr>
            </w:pPr>
            <w:r w:rsidRPr="00336027">
              <w:rPr>
                <w:i/>
              </w:rPr>
              <w:t>Mr Tate confirmed taking up appointment to HLH (Trading) C.I.C.</w:t>
            </w:r>
          </w:p>
          <w:p w:rsidR="001E68EE" w:rsidRPr="00336027" w:rsidRDefault="001E68EE" w:rsidP="001E68EE">
            <w:pPr>
              <w:ind w:left="38"/>
              <w:jc w:val="both"/>
            </w:pPr>
            <w:r w:rsidRPr="00336027">
              <w:t>Vacant Director positions to be advertised following resignations of Mr Looper and Mr Claxton from High Life Highland (Trading) C.I.C.</w:t>
            </w:r>
          </w:p>
          <w:p w:rsidR="00592E51" w:rsidRPr="00336027" w:rsidRDefault="0086732F" w:rsidP="0024093F">
            <w:pPr>
              <w:ind w:left="38"/>
              <w:jc w:val="both"/>
              <w:rPr>
                <w:i/>
              </w:rPr>
            </w:pPr>
            <w:r w:rsidRPr="00336027">
              <w:rPr>
                <w:i/>
              </w:rPr>
              <w:t xml:space="preserve">Expressions of interest by two prospective Trading Company Directors are being followed up with a meeting scheduled for </w:t>
            </w:r>
            <w:r w:rsidR="0024093F" w:rsidRPr="00336027">
              <w:rPr>
                <w:i/>
              </w:rPr>
              <w:t>9</w:t>
            </w:r>
            <w:r w:rsidRPr="00336027">
              <w:rPr>
                <w:i/>
              </w:rPr>
              <w:t xml:space="preserve"> June 2016 with the Chair of the Trading Board, HLH Chief Ex</w:t>
            </w:r>
            <w:r w:rsidR="0024093F" w:rsidRPr="00336027">
              <w:rPr>
                <w:i/>
              </w:rPr>
              <w:t>ecutive and Head of Business.    Pending the outcome of the meeting a verbal proposal may be made to the HLH Board at the 16 June 2016 meeting.</w:t>
            </w:r>
          </w:p>
        </w:tc>
        <w:tc>
          <w:tcPr>
            <w:tcW w:w="1228" w:type="dxa"/>
          </w:tcPr>
          <w:p w:rsidR="000D47CD" w:rsidRPr="00336027" w:rsidRDefault="000D47CD" w:rsidP="00006EE9"/>
          <w:p w:rsidR="004259D8" w:rsidRPr="00336027" w:rsidRDefault="004259D8" w:rsidP="00006EE9"/>
          <w:p w:rsidR="004259D8" w:rsidRPr="00336027" w:rsidRDefault="004259D8" w:rsidP="00006EE9"/>
          <w:p w:rsidR="004259D8" w:rsidRPr="00336027" w:rsidRDefault="004259D8" w:rsidP="00006EE9">
            <w:r w:rsidRPr="00336027">
              <w:t>IM</w:t>
            </w:r>
          </w:p>
          <w:p w:rsidR="00C855CB" w:rsidRPr="00336027" w:rsidRDefault="00C855CB" w:rsidP="00006EE9"/>
          <w:p w:rsidR="00C855CB" w:rsidRPr="00336027" w:rsidRDefault="00C855CB" w:rsidP="00006EE9"/>
          <w:p w:rsidR="00C855CB" w:rsidRPr="00336027" w:rsidRDefault="0024093F" w:rsidP="00006EE9">
            <w:r w:rsidRPr="00336027">
              <w:t>IM</w:t>
            </w:r>
          </w:p>
        </w:tc>
        <w:tc>
          <w:tcPr>
            <w:tcW w:w="1552" w:type="dxa"/>
          </w:tcPr>
          <w:p w:rsidR="00C41F97" w:rsidRPr="00336027" w:rsidRDefault="00C41F97" w:rsidP="00D20B18"/>
          <w:p w:rsidR="004259D8" w:rsidRPr="00336027" w:rsidRDefault="004259D8" w:rsidP="00D20B18"/>
          <w:p w:rsidR="004259D8" w:rsidRPr="00336027" w:rsidRDefault="004259D8" w:rsidP="00D20B18"/>
          <w:p w:rsidR="004259D8" w:rsidRPr="00336027" w:rsidRDefault="004259D8" w:rsidP="00D20B18">
            <w:r w:rsidRPr="00336027">
              <w:t>Complete</w:t>
            </w:r>
          </w:p>
          <w:p w:rsidR="00C855CB" w:rsidRPr="00336027" w:rsidRDefault="00C855CB" w:rsidP="00D20B18"/>
          <w:p w:rsidR="00C855CB" w:rsidRPr="00336027" w:rsidRDefault="00C855CB" w:rsidP="00D20B18"/>
          <w:p w:rsidR="00C855CB" w:rsidRPr="00336027" w:rsidRDefault="00336027" w:rsidP="00D20B18">
            <w:r w:rsidRPr="00336027">
              <w:t>June 2016</w:t>
            </w:r>
          </w:p>
        </w:tc>
      </w:tr>
      <w:tr w:rsidR="00C41F97" w:rsidRPr="00DA7DFB" w:rsidTr="0060668F">
        <w:tc>
          <w:tcPr>
            <w:tcW w:w="955" w:type="dxa"/>
          </w:tcPr>
          <w:p w:rsidR="00C41F97" w:rsidRDefault="00C41F97"/>
          <w:p w:rsidR="001E68EE" w:rsidRDefault="001E68EE">
            <w:r>
              <w:t>8ii</w:t>
            </w:r>
            <w:r w:rsidR="00C855CB">
              <w:t xml:space="preserve"> and 8iii</w:t>
            </w:r>
          </w:p>
          <w:p w:rsidR="001E68EE" w:rsidRDefault="001E68EE"/>
          <w:p w:rsidR="001E68EE" w:rsidRDefault="001E68EE"/>
          <w:p w:rsidR="001E68EE" w:rsidRPr="00DA7DFB" w:rsidRDefault="001E68EE"/>
        </w:tc>
        <w:tc>
          <w:tcPr>
            <w:tcW w:w="6438" w:type="dxa"/>
          </w:tcPr>
          <w:p w:rsidR="00376F44" w:rsidRDefault="001E68EE">
            <w:r>
              <w:t>Board Review and Appraisal Workshop</w:t>
            </w:r>
          </w:p>
          <w:p w:rsidR="001E68EE" w:rsidRDefault="001E68EE">
            <w:r>
              <w:t>Agreed actions and implementation timeta</w:t>
            </w:r>
            <w:r w:rsidR="00C855CB">
              <w:t>ble proposed in the action plan with a</w:t>
            </w:r>
            <w:r>
              <w:t xml:space="preserve"> formal review of progress on actions to be reported to the August 2016 meeting.</w:t>
            </w:r>
          </w:p>
          <w:p w:rsidR="00592E51" w:rsidRPr="001E68EE" w:rsidRDefault="001E68EE">
            <w:pPr>
              <w:rPr>
                <w:i/>
              </w:rPr>
            </w:pPr>
            <w:r w:rsidRPr="001E68EE">
              <w:rPr>
                <w:i/>
              </w:rPr>
              <w:t>Board tracking document updated to include this item</w:t>
            </w:r>
            <w:r w:rsidR="00C855CB">
              <w:rPr>
                <w:i/>
              </w:rPr>
              <w:t xml:space="preserve"> as per action plan timescales</w:t>
            </w:r>
            <w:r w:rsidR="0086732F">
              <w:rPr>
                <w:i/>
              </w:rPr>
              <w:t xml:space="preserve"> and report on actions due included on agenda for 16 June HLH Board meeting.</w:t>
            </w:r>
          </w:p>
        </w:tc>
        <w:tc>
          <w:tcPr>
            <w:tcW w:w="1228" w:type="dxa"/>
          </w:tcPr>
          <w:p w:rsidR="002F6F5E" w:rsidRDefault="002F6F5E" w:rsidP="00DA1139"/>
          <w:p w:rsidR="001E68EE" w:rsidRDefault="001E68EE" w:rsidP="00DA1139"/>
          <w:p w:rsidR="001E68EE" w:rsidRDefault="001E68EE" w:rsidP="00DA1139"/>
          <w:p w:rsidR="001E68EE" w:rsidRDefault="001E68EE" w:rsidP="00DA1139"/>
          <w:p w:rsidR="001E68EE" w:rsidRPr="00DA7DFB" w:rsidRDefault="001E68EE" w:rsidP="00DA1139">
            <w:r>
              <w:t>IM</w:t>
            </w:r>
          </w:p>
        </w:tc>
        <w:tc>
          <w:tcPr>
            <w:tcW w:w="1552" w:type="dxa"/>
          </w:tcPr>
          <w:p w:rsidR="002F6F5E" w:rsidRDefault="002F6F5E" w:rsidP="00D20B18"/>
          <w:p w:rsidR="001E68EE" w:rsidRDefault="001E68EE" w:rsidP="00D20B18"/>
          <w:p w:rsidR="001E68EE" w:rsidRDefault="001E68EE" w:rsidP="00D20B18"/>
          <w:p w:rsidR="001E68EE" w:rsidRDefault="001E68EE" w:rsidP="00D20B18"/>
          <w:p w:rsidR="00C855CB" w:rsidRDefault="00C855CB" w:rsidP="00D20B18">
            <w:r>
              <w:t xml:space="preserve">June and </w:t>
            </w:r>
          </w:p>
          <w:p w:rsidR="001E68EE" w:rsidRPr="00DA7DFB" w:rsidRDefault="001E68EE" w:rsidP="00D20B18">
            <w:r>
              <w:t>August 2016</w:t>
            </w:r>
          </w:p>
        </w:tc>
      </w:tr>
      <w:tr w:rsidR="00C41F97" w:rsidRPr="00DA7DFB" w:rsidTr="0060668F">
        <w:tc>
          <w:tcPr>
            <w:tcW w:w="955" w:type="dxa"/>
          </w:tcPr>
          <w:p w:rsidR="00C41F97" w:rsidRDefault="00C41F97"/>
          <w:p w:rsidR="0007514E" w:rsidRDefault="0007514E"/>
          <w:p w:rsidR="0007514E" w:rsidRPr="00DA7DFB" w:rsidRDefault="0007514E">
            <w:r>
              <w:t>9.</w:t>
            </w:r>
          </w:p>
        </w:tc>
        <w:tc>
          <w:tcPr>
            <w:tcW w:w="6438" w:type="dxa"/>
          </w:tcPr>
          <w:p w:rsidR="00006EE9" w:rsidRPr="00077714" w:rsidRDefault="0007514E" w:rsidP="00006EE9">
            <w:r w:rsidRPr="00077714">
              <w:t>Proposed transfer of Catering, Cleaning and Facilities Management Services from The Highland Council</w:t>
            </w:r>
          </w:p>
          <w:p w:rsidR="0007514E" w:rsidRPr="00077714" w:rsidRDefault="0007514E" w:rsidP="00006EE9">
            <w:r w:rsidRPr="00077714">
              <w:t>Agreed to explore the matter further, subject to the agreement of the ECAS Committee on 17 March 2016, and that any final decision would be subject to the preparation and consideration of a full business case and confirmation of a balanced budget being provided by the Council in support of the transfer of services.</w:t>
            </w:r>
          </w:p>
          <w:p w:rsidR="0007514E" w:rsidRPr="00077714" w:rsidRDefault="00077714" w:rsidP="00006EE9">
            <w:pPr>
              <w:rPr>
                <w:i/>
              </w:rPr>
            </w:pPr>
            <w:r w:rsidRPr="00077714">
              <w:rPr>
                <w:i/>
              </w:rPr>
              <w:t>Report included on the agenda for 16 June HLH Board meeting</w:t>
            </w:r>
          </w:p>
        </w:tc>
        <w:tc>
          <w:tcPr>
            <w:tcW w:w="1228" w:type="dxa"/>
          </w:tcPr>
          <w:p w:rsidR="00DA7DFB" w:rsidRPr="00077714" w:rsidRDefault="00DA7DFB" w:rsidP="00DA1139"/>
          <w:p w:rsidR="00C855CB" w:rsidRPr="00077714" w:rsidRDefault="00C855CB" w:rsidP="00DA1139"/>
          <w:p w:rsidR="00C855CB" w:rsidRPr="00077714" w:rsidRDefault="00C855CB" w:rsidP="00DA1139"/>
          <w:p w:rsidR="00C855CB" w:rsidRPr="00077714" w:rsidRDefault="00C855CB" w:rsidP="00DA1139"/>
          <w:p w:rsidR="00C855CB" w:rsidRPr="00077714" w:rsidRDefault="00C855CB" w:rsidP="00DA1139"/>
          <w:p w:rsidR="00C855CB" w:rsidRPr="00077714" w:rsidRDefault="00C855CB" w:rsidP="00DA1139"/>
          <w:p w:rsidR="00C855CB" w:rsidRPr="00077714" w:rsidRDefault="00C855CB" w:rsidP="00DA1139"/>
          <w:p w:rsidR="00C855CB" w:rsidRPr="00077714" w:rsidRDefault="00C855CB" w:rsidP="00DA1139">
            <w:r w:rsidRPr="00077714">
              <w:t>IM</w:t>
            </w:r>
          </w:p>
        </w:tc>
        <w:tc>
          <w:tcPr>
            <w:tcW w:w="1552" w:type="dxa"/>
          </w:tcPr>
          <w:p w:rsidR="00077714" w:rsidRPr="00077714" w:rsidRDefault="00077714" w:rsidP="00D20B18"/>
          <w:p w:rsidR="00077714" w:rsidRPr="00077714" w:rsidRDefault="00077714" w:rsidP="00D20B18"/>
          <w:p w:rsidR="00077714" w:rsidRPr="00077714" w:rsidRDefault="00077714" w:rsidP="00D20B18"/>
          <w:p w:rsidR="00077714" w:rsidRPr="00077714" w:rsidRDefault="00077714" w:rsidP="00D20B18"/>
          <w:p w:rsidR="00077714" w:rsidRPr="00077714" w:rsidRDefault="00077714" w:rsidP="00D20B18"/>
          <w:p w:rsidR="00077714" w:rsidRPr="00077714" w:rsidRDefault="00077714" w:rsidP="00D20B18"/>
          <w:p w:rsidR="00077714" w:rsidRPr="00077714" w:rsidRDefault="00077714" w:rsidP="00D20B18"/>
          <w:p w:rsidR="00C855CB" w:rsidRPr="00077714" w:rsidRDefault="00077714" w:rsidP="00D20B18">
            <w:r w:rsidRPr="00077714">
              <w:t>16 June 2016</w:t>
            </w:r>
          </w:p>
        </w:tc>
      </w:tr>
      <w:tr w:rsidR="00C41F97" w:rsidRPr="00DA7DFB" w:rsidTr="0060668F">
        <w:tc>
          <w:tcPr>
            <w:tcW w:w="955" w:type="dxa"/>
          </w:tcPr>
          <w:p w:rsidR="00C41F97" w:rsidRDefault="00C41F97"/>
          <w:p w:rsidR="0007514E" w:rsidRDefault="0007514E">
            <w:r>
              <w:t>11v</w:t>
            </w:r>
          </w:p>
          <w:p w:rsidR="0007514E" w:rsidRDefault="0007514E"/>
          <w:p w:rsidR="0007514E" w:rsidRDefault="0007514E"/>
          <w:p w:rsidR="0007514E" w:rsidRPr="00DA7DFB" w:rsidRDefault="0007514E">
            <w:r>
              <w:t>11viii</w:t>
            </w:r>
          </w:p>
        </w:tc>
        <w:tc>
          <w:tcPr>
            <w:tcW w:w="6438" w:type="dxa"/>
          </w:tcPr>
          <w:p w:rsidR="00AF576E" w:rsidRDefault="0007514E" w:rsidP="00811F58">
            <w:pPr>
              <w:widowControl w:val="0"/>
              <w:suppressAutoHyphens/>
              <w:jc w:val="both"/>
            </w:pPr>
            <w:r>
              <w:t>Finance Report</w:t>
            </w:r>
          </w:p>
          <w:p w:rsidR="0007514E" w:rsidRDefault="0007514E" w:rsidP="00811F58">
            <w:pPr>
              <w:widowControl w:val="0"/>
              <w:suppressAutoHyphens/>
              <w:jc w:val="both"/>
            </w:pPr>
            <w:r>
              <w:t>2016/17 Budgets Agreed</w:t>
            </w:r>
          </w:p>
          <w:p w:rsidR="0007514E" w:rsidRDefault="0007514E" w:rsidP="0007514E">
            <w:pPr>
              <w:widowControl w:val="0"/>
              <w:suppressAutoHyphens/>
              <w:jc w:val="both"/>
              <w:rPr>
                <w:i/>
              </w:rPr>
            </w:pPr>
            <w:r w:rsidRPr="0007514E">
              <w:rPr>
                <w:i/>
              </w:rPr>
              <w:t xml:space="preserve">Budgets loaded </w:t>
            </w:r>
            <w:r>
              <w:rPr>
                <w:i/>
              </w:rPr>
              <w:t xml:space="preserve">into financial system </w:t>
            </w:r>
            <w:r w:rsidRPr="0007514E">
              <w:rPr>
                <w:i/>
              </w:rPr>
              <w:t>and rolled out to budget holders.</w:t>
            </w:r>
          </w:p>
          <w:p w:rsidR="0007514E" w:rsidRDefault="0007514E" w:rsidP="0007514E">
            <w:pPr>
              <w:widowControl w:val="0"/>
              <w:suppressAutoHyphens/>
              <w:jc w:val="both"/>
            </w:pPr>
            <w:r>
              <w:t xml:space="preserve">Contract awarded to Ernst and Young, to undertake a detailed tax and due diligence review, </w:t>
            </w:r>
            <w:proofErr w:type="spellStart"/>
            <w:r>
              <w:t>outwith</w:t>
            </w:r>
            <w:proofErr w:type="spellEnd"/>
            <w:r>
              <w:t xml:space="preserve"> the normal financial regulations.</w:t>
            </w:r>
          </w:p>
          <w:p w:rsidR="00592E51" w:rsidRPr="00077714" w:rsidRDefault="0007514E" w:rsidP="0007514E">
            <w:pPr>
              <w:widowControl w:val="0"/>
              <w:suppressAutoHyphens/>
              <w:jc w:val="both"/>
              <w:rPr>
                <w:i/>
              </w:rPr>
            </w:pPr>
            <w:r>
              <w:rPr>
                <w:i/>
              </w:rPr>
              <w:t>Information added to contract monitoring process.</w:t>
            </w:r>
          </w:p>
        </w:tc>
        <w:tc>
          <w:tcPr>
            <w:tcW w:w="1228" w:type="dxa"/>
          </w:tcPr>
          <w:p w:rsidR="00811F58" w:rsidRDefault="00811F58" w:rsidP="00DA1139"/>
          <w:p w:rsidR="0007514E" w:rsidRDefault="0007514E" w:rsidP="00DA1139"/>
          <w:p w:rsidR="0007514E" w:rsidRDefault="0007514E" w:rsidP="00DA1139">
            <w:r>
              <w:t>GW</w:t>
            </w:r>
          </w:p>
          <w:p w:rsidR="0007514E" w:rsidRDefault="0007514E" w:rsidP="00DA1139"/>
          <w:p w:rsidR="00131DB6" w:rsidRDefault="00131DB6" w:rsidP="00DA1139"/>
          <w:p w:rsidR="00131DB6" w:rsidRDefault="00131DB6" w:rsidP="00DA1139"/>
          <w:p w:rsidR="0007514E" w:rsidRPr="00DA7DFB" w:rsidRDefault="0007514E" w:rsidP="00DA1139">
            <w:r>
              <w:t>GW</w:t>
            </w:r>
          </w:p>
        </w:tc>
        <w:tc>
          <w:tcPr>
            <w:tcW w:w="1552" w:type="dxa"/>
          </w:tcPr>
          <w:p w:rsidR="00811F58" w:rsidRDefault="00811F58" w:rsidP="00D20B18"/>
          <w:p w:rsidR="0007514E" w:rsidRDefault="0007514E" w:rsidP="00D20B18"/>
          <w:p w:rsidR="0007514E" w:rsidRDefault="0007514E" w:rsidP="00D20B18">
            <w:r>
              <w:t>Complete</w:t>
            </w:r>
          </w:p>
          <w:p w:rsidR="0007514E" w:rsidRDefault="0007514E" w:rsidP="00D20B18"/>
          <w:p w:rsidR="00131DB6" w:rsidRDefault="00131DB6" w:rsidP="00D20B18"/>
          <w:p w:rsidR="00131DB6" w:rsidRDefault="00131DB6" w:rsidP="00D20B18"/>
          <w:p w:rsidR="0007514E" w:rsidRPr="00DA7DFB" w:rsidRDefault="0007514E" w:rsidP="00D20B18">
            <w:r>
              <w:t>Complete</w:t>
            </w:r>
          </w:p>
        </w:tc>
      </w:tr>
      <w:tr w:rsidR="00C41F97" w:rsidRPr="00DA7DFB" w:rsidTr="0060668F">
        <w:tc>
          <w:tcPr>
            <w:tcW w:w="955" w:type="dxa"/>
          </w:tcPr>
          <w:p w:rsidR="00C41F97" w:rsidRDefault="00C41F97"/>
          <w:p w:rsidR="00592E51" w:rsidRPr="00DA7DFB" w:rsidRDefault="00592E51">
            <w:r>
              <w:lastRenderedPageBreak/>
              <w:t>12iv.</w:t>
            </w:r>
          </w:p>
        </w:tc>
        <w:tc>
          <w:tcPr>
            <w:tcW w:w="6438" w:type="dxa"/>
          </w:tcPr>
          <w:p w:rsidR="007E2C39" w:rsidRDefault="00592E51" w:rsidP="00006EE9">
            <w:pPr>
              <w:widowControl w:val="0"/>
              <w:suppressAutoHyphens/>
              <w:jc w:val="both"/>
            </w:pPr>
            <w:r>
              <w:lastRenderedPageBreak/>
              <w:t>Performance Report</w:t>
            </w:r>
          </w:p>
          <w:p w:rsidR="001321B3" w:rsidRDefault="001321B3" w:rsidP="001321B3">
            <w:pPr>
              <w:widowControl w:val="0"/>
              <w:tabs>
                <w:tab w:val="left" w:pos="1134"/>
              </w:tabs>
              <w:suppressAutoHyphens/>
              <w:jc w:val="both"/>
              <w:rPr>
                <w:rFonts w:cs="Arial"/>
              </w:rPr>
            </w:pPr>
            <w:r w:rsidRPr="001321B3">
              <w:rPr>
                <w:rFonts w:cs="Arial"/>
              </w:rPr>
              <w:lastRenderedPageBreak/>
              <w:t>Each meeting should drill down further into one or more performance indicators</w:t>
            </w:r>
            <w:r w:rsidR="00C855CB">
              <w:rPr>
                <w:rFonts w:cs="Arial"/>
              </w:rPr>
              <w:t xml:space="preserve"> in more detail</w:t>
            </w:r>
            <w:r>
              <w:rPr>
                <w:rFonts w:cs="Arial"/>
              </w:rPr>
              <w:t>.</w:t>
            </w:r>
          </w:p>
          <w:p w:rsidR="00592E51" w:rsidRPr="001965BB" w:rsidRDefault="001321B3" w:rsidP="001965BB">
            <w:pPr>
              <w:widowControl w:val="0"/>
              <w:tabs>
                <w:tab w:val="left" w:pos="1134"/>
              </w:tabs>
              <w:suppressAutoHyphens/>
              <w:jc w:val="both"/>
              <w:rPr>
                <w:rFonts w:cs="Arial"/>
                <w:i/>
              </w:rPr>
            </w:pPr>
            <w:r>
              <w:rPr>
                <w:rFonts w:cs="Arial"/>
                <w:i/>
              </w:rPr>
              <w:t>Report template amended to include detail on individual indicators.</w:t>
            </w:r>
          </w:p>
        </w:tc>
        <w:tc>
          <w:tcPr>
            <w:tcW w:w="1228" w:type="dxa"/>
          </w:tcPr>
          <w:p w:rsidR="00376F44" w:rsidRDefault="00376F44" w:rsidP="00DA1139"/>
          <w:p w:rsidR="001321B3" w:rsidRDefault="001321B3" w:rsidP="00DA1139"/>
          <w:p w:rsidR="001321B3" w:rsidRDefault="001321B3" w:rsidP="00DA1139"/>
          <w:p w:rsidR="00910694" w:rsidRPr="00DA7DFB" w:rsidRDefault="00910694" w:rsidP="00DA1139">
            <w:r>
              <w:t>DW</w:t>
            </w:r>
          </w:p>
        </w:tc>
        <w:tc>
          <w:tcPr>
            <w:tcW w:w="1552" w:type="dxa"/>
          </w:tcPr>
          <w:p w:rsidR="00376F44" w:rsidRDefault="00376F44" w:rsidP="00D20B18"/>
          <w:p w:rsidR="001321B3" w:rsidRDefault="001321B3" w:rsidP="00D20B18"/>
          <w:p w:rsidR="001321B3" w:rsidRDefault="001321B3" w:rsidP="00D20B18"/>
          <w:p w:rsidR="001321B3" w:rsidRPr="00DA7DFB" w:rsidRDefault="00077714" w:rsidP="00D20B18">
            <w:r>
              <w:t>Complete</w:t>
            </w:r>
          </w:p>
        </w:tc>
      </w:tr>
      <w:tr w:rsidR="00592E51" w:rsidRPr="00DA7DFB" w:rsidTr="0060668F">
        <w:tc>
          <w:tcPr>
            <w:tcW w:w="955" w:type="dxa"/>
          </w:tcPr>
          <w:p w:rsidR="00592E51" w:rsidRDefault="00592E51"/>
          <w:p w:rsidR="00592E51" w:rsidRDefault="00592E51">
            <w:r>
              <w:t>13ii</w:t>
            </w:r>
          </w:p>
        </w:tc>
        <w:tc>
          <w:tcPr>
            <w:tcW w:w="6438" w:type="dxa"/>
          </w:tcPr>
          <w:p w:rsidR="00592E51" w:rsidRDefault="00592E51" w:rsidP="00006EE9">
            <w:pPr>
              <w:widowControl w:val="0"/>
              <w:suppressAutoHyphens/>
              <w:jc w:val="both"/>
            </w:pPr>
            <w:r>
              <w:t>Human Resources Report</w:t>
            </w:r>
          </w:p>
          <w:p w:rsidR="00592E51" w:rsidRDefault="00592E51" w:rsidP="00006EE9">
            <w:pPr>
              <w:widowControl w:val="0"/>
              <w:suppressAutoHyphens/>
              <w:jc w:val="both"/>
            </w:pPr>
            <w:r>
              <w:t>Minor amendment to Substance Misuse Policy.</w:t>
            </w:r>
          </w:p>
          <w:p w:rsidR="00592E51" w:rsidRPr="00592E51" w:rsidRDefault="00592E51" w:rsidP="00006EE9">
            <w:pPr>
              <w:widowControl w:val="0"/>
              <w:suppressAutoHyphens/>
              <w:jc w:val="both"/>
              <w:rPr>
                <w:i/>
              </w:rPr>
            </w:pPr>
            <w:r w:rsidRPr="00592E51">
              <w:rPr>
                <w:i/>
              </w:rPr>
              <w:t xml:space="preserve">Uploaded to staff website and scheduled for two yearly </w:t>
            </w:r>
            <w:proofErr w:type="gramStart"/>
            <w:r w:rsidRPr="00592E51">
              <w:rPr>
                <w:i/>
              </w:rPr>
              <w:t>review</w:t>
            </w:r>
            <w:proofErr w:type="gramEnd"/>
            <w:r w:rsidR="001965BB">
              <w:rPr>
                <w:i/>
              </w:rPr>
              <w:t xml:space="preserve"> in 2018</w:t>
            </w:r>
            <w:r w:rsidRPr="00592E51">
              <w:rPr>
                <w:i/>
              </w:rPr>
              <w:t>.</w:t>
            </w:r>
          </w:p>
        </w:tc>
        <w:tc>
          <w:tcPr>
            <w:tcW w:w="1228" w:type="dxa"/>
          </w:tcPr>
          <w:p w:rsidR="00592E51" w:rsidRDefault="00592E51" w:rsidP="00DA1139"/>
          <w:p w:rsidR="00910694" w:rsidRPr="00DA7DFB" w:rsidRDefault="00910694" w:rsidP="00DA1139">
            <w:r>
              <w:t>GW</w:t>
            </w:r>
          </w:p>
        </w:tc>
        <w:tc>
          <w:tcPr>
            <w:tcW w:w="1552" w:type="dxa"/>
          </w:tcPr>
          <w:p w:rsidR="00592E51" w:rsidRDefault="00592E51" w:rsidP="00D20B18"/>
          <w:p w:rsidR="00910694" w:rsidRPr="00DA7DFB" w:rsidRDefault="00910694" w:rsidP="00D20B18">
            <w:r>
              <w:t>Complete</w:t>
            </w:r>
          </w:p>
        </w:tc>
      </w:tr>
    </w:tbl>
    <w:p w:rsidR="00A772B8" w:rsidRDefault="00A772B8" w:rsidP="006579A6">
      <w:pPr>
        <w:widowControl w:val="0"/>
        <w:suppressAutoHyphens/>
        <w:spacing w:after="0" w:line="240" w:lineRule="auto"/>
        <w:jc w:val="both"/>
        <w:rPr>
          <w:rFonts w:eastAsia="Times New Roman" w:cs="Arial"/>
          <w:b/>
          <w:snapToGrid w:val="0"/>
          <w:lang w:eastAsia="en-US"/>
        </w:rPr>
      </w:pPr>
    </w:p>
    <w:sectPr w:rsidR="00A772B8" w:rsidSect="006579A6">
      <w:pgSz w:w="12240" w:h="15840"/>
      <w:pgMar w:top="284"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D23"/>
    <w:multiLevelType w:val="hybridMultilevel"/>
    <w:tmpl w:val="BA76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C24B1"/>
    <w:multiLevelType w:val="hybridMultilevel"/>
    <w:tmpl w:val="A5C62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2137329"/>
    <w:multiLevelType w:val="hybridMultilevel"/>
    <w:tmpl w:val="35487F9C"/>
    <w:lvl w:ilvl="0" w:tplc="75BC301A">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2137CE6"/>
    <w:multiLevelType w:val="hybridMultilevel"/>
    <w:tmpl w:val="15EC670A"/>
    <w:lvl w:ilvl="0" w:tplc="396069CE">
      <w:start w:val="1"/>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3AC4931"/>
    <w:multiLevelType w:val="hybridMultilevel"/>
    <w:tmpl w:val="ADE60262"/>
    <w:lvl w:ilvl="0" w:tplc="A5CE50A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125963"/>
    <w:multiLevelType w:val="hybridMultilevel"/>
    <w:tmpl w:val="1402E6A8"/>
    <w:lvl w:ilvl="0" w:tplc="4970E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7277B7"/>
    <w:multiLevelType w:val="hybridMultilevel"/>
    <w:tmpl w:val="ED6C0366"/>
    <w:lvl w:ilvl="0" w:tplc="0809001B">
      <w:start w:val="1"/>
      <w:numFmt w:val="lowerRoman"/>
      <w:lvlText w:val="%1."/>
      <w:lvlJc w:val="right"/>
      <w:pPr>
        <w:ind w:left="955" w:hanging="360"/>
      </w:pPr>
    </w:lvl>
    <w:lvl w:ilvl="1" w:tplc="08090019" w:tentative="1">
      <w:start w:val="1"/>
      <w:numFmt w:val="lowerLetter"/>
      <w:lvlText w:val="%2."/>
      <w:lvlJc w:val="left"/>
      <w:pPr>
        <w:ind w:left="1675" w:hanging="360"/>
      </w:pPr>
    </w:lvl>
    <w:lvl w:ilvl="2" w:tplc="0809001B" w:tentative="1">
      <w:start w:val="1"/>
      <w:numFmt w:val="lowerRoman"/>
      <w:lvlText w:val="%3."/>
      <w:lvlJc w:val="right"/>
      <w:pPr>
        <w:ind w:left="2395" w:hanging="180"/>
      </w:pPr>
    </w:lvl>
    <w:lvl w:ilvl="3" w:tplc="0809000F" w:tentative="1">
      <w:start w:val="1"/>
      <w:numFmt w:val="decimal"/>
      <w:lvlText w:val="%4."/>
      <w:lvlJc w:val="left"/>
      <w:pPr>
        <w:ind w:left="3115" w:hanging="360"/>
      </w:pPr>
    </w:lvl>
    <w:lvl w:ilvl="4" w:tplc="08090019" w:tentative="1">
      <w:start w:val="1"/>
      <w:numFmt w:val="lowerLetter"/>
      <w:lvlText w:val="%5."/>
      <w:lvlJc w:val="left"/>
      <w:pPr>
        <w:ind w:left="3835" w:hanging="360"/>
      </w:pPr>
    </w:lvl>
    <w:lvl w:ilvl="5" w:tplc="0809001B" w:tentative="1">
      <w:start w:val="1"/>
      <w:numFmt w:val="lowerRoman"/>
      <w:lvlText w:val="%6."/>
      <w:lvlJc w:val="right"/>
      <w:pPr>
        <w:ind w:left="4555" w:hanging="180"/>
      </w:pPr>
    </w:lvl>
    <w:lvl w:ilvl="6" w:tplc="0809000F" w:tentative="1">
      <w:start w:val="1"/>
      <w:numFmt w:val="decimal"/>
      <w:lvlText w:val="%7."/>
      <w:lvlJc w:val="left"/>
      <w:pPr>
        <w:ind w:left="5275" w:hanging="360"/>
      </w:pPr>
    </w:lvl>
    <w:lvl w:ilvl="7" w:tplc="08090019" w:tentative="1">
      <w:start w:val="1"/>
      <w:numFmt w:val="lowerLetter"/>
      <w:lvlText w:val="%8."/>
      <w:lvlJc w:val="left"/>
      <w:pPr>
        <w:ind w:left="5995" w:hanging="360"/>
      </w:pPr>
    </w:lvl>
    <w:lvl w:ilvl="8" w:tplc="0809001B" w:tentative="1">
      <w:start w:val="1"/>
      <w:numFmt w:val="lowerRoman"/>
      <w:lvlText w:val="%9."/>
      <w:lvlJc w:val="right"/>
      <w:pPr>
        <w:ind w:left="6715" w:hanging="180"/>
      </w:pPr>
    </w:lvl>
  </w:abstractNum>
  <w:abstractNum w:abstractNumId="7">
    <w:nsid w:val="2E9C5AA1"/>
    <w:multiLevelType w:val="hybridMultilevel"/>
    <w:tmpl w:val="33CC7E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867202"/>
    <w:multiLevelType w:val="hybridMultilevel"/>
    <w:tmpl w:val="D5022A90"/>
    <w:lvl w:ilvl="0" w:tplc="2A8CB7E0">
      <w:start w:val="1"/>
      <w:numFmt w:val="lowerRoman"/>
      <w:lvlText w:val="%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7491D17"/>
    <w:multiLevelType w:val="hybridMultilevel"/>
    <w:tmpl w:val="3FC60D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0F7E1C"/>
    <w:multiLevelType w:val="hybridMultilevel"/>
    <w:tmpl w:val="D4FA1904"/>
    <w:lvl w:ilvl="0" w:tplc="2A8CB7E0">
      <w:start w:val="1"/>
      <w:numFmt w:val="lowerRoman"/>
      <w:lvlText w:val="%1."/>
      <w:lvlJc w:val="left"/>
      <w:pPr>
        <w:ind w:left="1440" w:hanging="360"/>
      </w:pPr>
      <w:rPr>
        <w:rFonts w:hint="default"/>
        <w:b w:val="0"/>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1CB488C"/>
    <w:multiLevelType w:val="hybridMultilevel"/>
    <w:tmpl w:val="8DAA4A02"/>
    <w:lvl w:ilvl="0" w:tplc="2A8CB7E0">
      <w:start w:val="1"/>
      <w:numFmt w:val="lowerRoman"/>
      <w:lvlText w:val="%1."/>
      <w:lvlJc w:val="left"/>
      <w:pPr>
        <w:ind w:left="1440" w:hanging="360"/>
      </w:pPr>
      <w:rPr>
        <w:rFonts w:hint="default"/>
        <w:b w:val="0"/>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B815252"/>
    <w:multiLevelType w:val="hybridMultilevel"/>
    <w:tmpl w:val="AA22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2C4F7A"/>
    <w:multiLevelType w:val="hybridMultilevel"/>
    <w:tmpl w:val="CBD443E6"/>
    <w:lvl w:ilvl="0" w:tplc="2A8CB7E0">
      <w:start w:val="1"/>
      <w:numFmt w:val="lowerRoman"/>
      <w:lvlText w:val="%1."/>
      <w:lvlJc w:val="left"/>
      <w:pPr>
        <w:ind w:left="1440" w:hanging="360"/>
      </w:pPr>
      <w:rPr>
        <w:rFonts w:hint="default"/>
        <w:b w:val="0"/>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0187A04"/>
    <w:multiLevelType w:val="hybridMultilevel"/>
    <w:tmpl w:val="59E2C1C6"/>
    <w:lvl w:ilvl="0" w:tplc="AECEB79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17C298D"/>
    <w:multiLevelType w:val="hybridMultilevel"/>
    <w:tmpl w:val="DEF84CF4"/>
    <w:lvl w:ilvl="0" w:tplc="B24235FC">
      <w:start w:val="1"/>
      <w:numFmt w:val="lowerLetter"/>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E92112"/>
    <w:multiLevelType w:val="hybridMultilevel"/>
    <w:tmpl w:val="46E2B01A"/>
    <w:lvl w:ilvl="0" w:tplc="C8AE3F9E">
      <w:start w:val="1"/>
      <w:numFmt w:val="lowerRoman"/>
      <w:lvlText w:val="%1."/>
      <w:lvlJc w:val="left"/>
      <w:pPr>
        <w:ind w:left="1021" w:hanging="567"/>
      </w:pPr>
      <w:rPr>
        <w:rFonts w:hint="default"/>
      </w:rPr>
    </w:lvl>
    <w:lvl w:ilvl="1" w:tplc="08090019">
      <w:start w:val="1"/>
      <w:numFmt w:val="lowerLetter"/>
      <w:lvlText w:val="%2."/>
      <w:lvlJc w:val="left"/>
      <w:pPr>
        <w:ind w:left="1534" w:hanging="360"/>
      </w:pPr>
    </w:lvl>
    <w:lvl w:ilvl="2" w:tplc="0809001B">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7">
    <w:nsid w:val="75EC373F"/>
    <w:multiLevelType w:val="hybridMultilevel"/>
    <w:tmpl w:val="5F4E96FC"/>
    <w:lvl w:ilvl="0" w:tplc="375E6022">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433901"/>
    <w:multiLevelType w:val="hybridMultilevel"/>
    <w:tmpl w:val="0F1C2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F9B27C2"/>
    <w:multiLevelType w:val="hybridMultilevel"/>
    <w:tmpl w:val="BF825BAA"/>
    <w:lvl w:ilvl="0" w:tplc="E9B8C136">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4"/>
  </w:num>
  <w:num w:numId="4">
    <w:abstractNumId w:val="6"/>
  </w:num>
  <w:num w:numId="5">
    <w:abstractNumId w:val="7"/>
  </w:num>
  <w:num w:numId="6">
    <w:abstractNumId w:val="9"/>
  </w:num>
  <w:num w:numId="7">
    <w:abstractNumId w:val="17"/>
  </w:num>
  <w:num w:numId="8">
    <w:abstractNumId w:val="3"/>
  </w:num>
  <w:num w:numId="9">
    <w:abstractNumId w:val="2"/>
  </w:num>
  <w:num w:numId="10">
    <w:abstractNumId w:val="8"/>
  </w:num>
  <w:num w:numId="11">
    <w:abstractNumId w:val="0"/>
  </w:num>
  <w:num w:numId="12">
    <w:abstractNumId w:val="12"/>
  </w:num>
  <w:num w:numId="13">
    <w:abstractNumId w:val="19"/>
  </w:num>
  <w:num w:numId="14">
    <w:abstractNumId w:val="10"/>
  </w:num>
  <w:num w:numId="15">
    <w:abstractNumId w:val="16"/>
  </w:num>
  <w:num w:numId="16">
    <w:abstractNumId w:val="11"/>
  </w:num>
  <w:num w:numId="17">
    <w:abstractNumId w:val="18"/>
  </w:num>
  <w:num w:numId="18">
    <w:abstractNumId w:val="14"/>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21"/>
    <w:rsid w:val="00004371"/>
    <w:rsid w:val="00006EE9"/>
    <w:rsid w:val="000216F1"/>
    <w:rsid w:val="000231FA"/>
    <w:rsid w:val="00030587"/>
    <w:rsid w:val="00035BB1"/>
    <w:rsid w:val="0003715D"/>
    <w:rsid w:val="00052EF7"/>
    <w:rsid w:val="00063267"/>
    <w:rsid w:val="00071FF4"/>
    <w:rsid w:val="00073290"/>
    <w:rsid w:val="0007514E"/>
    <w:rsid w:val="00077714"/>
    <w:rsid w:val="00083680"/>
    <w:rsid w:val="000A7A57"/>
    <w:rsid w:val="000B1997"/>
    <w:rsid w:val="000B3A34"/>
    <w:rsid w:val="000D47CD"/>
    <w:rsid w:val="000F0D07"/>
    <w:rsid w:val="000F2078"/>
    <w:rsid w:val="00103293"/>
    <w:rsid w:val="001122D2"/>
    <w:rsid w:val="00131DB6"/>
    <w:rsid w:val="001321B3"/>
    <w:rsid w:val="00134D07"/>
    <w:rsid w:val="001429CF"/>
    <w:rsid w:val="001449DB"/>
    <w:rsid w:val="001526F3"/>
    <w:rsid w:val="00164FF1"/>
    <w:rsid w:val="00182560"/>
    <w:rsid w:val="001846AA"/>
    <w:rsid w:val="0019006C"/>
    <w:rsid w:val="001917AD"/>
    <w:rsid w:val="001965BB"/>
    <w:rsid w:val="00197F3A"/>
    <w:rsid w:val="001A201C"/>
    <w:rsid w:val="001A3B6D"/>
    <w:rsid w:val="001B1293"/>
    <w:rsid w:val="001B2BCD"/>
    <w:rsid w:val="001C45BD"/>
    <w:rsid w:val="001C60A5"/>
    <w:rsid w:val="001D65CA"/>
    <w:rsid w:val="001D6E6C"/>
    <w:rsid w:val="001E31FC"/>
    <w:rsid w:val="001E349A"/>
    <w:rsid w:val="001E3E0C"/>
    <w:rsid w:val="001E452F"/>
    <w:rsid w:val="001E68EE"/>
    <w:rsid w:val="001F679F"/>
    <w:rsid w:val="001F6FF7"/>
    <w:rsid w:val="001F78C2"/>
    <w:rsid w:val="00205BD6"/>
    <w:rsid w:val="00210ADB"/>
    <w:rsid w:val="00211E12"/>
    <w:rsid w:val="00213A8C"/>
    <w:rsid w:val="00225F1F"/>
    <w:rsid w:val="00233CFA"/>
    <w:rsid w:val="002363AE"/>
    <w:rsid w:val="00237C06"/>
    <w:rsid w:val="0024093F"/>
    <w:rsid w:val="00266B80"/>
    <w:rsid w:val="00287306"/>
    <w:rsid w:val="002A7A05"/>
    <w:rsid w:val="002B4499"/>
    <w:rsid w:val="002B78B7"/>
    <w:rsid w:val="002C2C69"/>
    <w:rsid w:val="002C3405"/>
    <w:rsid w:val="002C3C6F"/>
    <w:rsid w:val="002C4F8F"/>
    <w:rsid w:val="002E1CE4"/>
    <w:rsid w:val="002E405E"/>
    <w:rsid w:val="002F5353"/>
    <w:rsid w:val="002F6F5E"/>
    <w:rsid w:val="003069A9"/>
    <w:rsid w:val="00306E7B"/>
    <w:rsid w:val="003118F4"/>
    <w:rsid w:val="00314CA2"/>
    <w:rsid w:val="00331F7E"/>
    <w:rsid w:val="00335FEA"/>
    <w:rsid w:val="00336027"/>
    <w:rsid w:val="00354078"/>
    <w:rsid w:val="0035545E"/>
    <w:rsid w:val="00362DDA"/>
    <w:rsid w:val="003753CF"/>
    <w:rsid w:val="00376F44"/>
    <w:rsid w:val="00380CD1"/>
    <w:rsid w:val="003858C4"/>
    <w:rsid w:val="003922AC"/>
    <w:rsid w:val="003A0B11"/>
    <w:rsid w:val="003A222C"/>
    <w:rsid w:val="003A609F"/>
    <w:rsid w:val="003A6F0C"/>
    <w:rsid w:val="003A7161"/>
    <w:rsid w:val="003B0D1E"/>
    <w:rsid w:val="003C0B8F"/>
    <w:rsid w:val="003C0DC6"/>
    <w:rsid w:val="003E772C"/>
    <w:rsid w:val="003F3238"/>
    <w:rsid w:val="003F5213"/>
    <w:rsid w:val="00402196"/>
    <w:rsid w:val="00406540"/>
    <w:rsid w:val="004259D8"/>
    <w:rsid w:val="00440496"/>
    <w:rsid w:val="00440619"/>
    <w:rsid w:val="00444234"/>
    <w:rsid w:val="00446BF3"/>
    <w:rsid w:val="004545DE"/>
    <w:rsid w:val="0047044E"/>
    <w:rsid w:val="00473AD3"/>
    <w:rsid w:val="00481B26"/>
    <w:rsid w:val="00494D8C"/>
    <w:rsid w:val="004965DB"/>
    <w:rsid w:val="004A3E99"/>
    <w:rsid w:val="004B6391"/>
    <w:rsid w:val="004B7131"/>
    <w:rsid w:val="004B7775"/>
    <w:rsid w:val="004C1A4D"/>
    <w:rsid w:val="004C3E68"/>
    <w:rsid w:val="004E1315"/>
    <w:rsid w:val="004E4710"/>
    <w:rsid w:val="00500725"/>
    <w:rsid w:val="00511172"/>
    <w:rsid w:val="0051386A"/>
    <w:rsid w:val="00532A65"/>
    <w:rsid w:val="00536E2D"/>
    <w:rsid w:val="00562C72"/>
    <w:rsid w:val="00575A59"/>
    <w:rsid w:val="00587D92"/>
    <w:rsid w:val="00590015"/>
    <w:rsid w:val="00592E51"/>
    <w:rsid w:val="005B02E7"/>
    <w:rsid w:val="005B10AD"/>
    <w:rsid w:val="0060668F"/>
    <w:rsid w:val="006154DA"/>
    <w:rsid w:val="00644E6A"/>
    <w:rsid w:val="006579A6"/>
    <w:rsid w:val="00657EAC"/>
    <w:rsid w:val="00662149"/>
    <w:rsid w:val="00662BF5"/>
    <w:rsid w:val="00672376"/>
    <w:rsid w:val="00687BEA"/>
    <w:rsid w:val="006944C0"/>
    <w:rsid w:val="00696D30"/>
    <w:rsid w:val="00697463"/>
    <w:rsid w:val="006C6BE7"/>
    <w:rsid w:val="006E397B"/>
    <w:rsid w:val="00702DC6"/>
    <w:rsid w:val="007046F9"/>
    <w:rsid w:val="0070485C"/>
    <w:rsid w:val="00712FAF"/>
    <w:rsid w:val="007209FB"/>
    <w:rsid w:val="0072597C"/>
    <w:rsid w:val="00735C20"/>
    <w:rsid w:val="007521A6"/>
    <w:rsid w:val="00773C15"/>
    <w:rsid w:val="00784CF5"/>
    <w:rsid w:val="00791D59"/>
    <w:rsid w:val="0079658A"/>
    <w:rsid w:val="007E2C39"/>
    <w:rsid w:val="007F2267"/>
    <w:rsid w:val="00807108"/>
    <w:rsid w:val="00811F58"/>
    <w:rsid w:val="008327B2"/>
    <w:rsid w:val="008404B0"/>
    <w:rsid w:val="00843830"/>
    <w:rsid w:val="00844E20"/>
    <w:rsid w:val="00846FFA"/>
    <w:rsid w:val="00854E7B"/>
    <w:rsid w:val="00864109"/>
    <w:rsid w:val="00864133"/>
    <w:rsid w:val="00866BFC"/>
    <w:rsid w:val="0086732F"/>
    <w:rsid w:val="00873F62"/>
    <w:rsid w:val="00880248"/>
    <w:rsid w:val="008A1A0C"/>
    <w:rsid w:val="008A1B8C"/>
    <w:rsid w:val="008A4440"/>
    <w:rsid w:val="008C51AE"/>
    <w:rsid w:val="008D043F"/>
    <w:rsid w:val="008D394A"/>
    <w:rsid w:val="00910694"/>
    <w:rsid w:val="00912C06"/>
    <w:rsid w:val="00917BF9"/>
    <w:rsid w:val="00921223"/>
    <w:rsid w:val="00940E3A"/>
    <w:rsid w:val="00947629"/>
    <w:rsid w:val="009618B1"/>
    <w:rsid w:val="00977A27"/>
    <w:rsid w:val="0098330F"/>
    <w:rsid w:val="00992173"/>
    <w:rsid w:val="009A2AC4"/>
    <w:rsid w:val="009A3157"/>
    <w:rsid w:val="009B1989"/>
    <w:rsid w:val="009B3B48"/>
    <w:rsid w:val="009B4C59"/>
    <w:rsid w:val="009C4998"/>
    <w:rsid w:val="009D26C8"/>
    <w:rsid w:val="009E09DB"/>
    <w:rsid w:val="009F165B"/>
    <w:rsid w:val="00A13E6C"/>
    <w:rsid w:val="00A25258"/>
    <w:rsid w:val="00A27742"/>
    <w:rsid w:val="00A31911"/>
    <w:rsid w:val="00A345B0"/>
    <w:rsid w:val="00A35CB5"/>
    <w:rsid w:val="00A45892"/>
    <w:rsid w:val="00A53622"/>
    <w:rsid w:val="00A573C2"/>
    <w:rsid w:val="00A615BC"/>
    <w:rsid w:val="00A66C31"/>
    <w:rsid w:val="00A713A3"/>
    <w:rsid w:val="00A7591F"/>
    <w:rsid w:val="00A772B8"/>
    <w:rsid w:val="00A86218"/>
    <w:rsid w:val="00A909B5"/>
    <w:rsid w:val="00A91910"/>
    <w:rsid w:val="00A91EF6"/>
    <w:rsid w:val="00AA4583"/>
    <w:rsid w:val="00AA4CF1"/>
    <w:rsid w:val="00AB3438"/>
    <w:rsid w:val="00AB439C"/>
    <w:rsid w:val="00AC58C1"/>
    <w:rsid w:val="00AC755E"/>
    <w:rsid w:val="00AC78B9"/>
    <w:rsid w:val="00AE3956"/>
    <w:rsid w:val="00AF576E"/>
    <w:rsid w:val="00B334B9"/>
    <w:rsid w:val="00B3411F"/>
    <w:rsid w:val="00B34DB3"/>
    <w:rsid w:val="00B36E50"/>
    <w:rsid w:val="00B5143D"/>
    <w:rsid w:val="00B52874"/>
    <w:rsid w:val="00B67BFB"/>
    <w:rsid w:val="00B74BF2"/>
    <w:rsid w:val="00B8704A"/>
    <w:rsid w:val="00B9254B"/>
    <w:rsid w:val="00BA0CDB"/>
    <w:rsid w:val="00BB288E"/>
    <w:rsid w:val="00BC0CE8"/>
    <w:rsid w:val="00BD15CF"/>
    <w:rsid w:val="00BE087E"/>
    <w:rsid w:val="00C02ADC"/>
    <w:rsid w:val="00C06F21"/>
    <w:rsid w:val="00C10DEA"/>
    <w:rsid w:val="00C21D23"/>
    <w:rsid w:val="00C30771"/>
    <w:rsid w:val="00C31D79"/>
    <w:rsid w:val="00C33F4C"/>
    <w:rsid w:val="00C41F97"/>
    <w:rsid w:val="00C43EA0"/>
    <w:rsid w:val="00C44CF9"/>
    <w:rsid w:val="00C46AF6"/>
    <w:rsid w:val="00C57229"/>
    <w:rsid w:val="00C6035D"/>
    <w:rsid w:val="00C66D20"/>
    <w:rsid w:val="00C67BFA"/>
    <w:rsid w:val="00C72443"/>
    <w:rsid w:val="00C77B42"/>
    <w:rsid w:val="00C851DE"/>
    <w:rsid w:val="00C855CB"/>
    <w:rsid w:val="00CA211B"/>
    <w:rsid w:val="00CC39C0"/>
    <w:rsid w:val="00CC5600"/>
    <w:rsid w:val="00CD46EE"/>
    <w:rsid w:val="00CD6874"/>
    <w:rsid w:val="00CE2764"/>
    <w:rsid w:val="00CE4C1E"/>
    <w:rsid w:val="00CF73DA"/>
    <w:rsid w:val="00D02DB3"/>
    <w:rsid w:val="00D07845"/>
    <w:rsid w:val="00D14EC1"/>
    <w:rsid w:val="00D20B18"/>
    <w:rsid w:val="00D438C1"/>
    <w:rsid w:val="00D45860"/>
    <w:rsid w:val="00D53DEA"/>
    <w:rsid w:val="00D540CE"/>
    <w:rsid w:val="00D65C3F"/>
    <w:rsid w:val="00D805F2"/>
    <w:rsid w:val="00D8542B"/>
    <w:rsid w:val="00D922B5"/>
    <w:rsid w:val="00D964F3"/>
    <w:rsid w:val="00DA1139"/>
    <w:rsid w:val="00DA7DFB"/>
    <w:rsid w:val="00DB7F4C"/>
    <w:rsid w:val="00DC4099"/>
    <w:rsid w:val="00DC5A03"/>
    <w:rsid w:val="00DD3714"/>
    <w:rsid w:val="00DD4289"/>
    <w:rsid w:val="00DE3554"/>
    <w:rsid w:val="00DE6212"/>
    <w:rsid w:val="00DF1780"/>
    <w:rsid w:val="00E0011C"/>
    <w:rsid w:val="00E229D2"/>
    <w:rsid w:val="00E23DD5"/>
    <w:rsid w:val="00E41460"/>
    <w:rsid w:val="00E553E6"/>
    <w:rsid w:val="00E7014B"/>
    <w:rsid w:val="00E7783D"/>
    <w:rsid w:val="00E840E8"/>
    <w:rsid w:val="00E85369"/>
    <w:rsid w:val="00E941A5"/>
    <w:rsid w:val="00EA796B"/>
    <w:rsid w:val="00EB21D4"/>
    <w:rsid w:val="00EB3190"/>
    <w:rsid w:val="00ED03CF"/>
    <w:rsid w:val="00ED62F7"/>
    <w:rsid w:val="00F23DCB"/>
    <w:rsid w:val="00F245EA"/>
    <w:rsid w:val="00F337FC"/>
    <w:rsid w:val="00F36D9C"/>
    <w:rsid w:val="00F441F5"/>
    <w:rsid w:val="00F47972"/>
    <w:rsid w:val="00F664CB"/>
    <w:rsid w:val="00F74553"/>
    <w:rsid w:val="00F853F5"/>
    <w:rsid w:val="00F86DBB"/>
    <w:rsid w:val="00FA752C"/>
    <w:rsid w:val="00FC0CA8"/>
    <w:rsid w:val="00FC4157"/>
    <w:rsid w:val="00FF0A76"/>
    <w:rsid w:val="00FF1FA8"/>
    <w:rsid w:val="00FF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 w:type="paragraph" w:customStyle="1" w:styleId="CharCharCharCharChar0">
    <w:name w:val="Char Char Char Char Char"/>
    <w:basedOn w:val="Normal"/>
    <w:rsid w:val="002F6F5E"/>
    <w:pPr>
      <w:spacing w:after="160" w:line="240" w:lineRule="exact"/>
    </w:pPr>
    <w:rPr>
      <w:rFonts w:ascii="Verdana" w:eastAsia="Times New Roman" w:hAnsi="Verdana" w:cs="Times New Roman"/>
      <w:b/>
      <w:sz w:val="20"/>
      <w:szCs w:val="20"/>
      <w:lang w:val="en-US" w:eastAsia="en-US"/>
    </w:rPr>
  </w:style>
  <w:style w:type="paragraph" w:customStyle="1" w:styleId="CharCharCharCharChar1">
    <w:name w:val="Char Char Char Char Char"/>
    <w:basedOn w:val="Normal"/>
    <w:rsid w:val="00006EE9"/>
    <w:pPr>
      <w:spacing w:after="160" w:line="240" w:lineRule="exact"/>
    </w:pPr>
    <w:rPr>
      <w:rFonts w:ascii="Verdana" w:eastAsia="Times New Roman" w:hAnsi="Verdana" w:cs="Times New Roman"/>
      <w:b/>
      <w:sz w:val="20"/>
      <w:szCs w:val="20"/>
      <w:lang w:val="en-US" w:eastAsia="en-US"/>
    </w:rPr>
  </w:style>
  <w:style w:type="paragraph" w:styleId="PlainText">
    <w:name w:val="Plain Text"/>
    <w:basedOn w:val="Normal"/>
    <w:link w:val="PlainTextChar"/>
    <w:uiPriority w:val="99"/>
    <w:unhideWhenUsed/>
    <w:rsid w:val="00A772B8"/>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rsid w:val="00A772B8"/>
    <w:rPr>
      <w:rFonts w:ascii="Calibri" w:eastAsia="Calibri" w:hAnsi="Calibri" w:cs="Times New Roman"/>
      <w:szCs w:val="21"/>
      <w:lang w:eastAsia="en-US"/>
    </w:rPr>
  </w:style>
  <w:style w:type="paragraph" w:customStyle="1" w:styleId="CharCharCharCharChar2">
    <w:name w:val="Char Char Char Char Char"/>
    <w:basedOn w:val="Normal"/>
    <w:rsid w:val="001321B3"/>
    <w:pPr>
      <w:spacing w:after="160" w:line="240" w:lineRule="exact"/>
    </w:pPr>
    <w:rPr>
      <w:rFonts w:ascii="Verdana" w:eastAsia="Times New Roman" w:hAnsi="Verdana" w:cs="Times New Roman"/>
      <w:b/>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 w:type="paragraph" w:customStyle="1" w:styleId="CharCharCharCharChar0">
    <w:name w:val="Char Char Char Char Char"/>
    <w:basedOn w:val="Normal"/>
    <w:rsid w:val="002F6F5E"/>
    <w:pPr>
      <w:spacing w:after="160" w:line="240" w:lineRule="exact"/>
    </w:pPr>
    <w:rPr>
      <w:rFonts w:ascii="Verdana" w:eastAsia="Times New Roman" w:hAnsi="Verdana" w:cs="Times New Roman"/>
      <w:b/>
      <w:sz w:val="20"/>
      <w:szCs w:val="20"/>
      <w:lang w:val="en-US" w:eastAsia="en-US"/>
    </w:rPr>
  </w:style>
  <w:style w:type="paragraph" w:customStyle="1" w:styleId="CharCharCharCharChar1">
    <w:name w:val="Char Char Char Char Char"/>
    <w:basedOn w:val="Normal"/>
    <w:rsid w:val="00006EE9"/>
    <w:pPr>
      <w:spacing w:after="160" w:line="240" w:lineRule="exact"/>
    </w:pPr>
    <w:rPr>
      <w:rFonts w:ascii="Verdana" w:eastAsia="Times New Roman" w:hAnsi="Verdana" w:cs="Times New Roman"/>
      <w:b/>
      <w:sz w:val="20"/>
      <w:szCs w:val="20"/>
      <w:lang w:val="en-US" w:eastAsia="en-US"/>
    </w:rPr>
  </w:style>
  <w:style w:type="paragraph" w:styleId="PlainText">
    <w:name w:val="Plain Text"/>
    <w:basedOn w:val="Normal"/>
    <w:link w:val="PlainTextChar"/>
    <w:uiPriority w:val="99"/>
    <w:unhideWhenUsed/>
    <w:rsid w:val="00A772B8"/>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rsid w:val="00A772B8"/>
    <w:rPr>
      <w:rFonts w:ascii="Calibri" w:eastAsia="Calibri" w:hAnsi="Calibri" w:cs="Times New Roman"/>
      <w:szCs w:val="21"/>
      <w:lang w:eastAsia="en-US"/>
    </w:rPr>
  </w:style>
  <w:style w:type="paragraph" w:customStyle="1" w:styleId="CharCharCharCharChar2">
    <w:name w:val="Char Char Char Char Char"/>
    <w:basedOn w:val="Normal"/>
    <w:rsid w:val="001321B3"/>
    <w:pPr>
      <w:spacing w:after="160" w:line="240" w:lineRule="exact"/>
    </w:pPr>
    <w:rPr>
      <w:rFonts w:ascii="Verdana" w:eastAsia="Times New Roman" w:hAnsi="Verdana" w:cs="Times New Roman"/>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9560">
      <w:bodyDiv w:val="1"/>
      <w:marLeft w:val="0"/>
      <w:marRight w:val="0"/>
      <w:marTop w:val="0"/>
      <w:marBottom w:val="0"/>
      <w:divBdr>
        <w:top w:val="none" w:sz="0" w:space="0" w:color="auto"/>
        <w:left w:val="none" w:sz="0" w:space="0" w:color="auto"/>
        <w:bottom w:val="none" w:sz="0" w:space="0" w:color="auto"/>
        <w:right w:val="none" w:sz="0" w:space="0" w:color="auto"/>
      </w:divBdr>
    </w:div>
    <w:div w:id="375080848">
      <w:bodyDiv w:val="1"/>
      <w:marLeft w:val="0"/>
      <w:marRight w:val="0"/>
      <w:marTop w:val="0"/>
      <w:marBottom w:val="0"/>
      <w:divBdr>
        <w:top w:val="none" w:sz="0" w:space="0" w:color="auto"/>
        <w:left w:val="none" w:sz="0" w:space="0" w:color="auto"/>
        <w:bottom w:val="none" w:sz="0" w:space="0" w:color="auto"/>
        <w:right w:val="none" w:sz="0" w:space="0" w:color="auto"/>
      </w:divBdr>
    </w:div>
    <w:div w:id="647974828">
      <w:bodyDiv w:val="1"/>
      <w:marLeft w:val="0"/>
      <w:marRight w:val="0"/>
      <w:marTop w:val="0"/>
      <w:marBottom w:val="0"/>
      <w:divBdr>
        <w:top w:val="none" w:sz="0" w:space="0" w:color="auto"/>
        <w:left w:val="none" w:sz="0" w:space="0" w:color="auto"/>
        <w:bottom w:val="none" w:sz="0" w:space="0" w:color="auto"/>
        <w:right w:val="none" w:sz="0" w:space="0" w:color="auto"/>
      </w:divBdr>
    </w:div>
    <w:div w:id="1085343975">
      <w:bodyDiv w:val="1"/>
      <w:marLeft w:val="0"/>
      <w:marRight w:val="0"/>
      <w:marTop w:val="0"/>
      <w:marBottom w:val="0"/>
      <w:divBdr>
        <w:top w:val="none" w:sz="0" w:space="0" w:color="auto"/>
        <w:left w:val="none" w:sz="0" w:space="0" w:color="auto"/>
        <w:bottom w:val="none" w:sz="0" w:space="0" w:color="auto"/>
        <w:right w:val="none" w:sz="0" w:space="0" w:color="auto"/>
      </w:divBdr>
    </w:div>
    <w:div w:id="1276405698">
      <w:bodyDiv w:val="1"/>
      <w:marLeft w:val="0"/>
      <w:marRight w:val="0"/>
      <w:marTop w:val="0"/>
      <w:marBottom w:val="0"/>
      <w:divBdr>
        <w:top w:val="none" w:sz="0" w:space="0" w:color="auto"/>
        <w:left w:val="none" w:sz="0" w:space="0" w:color="auto"/>
        <w:bottom w:val="none" w:sz="0" w:space="0" w:color="auto"/>
        <w:right w:val="none" w:sz="0" w:space="0" w:color="auto"/>
      </w:divBdr>
    </w:div>
    <w:div w:id="140498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22A50-6015-4F18-9F7E-D6703370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jackiema</dc:creator>
  <cp:lastModifiedBy>Jane Maclennan</cp:lastModifiedBy>
  <cp:revision>43</cp:revision>
  <cp:lastPrinted>2015-11-16T11:31:00Z</cp:lastPrinted>
  <dcterms:created xsi:type="dcterms:W3CDTF">2015-07-22T08:06:00Z</dcterms:created>
  <dcterms:modified xsi:type="dcterms:W3CDTF">2016-06-06T10:53:00Z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-1161520452</vt:i4>
  </property>
  <property fmtid="{D5CDD505-2E9C-101B-9397-08002B2CF9AE}" pid="3" name="_NewReviewCycle">
    <vt:lpwstr/>
  </property>
  <property fmtid="{D5CDD505-2E9C-101B-9397-08002B2CF9AE}" pid="4" name="_EmailSubject">
    <vt:lpwstr>HLH BOARD AGENDA AND PAPERS FOR WEBSITE</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ies>
</file>