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4B9" w:rsidRDefault="00DA1139">
      <w:r>
        <w:tab/>
      </w:r>
      <w:r w:rsidR="007521A6">
        <w:tab/>
      </w:r>
      <w:r w:rsidR="007521A6">
        <w:tab/>
      </w:r>
      <w:r w:rsidR="007521A6">
        <w:tab/>
      </w:r>
      <w:r w:rsidR="007521A6">
        <w:tab/>
      </w:r>
      <w:r w:rsidR="007521A6">
        <w:tab/>
      </w:r>
      <w:r w:rsidR="007521A6">
        <w:tab/>
      </w:r>
      <w:r w:rsidR="007521A6">
        <w:tab/>
      </w:r>
      <w:r w:rsidR="007521A6">
        <w:tab/>
      </w:r>
      <w:r w:rsidR="007521A6">
        <w:tab/>
        <w:t>AGENDA ITEM</w:t>
      </w:r>
      <w:r w:rsidR="00B334B9">
        <w:t xml:space="preserve"> </w:t>
      </w:r>
    </w:p>
    <w:p w:rsidR="00F23DCB" w:rsidRDefault="00C06F21">
      <w:r>
        <w:t xml:space="preserve">Matters Arising </w:t>
      </w:r>
      <w:r w:rsidR="00DA1139">
        <w:t>From HLH Board Meeting</w:t>
      </w:r>
      <w:r>
        <w:t xml:space="preserve"> </w:t>
      </w:r>
      <w:r w:rsidR="004B7131">
        <w:t>23 April 2014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959"/>
        <w:gridCol w:w="6662"/>
        <w:gridCol w:w="1276"/>
        <w:gridCol w:w="1276"/>
      </w:tblGrid>
      <w:tr w:rsidR="00C06F21" w:rsidTr="00C57229">
        <w:tc>
          <w:tcPr>
            <w:tcW w:w="959" w:type="dxa"/>
          </w:tcPr>
          <w:p w:rsidR="00C06F21" w:rsidRDefault="00DF1780">
            <w:r>
              <w:t>ITEM</w:t>
            </w:r>
          </w:p>
        </w:tc>
        <w:tc>
          <w:tcPr>
            <w:tcW w:w="6662" w:type="dxa"/>
          </w:tcPr>
          <w:p w:rsidR="00C06F21" w:rsidRDefault="00DF1780">
            <w:r>
              <w:t>DETAIL</w:t>
            </w:r>
          </w:p>
        </w:tc>
        <w:tc>
          <w:tcPr>
            <w:tcW w:w="1276" w:type="dxa"/>
          </w:tcPr>
          <w:p w:rsidR="00C06F21" w:rsidRDefault="00DF1780" w:rsidP="00DA1139">
            <w:r>
              <w:t>LEAD</w:t>
            </w:r>
          </w:p>
        </w:tc>
        <w:tc>
          <w:tcPr>
            <w:tcW w:w="1276" w:type="dxa"/>
          </w:tcPr>
          <w:p w:rsidR="00C06F21" w:rsidRDefault="00DF1780" w:rsidP="00D20B18">
            <w:r>
              <w:t>DUE DATE</w:t>
            </w:r>
          </w:p>
        </w:tc>
      </w:tr>
      <w:tr w:rsidR="00C06F21" w:rsidTr="00C57229">
        <w:tc>
          <w:tcPr>
            <w:tcW w:w="959" w:type="dxa"/>
          </w:tcPr>
          <w:p w:rsidR="00D14EC1" w:rsidRPr="009F165B" w:rsidRDefault="004B7131" w:rsidP="001846AA">
            <w:pPr>
              <w:jc w:val="both"/>
            </w:pPr>
            <w:r>
              <w:t>4.</w:t>
            </w:r>
          </w:p>
        </w:tc>
        <w:tc>
          <w:tcPr>
            <w:tcW w:w="6662" w:type="dxa"/>
          </w:tcPr>
          <w:p w:rsidR="00D14EC1" w:rsidRDefault="008A4440" w:rsidP="002C3C6F">
            <w:pPr>
              <w:jc w:val="both"/>
            </w:pPr>
            <w:r>
              <w:t xml:space="preserve">Agreed </w:t>
            </w:r>
            <w:r w:rsidR="004B7131" w:rsidRPr="004B7131">
              <w:t>HLH Minutes</w:t>
            </w:r>
            <w:r>
              <w:t xml:space="preserve"> style</w:t>
            </w:r>
            <w:r w:rsidR="004B7131" w:rsidRPr="004B7131">
              <w:t xml:space="preserve"> to only include discussion where </w:t>
            </w:r>
            <w:r>
              <w:t>this</w:t>
            </w:r>
            <w:r w:rsidR="004B7131" w:rsidRPr="004B7131">
              <w:t xml:space="preserve"> led to an additional or amended recommendation</w:t>
            </w:r>
            <w:r w:rsidR="004B7131">
              <w:t>.</w:t>
            </w:r>
          </w:p>
          <w:p w:rsidR="004B7131" w:rsidRPr="004B7131" w:rsidRDefault="004B7131" w:rsidP="002C3C6F">
            <w:pPr>
              <w:jc w:val="both"/>
              <w:rPr>
                <w:i/>
                <w:color w:val="FF0000"/>
              </w:rPr>
            </w:pPr>
            <w:r w:rsidRPr="005B10AD">
              <w:rPr>
                <w:i/>
              </w:rPr>
              <w:t>Minute format amended as agreed.</w:t>
            </w:r>
          </w:p>
        </w:tc>
        <w:tc>
          <w:tcPr>
            <w:tcW w:w="1276" w:type="dxa"/>
          </w:tcPr>
          <w:p w:rsidR="008A4440" w:rsidRDefault="008A4440" w:rsidP="001846AA">
            <w:pPr>
              <w:jc w:val="both"/>
            </w:pPr>
          </w:p>
          <w:p w:rsidR="008A4440" w:rsidRDefault="008A4440" w:rsidP="001846AA">
            <w:pPr>
              <w:jc w:val="both"/>
            </w:pPr>
          </w:p>
          <w:p w:rsidR="00D14EC1" w:rsidRPr="009F165B" w:rsidRDefault="004B7131" w:rsidP="001846AA">
            <w:pPr>
              <w:jc w:val="both"/>
            </w:pPr>
            <w:r>
              <w:t>MM</w:t>
            </w:r>
          </w:p>
        </w:tc>
        <w:tc>
          <w:tcPr>
            <w:tcW w:w="1276" w:type="dxa"/>
          </w:tcPr>
          <w:p w:rsidR="008A4440" w:rsidRDefault="008A4440" w:rsidP="00D20B18"/>
          <w:p w:rsidR="008A4440" w:rsidRDefault="008A4440" w:rsidP="00D20B18"/>
          <w:p w:rsidR="003A6F0C" w:rsidRPr="009F165B" w:rsidRDefault="004B7131" w:rsidP="00D20B18">
            <w:r>
              <w:t>Ongoing</w:t>
            </w:r>
          </w:p>
        </w:tc>
      </w:tr>
      <w:tr w:rsidR="00866BFC" w:rsidRPr="00866BFC" w:rsidTr="00C57229">
        <w:tc>
          <w:tcPr>
            <w:tcW w:w="959" w:type="dxa"/>
          </w:tcPr>
          <w:p w:rsidR="003B0D1E" w:rsidRPr="00866BFC" w:rsidRDefault="004B7131" w:rsidP="00D20B18">
            <w:pPr>
              <w:jc w:val="both"/>
            </w:pPr>
            <w:r w:rsidRPr="00866BFC">
              <w:t>6.</w:t>
            </w:r>
          </w:p>
        </w:tc>
        <w:tc>
          <w:tcPr>
            <w:tcW w:w="6662" w:type="dxa"/>
          </w:tcPr>
          <w:p w:rsidR="00D14EC1" w:rsidRPr="00866BFC" w:rsidRDefault="004B7131" w:rsidP="00CD6874">
            <w:pPr>
              <w:jc w:val="both"/>
            </w:pPr>
            <w:r w:rsidRPr="00866BFC">
              <w:t>Links with “It’s a Bug’s Life”</w:t>
            </w:r>
            <w:r w:rsidR="008A4440" w:rsidRPr="00866BFC">
              <w:t xml:space="preserve"> </w:t>
            </w:r>
            <w:r w:rsidRPr="00866BFC">
              <w:t>project and HEN to be investigated via THC Planning and Development Service.</w:t>
            </w:r>
          </w:p>
          <w:p w:rsidR="004B7131" w:rsidRPr="00A66C31" w:rsidRDefault="005B10AD" w:rsidP="00CD6874">
            <w:pPr>
              <w:jc w:val="both"/>
              <w:rPr>
                <w:i/>
              </w:rPr>
            </w:pPr>
            <w:r w:rsidRPr="00A66C31">
              <w:rPr>
                <w:i/>
              </w:rPr>
              <w:t>Link made with HLH staff involved in this project and Planning and Development Service staff.</w:t>
            </w:r>
          </w:p>
        </w:tc>
        <w:tc>
          <w:tcPr>
            <w:tcW w:w="1276" w:type="dxa"/>
          </w:tcPr>
          <w:p w:rsidR="00D14EC1" w:rsidRPr="00866BFC" w:rsidRDefault="00D14EC1" w:rsidP="001846AA">
            <w:pPr>
              <w:jc w:val="both"/>
            </w:pPr>
          </w:p>
          <w:p w:rsidR="004B7131" w:rsidRPr="00866BFC" w:rsidRDefault="004B7131" w:rsidP="001846AA">
            <w:pPr>
              <w:jc w:val="both"/>
            </w:pPr>
          </w:p>
          <w:p w:rsidR="004B7131" w:rsidRPr="00866BFC" w:rsidRDefault="004B7131" w:rsidP="001846AA">
            <w:pPr>
              <w:jc w:val="both"/>
            </w:pPr>
            <w:r w:rsidRPr="00866BFC">
              <w:t>DW</w:t>
            </w:r>
          </w:p>
        </w:tc>
        <w:tc>
          <w:tcPr>
            <w:tcW w:w="1276" w:type="dxa"/>
          </w:tcPr>
          <w:p w:rsidR="00D14EC1" w:rsidRPr="00866BFC" w:rsidRDefault="00D14EC1" w:rsidP="00D20B18"/>
          <w:p w:rsidR="004B7131" w:rsidRPr="00866BFC" w:rsidRDefault="004B7131" w:rsidP="00D20B18"/>
          <w:p w:rsidR="004B7131" w:rsidRPr="00866BFC" w:rsidRDefault="004A3E99" w:rsidP="00D20B18">
            <w:r w:rsidRPr="00866BFC">
              <w:t>Complete</w:t>
            </w:r>
          </w:p>
        </w:tc>
      </w:tr>
      <w:tr w:rsidR="00C06F21" w:rsidTr="00C57229">
        <w:trPr>
          <w:trHeight w:val="475"/>
        </w:trPr>
        <w:tc>
          <w:tcPr>
            <w:tcW w:w="959" w:type="dxa"/>
          </w:tcPr>
          <w:p w:rsidR="00A573C2" w:rsidRDefault="004B7131" w:rsidP="001846AA">
            <w:pPr>
              <w:jc w:val="both"/>
            </w:pPr>
            <w:r>
              <w:t>7ii and 7iii.</w:t>
            </w:r>
          </w:p>
        </w:tc>
        <w:tc>
          <w:tcPr>
            <w:tcW w:w="6662" w:type="dxa"/>
          </w:tcPr>
          <w:p w:rsidR="00940E3A" w:rsidRPr="008A4440" w:rsidRDefault="008A4440" w:rsidP="00E7783D">
            <w:pPr>
              <w:jc w:val="both"/>
            </w:pPr>
            <w:r w:rsidRPr="008A4440">
              <w:t>The importance of confidentiality in relation to ICT to be borne in mind during</w:t>
            </w:r>
            <w:r>
              <w:t xml:space="preserve"> the ICT </w:t>
            </w:r>
            <w:proofErr w:type="spellStart"/>
            <w:r>
              <w:t>reprocurement</w:t>
            </w:r>
            <w:proofErr w:type="spellEnd"/>
            <w:r>
              <w:t xml:space="preserve"> exercise with interim reports on the ICT </w:t>
            </w:r>
            <w:proofErr w:type="spellStart"/>
            <w:r>
              <w:t>reprovisioning</w:t>
            </w:r>
            <w:proofErr w:type="spellEnd"/>
            <w:r>
              <w:t xml:space="preserve"> to be monitored by the Finance and Audit Committee with decisions being referred back to the main Board.</w:t>
            </w:r>
          </w:p>
          <w:p w:rsidR="008A4440" w:rsidRPr="000A7A57" w:rsidRDefault="005B10AD" w:rsidP="00E7783D">
            <w:pPr>
              <w:jc w:val="both"/>
              <w:rPr>
                <w:i/>
                <w:color w:val="FF0000"/>
              </w:rPr>
            </w:pPr>
            <w:r w:rsidRPr="000A7A57">
              <w:rPr>
                <w:i/>
              </w:rPr>
              <w:t>Action being taken forward in ongoing discussions.</w:t>
            </w:r>
          </w:p>
        </w:tc>
        <w:tc>
          <w:tcPr>
            <w:tcW w:w="1276" w:type="dxa"/>
          </w:tcPr>
          <w:p w:rsidR="00940E3A" w:rsidRDefault="00940E3A" w:rsidP="00712FAF">
            <w:pPr>
              <w:jc w:val="both"/>
            </w:pPr>
          </w:p>
          <w:p w:rsidR="008A4440" w:rsidRDefault="008A4440" w:rsidP="00712FAF">
            <w:pPr>
              <w:jc w:val="both"/>
            </w:pPr>
          </w:p>
          <w:p w:rsidR="008A4440" w:rsidRDefault="008A4440" w:rsidP="00712FAF">
            <w:pPr>
              <w:jc w:val="both"/>
            </w:pPr>
          </w:p>
          <w:p w:rsidR="008A4440" w:rsidRDefault="008A4440" w:rsidP="00712FAF">
            <w:pPr>
              <w:jc w:val="both"/>
            </w:pPr>
          </w:p>
          <w:p w:rsidR="008A4440" w:rsidRPr="00940E3A" w:rsidRDefault="008A4440" w:rsidP="00712FAF">
            <w:pPr>
              <w:jc w:val="both"/>
            </w:pPr>
            <w:r>
              <w:t>DW</w:t>
            </w:r>
          </w:p>
        </w:tc>
        <w:tc>
          <w:tcPr>
            <w:tcW w:w="1276" w:type="dxa"/>
          </w:tcPr>
          <w:p w:rsidR="00940E3A" w:rsidRDefault="00940E3A" w:rsidP="00D20B18"/>
          <w:p w:rsidR="008A4440" w:rsidRDefault="008A4440" w:rsidP="00D20B18"/>
          <w:p w:rsidR="008A4440" w:rsidRDefault="008A4440" w:rsidP="00D20B18"/>
          <w:p w:rsidR="008A4440" w:rsidRDefault="008A4440" w:rsidP="00D20B18"/>
          <w:p w:rsidR="008A4440" w:rsidRPr="009F165B" w:rsidRDefault="005B10AD" w:rsidP="00D20B18">
            <w:r>
              <w:t>Ongoing</w:t>
            </w:r>
          </w:p>
        </w:tc>
      </w:tr>
      <w:tr w:rsidR="00C06F21" w:rsidTr="00C57229">
        <w:tc>
          <w:tcPr>
            <w:tcW w:w="959" w:type="dxa"/>
            <w:shd w:val="clear" w:color="auto" w:fill="auto"/>
          </w:tcPr>
          <w:p w:rsidR="004B7131" w:rsidRDefault="004B7131" w:rsidP="001846AA">
            <w:pPr>
              <w:jc w:val="both"/>
            </w:pPr>
            <w:r>
              <w:t>11iv.</w:t>
            </w:r>
          </w:p>
          <w:p w:rsidR="004B7131" w:rsidRDefault="004B7131" w:rsidP="001846AA">
            <w:pPr>
              <w:jc w:val="both"/>
            </w:pPr>
          </w:p>
        </w:tc>
        <w:tc>
          <w:tcPr>
            <w:tcW w:w="6662" w:type="dxa"/>
            <w:shd w:val="clear" w:color="auto" w:fill="auto"/>
          </w:tcPr>
          <w:p w:rsidR="004C1A4D" w:rsidRDefault="004C1A4D" w:rsidP="002F5353">
            <w:pPr>
              <w:jc w:val="both"/>
            </w:pPr>
            <w:r>
              <w:t>An improvement plan to be drawn up for any areas of weakness that had been identified by external evaluations.</w:t>
            </w:r>
          </w:p>
          <w:p w:rsidR="004C1A4D" w:rsidRPr="004C1A4D" w:rsidRDefault="005B10AD" w:rsidP="002F5353">
            <w:pPr>
              <w:jc w:val="both"/>
              <w:rPr>
                <w:i/>
              </w:rPr>
            </w:pPr>
            <w:r w:rsidRPr="000A7A57">
              <w:rPr>
                <w:i/>
              </w:rPr>
              <w:t>Head of Service to monitor.</w:t>
            </w:r>
          </w:p>
        </w:tc>
        <w:tc>
          <w:tcPr>
            <w:tcW w:w="1276" w:type="dxa"/>
            <w:shd w:val="clear" w:color="auto" w:fill="auto"/>
          </w:tcPr>
          <w:p w:rsidR="00854E7B" w:rsidRDefault="00854E7B" w:rsidP="001846AA">
            <w:pPr>
              <w:jc w:val="both"/>
            </w:pPr>
          </w:p>
          <w:p w:rsidR="005B10AD" w:rsidRDefault="005B10AD" w:rsidP="001846AA">
            <w:pPr>
              <w:jc w:val="both"/>
            </w:pPr>
          </w:p>
          <w:p w:rsidR="005B10AD" w:rsidRDefault="005B10AD" w:rsidP="001846AA">
            <w:pPr>
              <w:jc w:val="both"/>
            </w:pPr>
            <w:r>
              <w:t>DW</w:t>
            </w:r>
          </w:p>
        </w:tc>
        <w:tc>
          <w:tcPr>
            <w:tcW w:w="1276" w:type="dxa"/>
            <w:shd w:val="clear" w:color="auto" w:fill="auto"/>
          </w:tcPr>
          <w:p w:rsidR="00854E7B" w:rsidRDefault="00854E7B" w:rsidP="00D20B18"/>
          <w:p w:rsidR="005B10AD" w:rsidRDefault="005B10AD" w:rsidP="00D20B18"/>
          <w:p w:rsidR="005B10AD" w:rsidRDefault="005B10AD" w:rsidP="00D20B18">
            <w:r>
              <w:t>Ongoing</w:t>
            </w:r>
          </w:p>
        </w:tc>
      </w:tr>
      <w:tr w:rsidR="009C4998" w:rsidTr="00C57229">
        <w:tc>
          <w:tcPr>
            <w:tcW w:w="959" w:type="dxa"/>
            <w:shd w:val="clear" w:color="auto" w:fill="auto"/>
          </w:tcPr>
          <w:p w:rsidR="009C4998" w:rsidRDefault="004B7131" w:rsidP="001846AA">
            <w:pPr>
              <w:jc w:val="both"/>
            </w:pPr>
            <w:r>
              <w:t>12iii.</w:t>
            </w:r>
          </w:p>
          <w:p w:rsidR="004B7131" w:rsidRDefault="004B7131" w:rsidP="001846AA">
            <w:pPr>
              <w:jc w:val="both"/>
            </w:pPr>
          </w:p>
          <w:p w:rsidR="004C1A4D" w:rsidRDefault="004C1A4D" w:rsidP="001846AA">
            <w:pPr>
              <w:jc w:val="both"/>
            </w:pPr>
          </w:p>
          <w:p w:rsidR="004B7131" w:rsidRDefault="004B7131" w:rsidP="001846AA">
            <w:pPr>
              <w:jc w:val="both"/>
            </w:pPr>
            <w:r>
              <w:t>12iv.</w:t>
            </w:r>
            <w:r w:rsidR="00B3411F">
              <w:t xml:space="preserve"> and</w:t>
            </w:r>
            <w:r w:rsidR="00C57229">
              <w:t xml:space="preserve"> </w:t>
            </w:r>
            <w:r w:rsidR="00B3411F">
              <w:t>12 vi.</w:t>
            </w:r>
          </w:p>
          <w:p w:rsidR="004B7131" w:rsidRDefault="004B7131" w:rsidP="001846AA">
            <w:pPr>
              <w:jc w:val="both"/>
            </w:pPr>
          </w:p>
          <w:p w:rsidR="004B7131" w:rsidRDefault="004B7131" w:rsidP="00B3411F">
            <w:pPr>
              <w:jc w:val="both"/>
            </w:pPr>
            <w:r>
              <w:t>12v.</w:t>
            </w:r>
          </w:p>
        </w:tc>
        <w:tc>
          <w:tcPr>
            <w:tcW w:w="6662" w:type="dxa"/>
            <w:shd w:val="clear" w:color="auto" w:fill="auto"/>
          </w:tcPr>
          <w:p w:rsidR="004E1315" w:rsidRPr="00866BFC" w:rsidRDefault="004C1A4D" w:rsidP="004C1A4D">
            <w:pPr>
              <w:jc w:val="both"/>
            </w:pPr>
            <w:r>
              <w:t xml:space="preserve">The decision on the final layout of the </w:t>
            </w:r>
            <w:proofErr w:type="gramStart"/>
            <w:r>
              <w:t xml:space="preserve">annual </w:t>
            </w:r>
            <w:r w:rsidR="006944C0">
              <w:t xml:space="preserve"> Health</w:t>
            </w:r>
            <w:proofErr w:type="gramEnd"/>
            <w:r w:rsidR="006944C0">
              <w:t xml:space="preserve"> and Safety </w:t>
            </w:r>
            <w:bookmarkStart w:id="0" w:name="_GoBack"/>
            <w:bookmarkEnd w:id="0"/>
            <w:r>
              <w:t xml:space="preserve">report tables delegated to </w:t>
            </w:r>
            <w:r w:rsidRPr="00866BFC">
              <w:t>the Health and Safety Strategic Group .</w:t>
            </w:r>
          </w:p>
          <w:p w:rsidR="004C1A4D" w:rsidRPr="00A66C31" w:rsidRDefault="004C1A4D" w:rsidP="004C1A4D">
            <w:pPr>
              <w:jc w:val="both"/>
              <w:rPr>
                <w:i/>
              </w:rPr>
            </w:pPr>
            <w:r w:rsidRPr="00A66C31">
              <w:rPr>
                <w:i/>
              </w:rPr>
              <w:t xml:space="preserve">Discussed at </w:t>
            </w:r>
            <w:r w:rsidR="004A3E99" w:rsidRPr="00A66C31">
              <w:rPr>
                <w:i/>
              </w:rPr>
              <w:t>H&amp;S Strategic Meeting held on 13 May 2014</w:t>
            </w:r>
          </w:p>
          <w:p w:rsidR="00B3411F" w:rsidRPr="00866BFC" w:rsidRDefault="004C1A4D" w:rsidP="004C1A4D">
            <w:pPr>
              <w:jc w:val="both"/>
            </w:pPr>
            <w:r w:rsidRPr="00866BFC">
              <w:t>Future Annual Health and Safety reports to include a statement on the environmental</w:t>
            </w:r>
            <w:r w:rsidR="00B3411F" w:rsidRPr="00866BFC">
              <w:t xml:space="preserve"> impact arising from the report and information on the independent Health and Safety audit.</w:t>
            </w:r>
          </w:p>
          <w:p w:rsidR="004C1A4D" w:rsidRPr="00866BFC" w:rsidRDefault="00B3411F" w:rsidP="004C1A4D">
            <w:pPr>
              <w:jc w:val="both"/>
              <w:rPr>
                <w:i/>
              </w:rPr>
            </w:pPr>
            <w:r w:rsidRPr="00866BFC">
              <w:rPr>
                <w:i/>
              </w:rPr>
              <w:t xml:space="preserve">Annual </w:t>
            </w:r>
            <w:r w:rsidR="004C1A4D" w:rsidRPr="00866BFC">
              <w:rPr>
                <w:i/>
              </w:rPr>
              <w:t>Rep</w:t>
            </w:r>
            <w:r w:rsidR="004A3E99" w:rsidRPr="00866BFC">
              <w:rPr>
                <w:i/>
              </w:rPr>
              <w:t>ort template amended.</w:t>
            </w:r>
          </w:p>
          <w:p w:rsidR="003A609F" w:rsidRDefault="004C1A4D" w:rsidP="003A609F">
            <w:pPr>
              <w:jc w:val="both"/>
            </w:pPr>
            <w:r w:rsidRPr="003A609F">
              <w:t>A report from THC on the school building audit following the recent Edinburgh incident to be submitted to the Board once complete.</w:t>
            </w:r>
          </w:p>
          <w:p w:rsidR="004C1A4D" w:rsidRPr="003A609F" w:rsidRDefault="003A609F" w:rsidP="00A66C31">
            <w:pPr>
              <w:jc w:val="both"/>
            </w:pPr>
            <w:r w:rsidRPr="003A609F">
              <w:rPr>
                <w:i/>
              </w:rPr>
              <w:t xml:space="preserve">HLH </w:t>
            </w:r>
            <w:r>
              <w:rPr>
                <w:i/>
              </w:rPr>
              <w:t xml:space="preserve">is </w:t>
            </w:r>
            <w:r w:rsidRPr="003A609F">
              <w:rPr>
                <w:i/>
              </w:rPr>
              <w:t xml:space="preserve">meeting with THC’s Infrastructure and Development Manager </w:t>
            </w:r>
            <w:r>
              <w:rPr>
                <w:i/>
              </w:rPr>
              <w:t xml:space="preserve">on </w:t>
            </w:r>
            <w:r w:rsidR="00A66C31">
              <w:rPr>
                <w:i/>
              </w:rPr>
              <w:t xml:space="preserve">Tuesday 10 June </w:t>
            </w:r>
            <w:r w:rsidRPr="003A609F">
              <w:rPr>
                <w:i/>
              </w:rPr>
              <w:t xml:space="preserve">2014 to progress. </w:t>
            </w:r>
            <w:r w:rsidR="00A66C31">
              <w:rPr>
                <w:i/>
              </w:rPr>
              <w:t xml:space="preserve"> An update will be available at the 25 June HLH Board meeting.</w:t>
            </w:r>
          </w:p>
        </w:tc>
        <w:tc>
          <w:tcPr>
            <w:tcW w:w="1276" w:type="dxa"/>
            <w:shd w:val="clear" w:color="auto" w:fill="auto"/>
          </w:tcPr>
          <w:p w:rsidR="004E1315" w:rsidRDefault="004E1315" w:rsidP="001846AA">
            <w:pPr>
              <w:jc w:val="both"/>
            </w:pPr>
          </w:p>
          <w:p w:rsidR="004C1A4D" w:rsidRDefault="004C1A4D" w:rsidP="001846AA">
            <w:pPr>
              <w:jc w:val="both"/>
            </w:pPr>
          </w:p>
          <w:p w:rsidR="004C1A4D" w:rsidRDefault="004C1A4D" w:rsidP="001846AA">
            <w:pPr>
              <w:jc w:val="both"/>
            </w:pPr>
            <w:r>
              <w:t>DW</w:t>
            </w:r>
          </w:p>
          <w:p w:rsidR="004C1A4D" w:rsidRDefault="004C1A4D" w:rsidP="001846AA">
            <w:pPr>
              <w:jc w:val="both"/>
            </w:pPr>
          </w:p>
          <w:p w:rsidR="004C1A4D" w:rsidRDefault="004C1A4D" w:rsidP="001846AA">
            <w:pPr>
              <w:jc w:val="both"/>
            </w:pPr>
          </w:p>
          <w:p w:rsidR="005B10AD" w:rsidRDefault="005B10AD" w:rsidP="001846AA">
            <w:pPr>
              <w:jc w:val="both"/>
            </w:pPr>
          </w:p>
          <w:p w:rsidR="004C1A4D" w:rsidRDefault="004C1A4D" w:rsidP="001846AA">
            <w:pPr>
              <w:jc w:val="both"/>
            </w:pPr>
            <w:r>
              <w:t>DW</w:t>
            </w:r>
          </w:p>
          <w:p w:rsidR="004C1A4D" w:rsidRDefault="004C1A4D" w:rsidP="001846AA">
            <w:pPr>
              <w:jc w:val="both"/>
            </w:pPr>
          </w:p>
          <w:p w:rsidR="005B10AD" w:rsidRDefault="005B10AD" w:rsidP="001846AA">
            <w:pPr>
              <w:jc w:val="both"/>
            </w:pPr>
          </w:p>
          <w:p w:rsidR="004C1A4D" w:rsidRPr="00977A27" w:rsidRDefault="004C1A4D" w:rsidP="001846AA">
            <w:pPr>
              <w:jc w:val="both"/>
            </w:pPr>
            <w:r>
              <w:t>DW</w:t>
            </w:r>
          </w:p>
        </w:tc>
        <w:tc>
          <w:tcPr>
            <w:tcW w:w="1276" w:type="dxa"/>
            <w:shd w:val="clear" w:color="auto" w:fill="auto"/>
          </w:tcPr>
          <w:p w:rsidR="004E1315" w:rsidRDefault="004E1315" w:rsidP="00D20B18"/>
          <w:p w:rsidR="004C1A4D" w:rsidRDefault="004C1A4D" w:rsidP="00D20B18"/>
          <w:p w:rsidR="004C1A4D" w:rsidRPr="00866BFC" w:rsidRDefault="004A3E99" w:rsidP="00D20B18">
            <w:r w:rsidRPr="00866BFC">
              <w:t>Complete</w:t>
            </w:r>
          </w:p>
          <w:p w:rsidR="004C1A4D" w:rsidRPr="00866BFC" w:rsidRDefault="004C1A4D" w:rsidP="00D20B18"/>
          <w:p w:rsidR="004C1A4D" w:rsidRPr="00866BFC" w:rsidRDefault="004C1A4D" w:rsidP="00D20B18"/>
          <w:p w:rsidR="005B10AD" w:rsidRPr="00866BFC" w:rsidRDefault="005B10AD" w:rsidP="00D20B18"/>
          <w:p w:rsidR="004C1A4D" w:rsidRPr="00866BFC" w:rsidRDefault="004A3E99" w:rsidP="00D20B18">
            <w:r w:rsidRPr="00866BFC">
              <w:t>Complete</w:t>
            </w:r>
          </w:p>
          <w:p w:rsidR="004C1A4D" w:rsidRDefault="004C1A4D" w:rsidP="00D20B18"/>
          <w:p w:rsidR="005B10AD" w:rsidRDefault="005B10AD" w:rsidP="00D20B18"/>
          <w:p w:rsidR="004C1A4D" w:rsidRPr="00977A27" w:rsidRDefault="003A609F" w:rsidP="00D20B18">
            <w:r w:rsidRPr="003A609F">
              <w:t>Ongoing</w:t>
            </w:r>
          </w:p>
        </w:tc>
      </w:tr>
      <w:tr w:rsidR="00C44CF9" w:rsidTr="00C57229">
        <w:trPr>
          <w:trHeight w:val="547"/>
        </w:trPr>
        <w:tc>
          <w:tcPr>
            <w:tcW w:w="959" w:type="dxa"/>
            <w:shd w:val="clear" w:color="auto" w:fill="auto"/>
          </w:tcPr>
          <w:p w:rsidR="00B9254B" w:rsidRDefault="004B7131" w:rsidP="001846AA">
            <w:pPr>
              <w:jc w:val="both"/>
            </w:pPr>
            <w:r>
              <w:t>14</w:t>
            </w:r>
            <w:r w:rsidR="00C57229">
              <w:t>.</w:t>
            </w:r>
          </w:p>
        </w:tc>
        <w:tc>
          <w:tcPr>
            <w:tcW w:w="6662" w:type="dxa"/>
            <w:shd w:val="clear" w:color="auto" w:fill="auto"/>
          </w:tcPr>
          <w:p w:rsidR="00FF1FA8" w:rsidRPr="00A66C31" w:rsidRDefault="009B1989" w:rsidP="00CD6874">
            <w:pPr>
              <w:jc w:val="both"/>
            </w:pPr>
            <w:r w:rsidRPr="00A66C31">
              <w:t>Director Ken Nicol re-appointed as Lead Director for Health and Safety for a 2 year period.</w:t>
            </w:r>
          </w:p>
          <w:p w:rsidR="009B1989" w:rsidRPr="00A66C31" w:rsidRDefault="009B1989" w:rsidP="00CD6874">
            <w:pPr>
              <w:jc w:val="both"/>
              <w:rPr>
                <w:i/>
              </w:rPr>
            </w:pPr>
            <w:r w:rsidRPr="00A66C31">
              <w:rPr>
                <w:i/>
              </w:rPr>
              <w:t>Committee membership document to be updated.</w:t>
            </w:r>
          </w:p>
        </w:tc>
        <w:tc>
          <w:tcPr>
            <w:tcW w:w="1276" w:type="dxa"/>
            <w:shd w:val="clear" w:color="auto" w:fill="auto"/>
          </w:tcPr>
          <w:p w:rsidR="00FF1FA8" w:rsidRPr="00A66C31" w:rsidRDefault="00FF1FA8" w:rsidP="001846AA">
            <w:pPr>
              <w:jc w:val="both"/>
            </w:pPr>
          </w:p>
          <w:p w:rsidR="009B1989" w:rsidRPr="00A66C31" w:rsidRDefault="009B1989" w:rsidP="001846AA">
            <w:pPr>
              <w:jc w:val="both"/>
            </w:pPr>
          </w:p>
          <w:p w:rsidR="009B1989" w:rsidRPr="00A66C31" w:rsidRDefault="009B1989" w:rsidP="001846AA">
            <w:pPr>
              <w:jc w:val="both"/>
            </w:pPr>
            <w:r w:rsidRPr="00A66C31">
              <w:t>MM</w:t>
            </w:r>
          </w:p>
        </w:tc>
        <w:tc>
          <w:tcPr>
            <w:tcW w:w="1276" w:type="dxa"/>
            <w:shd w:val="clear" w:color="auto" w:fill="auto"/>
          </w:tcPr>
          <w:p w:rsidR="00FF1FA8" w:rsidRPr="00A66C31" w:rsidRDefault="00FF1FA8" w:rsidP="00D20B18"/>
          <w:p w:rsidR="009B1989" w:rsidRPr="00A66C31" w:rsidRDefault="009B1989" w:rsidP="00D20B18"/>
          <w:p w:rsidR="009B1989" w:rsidRPr="00A66C31" w:rsidRDefault="00A66C31" w:rsidP="00D20B18">
            <w:r w:rsidRPr="00A66C31">
              <w:t>Complete</w:t>
            </w:r>
          </w:p>
        </w:tc>
      </w:tr>
      <w:tr w:rsidR="00C06F21" w:rsidTr="00C57229">
        <w:trPr>
          <w:trHeight w:val="558"/>
        </w:trPr>
        <w:tc>
          <w:tcPr>
            <w:tcW w:w="959" w:type="dxa"/>
          </w:tcPr>
          <w:p w:rsidR="00C06F21" w:rsidRDefault="004B7131" w:rsidP="001846AA">
            <w:pPr>
              <w:jc w:val="both"/>
            </w:pPr>
            <w:r>
              <w:t>15</w:t>
            </w:r>
            <w:r w:rsidR="00CD46EE">
              <w:t>i</w:t>
            </w:r>
            <w:r w:rsidR="009B1989">
              <w:t>i</w:t>
            </w:r>
            <w:r>
              <w:t>.</w:t>
            </w:r>
            <w:r w:rsidR="00CD46EE">
              <w:t xml:space="preserve"> and 15iii.</w:t>
            </w:r>
          </w:p>
          <w:p w:rsidR="00CD46EE" w:rsidRDefault="00CD46EE" w:rsidP="001846AA">
            <w:pPr>
              <w:jc w:val="both"/>
            </w:pPr>
          </w:p>
          <w:p w:rsidR="00CD46EE" w:rsidRDefault="00CD46EE" w:rsidP="001846AA">
            <w:pPr>
              <w:jc w:val="both"/>
            </w:pPr>
          </w:p>
          <w:p w:rsidR="00C57229" w:rsidRDefault="00C57229" w:rsidP="001846AA">
            <w:pPr>
              <w:jc w:val="both"/>
            </w:pPr>
          </w:p>
          <w:p w:rsidR="00CD46EE" w:rsidRDefault="00CD46EE" w:rsidP="001846AA">
            <w:pPr>
              <w:jc w:val="both"/>
            </w:pPr>
            <w:r>
              <w:t>15vi.</w:t>
            </w:r>
          </w:p>
        </w:tc>
        <w:tc>
          <w:tcPr>
            <w:tcW w:w="6662" w:type="dxa"/>
          </w:tcPr>
          <w:p w:rsidR="00103293" w:rsidRDefault="00CD46EE" w:rsidP="00CD46EE">
            <w:pPr>
              <w:jc w:val="both"/>
            </w:pPr>
            <w:r>
              <w:t xml:space="preserve">Annual recruitment process for independent directors to commence immediately and be advertised in tandem with the additional vacancy created as a result of Ms </w:t>
            </w:r>
            <w:proofErr w:type="spellStart"/>
            <w:r>
              <w:t>McArdle’s</w:t>
            </w:r>
            <w:proofErr w:type="spellEnd"/>
            <w:r>
              <w:t xml:space="preserve"> resignation.</w:t>
            </w:r>
          </w:p>
          <w:p w:rsidR="00CD46EE" w:rsidRPr="007209FB" w:rsidRDefault="00CD46EE" w:rsidP="00CD46EE">
            <w:pPr>
              <w:jc w:val="both"/>
              <w:rPr>
                <w:i/>
              </w:rPr>
            </w:pPr>
            <w:r w:rsidRPr="007209FB">
              <w:rPr>
                <w:i/>
              </w:rPr>
              <w:t xml:space="preserve">Interviews are scheduled for 11 June 2014 with THC recommending appointment at their meeting on </w:t>
            </w:r>
            <w:r w:rsidR="007209FB" w:rsidRPr="007209FB">
              <w:rPr>
                <w:i/>
              </w:rPr>
              <w:t xml:space="preserve">26 June 2014.  A verbal </w:t>
            </w:r>
            <w:proofErr w:type="gramStart"/>
            <w:r w:rsidR="007209FB" w:rsidRPr="007209FB">
              <w:rPr>
                <w:i/>
              </w:rPr>
              <w:t xml:space="preserve">update </w:t>
            </w:r>
            <w:r w:rsidRPr="007209FB">
              <w:rPr>
                <w:i/>
              </w:rPr>
              <w:t xml:space="preserve"> will</w:t>
            </w:r>
            <w:proofErr w:type="gramEnd"/>
            <w:r w:rsidRPr="007209FB">
              <w:rPr>
                <w:i/>
              </w:rPr>
              <w:t xml:space="preserve"> be given at the HLH Board meeting on 25 June 2014.</w:t>
            </w:r>
          </w:p>
          <w:p w:rsidR="00CD46EE" w:rsidRPr="007209FB" w:rsidRDefault="00CD46EE" w:rsidP="00CD46EE">
            <w:pPr>
              <w:jc w:val="both"/>
            </w:pPr>
            <w:r w:rsidRPr="007209FB">
              <w:t>Nominations Committee replacement required as Director Laurence Young retiring.</w:t>
            </w:r>
          </w:p>
          <w:p w:rsidR="00CD46EE" w:rsidRPr="00CD46EE" w:rsidRDefault="00CD46EE" w:rsidP="00CD46EE">
            <w:pPr>
              <w:jc w:val="both"/>
              <w:rPr>
                <w:i/>
                <w:color w:val="FF0000"/>
              </w:rPr>
            </w:pPr>
            <w:r w:rsidRPr="007209FB">
              <w:rPr>
                <w:i/>
              </w:rPr>
              <w:t>HLH Vice Chair to replace Chair as HLH Board representative on Nominations Committee.</w:t>
            </w:r>
          </w:p>
        </w:tc>
        <w:tc>
          <w:tcPr>
            <w:tcW w:w="1276" w:type="dxa"/>
          </w:tcPr>
          <w:p w:rsidR="004E1315" w:rsidRDefault="004E1315" w:rsidP="001846AA">
            <w:pPr>
              <w:jc w:val="both"/>
            </w:pPr>
          </w:p>
          <w:p w:rsidR="00CD46EE" w:rsidRDefault="00CD46EE" w:rsidP="001846AA">
            <w:pPr>
              <w:jc w:val="both"/>
            </w:pPr>
          </w:p>
          <w:p w:rsidR="00CD46EE" w:rsidRDefault="00CD46EE" w:rsidP="001846AA">
            <w:pPr>
              <w:jc w:val="both"/>
            </w:pPr>
          </w:p>
          <w:p w:rsidR="00CD46EE" w:rsidRDefault="00B67BFB" w:rsidP="001846AA">
            <w:pPr>
              <w:jc w:val="both"/>
            </w:pPr>
            <w:r>
              <w:t>MM</w:t>
            </w:r>
          </w:p>
          <w:p w:rsidR="00CD46EE" w:rsidRDefault="00CD46EE" w:rsidP="001846AA">
            <w:pPr>
              <w:jc w:val="both"/>
            </w:pPr>
          </w:p>
          <w:p w:rsidR="00CD46EE" w:rsidRDefault="00CD46EE" w:rsidP="001846AA">
            <w:pPr>
              <w:jc w:val="both"/>
            </w:pPr>
          </w:p>
          <w:p w:rsidR="00CD46EE" w:rsidRDefault="00CD46EE" w:rsidP="001846AA">
            <w:pPr>
              <w:jc w:val="both"/>
            </w:pPr>
          </w:p>
          <w:p w:rsidR="00B67BFB" w:rsidRDefault="00B67BFB" w:rsidP="001846AA">
            <w:pPr>
              <w:jc w:val="both"/>
            </w:pPr>
          </w:p>
          <w:p w:rsidR="00CD46EE" w:rsidRDefault="00CD46EE" w:rsidP="00B67BFB">
            <w:pPr>
              <w:jc w:val="both"/>
            </w:pPr>
            <w:r>
              <w:t>MM</w:t>
            </w:r>
          </w:p>
        </w:tc>
        <w:tc>
          <w:tcPr>
            <w:tcW w:w="1276" w:type="dxa"/>
          </w:tcPr>
          <w:p w:rsidR="004E1315" w:rsidRDefault="004E1315" w:rsidP="00D20B18"/>
          <w:p w:rsidR="007209FB" w:rsidRDefault="007209FB" w:rsidP="00D20B18"/>
          <w:p w:rsidR="007209FB" w:rsidRDefault="007209FB" w:rsidP="00D20B18"/>
          <w:p w:rsidR="007209FB" w:rsidRDefault="007209FB" w:rsidP="00D20B18">
            <w:r>
              <w:t>25 June 2014</w:t>
            </w:r>
          </w:p>
          <w:p w:rsidR="007209FB" w:rsidRDefault="007209FB" w:rsidP="00D20B18"/>
          <w:p w:rsidR="007209FB" w:rsidRDefault="007209FB" w:rsidP="00D20B18"/>
          <w:p w:rsidR="007209FB" w:rsidRDefault="007209FB" w:rsidP="00D20B18"/>
          <w:p w:rsidR="007209FB" w:rsidRDefault="007209FB" w:rsidP="00D20B18">
            <w:r>
              <w:t>Complete</w:t>
            </w:r>
          </w:p>
        </w:tc>
      </w:tr>
      <w:tr w:rsidR="00866BFC" w:rsidRPr="00866BFC" w:rsidTr="00C57229">
        <w:tc>
          <w:tcPr>
            <w:tcW w:w="959" w:type="dxa"/>
          </w:tcPr>
          <w:p w:rsidR="00ED03CF" w:rsidRPr="00866BFC" w:rsidRDefault="004B7131" w:rsidP="001846AA">
            <w:pPr>
              <w:jc w:val="both"/>
            </w:pPr>
            <w:r w:rsidRPr="00866BFC">
              <w:t>16a.</w:t>
            </w:r>
          </w:p>
        </w:tc>
        <w:tc>
          <w:tcPr>
            <w:tcW w:w="6662" w:type="dxa"/>
          </w:tcPr>
          <w:p w:rsidR="00E553E6" w:rsidRPr="00866BFC" w:rsidRDefault="00864109" w:rsidP="001E31FC">
            <w:pPr>
              <w:jc w:val="both"/>
            </w:pPr>
            <w:r w:rsidRPr="00866BFC">
              <w:t>Directors Laurence Young, Jenny Clarke and Jaci Douglas to represent the HLH Board at the December 2014 Highland Youth Voice Conference.</w:t>
            </w:r>
          </w:p>
          <w:p w:rsidR="00864109" w:rsidRPr="00866BFC" w:rsidRDefault="007209FB" w:rsidP="001E31FC">
            <w:pPr>
              <w:jc w:val="both"/>
              <w:rPr>
                <w:i/>
              </w:rPr>
            </w:pPr>
            <w:r w:rsidRPr="00866BFC">
              <w:rPr>
                <w:i/>
              </w:rPr>
              <w:t>Make up of HLH Panel fed back to HYV Executive</w:t>
            </w:r>
          </w:p>
        </w:tc>
        <w:tc>
          <w:tcPr>
            <w:tcW w:w="1276" w:type="dxa"/>
          </w:tcPr>
          <w:p w:rsidR="004E1315" w:rsidRPr="00866BFC" w:rsidRDefault="004E1315" w:rsidP="001846AA">
            <w:pPr>
              <w:jc w:val="both"/>
            </w:pPr>
          </w:p>
          <w:p w:rsidR="00864109" w:rsidRPr="00866BFC" w:rsidRDefault="00864109" w:rsidP="001846AA">
            <w:pPr>
              <w:jc w:val="both"/>
            </w:pPr>
          </w:p>
          <w:p w:rsidR="00864109" w:rsidRPr="00866BFC" w:rsidRDefault="00864109" w:rsidP="001846AA">
            <w:pPr>
              <w:jc w:val="both"/>
            </w:pPr>
            <w:r w:rsidRPr="00866BFC">
              <w:t>DW</w:t>
            </w:r>
          </w:p>
        </w:tc>
        <w:tc>
          <w:tcPr>
            <w:tcW w:w="1276" w:type="dxa"/>
          </w:tcPr>
          <w:p w:rsidR="007209FB" w:rsidRPr="00866BFC" w:rsidRDefault="007209FB" w:rsidP="00D20B18"/>
          <w:p w:rsidR="007209FB" w:rsidRPr="00866BFC" w:rsidRDefault="007209FB" w:rsidP="00D20B18"/>
          <w:p w:rsidR="00864109" w:rsidRPr="00866BFC" w:rsidRDefault="007209FB" w:rsidP="004A3E99">
            <w:r w:rsidRPr="00866BFC">
              <w:t>Complete</w:t>
            </w:r>
          </w:p>
        </w:tc>
      </w:tr>
    </w:tbl>
    <w:p w:rsidR="00AA4583" w:rsidRPr="00210ADB" w:rsidRDefault="00AA4583" w:rsidP="00210ADB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/>
          <w:snapToGrid w:val="0"/>
          <w:sz w:val="24"/>
          <w:szCs w:val="24"/>
          <w:lang w:eastAsia="en-US"/>
        </w:rPr>
      </w:pPr>
      <w:r w:rsidRPr="00210ADB">
        <w:rPr>
          <w:rFonts w:ascii="Arial" w:eastAsia="Times New Roman" w:hAnsi="Arial" w:cs="Arial"/>
          <w:b/>
          <w:snapToGrid w:val="0"/>
          <w:sz w:val="24"/>
          <w:szCs w:val="24"/>
          <w:lang w:eastAsia="en-US"/>
        </w:rPr>
        <w:t xml:space="preserve">   </w:t>
      </w:r>
      <w:r w:rsidR="00210ADB">
        <w:rPr>
          <w:rFonts w:ascii="Arial" w:eastAsia="Times New Roman" w:hAnsi="Arial" w:cs="Arial"/>
          <w:b/>
          <w:snapToGrid w:val="0"/>
          <w:sz w:val="24"/>
          <w:szCs w:val="24"/>
          <w:lang w:eastAsia="en-US"/>
        </w:rPr>
        <w:t xml:space="preserve">   </w:t>
      </w:r>
      <w:r w:rsidRPr="00210ADB">
        <w:rPr>
          <w:rFonts w:ascii="Arial" w:eastAsia="Times New Roman" w:hAnsi="Arial" w:cs="Arial"/>
          <w:b/>
          <w:snapToGrid w:val="0"/>
          <w:sz w:val="24"/>
          <w:szCs w:val="24"/>
          <w:lang w:eastAsia="en-US"/>
        </w:rPr>
        <w:tab/>
      </w:r>
    </w:p>
    <w:p w:rsidR="00AA4583" w:rsidRPr="00C06F21" w:rsidRDefault="00AA4583" w:rsidP="001846AA">
      <w:pPr>
        <w:jc w:val="both"/>
      </w:pPr>
    </w:p>
    <w:sectPr w:rsidR="00AA4583" w:rsidRPr="00C06F21" w:rsidSect="00532A65">
      <w:pgSz w:w="12240" w:h="15840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37329"/>
    <w:multiLevelType w:val="hybridMultilevel"/>
    <w:tmpl w:val="35487F9C"/>
    <w:lvl w:ilvl="0" w:tplc="75BC301A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137CE6"/>
    <w:multiLevelType w:val="hybridMultilevel"/>
    <w:tmpl w:val="15EC670A"/>
    <w:lvl w:ilvl="0" w:tplc="396069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AC4931"/>
    <w:multiLevelType w:val="hybridMultilevel"/>
    <w:tmpl w:val="ADE60262"/>
    <w:lvl w:ilvl="0" w:tplc="A5CE50A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25963"/>
    <w:multiLevelType w:val="hybridMultilevel"/>
    <w:tmpl w:val="1402E6A8"/>
    <w:lvl w:ilvl="0" w:tplc="4970E5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277B7"/>
    <w:multiLevelType w:val="hybridMultilevel"/>
    <w:tmpl w:val="ED6C0366"/>
    <w:lvl w:ilvl="0" w:tplc="0809001B">
      <w:start w:val="1"/>
      <w:numFmt w:val="lowerRoman"/>
      <w:lvlText w:val="%1."/>
      <w:lvlJc w:val="right"/>
      <w:pPr>
        <w:ind w:left="955" w:hanging="360"/>
      </w:pPr>
    </w:lvl>
    <w:lvl w:ilvl="1" w:tplc="08090019" w:tentative="1">
      <w:start w:val="1"/>
      <w:numFmt w:val="lowerLetter"/>
      <w:lvlText w:val="%2."/>
      <w:lvlJc w:val="left"/>
      <w:pPr>
        <w:ind w:left="1675" w:hanging="360"/>
      </w:pPr>
    </w:lvl>
    <w:lvl w:ilvl="2" w:tplc="0809001B" w:tentative="1">
      <w:start w:val="1"/>
      <w:numFmt w:val="lowerRoman"/>
      <w:lvlText w:val="%3."/>
      <w:lvlJc w:val="right"/>
      <w:pPr>
        <w:ind w:left="2395" w:hanging="180"/>
      </w:pPr>
    </w:lvl>
    <w:lvl w:ilvl="3" w:tplc="0809000F" w:tentative="1">
      <w:start w:val="1"/>
      <w:numFmt w:val="decimal"/>
      <w:lvlText w:val="%4."/>
      <w:lvlJc w:val="left"/>
      <w:pPr>
        <w:ind w:left="3115" w:hanging="360"/>
      </w:pPr>
    </w:lvl>
    <w:lvl w:ilvl="4" w:tplc="08090019" w:tentative="1">
      <w:start w:val="1"/>
      <w:numFmt w:val="lowerLetter"/>
      <w:lvlText w:val="%5."/>
      <w:lvlJc w:val="left"/>
      <w:pPr>
        <w:ind w:left="3835" w:hanging="360"/>
      </w:pPr>
    </w:lvl>
    <w:lvl w:ilvl="5" w:tplc="0809001B" w:tentative="1">
      <w:start w:val="1"/>
      <w:numFmt w:val="lowerRoman"/>
      <w:lvlText w:val="%6."/>
      <w:lvlJc w:val="right"/>
      <w:pPr>
        <w:ind w:left="4555" w:hanging="180"/>
      </w:pPr>
    </w:lvl>
    <w:lvl w:ilvl="6" w:tplc="0809000F" w:tentative="1">
      <w:start w:val="1"/>
      <w:numFmt w:val="decimal"/>
      <w:lvlText w:val="%7."/>
      <w:lvlJc w:val="left"/>
      <w:pPr>
        <w:ind w:left="5275" w:hanging="360"/>
      </w:pPr>
    </w:lvl>
    <w:lvl w:ilvl="7" w:tplc="08090019" w:tentative="1">
      <w:start w:val="1"/>
      <w:numFmt w:val="lowerLetter"/>
      <w:lvlText w:val="%8."/>
      <w:lvlJc w:val="left"/>
      <w:pPr>
        <w:ind w:left="5995" w:hanging="360"/>
      </w:pPr>
    </w:lvl>
    <w:lvl w:ilvl="8" w:tplc="08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5">
    <w:nsid w:val="2E9C5AA1"/>
    <w:multiLevelType w:val="hybridMultilevel"/>
    <w:tmpl w:val="33CC7EB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67202"/>
    <w:multiLevelType w:val="hybridMultilevel"/>
    <w:tmpl w:val="D5022A90"/>
    <w:lvl w:ilvl="0" w:tplc="2A8CB7E0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491D17"/>
    <w:multiLevelType w:val="hybridMultilevel"/>
    <w:tmpl w:val="3FC60DC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C298D"/>
    <w:multiLevelType w:val="hybridMultilevel"/>
    <w:tmpl w:val="DEF84CF4"/>
    <w:lvl w:ilvl="0" w:tplc="B24235F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EC373F"/>
    <w:multiLevelType w:val="hybridMultilevel"/>
    <w:tmpl w:val="5F4E96FC"/>
    <w:lvl w:ilvl="0" w:tplc="375E6022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21"/>
    <w:rsid w:val="00004371"/>
    <w:rsid w:val="000216F1"/>
    <w:rsid w:val="000231FA"/>
    <w:rsid w:val="00030587"/>
    <w:rsid w:val="00035BB1"/>
    <w:rsid w:val="0003715D"/>
    <w:rsid w:val="00052EF7"/>
    <w:rsid w:val="00063267"/>
    <w:rsid w:val="00071FF4"/>
    <w:rsid w:val="00073290"/>
    <w:rsid w:val="00083680"/>
    <w:rsid w:val="000A7A57"/>
    <w:rsid w:val="000F2078"/>
    <w:rsid w:val="00103293"/>
    <w:rsid w:val="00164FF1"/>
    <w:rsid w:val="00182560"/>
    <w:rsid w:val="001846AA"/>
    <w:rsid w:val="001A201C"/>
    <w:rsid w:val="001A3B6D"/>
    <w:rsid w:val="001B1293"/>
    <w:rsid w:val="001B2BCD"/>
    <w:rsid w:val="001C45BD"/>
    <w:rsid w:val="001C60A5"/>
    <w:rsid w:val="001D6E6C"/>
    <w:rsid w:val="001E31FC"/>
    <w:rsid w:val="001E452F"/>
    <w:rsid w:val="001F679F"/>
    <w:rsid w:val="001F6FF7"/>
    <w:rsid w:val="00205BD6"/>
    <w:rsid w:val="00210ADB"/>
    <w:rsid w:val="00211E12"/>
    <w:rsid w:val="00213A8C"/>
    <w:rsid w:val="00225F1F"/>
    <w:rsid w:val="00237C06"/>
    <w:rsid w:val="00266B80"/>
    <w:rsid w:val="00287306"/>
    <w:rsid w:val="002A7A05"/>
    <w:rsid w:val="002C2C69"/>
    <w:rsid w:val="002C3C6F"/>
    <w:rsid w:val="002E1CE4"/>
    <w:rsid w:val="002F5353"/>
    <w:rsid w:val="003069A9"/>
    <w:rsid w:val="00306E7B"/>
    <w:rsid w:val="00314CA2"/>
    <w:rsid w:val="00331F7E"/>
    <w:rsid w:val="00354078"/>
    <w:rsid w:val="0035545E"/>
    <w:rsid w:val="00362DDA"/>
    <w:rsid w:val="003753CF"/>
    <w:rsid w:val="003858C4"/>
    <w:rsid w:val="003A609F"/>
    <w:rsid w:val="003A6F0C"/>
    <w:rsid w:val="003A7161"/>
    <w:rsid w:val="003B0D1E"/>
    <w:rsid w:val="003C0DC6"/>
    <w:rsid w:val="003F5213"/>
    <w:rsid w:val="00402196"/>
    <w:rsid w:val="00406540"/>
    <w:rsid w:val="00440496"/>
    <w:rsid w:val="00444234"/>
    <w:rsid w:val="00446BF3"/>
    <w:rsid w:val="0047044E"/>
    <w:rsid w:val="00473AD3"/>
    <w:rsid w:val="00481B26"/>
    <w:rsid w:val="004A3E99"/>
    <w:rsid w:val="004B7131"/>
    <w:rsid w:val="004C1A4D"/>
    <w:rsid w:val="004E1315"/>
    <w:rsid w:val="004E4710"/>
    <w:rsid w:val="00500725"/>
    <w:rsid w:val="00532A65"/>
    <w:rsid w:val="00536E2D"/>
    <w:rsid w:val="00587D92"/>
    <w:rsid w:val="005B10AD"/>
    <w:rsid w:val="006154DA"/>
    <w:rsid w:val="00657EAC"/>
    <w:rsid w:val="00662BF5"/>
    <w:rsid w:val="00672376"/>
    <w:rsid w:val="00687BEA"/>
    <w:rsid w:val="006944C0"/>
    <w:rsid w:val="00697463"/>
    <w:rsid w:val="006E397B"/>
    <w:rsid w:val="00702DC6"/>
    <w:rsid w:val="007046F9"/>
    <w:rsid w:val="0070485C"/>
    <w:rsid w:val="00712FAF"/>
    <w:rsid w:val="007209FB"/>
    <w:rsid w:val="0072597C"/>
    <w:rsid w:val="007521A6"/>
    <w:rsid w:val="00784CF5"/>
    <w:rsid w:val="0079658A"/>
    <w:rsid w:val="007F2267"/>
    <w:rsid w:val="00854E7B"/>
    <w:rsid w:val="00864109"/>
    <w:rsid w:val="00864133"/>
    <w:rsid w:val="00866BFC"/>
    <w:rsid w:val="008A1A0C"/>
    <w:rsid w:val="008A1B8C"/>
    <w:rsid w:val="008A4440"/>
    <w:rsid w:val="008C51AE"/>
    <w:rsid w:val="008D043F"/>
    <w:rsid w:val="008D394A"/>
    <w:rsid w:val="00912C06"/>
    <w:rsid w:val="00940E3A"/>
    <w:rsid w:val="00947629"/>
    <w:rsid w:val="00977A27"/>
    <w:rsid w:val="0098330F"/>
    <w:rsid w:val="00992173"/>
    <w:rsid w:val="009A3157"/>
    <w:rsid w:val="009B1989"/>
    <w:rsid w:val="009B3B48"/>
    <w:rsid w:val="009B4C59"/>
    <w:rsid w:val="009C4998"/>
    <w:rsid w:val="009E09DB"/>
    <w:rsid w:val="009F165B"/>
    <w:rsid w:val="00A13E6C"/>
    <w:rsid w:val="00A25258"/>
    <w:rsid w:val="00A345B0"/>
    <w:rsid w:val="00A35CB5"/>
    <w:rsid w:val="00A573C2"/>
    <w:rsid w:val="00A615BC"/>
    <w:rsid w:val="00A66C31"/>
    <w:rsid w:val="00A713A3"/>
    <w:rsid w:val="00A7591F"/>
    <w:rsid w:val="00A91910"/>
    <w:rsid w:val="00AA4583"/>
    <w:rsid w:val="00AA4CF1"/>
    <w:rsid w:val="00AB439C"/>
    <w:rsid w:val="00AC58C1"/>
    <w:rsid w:val="00B334B9"/>
    <w:rsid w:val="00B3411F"/>
    <w:rsid w:val="00B34DB3"/>
    <w:rsid w:val="00B36E50"/>
    <w:rsid w:val="00B5143D"/>
    <w:rsid w:val="00B52874"/>
    <w:rsid w:val="00B67BFB"/>
    <w:rsid w:val="00B74BF2"/>
    <w:rsid w:val="00B8704A"/>
    <w:rsid w:val="00B9254B"/>
    <w:rsid w:val="00BC0CE8"/>
    <w:rsid w:val="00C02ADC"/>
    <w:rsid w:val="00C06F21"/>
    <w:rsid w:val="00C10DEA"/>
    <w:rsid w:val="00C21D23"/>
    <w:rsid w:val="00C30771"/>
    <w:rsid w:val="00C44CF9"/>
    <w:rsid w:val="00C46AF6"/>
    <w:rsid w:val="00C57229"/>
    <w:rsid w:val="00C72443"/>
    <w:rsid w:val="00C77B42"/>
    <w:rsid w:val="00C851DE"/>
    <w:rsid w:val="00CC5600"/>
    <w:rsid w:val="00CD46EE"/>
    <w:rsid w:val="00CD6874"/>
    <w:rsid w:val="00CE2764"/>
    <w:rsid w:val="00CE4C1E"/>
    <w:rsid w:val="00D02DB3"/>
    <w:rsid w:val="00D07845"/>
    <w:rsid w:val="00D14EC1"/>
    <w:rsid w:val="00D20B18"/>
    <w:rsid w:val="00D438C1"/>
    <w:rsid w:val="00D45860"/>
    <w:rsid w:val="00D540CE"/>
    <w:rsid w:val="00D65C3F"/>
    <w:rsid w:val="00D8542B"/>
    <w:rsid w:val="00D922B5"/>
    <w:rsid w:val="00D964F3"/>
    <w:rsid w:val="00DA1139"/>
    <w:rsid w:val="00DB7F4C"/>
    <w:rsid w:val="00DC4099"/>
    <w:rsid w:val="00DE6212"/>
    <w:rsid w:val="00DF1780"/>
    <w:rsid w:val="00E0011C"/>
    <w:rsid w:val="00E41460"/>
    <w:rsid w:val="00E553E6"/>
    <w:rsid w:val="00E7014B"/>
    <w:rsid w:val="00E7783D"/>
    <w:rsid w:val="00E840E8"/>
    <w:rsid w:val="00EA796B"/>
    <w:rsid w:val="00ED03CF"/>
    <w:rsid w:val="00F23DCB"/>
    <w:rsid w:val="00F36D9C"/>
    <w:rsid w:val="00F47972"/>
    <w:rsid w:val="00F664CB"/>
    <w:rsid w:val="00F74553"/>
    <w:rsid w:val="00F853F5"/>
    <w:rsid w:val="00F86DBB"/>
    <w:rsid w:val="00FA752C"/>
    <w:rsid w:val="00FC0CA8"/>
    <w:rsid w:val="00FC4157"/>
    <w:rsid w:val="00FF0A76"/>
    <w:rsid w:val="00FF1FA8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B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1A0C"/>
    <w:pPr>
      <w:ind w:left="720"/>
      <w:contextualSpacing/>
    </w:pPr>
  </w:style>
  <w:style w:type="paragraph" w:customStyle="1" w:styleId="CharCharCharCharChar">
    <w:name w:val="Char Char Char Char Char"/>
    <w:basedOn w:val="Normal"/>
    <w:rsid w:val="00AA4583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B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1A0C"/>
    <w:pPr>
      <w:ind w:left="720"/>
      <w:contextualSpacing/>
    </w:pPr>
  </w:style>
  <w:style w:type="paragraph" w:customStyle="1" w:styleId="CharCharCharCharChar">
    <w:name w:val="Char Char Char Char Char"/>
    <w:basedOn w:val="Normal"/>
    <w:rsid w:val="00AA4583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95258-274B-4B09-9BB2-E8F1032AF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jackiema</dc:creator>
  <cp:lastModifiedBy>Ian Murray - High Life Highland</cp:lastModifiedBy>
  <cp:revision>3</cp:revision>
  <cp:lastPrinted>2014-05-02T07:53:00Z</cp:lastPrinted>
  <dcterms:created xsi:type="dcterms:W3CDTF">2014-06-06T11:55:00Z</dcterms:created>
  <dcterms:modified xsi:type="dcterms:W3CDTF">2014-06-06T14:38:00Z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2084319488</vt:i4>
  </property>
  <property fmtid="{D5CDD505-2E9C-101B-9397-08002B2CF9AE}" pid="3" name="_NewReviewCycle">
    <vt:lpwstr/>
  </property>
  <property fmtid="{D5CDD505-2E9C-101B-9397-08002B2CF9AE}" pid="4" name="_EmailSubject">
    <vt:lpwstr>web updates</vt:lpwstr>
  </property>
  <property fmtid="{D5CDD505-2E9C-101B-9397-08002B2CF9AE}" pid="5" name="_AuthorEmail">
    <vt:lpwstr>Jackie.MacKenzie@highlifehighland.com</vt:lpwstr>
  </property>
  <property fmtid="{D5CDD505-2E9C-101B-9397-08002B2CF9AE}" pid="6" name="_AuthorEmailDisplayName">
    <vt:lpwstr>Jackie MacKenzie - High Life Highland</vt:lpwstr>
  </property>
  <property fmtid="{D5CDD505-2E9C-101B-9397-08002B2CF9AE}" pid="8" name="_PreviousAdHocReviewCycleID">
    <vt:i4>-465872801</vt:i4>
  </property>
</Properties>
</file>