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3166"/>
      </w:tblGrid>
      <w:tr w:rsidR="00B6521A" w:rsidRPr="00A83116" w14:paraId="478FE6B3" w14:textId="77777777" w:rsidTr="00B6521A">
        <w:tc>
          <w:tcPr>
            <w:tcW w:w="6570" w:type="dxa"/>
          </w:tcPr>
          <w:p w14:paraId="25D59910" w14:textId="77777777" w:rsidR="00B6521A" w:rsidRPr="00A83116" w:rsidRDefault="00B6521A" w:rsidP="00B6521A">
            <w:pPr>
              <w:pStyle w:val="NoSpacing"/>
              <w:rPr>
                <w:rFonts w:ascii="Arial" w:hAnsi="Arial" w:cs="Arial"/>
                <w:b/>
              </w:rPr>
            </w:pPr>
            <w:r w:rsidRPr="00A83116">
              <w:rPr>
                <w:rFonts w:ascii="Arial" w:hAnsi="Arial" w:cs="Arial"/>
                <w:b/>
              </w:rPr>
              <w:t>HIGH LIFE HIGHLAND</w:t>
            </w:r>
          </w:p>
          <w:p w14:paraId="0E5DCAD7" w14:textId="77777777" w:rsidR="00B6521A" w:rsidRPr="00A83116" w:rsidRDefault="00B6521A" w:rsidP="00B6521A">
            <w:pPr>
              <w:pStyle w:val="NoSpacing"/>
              <w:rPr>
                <w:rFonts w:ascii="Arial" w:hAnsi="Arial" w:cs="Arial"/>
                <w:b/>
              </w:rPr>
            </w:pPr>
            <w:r w:rsidRPr="00A83116">
              <w:rPr>
                <w:rFonts w:ascii="Arial" w:hAnsi="Arial" w:cs="Arial"/>
                <w:b/>
              </w:rPr>
              <w:t>REPORT TO BOARD OF DIRECTORS</w:t>
            </w:r>
          </w:p>
          <w:p w14:paraId="3F3B4D48" w14:textId="6F00CC3D" w:rsidR="00B6521A" w:rsidRPr="00A83116" w:rsidRDefault="0075603C" w:rsidP="00B6521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B6521A" w:rsidRPr="00A83116">
              <w:rPr>
                <w:rFonts w:ascii="Arial" w:hAnsi="Arial" w:cs="Arial"/>
                <w:b/>
              </w:rPr>
              <w:t xml:space="preserve"> DECEMBER 2019</w:t>
            </w:r>
          </w:p>
        </w:tc>
        <w:tc>
          <w:tcPr>
            <w:tcW w:w="3166" w:type="dxa"/>
          </w:tcPr>
          <w:p w14:paraId="61109F51" w14:textId="77777777" w:rsidR="00B6521A" w:rsidRPr="00A83116" w:rsidRDefault="00B6521A" w:rsidP="00B6521A">
            <w:pPr>
              <w:pStyle w:val="NoSpacing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AGENDA ITEM</w:t>
            </w:r>
          </w:p>
          <w:p w14:paraId="55BCD04C" w14:textId="299EE7D4" w:rsidR="00B6521A" w:rsidRPr="00A83116" w:rsidRDefault="00F869DE" w:rsidP="00B6521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NO.</w:t>
            </w:r>
            <w:r w:rsidR="00B6521A" w:rsidRPr="00A83116">
              <w:rPr>
                <w:rFonts w:ascii="Arial" w:hAnsi="Arial" w:cs="Arial"/>
              </w:rPr>
              <w:t xml:space="preserve"> HLH </w:t>
            </w:r>
            <w:r>
              <w:rPr>
                <w:rFonts w:ascii="Arial" w:hAnsi="Arial" w:cs="Arial"/>
              </w:rPr>
              <w:t xml:space="preserve">  </w:t>
            </w:r>
            <w:r w:rsidR="00B6521A" w:rsidRPr="00A83116">
              <w:rPr>
                <w:rFonts w:ascii="Arial" w:hAnsi="Arial" w:cs="Arial"/>
              </w:rPr>
              <w:t xml:space="preserve"> /19</w:t>
            </w:r>
          </w:p>
        </w:tc>
      </w:tr>
    </w:tbl>
    <w:p w14:paraId="76923ADD" w14:textId="77777777" w:rsidR="008B483E" w:rsidRPr="00A83116" w:rsidRDefault="00C87E7E" w:rsidP="00B6521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6521A" w:rsidRPr="00A83116" w14:paraId="25BCAB55" w14:textId="77777777" w:rsidTr="00B6521A">
        <w:tc>
          <w:tcPr>
            <w:tcW w:w="9736" w:type="dxa"/>
          </w:tcPr>
          <w:p w14:paraId="62E92852" w14:textId="77777777" w:rsidR="00B6521A" w:rsidRPr="00A83116" w:rsidRDefault="00B6521A" w:rsidP="00B6521A">
            <w:pPr>
              <w:pStyle w:val="NoSpacing"/>
              <w:rPr>
                <w:rFonts w:ascii="Arial" w:hAnsi="Arial" w:cs="Arial"/>
                <w:b/>
              </w:rPr>
            </w:pPr>
            <w:r w:rsidRPr="00A83116">
              <w:rPr>
                <w:rFonts w:ascii="Arial" w:hAnsi="Arial" w:cs="Arial"/>
                <w:b/>
              </w:rPr>
              <w:t>PRICING REVIEW UPDATE – Report by Chief Executive</w:t>
            </w:r>
          </w:p>
        </w:tc>
      </w:tr>
    </w:tbl>
    <w:p w14:paraId="520591AD" w14:textId="77777777" w:rsidR="00B6521A" w:rsidRPr="00A83116" w:rsidRDefault="00B6521A" w:rsidP="00B6521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6521A" w:rsidRPr="00A83116" w14:paraId="31077A39" w14:textId="77777777" w:rsidTr="00B6521A">
        <w:tc>
          <w:tcPr>
            <w:tcW w:w="9736" w:type="dxa"/>
          </w:tcPr>
          <w:p w14:paraId="3AB283B9" w14:textId="77777777" w:rsidR="00B6521A" w:rsidRPr="00A83116" w:rsidRDefault="00B6521A" w:rsidP="00B6521A">
            <w:pPr>
              <w:pStyle w:val="NoSpacing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  <w:b/>
              </w:rPr>
              <w:t>Summary</w:t>
            </w:r>
          </w:p>
          <w:p w14:paraId="6D741CEE" w14:textId="77777777" w:rsidR="00B6521A" w:rsidRPr="00A83116" w:rsidRDefault="00B6521A" w:rsidP="00B6521A">
            <w:pPr>
              <w:pStyle w:val="NoSpacing"/>
              <w:rPr>
                <w:rFonts w:ascii="Arial" w:hAnsi="Arial" w:cs="Arial"/>
              </w:rPr>
            </w:pPr>
          </w:p>
          <w:p w14:paraId="1A86D6AA" w14:textId="77777777" w:rsidR="00B6521A" w:rsidRDefault="00B6521A" w:rsidP="0075603C">
            <w:pPr>
              <w:pStyle w:val="NoSpacing"/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The purpose of this report is to update Directors </w:t>
            </w:r>
            <w:r w:rsidR="00563CD4" w:rsidRPr="00A83116">
              <w:rPr>
                <w:rFonts w:ascii="Arial" w:hAnsi="Arial" w:cs="Arial"/>
              </w:rPr>
              <w:t>as to</w:t>
            </w:r>
            <w:r w:rsidRPr="00A83116">
              <w:rPr>
                <w:rFonts w:ascii="Arial" w:hAnsi="Arial" w:cs="Arial"/>
              </w:rPr>
              <w:t xml:space="preserve"> the processes </w:t>
            </w:r>
            <w:r w:rsidR="00563CD4" w:rsidRPr="00A83116">
              <w:rPr>
                <w:rFonts w:ascii="Arial" w:hAnsi="Arial" w:cs="Arial"/>
              </w:rPr>
              <w:t>currently being</w:t>
            </w:r>
            <w:r w:rsidRPr="00A83116">
              <w:rPr>
                <w:rFonts w:ascii="Arial" w:hAnsi="Arial" w:cs="Arial"/>
              </w:rPr>
              <w:t xml:space="preserve"> undertaken </w:t>
            </w:r>
            <w:r w:rsidR="00563CD4" w:rsidRPr="00A83116">
              <w:rPr>
                <w:rFonts w:ascii="Arial" w:hAnsi="Arial" w:cs="Arial"/>
              </w:rPr>
              <w:t xml:space="preserve">in relation to </w:t>
            </w:r>
            <w:r w:rsidR="00563CD4" w:rsidRPr="00A83116">
              <w:rPr>
                <w:rFonts w:ascii="Arial" w:hAnsi="Arial" w:cs="Arial"/>
                <w:i/>
              </w:rPr>
              <w:t>high</w:t>
            </w:r>
            <w:r w:rsidR="00563CD4" w:rsidRPr="00A83116">
              <w:rPr>
                <w:rFonts w:ascii="Arial" w:hAnsi="Arial" w:cs="Arial"/>
                <w:b/>
                <w:i/>
              </w:rPr>
              <w:t>life</w:t>
            </w:r>
            <w:r w:rsidR="00563CD4" w:rsidRPr="00A83116">
              <w:rPr>
                <w:rFonts w:ascii="Arial" w:hAnsi="Arial" w:cs="Arial"/>
              </w:rPr>
              <w:t xml:space="preserve"> card and ‘pay-as-you-play’ pricing</w:t>
            </w:r>
            <w:r w:rsidR="003940E3" w:rsidRPr="00A83116">
              <w:rPr>
                <w:rFonts w:ascii="Arial" w:hAnsi="Arial" w:cs="Arial"/>
              </w:rPr>
              <w:t xml:space="preserve"> review</w:t>
            </w:r>
            <w:r w:rsidR="00563CD4" w:rsidRPr="00A83116">
              <w:rPr>
                <w:rFonts w:ascii="Arial" w:hAnsi="Arial" w:cs="Arial"/>
              </w:rPr>
              <w:t xml:space="preserve"> in preparation for the 2020/21 management fee settlement from The Highland Council.</w:t>
            </w:r>
          </w:p>
          <w:p w14:paraId="0CA838E0" w14:textId="77777777" w:rsidR="0075603C" w:rsidRDefault="0075603C" w:rsidP="0075603C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6A4BB3E5" w14:textId="6CD33334" w:rsidR="00D53CDE" w:rsidRPr="00A83116" w:rsidRDefault="00D53CDE" w:rsidP="00D53CDE">
            <w:pPr>
              <w:pStyle w:val="NoSpacing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Directors are asked to </w:t>
            </w:r>
            <w:r>
              <w:rPr>
                <w:rFonts w:ascii="Arial" w:hAnsi="Arial" w:cs="Arial"/>
              </w:rPr>
              <w:t xml:space="preserve">comment on and </w:t>
            </w:r>
            <w:r w:rsidRPr="00A83116">
              <w:rPr>
                <w:rFonts w:ascii="Arial" w:hAnsi="Arial" w:cs="Arial"/>
              </w:rPr>
              <w:t>note the content of the report and the preparatory work that has been un</w:t>
            </w:r>
            <w:r>
              <w:rPr>
                <w:rFonts w:ascii="Arial" w:hAnsi="Arial" w:cs="Arial"/>
              </w:rPr>
              <w:t>dertaken on the pricing reviews.</w:t>
            </w:r>
          </w:p>
          <w:p w14:paraId="41E60981" w14:textId="77777777" w:rsidR="00563CD4" w:rsidRPr="00A83116" w:rsidRDefault="00563CD4" w:rsidP="00D53CDE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06E8A6D1" w14:textId="77777777" w:rsidR="00B6521A" w:rsidRPr="00A83116" w:rsidRDefault="00B6521A" w:rsidP="00B6521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77"/>
      </w:tblGrid>
      <w:tr w:rsidR="00B6521A" w:rsidRPr="00A83116" w14:paraId="2D52FF82" w14:textId="77777777" w:rsidTr="00D53CDE">
        <w:tc>
          <w:tcPr>
            <w:tcW w:w="959" w:type="dxa"/>
          </w:tcPr>
          <w:p w14:paraId="265445B1" w14:textId="77777777" w:rsidR="00B6521A" w:rsidRPr="00A83116" w:rsidRDefault="00B6521A" w:rsidP="00B6521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0A025FC3" w14:textId="77777777" w:rsidR="00B6521A" w:rsidRPr="00A83116" w:rsidRDefault="00B6521A" w:rsidP="00B6521A">
            <w:pPr>
              <w:pStyle w:val="NoSpacing"/>
              <w:rPr>
                <w:rFonts w:ascii="Arial" w:hAnsi="Arial" w:cs="Arial"/>
                <w:b/>
              </w:rPr>
            </w:pPr>
            <w:r w:rsidRPr="00A83116">
              <w:rPr>
                <w:rFonts w:ascii="Arial" w:hAnsi="Arial" w:cs="Arial"/>
                <w:b/>
              </w:rPr>
              <w:t>Business Plan Contribution</w:t>
            </w:r>
          </w:p>
          <w:p w14:paraId="182061C2" w14:textId="77777777" w:rsidR="00B6521A" w:rsidRPr="00A83116" w:rsidRDefault="00B6521A" w:rsidP="00B6521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B6521A" w:rsidRPr="00A83116" w14:paraId="2689C303" w14:textId="77777777" w:rsidTr="00D53CDE">
        <w:tc>
          <w:tcPr>
            <w:tcW w:w="959" w:type="dxa"/>
          </w:tcPr>
          <w:p w14:paraId="6420E242" w14:textId="77777777" w:rsidR="00B6521A" w:rsidRPr="00A83116" w:rsidRDefault="00B6521A" w:rsidP="00B6521A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5C94FB7B" w14:textId="77777777" w:rsidR="00B6521A" w:rsidRPr="00A83116" w:rsidRDefault="00B6521A" w:rsidP="00B6521A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This report supports the highlighted Business Outcomes from the High Life Highland (HLH) Business Plan:</w:t>
            </w:r>
          </w:p>
          <w:p w14:paraId="5A80810A" w14:textId="77777777" w:rsidR="00B6521A" w:rsidRPr="00A83116" w:rsidRDefault="00B6521A" w:rsidP="00B6521A">
            <w:pPr>
              <w:jc w:val="both"/>
              <w:rPr>
                <w:rFonts w:ascii="Arial" w:hAnsi="Arial" w:cs="Arial"/>
              </w:rPr>
            </w:pPr>
          </w:p>
          <w:p w14:paraId="0EE330EE" w14:textId="77777777" w:rsidR="00B6521A" w:rsidRPr="00A83116" w:rsidRDefault="00B6521A" w:rsidP="00B65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Sustain a high standard of health and safety, and environmental performance</w:t>
            </w:r>
          </w:p>
          <w:p w14:paraId="3CD8DB33" w14:textId="77777777" w:rsidR="00B6521A" w:rsidRPr="00A83116" w:rsidRDefault="00B6521A" w:rsidP="00B65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Implement the Service Delivery Contract with THC</w:t>
            </w:r>
          </w:p>
          <w:p w14:paraId="665E0AF7" w14:textId="77777777" w:rsidR="00B6521A" w:rsidRPr="00A83116" w:rsidRDefault="00B6521A" w:rsidP="00B65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Improving customer engagement and satisfaction</w:t>
            </w:r>
          </w:p>
          <w:p w14:paraId="40D7A4F5" w14:textId="77777777" w:rsidR="00B6521A" w:rsidRPr="00A83116" w:rsidRDefault="00B6521A" w:rsidP="00B65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Improving staff engagement and satisfaction</w:t>
            </w:r>
          </w:p>
          <w:p w14:paraId="2BE0352E" w14:textId="77777777" w:rsidR="00B6521A" w:rsidRPr="00A83116" w:rsidRDefault="00B6521A" w:rsidP="00B65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3116">
              <w:rPr>
                <w:rFonts w:ascii="Arial" w:hAnsi="Arial" w:cs="Arial"/>
                <w:b/>
                <w:sz w:val="24"/>
                <w:szCs w:val="24"/>
              </w:rPr>
              <w:t>Enhance the positive charity image</w:t>
            </w:r>
          </w:p>
          <w:p w14:paraId="5364E7F2" w14:textId="77777777" w:rsidR="00B6521A" w:rsidRPr="00A83116" w:rsidRDefault="00B6521A" w:rsidP="00B65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Be a trusted and effective partner</w:t>
            </w:r>
          </w:p>
          <w:p w14:paraId="61231EA1" w14:textId="77777777" w:rsidR="00B6521A" w:rsidRPr="00A83116" w:rsidRDefault="00B6521A" w:rsidP="00B65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3116">
              <w:rPr>
                <w:rFonts w:ascii="Arial" w:hAnsi="Arial" w:cs="Arial"/>
                <w:b/>
                <w:sz w:val="24"/>
                <w:szCs w:val="24"/>
              </w:rPr>
              <w:t>Achieve sustainable growth across the organisation</w:t>
            </w:r>
          </w:p>
          <w:p w14:paraId="1B5B0006" w14:textId="77777777" w:rsidR="00B6521A" w:rsidRPr="00A83116" w:rsidRDefault="00B6521A" w:rsidP="00B65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Develop health and wellbeing across Highland communities</w:t>
            </w:r>
          </w:p>
          <w:p w14:paraId="0D1CB17C" w14:textId="77777777" w:rsidR="00B6521A" w:rsidRPr="00A83116" w:rsidRDefault="00B6521A" w:rsidP="00B6521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3116">
              <w:rPr>
                <w:rFonts w:ascii="Arial" w:hAnsi="Arial" w:cs="Arial"/>
                <w:b/>
                <w:sz w:val="24"/>
                <w:szCs w:val="24"/>
              </w:rPr>
              <w:t>Develop and promote the High Life brand</w:t>
            </w:r>
          </w:p>
          <w:p w14:paraId="20D1AA94" w14:textId="77777777" w:rsidR="00B6521A" w:rsidRPr="00A83116" w:rsidRDefault="00B6521A" w:rsidP="00B6521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6521A" w:rsidRPr="00A83116" w14:paraId="48853AC5" w14:textId="77777777" w:rsidTr="00D53CDE">
        <w:tc>
          <w:tcPr>
            <w:tcW w:w="959" w:type="dxa"/>
          </w:tcPr>
          <w:p w14:paraId="0E0B1C5D" w14:textId="77777777" w:rsidR="00B6521A" w:rsidRPr="00A83116" w:rsidRDefault="00B6521A" w:rsidP="00B6521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5B4BE031" w14:textId="77777777" w:rsidR="00B6521A" w:rsidRPr="00A83116" w:rsidRDefault="00B6521A" w:rsidP="00B6521A">
            <w:pPr>
              <w:jc w:val="both"/>
              <w:rPr>
                <w:rFonts w:ascii="Arial" w:hAnsi="Arial" w:cs="Arial"/>
                <w:b/>
              </w:rPr>
            </w:pPr>
            <w:r w:rsidRPr="00A83116">
              <w:rPr>
                <w:rFonts w:ascii="Arial" w:hAnsi="Arial" w:cs="Arial"/>
                <w:b/>
              </w:rPr>
              <w:t>Background</w:t>
            </w:r>
          </w:p>
          <w:p w14:paraId="08E4B1CA" w14:textId="77777777" w:rsidR="00B6521A" w:rsidRPr="00A83116" w:rsidRDefault="00B6521A" w:rsidP="00B6521A">
            <w:pPr>
              <w:jc w:val="both"/>
              <w:rPr>
                <w:rFonts w:ascii="Arial" w:hAnsi="Arial" w:cs="Arial"/>
              </w:rPr>
            </w:pPr>
          </w:p>
        </w:tc>
      </w:tr>
      <w:tr w:rsidR="00B6521A" w:rsidRPr="00A83116" w14:paraId="318D512A" w14:textId="77777777" w:rsidTr="00D53CDE">
        <w:tc>
          <w:tcPr>
            <w:tcW w:w="959" w:type="dxa"/>
          </w:tcPr>
          <w:p w14:paraId="3A2C6DBC" w14:textId="77777777" w:rsidR="00B6521A" w:rsidRPr="00A83116" w:rsidRDefault="00B6521A" w:rsidP="00B6521A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557A9ACA" w14:textId="77777777" w:rsidR="00B6521A" w:rsidRPr="00A83116" w:rsidRDefault="00563CD4" w:rsidP="00B6521A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Directors will be aware that the Charity’s </w:t>
            </w:r>
            <w:r w:rsidR="00B92251" w:rsidRPr="00A83116">
              <w:rPr>
                <w:rFonts w:ascii="Arial" w:hAnsi="Arial" w:cs="Arial"/>
              </w:rPr>
              <w:t xml:space="preserve">budget preparation </w:t>
            </w:r>
            <w:r w:rsidRPr="00A83116">
              <w:rPr>
                <w:rFonts w:ascii="Arial" w:hAnsi="Arial" w:cs="Arial"/>
              </w:rPr>
              <w:t>approach has been to focus on three key areas:</w:t>
            </w:r>
          </w:p>
          <w:p w14:paraId="5B911AE3" w14:textId="77777777" w:rsidR="00563CD4" w:rsidRPr="00A83116" w:rsidRDefault="00563CD4" w:rsidP="00B6521A">
            <w:pPr>
              <w:jc w:val="both"/>
              <w:rPr>
                <w:rFonts w:ascii="Arial" w:hAnsi="Arial" w:cs="Arial"/>
              </w:rPr>
            </w:pPr>
          </w:p>
          <w:p w14:paraId="68C158B2" w14:textId="11ADA5D8" w:rsidR="00563CD4" w:rsidRPr="00A83116" w:rsidRDefault="00563CD4" w:rsidP="00563C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I</w:t>
            </w:r>
            <w:r w:rsidR="00B92251" w:rsidRPr="00A83116">
              <w:rPr>
                <w:rFonts w:ascii="Arial" w:hAnsi="Arial" w:cs="Arial"/>
                <w:sz w:val="24"/>
                <w:szCs w:val="24"/>
              </w:rPr>
              <w:t>ncome increases</w:t>
            </w:r>
          </w:p>
          <w:p w14:paraId="5C748386" w14:textId="4DC01A06" w:rsidR="00563CD4" w:rsidRPr="00A83116" w:rsidRDefault="00B92251" w:rsidP="00563C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Efficiency improvements</w:t>
            </w:r>
          </w:p>
          <w:p w14:paraId="7CE683DE" w14:textId="77777777" w:rsidR="00563CD4" w:rsidRPr="00A83116" w:rsidRDefault="00B92251" w:rsidP="00563C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S</w:t>
            </w:r>
            <w:r w:rsidR="00563CD4" w:rsidRPr="00A83116">
              <w:rPr>
                <w:rFonts w:ascii="Arial" w:hAnsi="Arial" w:cs="Arial"/>
                <w:sz w:val="24"/>
                <w:szCs w:val="24"/>
              </w:rPr>
              <w:t>ervices/activities</w:t>
            </w:r>
            <w:r w:rsidRPr="00A83116">
              <w:rPr>
                <w:rFonts w:ascii="Arial" w:hAnsi="Arial" w:cs="Arial"/>
                <w:sz w:val="24"/>
                <w:szCs w:val="24"/>
              </w:rPr>
              <w:t xml:space="preserve"> reductions</w:t>
            </w:r>
            <w:r w:rsidR="00563CD4" w:rsidRPr="00A8311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25DD3D6" w14:textId="77777777" w:rsidR="00EC3F6F" w:rsidRPr="00A83116" w:rsidRDefault="00EC3F6F" w:rsidP="00EC3F6F">
            <w:pPr>
              <w:jc w:val="both"/>
              <w:rPr>
                <w:rFonts w:ascii="Arial" w:hAnsi="Arial" w:cs="Arial"/>
              </w:rPr>
            </w:pPr>
          </w:p>
          <w:p w14:paraId="549479B4" w14:textId="77777777" w:rsidR="00EC3F6F" w:rsidRPr="00A83116" w:rsidRDefault="00EC3F6F" w:rsidP="00EC3F6F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This pricing review focuses on </w:t>
            </w:r>
            <w:r w:rsidRPr="00A83116">
              <w:rPr>
                <w:rFonts w:ascii="Arial" w:hAnsi="Arial" w:cs="Arial"/>
                <w:b/>
              </w:rPr>
              <w:t>increasing income</w:t>
            </w:r>
            <w:r w:rsidRPr="00A83116">
              <w:rPr>
                <w:rFonts w:ascii="Arial" w:hAnsi="Arial" w:cs="Arial"/>
              </w:rPr>
              <w:t>.</w:t>
            </w:r>
          </w:p>
          <w:p w14:paraId="5F0DDABC" w14:textId="77777777" w:rsidR="00563CD4" w:rsidRPr="00A83116" w:rsidRDefault="00563CD4" w:rsidP="00563CD4">
            <w:pPr>
              <w:jc w:val="both"/>
              <w:rPr>
                <w:rFonts w:ascii="Arial" w:hAnsi="Arial" w:cs="Arial"/>
              </w:rPr>
            </w:pPr>
          </w:p>
        </w:tc>
      </w:tr>
      <w:tr w:rsidR="00EC3F6F" w:rsidRPr="00A83116" w14:paraId="56DBF985" w14:textId="77777777" w:rsidTr="00D53CDE">
        <w:tc>
          <w:tcPr>
            <w:tcW w:w="959" w:type="dxa"/>
          </w:tcPr>
          <w:p w14:paraId="156F7D32" w14:textId="77777777" w:rsidR="00EC3F6F" w:rsidRPr="00A83116" w:rsidRDefault="00EC3F6F" w:rsidP="00B6521A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71229ED5" w14:textId="77777777" w:rsidR="00EC3F6F" w:rsidRPr="00A83116" w:rsidRDefault="00EC3F6F" w:rsidP="00B6521A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The report will update Directors on the pricing reviews in the following areas:</w:t>
            </w:r>
          </w:p>
          <w:p w14:paraId="58345002" w14:textId="77777777" w:rsidR="00EC3F6F" w:rsidRPr="00A83116" w:rsidRDefault="00EC3F6F" w:rsidP="00B6521A">
            <w:pPr>
              <w:jc w:val="both"/>
              <w:rPr>
                <w:rFonts w:ascii="Arial" w:hAnsi="Arial" w:cs="Arial"/>
              </w:rPr>
            </w:pPr>
          </w:p>
          <w:p w14:paraId="69EE35AA" w14:textId="6B50B145" w:rsidR="00EC3F6F" w:rsidRPr="00A83116" w:rsidRDefault="00EC3F6F" w:rsidP="00EC3F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i/>
                <w:sz w:val="24"/>
                <w:szCs w:val="24"/>
              </w:rPr>
              <w:t>high</w:t>
            </w:r>
            <w:r w:rsidRPr="00A83116">
              <w:rPr>
                <w:rFonts w:ascii="Arial" w:hAnsi="Arial" w:cs="Arial"/>
                <w:b/>
                <w:i/>
                <w:sz w:val="24"/>
                <w:szCs w:val="24"/>
              </w:rPr>
              <w:t>life</w:t>
            </w:r>
            <w:r w:rsidRPr="00A83116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A83116">
              <w:rPr>
                <w:rFonts w:ascii="Arial" w:hAnsi="Arial" w:cs="Arial"/>
                <w:sz w:val="24"/>
                <w:szCs w:val="24"/>
              </w:rPr>
              <w:t>card pricing review and member consultation</w:t>
            </w:r>
          </w:p>
          <w:p w14:paraId="728DABE6" w14:textId="12C35997" w:rsidR="00EC3F6F" w:rsidRPr="00A83116" w:rsidRDefault="00C87E7E" w:rsidP="00EC3F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Pay-as-you-play (PAYP) pricing</w:t>
            </w:r>
          </w:p>
          <w:p w14:paraId="40087B09" w14:textId="1391C392" w:rsidR="00EC3F6F" w:rsidRPr="00A83116" w:rsidRDefault="00EC3F6F" w:rsidP="00EC3F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New income</w:t>
            </w:r>
            <w:r w:rsidR="00C87E7E">
              <w:rPr>
                <w:rFonts w:ascii="Arial" w:hAnsi="Arial" w:cs="Arial"/>
                <w:sz w:val="24"/>
                <w:szCs w:val="24"/>
              </w:rPr>
              <w:t xml:space="preserve"> generating services/activities.</w:t>
            </w:r>
          </w:p>
          <w:p w14:paraId="2064D213" w14:textId="77777777" w:rsidR="00EC3F6F" w:rsidRPr="00A83116" w:rsidRDefault="00EC3F6F" w:rsidP="00EC3F6F">
            <w:pPr>
              <w:jc w:val="both"/>
              <w:rPr>
                <w:rFonts w:ascii="Arial" w:hAnsi="Arial" w:cs="Arial"/>
              </w:rPr>
            </w:pPr>
          </w:p>
        </w:tc>
      </w:tr>
      <w:tr w:rsidR="00EC3F6F" w:rsidRPr="00A83116" w14:paraId="3659EAF3" w14:textId="77777777" w:rsidTr="00D53CDE">
        <w:tc>
          <w:tcPr>
            <w:tcW w:w="959" w:type="dxa"/>
          </w:tcPr>
          <w:p w14:paraId="50003C41" w14:textId="77777777" w:rsidR="00EC3F6F" w:rsidRPr="00A83116" w:rsidRDefault="00EC3F6F" w:rsidP="00EC3F6F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34147AC2" w14:textId="77777777" w:rsidR="00EC3F6F" w:rsidRPr="00A83116" w:rsidRDefault="00EC3F6F" w:rsidP="00B6521A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  <w:i/>
              </w:rPr>
              <w:t>high</w:t>
            </w:r>
            <w:r w:rsidRPr="00A83116">
              <w:rPr>
                <w:rFonts w:ascii="Arial" w:hAnsi="Arial" w:cs="Arial"/>
                <w:b/>
                <w:i/>
              </w:rPr>
              <w:t xml:space="preserve">life </w:t>
            </w:r>
            <w:r w:rsidRPr="00A83116">
              <w:rPr>
                <w:rFonts w:ascii="Arial" w:hAnsi="Arial" w:cs="Arial"/>
                <w:b/>
              </w:rPr>
              <w:t>card pricing review</w:t>
            </w:r>
          </w:p>
          <w:p w14:paraId="10B62298" w14:textId="77777777" w:rsidR="00EC3F6F" w:rsidRPr="00A83116" w:rsidRDefault="00EC3F6F" w:rsidP="00B6521A">
            <w:pPr>
              <w:jc w:val="both"/>
              <w:rPr>
                <w:rFonts w:ascii="Arial" w:hAnsi="Arial" w:cs="Arial"/>
              </w:rPr>
            </w:pPr>
          </w:p>
        </w:tc>
      </w:tr>
      <w:tr w:rsidR="00EC3F6F" w:rsidRPr="00A83116" w14:paraId="7B6D7C5E" w14:textId="77777777" w:rsidTr="00D53CDE">
        <w:tc>
          <w:tcPr>
            <w:tcW w:w="959" w:type="dxa"/>
          </w:tcPr>
          <w:p w14:paraId="32973BED" w14:textId="77777777" w:rsidR="00EC3F6F" w:rsidRPr="00A83116" w:rsidRDefault="00EC3F6F" w:rsidP="00EC3F6F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6EE2D028" w14:textId="77777777" w:rsidR="00EC3F6F" w:rsidRPr="00A83116" w:rsidRDefault="00EC3F6F" w:rsidP="00B6521A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Directors will be aware that the </w:t>
            </w:r>
            <w:r w:rsidRPr="00A83116">
              <w:rPr>
                <w:rFonts w:ascii="Arial" w:hAnsi="Arial" w:cs="Arial"/>
                <w:i/>
              </w:rPr>
              <w:t>high</w:t>
            </w:r>
            <w:r w:rsidRPr="00A83116">
              <w:rPr>
                <w:rFonts w:ascii="Arial" w:hAnsi="Arial" w:cs="Arial"/>
                <w:b/>
                <w:i/>
              </w:rPr>
              <w:t>life</w:t>
            </w:r>
            <w:r w:rsidRPr="00A83116">
              <w:rPr>
                <w:rFonts w:ascii="Arial" w:hAnsi="Arial" w:cs="Arial"/>
              </w:rPr>
              <w:t xml:space="preserve"> card has had minimal pricing increase over the last five years. In April 2019 the card price was increased to:</w:t>
            </w:r>
          </w:p>
          <w:p w14:paraId="0E587F4D" w14:textId="77777777" w:rsidR="00EC3F6F" w:rsidRPr="00A83116" w:rsidRDefault="00EC3F6F" w:rsidP="00B6521A">
            <w:pPr>
              <w:jc w:val="both"/>
              <w:rPr>
                <w:rFonts w:ascii="Arial" w:hAnsi="Arial" w:cs="Arial"/>
              </w:rPr>
            </w:pPr>
          </w:p>
          <w:p w14:paraId="74186EAF" w14:textId="77777777" w:rsidR="00EC3F6F" w:rsidRPr="00A83116" w:rsidRDefault="00EC3F6F" w:rsidP="00EC3F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Individual membership = £20.60 pcm</w:t>
            </w:r>
          </w:p>
          <w:p w14:paraId="685B14E0" w14:textId="77777777" w:rsidR="00EC3F6F" w:rsidRPr="00A83116" w:rsidRDefault="00EC3F6F" w:rsidP="00EC3F6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Family membership = £31 pcm</w:t>
            </w:r>
          </w:p>
          <w:p w14:paraId="093CC565" w14:textId="77777777" w:rsidR="00EC3F6F" w:rsidRPr="00A83116" w:rsidRDefault="00EC3F6F" w:rsidP="00EC3F6F">
            <w:pPr>
              <w:jc w:val="both"/>
              <w:rPr>
                <w:rFonts w:ascii="Arial" w:hAnsi="Arial" w:cs="Arial"/>
              </w:rPr>
            </w:pPr>
          </w:p>
        </w:tc>
      </w:tr>
      <w:tr w:rsidR="00B22D41" w:rsidRPr="00A83116" w14:paraId="38EEF436" w14:textId="77777777" w:rsidTr="00D53CDE">
        <w:tc>
          <w:tcPr>
            <w:tcW w:w="959" w:type="dxa"/>
          </w:tcPr>
          <w:p w14:paraId="324929B2" w14:textId="77777777" w:rsidR="00B22D41" w:rsidRPr="00A83116" w:rsidRDefault="00B22D41" w:rsidP="00EC3F6F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3BD15BC5" w14:textId="77777777" w:rsidR="00B22D41" w:rsidRPr="00A83116" w:rsidRDefault="00B22D41" w:rsidP="00B6521A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As part of a wider </w:t>
            </w:r>
            <w:r w:rsidRPr="00A83116">
              <w:rPr>
                <w:rFonts w:ascii="Arial" w:hAnsi="Arial" w:cs="Arial"/>
                <w:i/>
              </w:rPr>
              <w:t>high</w:t>
            </w:r>
            <w:r w:rsidRPr="00A83116">
              <w:rPr>
                <w:rFonts w:ascii="Arial" w:hAnsi="Arial" w:cs="Arial"/>
                <w:b/>
                <w:i/>
              </w:rPr>
              <w:t>life</w:t>
            </w:r>
            <w:r w:rsidRPr="00A83116">
              <w:rPr>
                <w:rFonts w:ascii="Arial" w:hAnsi="Arial" w:cs="Arial"/>
              </w:rPr>
              <w:t xml:space="preserve"> card pricing review it was agreed that direct customer consultation/research would be undertaken to establish member views in terms of the current charges</w:t>
            </w:r>
            <w:r w:rsidR="003940E3" w:rsidRPr="00A83116">
              <w:rPr>
                <w:rFonts w:ascii="Arial" w:hAnsi="Arial" w:cs="Arial"/>
              </w:rPr>
              <w:t>;</w:t>
            </w:r>
            <w:r w:rsidRPr="00A83116">
              <w:rPr>
                <w:rFonts w:ascii="Arial" w:hAnsi="Arial" w:cs="Arial"/>
              </w:rPr>
              <w:t xml:space="preserve"> the value for money associated with the </w:t>
            </w:r>
            <w:r w:rsidRPr="00A83116">
              <w:rPr>
                <w:rFonts w:ascii="Arial" w:hAnsi="Arial" w:cs="Arial"/>
                <w:i/>
              </w:rPr>
              <w:t>high</w:t>
            </w:r>
            <w:r w:rsidRPr="00A83116">
              <w:rPr>
                <w:rFonts w:ascii="Arial" w:hAnsi="Arial" w:cs="Arial"/>
                <w:b/>
                <w:i/>
              </w:rPr>
              <w:t>life</w:t>
            </w:r>
            <w:r w:rsidRPr="00A83116">
              <w:rPr>
                <w:rFonts w:ascii="Arial" w:hAnsi="Arial" w:cs="Arial"/>
              </w:rPr>
              <w:t xml:space="preserve"> card and the point at which the card would be deemed to be too expensive. </w:t>
            </w:r>
          </w:p>
          <w:p w14:paraId="69BA60B1" w14:textId="77777777" w:rsidR="00B22D41" w:rsidRPr="00A83116" w:rsidRDefault="00B22D41" w:rsidP="00B6521A">
            <w:pPr>
              <w:jc w:val="both"/>
              <w:rPr>
                <w:rFonts w:ascii="Arial" w:hAnsi="Arial" w:cs="Arial"/>
              </w:rPr>
            </w:pPr>
          </w:p>
          <w:p w14:paraId="2E1C551F" w14:textId="77777777" w:rsidR="00B22D41" w:rsidRPr="00A83116" w:rsidRDefault="00B22D41" w:rsidP="00B6521A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This information was obtained using the following processes:</w:t>
            </w:r>
          </w:p>
          <w:p w14:paraId="0FFA528B" w14:textId="77777777" w:rsidR="00B22D41" w:rsidRPr="00A83116" w:rsidRDefault="00B22D41" w:rsidP="00B6521A">
            <w:pPr>
              <w:jc w:val="both"/>
              <w:rPr>
                <w:rFonts w:ascii="Arial" w:hAnsi="Arial" w:cs="Arial"/>
              </w:rPr>
            </w:pPr>
          </w:p>
          <w:p w14:paraId="113D4E87" w14:textId="6AA74C22" w:rsidR="00B22D41" w:rsidRPr="00A83116" w:rsidRDefault="00B22D41" w:rsidP="00B22D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Four facilitated customer focus groups held in Aviemore, I</w:t>
            </w:r>
            <w:r w:rsidR="00C87E7E">
              <w:rPr>
                <w:rFonts w:ascii="Arial" w:hAnsi="Arial" w:cs="Arial"/>
                <w:sz w:val="24"/>
                <w:szCs w:val="24"/>
              </w:rPr>
              <w:t>nverness, Lochaber and Wick</w:t>
            </w:r>
          </w:p>
          <w:p w14:paraId="77FA5513" w14:textId="77777777" w:rsidR="00B22D41" w:rsidRPr="00A83116" w:rsidRDefault="00B22D41" w:rsidP="00B22D4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An online survey seeking customer views.</w:t>
            </w:r>
          </w:p>
          <w:p w14:paraId="599EB768" w14:textId="77777777" w:rsidR="00B22D41" w:rsidRPr="00A83116" w:rsidRDefault="00B22D41" w:rsidP="00B22D41">
            <w:pPr>
              <w:jc w:val="both"/>
              <w:rPr>
                <w:rFonts w:ascii="Arial" w:hAnsi="Arial" w:cs="Arial"/>
              </w:rPr>
            </w:pPr>
          </w:p>
        </w:tc>
      </w:tr>
      <w:tr w:rsidR="00B22D41" w:rsidRPr="00A83116" w14:paraId="0E46F39C" w14:textId="77777777" w:rsidTr="00D53CDE">
        <w:tc>
          <w:tcPr>
            <w:tcW w:w="959" w:type="dxa"/>
          </w:tcPr>
          <w:p w14:paraId="421B96E1" w14:textId="77777777" w:rsidR="00B22D41" w:rsidRPr="00A83116" w:rsidRDefault="00B22D41" w:rsidP="00EC3F6F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377818B8" w14:textId="77777777" w:rsidR="00B22D41" w:rsidRPr="00A83116" w:rsidRDefault="00B22D41" w:rsidP="00B6521A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In the focus groups, customers were asked </w:t>
            </w:r>
            <w:r w:rsidR="00FD4188" w:rsidRPr="00A83116">
              <w:rPr>
                <w:rFonts w:ascii="Arial" w:hAnsi="Arial" w:cs="Arial"/>
              </w:rPr>
              <w:t>the following key</w:t>
            </w:r>
            <w:r w:rsidRPr="00A83116">
              <w:rPr>
                <w:rFonts w:ascii="Arial" w:hAnsi="Arial" w:cs="Arial"/>
              </w:rPr>
              <w:t xml:space="preserve"> questions based on the existing offering of the </w:t>
            </w:r>
            <w:r w:rsidRPr="00A83116">
              <w:rPr>
                <w:rFonts w:ascii="Arial" w:hAnsi="Arial" w:cs="Arial"/>
                <w:i/>
              </w:rPr>
              <w:t>high</w:t>
            </w:r>
            <w:r w:rsidRPr="00A83116">
              <w:rPr>
                <w:rFonts w:ascii="Arial" w:hAnsi="Arial" w:cs="Arial"/>
                <w:b/>
                <w:i/>
              </w:rPr>
              <w:t>life</w:t>
            </w:r>
            <w:r w:rsidRPr="00A83116">
              <w:rPr>
                <w:rFonts w:ascii="Arial" w:hAnsi="Arial" w:cs="Arial"/>
              </w:rPr>
              <w:t xml:space="preserve"> card thus:</w:t>
            </w:r>
          </w:p>
          <w:p w14:paraId="155922AA" w14:textId="77777777" w:rsidR="00B22D41" w:rsidRPr="00C87E7E" w:rsidRDefault="00B22D41" w:rsidP="00B6521A">
            <w:pPr>
              <w:jc w:val="both"/>
              <w:rPr>
                <w:rFonts w:ascii="Arial" w:hAnsi="Arial" w:cs="Arial"/>
                <w:i/>
              </w:rPr>
            </w:pPr>
          </w:p>
          <w:p w14:paraId="179382BE" w14:textId="77777777" w:rsidR="00B22D41" w:rsidRPr="00C87E7E" w:rsidRDefault="00FD4188" w:rsidP="00B22D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87E7E">
              <w:rPr>
                <w:rFonts w:ascii="Arial" w:hAnsi="Arial" w:cs="Arial"/>
                <w:i/>
                <w:sz w:val="24"/>
                <w:szCs w:val="24"/>
              </w:rPr>
              <w:t>At what price would you consider the product/service to be a bargain – a great buy for the money (cheap/good value)?</w:t>
            </w:r>
          </w:p>
          <w:p w14:paraId="110B623B" w14:textId="77777777" w:rsidR="00FD4188" w:rsidRPr="00C87E7E" w:rsidRDefault="00FD4188" w:rsidP="00B22D4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C87E7E">
              <w:rPr>
                <w:rFonts w:ascii="Arial" w:hAnsi="Arial" w:cs="Arial"/>
                <w:i/>
                <w:sz w:val="24"/>
                <w:szCs w:val="24"/>
              </w:rPr>
              <w:t>At what price would you consider the product/service is starting to get expensive – it’s not out of the question, but you’d have to give some thought to buying it? (expensive/high)</w:t>
            </w:r>
            <w:r w:rsidR="00DB00D0" w:rsidRPr="00C87E7E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  <w:p w14:paraId="7CC4358A" w14:textId="77777777" w:rsidR="00B22D41" w:rsidRPr="00A83116" w:rsidRDefault="00B22D41" w:rsidP="00B22D41">
            <w:pPr>
              <w:jc w:val="both"/>
              <w:rPr>
                <w:rFonts w:ascii="Arial" w:hAnsi="Arial" w:cs="Arial"/>
              </w:rPr>
            </w:pPr>
          </w:p>
        </w:tc>
      </w:tr>
      <w:tr w:rsidR="00B22D41" w:rsidRPr="00A83116" w14:paraId="7A831085" w14:textId="77777777" w:rsidTr="00D53CDE">
        <w:tc>
          <w:tcPr>
            <w:tcW w:w="959" w:type="dxa"/>
          </w:tcPr>
          <w:p w14:paraId="52FC608B" w14:textId="77777777" w:rsidR="00B22D41" w:rsidRPr="00A83116" w:rsidRDefault="00B22D41" w:rsidP="00EC3F6F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3710892A" w14:textId="77777777" w:rsidR="00FD4188" w:rsidRPr="00A83116" w:rsidRDefault="00B22D41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On the online survey</w:t>
            </w:r>
            <w:r w:rsidR="003940E3" w:rsidRPr="00A83116">
              <w:rPr>
                <w:rFonts w:ascii="Arial" w:hAnsi="Arial" w:cs="Arial"/>
              </w:rPr>
              <w:t xml:space="preserve"> </w:t>
            </w:r>
            <w:r w:rsidRPr="00A83116">
              <w:rPr>
                <w:rFonts w:ascii="Arial" w:hAnsi="Arial" w:cs="Arial"/>
              </w:rPr>
              <w:t>members were asked the following</w:t>
            </w:r>
            <w:r w:rsidR="003940E3" w:rsidRPr="00A83116">
              <w:rPr>
                <w:rFonts w:ascii="Arial" w:hAnsi="Arial" w:cs="Arial"/>
              </w:rPr>
              <w:t xml:space="preserve"> question based on the existing offering of the </w:t>
            </w:r>
            <w:r w:rsidR="003940E3" w:rsidRPr="00A83116">
              <w:rPr>
                <w:rFonts w:ascii="Arial" w:hAnsi="Arial" w:cs="Arial"/>
                <w:i/>
              </w:rPr>
              <w:t>high</w:t>
            </w:r>
            <w:r w:rsidR="003940E3" w:rsidRPr="00A83116">
              <w:rPr>
                <w:rFonts w:ascii="Arial" w:hAnsi="Arial" w:cs="Arial"/>
                <w:b/>
                <w:i/>
              </w:rPr>
              <w:t>life</w:t>
            </w:r>
            <w:r w:rsidR="003940E3" w:rsidRPr="00A83116">
              <w:rPr>
                <w:rFonts w:ascii="Arial" w:hAnsi="Arial" w:cs="Arial"/>
              </w:rPr>
              <w:t xml:space="preserve"> card</w:t>
            </w:r>
            <w:r w:rsidRPr="00A83116">
              <w:rPr>
                <w:rFonts w:ascii="Arial" w:hAnsi="Arial" w:cs="Arial"/>
              </w:rPr>
              <w:t>:</w:t>
            </w:r>
          </w:p>
          <w:p w14:paraId="106AF3D7" w14:textId="77777777" w:rsidR="00FD4188" w:rsidRPr="00A83116" w:rsidRDefault="00FD4188" w:rsidP="00FD4188">
            <w:pPr>
              <w:jc w:val="both"/>
              <w:rPr>
                <w:rFonts w:ascii="Arial" w:hAnsi="Arial" w:cs="Arial"/>
              </w:rPr>
            </w:pPr>
          </w:p>
          <w:p w14:paraId="721941F0" w14:textId="77777777" w:rsidR="00D9178A" w:rsidRPr="00A83116" w:rsidRDefault="00A83116" w:rsidP="00FD418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83116">
              <w:rPr>
                <w:rFonts w:ascii="Arial" w:hAnsi="Arial" w:cs="Arial"/>
                <w:i/>
                <w:sz w:val="24"/>
                <w:szCs w:val="24"/>
              </w:rPr>
              <w:t>At what price would you think that your membership would stop being good value for money?</w:t>
            </w:r>
          </w:p>
          <w:p w14:paraId="4E03954A" w14:textId="77777777" w:rsidR="00B22D41" w:rsidRPr="00A83116" w:rsidRDefault="00B22D41" w:rsidP="00B6521A">
            <w:pPr>
              <w:jc w:val="both"/>
              <w:rPr>
                <w:rFonts w:ascii="Arial" w:hAnsi="Arial" w:cs="Arial"/>
              </w:rPr>
            </w:pPr>
          </w:p>
        </w:tc>
      </w:tr>
      <w:tr w:rsidR="00FD4188" w:rsidRPr="00A83116" w14:paraId="69B9663F" w14:textId="77777777" w:rsidTr="00D53CDE">
        <w:tc>
          <w:tcPr>
            <w:tcW w:w="959" w:type="dxa"/>
          </w:tcPr>
          <w:p w14:paraId="111DB9F4" w14:textId="77777777" w:rsidR="00FD4188" w:rsidRPr="00A83116" w:rsidRDefault="00FD4188" w:rsidP="00EC3F6F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3C736E07" w14:textId="77777777" w:rsidR="00FD4188" w:rsidRPr="00A83116" w:rsidRDefault="00FD4188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The information is being collated and options for </w:t>
            </w:r>
            <w:r w:rsidRPr="00A83116">
              <w:rPr>
                <w:rFonts w:ascii="Arial" w:hAnsi="Arial" w:cs="Arial"/>
                <w:i/>
              </w:rPr>
              <w:t>high</w:t>
            </w:r>
            <w:r w:rsidRPr="00A83116">
              <w:rPr>
                <w:rFonts w:ascii="Arial" w:hAnsi="Arial" w:cs="Arial"/>
                <w:b/>
                <w:i/>
              </w:rPr>
              <w:t>life</w:t>
            </w:r>
            <w:r w:rsidRPr="00A83116">
              <w:rPr>
                <w:rFonts w:ascii="Arial" w:hAnsi="Arial" w:cs="Arial"/>
              </w:rPr>
              <w:t xml:space="preserve"> card price increases to be applied in financial year 2020/21 are being considered taking into account:</w:t>
            </w:r>
          </w:p>
          <w:p w14:paraId="3350D8B6" w14:textId="77777777" w:rsidR="00FD4188" w:rsidRPr="00A83116" w:rsidRDefault="00FD4188" w:rsidP="00FD4188">
            <w:pPr>
              <w:jc w:val="both"/>
              <w:rPr>
                <w:rFonts w:ascii="Arial" w:hAnsi="Arial" w:cs="Arial"/>
              </w:rPr>
            </w:pPr>
          </w:p>
          <w:p w14:paraId="3F96939C" w14:textId="2F20ABCA" w:rsidR="00FD4188" w:rsidRPr="00A83116" w:rsidRDefault="00FD4188" w:rsidP="00FD418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The additional comments taken from</w:t>
            </w:r>
            <w:r w:rsidR="00DB00D0" w:rsidRPr="00A83116">
              <w:rPr>
                <w:rFonts w:ascii="Arial" w:hAnsi="Arial" w:cs="Arial"/>
                <w:sz w:val="24"/>
                <w:szCs w:val="24"/>
              </w:rPr>
              <w:t xml:space="preserve"> focus group</w:t>
            </w:r>
            <w:r w:rsidRPr="00A83116">
              <w:rPr>
                <w:rFonts w:ascii="Arial" w:hAnsi="Arial" w:cs="Arial"/>
                <w:sz w:val="24"/>
                <w:szCs w:val="24"/>
              </w:rPr>
              <w:t xml:space="preserve"> customers relating to expected service delivery levels</w:t>
            </w:r>
            <w:r w:rsidR="000D4EC5" w:rsidRPr="00A83116">
              <w:rPr>
                <w:rFonts w:ascii="Arial" w:hAnsi="Arial" w:cs="Arial"/>
                <w:sz w:val="24"/>
                <w:szCs w:val="24"/>
              </w:rPr>
              <w:t>/standards</w:t>
            </w:r>
          </w:p>
          <w:p w14:paraId="0EA9AB2E" w14:textId="15053975" w:rsidR="00FD4188" w:rsidRPr="00A83116" w:rsidRDefault="000D4EC5" w:rsidP="00FD418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Standards</w:t>
            </w:r>
            <w:r w:rsidR="003940E3" w:rsidRPr="00A83116">
              <w:rPr>
                <w:rFonts w:ascii="Arial" w:hAnsi="Arial" w:cs="Arial"/>
                <w:sz w:val="24"/>
                <w:szCs w:val="24"/>
              </w:rPr>
              <w:t xml:space="preserve">/capacities </w:t>
            </w:r>
            <w:r w:rsidR="00C87E7E">
              <w:rPr>
                <w:rFonts w:ascii="Arial" w:hAnsi="Arial" w:cs="Arial"/>
                <w:sz w:val="24"/>
                <w:szCs w:val="24"/>
              </w:rPr>
              <w:t>of facilities across the estate</w:t>
            </w:r>
          </w:p>
          <w:p w14:paraId="1E18BF95" w14:textId="586E98B4" w:rsidR="000D4EC5" w:rsidRPr="00A83116" w:rsidRDefault="003940E3" w:rsidP="00FD418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Up-to-date c</w:t>
            </w:r>
            <w:r w:rsidR="000D4EC5" w:rsidRPr="00A83116">
              <w:rPr>
                <w:rFonts w:ascii="Arial" w:hAnsi="Arial" w:cs="Arial"/>
                <w:sz w:val="24"/>
                <w:szCs w:val="24"/>
              </w:rPr>
              <w:t>ompetitor analysis in key</w:t>
            </w:r>
            <w:r w:rsidR="00C87E7E">
              <w:rPr>
                <w:rFonts w:ascii="Arial" w:hAnsi="Arial" w:cs="Arial"/>
                <w:sz w:val="24"/>
                <w:szCs w:val="24"/>
              </w:rPr>
              <w:t xml:space="preserve"> locations across the Highlands</w:t>
            </w:r>
          </w:p>
          <w:p w14:paraId="367A6FA0" w14:textId="77777777" w:rsidR="000D4EC5" w:rsidRPr="00A83116" w:rsidRDefault="000D4EC5" w:rsidP="00FD418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 xml:space="preserve">Consideration given to </w:t>
            </w:r>
            <w:r w:rsidR="003940E3" w:rsidRPr="00A83116">
              <w:rPr>
                <w:rFonts w:ascii="Arial" w:hAnsi="Arial" w:cs="Arial"/>
                <w:sz w:val="24"/>
                <w:szCs w:val="24"/>
              </w:rPr>
              <w:t>the impact of the ‘bottom line’ as result of a price increase on</w:t>
            </w:r>
            <w:r w:rsidRPr="00A83116">
              <w:rPr>
                <w:rFonts w:ascii="Arial" w:hAnsi="Arial" w:cs="Arial"/>
                <w:sz w:val="24"/>
                <w:szCs w:val="24"/>
              </w:rPr>
              <w:t xml:space="preserve"> “dormant members”.</w:t>
            </w:r>
          </w:p>
          <w:p w14:paraId="12192552" w14:textId="77777777" w:rsidR="000D4EC5" w:rsidRPr="00A83116" w:rsidRDefault="000D4EC5" w:rsidP="000D4EC5">
            <w:pPr>
              <w:jc w:val="both"/>
              <w:rPr>
                <w:rFonts w:ascii="Arial" w:hAnsi="Arial" w:cs="Arial"/>
              </w:rPr>
            </w:pPr>
          </w:p>
        </w:tc>
      </w:tr>
      <w:tr w:rsidR="00DB00D0" w:rsidRPr="00A83116" w14:paraId="115AABBC" w14:textId="77777777" w:rsidTr="00D53CDE">
        <w:tc>
          <w:tcPr>
            <w:tcW w:w="959" w:type="dxa"/>
          </w:tcPr>
          <w:p w14:paraId="08946637" w14:textId="77777777" w:rsidR="00DB00D0" w:rsidRPr="00A83116" w:rsidRDefault="00DB00D0" w:rsidP="00001016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402211F7" w14:textId="77777777" w:rsidR="00DB00D0" w:rsidRPr="00A83116" w:rsidRDefault="00001016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  <w:b/>
              </w:rPr>
              <w:t>Pay-as-you-play (PAYP) review</w:t>
            </w:r>
          </w:p>
          <w:p w14:paraId="7617FD3B" w14:textId="77777777" w:rsidR="00001016" w:rsidRPr="00A83116" w:rsidRDefault="00001016" w:rsidP="00FD4188">
            <w:pPr>
              <w:jc w:val="both"/>
              <w:rPr>
                <w:rFonts w:ascii="Arial" w:hAnsi="Arial" w:cs="Arial"/>
              </w:rPr>
            </w:pPr>
          </w:p>
        </w:tc>
      </w:tr>
      <w:tr w:rsidR="00001016" w:rsidRPr="00A83116" w14:paraId="438270D3" w14:textId="77777777" w:rsidTr="00D53CDE">
        <w:tc>
          <w:tcPr>
            <w:tcW w:w="959" w:type="dxa"/>
          </w:tcPr>
          <w:p w14:paraId="5E7B02F8" w14:textId="77777777" w:rsidR="00001016" w:rsidRPr="00A83116" w:rsidRDefault="00001016" w:rsidP="00001016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302DBC5C" w14:textId="77777777" w:rsidR="00001016" w:rsidRPr="00A83116" w:rsidRDefault="00001016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Directors will be aware that in previous years the Charity has applied a standard 5% increase to PAYP activities.</w:t>
            </w:r>
          </w:p>
          <w:p w14:paraId="659FEE36" w14:textId="77777777" w:rsidR="00001016" w:rsidRPr="00A83116" w:rsidRDefault="00001016" w:rsidP="00FD4188">
            <w:pPr>
              <w:jc w:val="both"/>
              <w:rPr>
                <w:rFonts w:ascii="Arial" w:hAnsi="Arial" w:cs="Arial"/>
              </w:rPr>
            </w:pPr>
          </w:p>
        </w:tc>
      </w:tr>
      <w:tr w:rsidR="00001016" w:rsidRPr="00A83116" w14:paraId="41681046" w14:textId="77777777" w:rsidTr="00D53CDE">
        <w:tc>
          <w:tcPr>
            <w:tcW w:w="959" w:type="dxa"/>
          </w:tcPr>
          <w:p w14:paraId="7E2F1502" w14:textId="77777777" w:rsidR="00001016" w:rsidRPr="00A83116" w:rsidRDefault="00001016" w:rsidP="00001016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6F45DD11" w14:textId="77777777" w:rsidR="00001016" w:rsidRPr="00A83116" w:rsidRDefault="00001016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A full pricing review has recently been undertaken on all PAYP activities across all HLH services.</w:t>
            </w:r>
          </w:p>
          <w:p w14:paraId="663ED261" w14:textId="77777777" w:rsidR="00A83116" w:rsidRPr="00A83116" w:rsidRDefault="00A83116" w:rsidP="00FD4188">
            <w:pPr>
              <w:jc w:val="both"/>
              <w:rPr>
                <w:rFonts w:ascii="Arial" w:hAnsi="Arial" w:cs="Arial"/>
              </w:rPr>
            </w:pPr>
          </w:p>
          <w:p w14:paraId="1319C129" w14:textId="77777777" w:rsidR="00A83116" w:rsidRPr="00A83116" w:rsidRDefault="00A83116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[Directors should note that in undertaking the review no aspect of the budget </w:t>
            </w:r>
            <w:r w:rsidRPr="00A83116">
              <w:rPr>
                <w:rFonts w:ascii="Arial" w:hAnsi="Arial" w:cs="Arial"/>
                <w:i/>
              </w:rPr>
              <w:t>high</w:t>
            </w:r>
            <w:r w:rsidRPr="00A83116">
              <w:rPr>
                <w:rFonts w:ascii="Arial" w:hAnsi="Arial" w:cs="Arial"/>
                <w:b/>
                <w:i/>
              </w:rPr>
              <w:t>life</w:t>
            </w:r>
            <w:r w:rsidRPr="00A83116">
              <w:rPr>
                <w:rFonts w:ascii="Arial" w:hAnsi="Arial" w:cs="Arial"/>
              </w:rPr>
              <w:t xml:space="preserve"> charges have been considered and it is not proposed to make any changes to the 50p scheme that offers access to those on means tested benefits.]</w:t>
            </w:r>
          </w:p>
          <w:p w14:paraId="5E140747" w14:textId="77777777" w:rsidR="00001016" w:rsidRPr="00A83116" w:rsidRDefault="00001016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  </w:t>
            </w:r>
          </w:p>
        </w:tc>
      </w:tr>
      <w:tr w:rsidR="00001016" w:rsidRPr="00A83116" w14:paraId="715AF523" w14:textId="77777777" w:rsidTr="00D53CDE">
        <w:tc>
          <w:tcPr>
            <w:tcW w:w="959" w:type="dxa"/>
          </w:tcPr>
          <w:p w14:paraId="50453355" w14:textId="77777777" w:rsidR="00001016" w:rsidRPr="00A83116" w:rsidRDefault="00001016" w:rsidP="00001016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09CF1EEC" w14:textId="77777777" w:rsidR="00001016" w:rsidRPr="00A83116" w:rsidRDefault="00001016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The PAYP pricing review has considered the following:</w:t>
            </w:r>
          </w:p>
          <w:p w14:paraId="69E1EB72" w14:textId="77777777" w:rsidR="00001016" w:rsidRPr="00A83116" w:rsidRDefault="00001016" w:rsidP="00FD4188">
            <w:pPr>
              <w:jc w:val="both"/>
              <w:rPr>
                <w:rFonts w:ascii="Arial" w:hAnsi="Arial" w:cs="Arial"/>
              </w:rPr>
            </w:pPr>
          </w:p>
          <w:p w14:paraId="1B125899" w14:textId="25E516B2" w:rsidR="00001016" w:rsidRPr="00A83116" w:rsidRDefault="00001016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Archive and family history research</w:t>
            </w:r>
          </w:p>
          <w:p w14:paraId="29DD9371" w14:textId="200F3679" w:rsidR="00001016" w:rsidRPr="00A83116" w:rsidRDefault="00C57465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Rationalisation of charges for e</w:t>
            </w:r>
            <w:r w:rsidR="00001016" w:rsidRPr="00A83116">
              <w:rPr>
                <w:rFonts w:ascii="Arial" w:hAnsi="Arial" w:cs="Arial"/>
                <w:sz w:val="24"/>
                <w:szCs w:val="24"/>
              </w:rPr>
              <w:t xml:space="preserve">ngagement programme charges at </w:t>
            </w:r>
            <w:r w:rsidR="00C87E7E">
              <w:rPr>
                <w:rFonts w:ascii="Arial" w:hAnsi="Arial" w:cs="Arial"/>
                <w:sz w:val="24"/>
                <w:szCs w:val="24"/>
              </w:rPr>
              <w:t>archives, museums and libraries</w:t>
            </w:r>
          </w:p>
          <w:p w14:paraId="346E0FD2" w14:textId="3AD7EE53" w:rsidR="00001016" w:rsidRPr="00A83116" w:rsidRDefault="00C87E7E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Inverness Castle Viewpoint</w:t>
            </w:r>
          </w:p>
          <w:p w14:paraId="7D61C6D9" w14:textId="615EFFA4" w:rsidR="00001016" w:rsidRPr="00A83116" w:rsidRDefault="00001016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 xml:space="preserve">Implementing </w:t>
            </w:r>
            <w:r w:rsidR="00C57465" w:rsidRPr="00A83116">
              <w:rPr>
                <w:rFonts w:ascii="Arial" w:hAnsi="Arial" w:cs="Arial"/>
                <w:sz w:val="24"/>
                <w:szCs w:val="24"/>
              </w:rPr>
              <w:t>charges for ‘bloc</w:t>
            </w:r>
            <w:r w:rsidR="00C87E7E">
              <w:rPr>
                <w:rFonts w:ascii="Arial" w:hAnsi="Arial" w:cs="Arial"/>
                <w:sz w:val="24"/>
                <w:szCs w:val="24"/>
              </w:rPr>
              <w:t>kbuster’ exhibitions at museums</w:t>
            </w:r>
          </w:p>
          <w:p w14:paraId="2B1671B0" w14:textId="5F09F008" w:rsidR="00C57465" w:rsidRPr="00A83116" w:rsidRDefault="00C87E7E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Outdoor pitches and fields</w:t>
            </w:r>
          </w:p>
          <w:p w14:paraId="17143459" w14:textId="09D85F43" w:rsidR="00136594" w:rsidRPr="00A83116" w:rsidRDefault="00136594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Rationalisation of pricing/charges applied to similar activities/ser</w:t>
            </w:r>
            <w:r w:rsidR="00C87E7E">
              <w:rPr>
                <w:rFonts w:ascii="Arial" w:hAnsi="Arial" w:cs="Arial"/>
                <w:sz w:val="24"/>
                <w:szCs w:val="24"/>
              </w:rPr>
              <w:t>vices across the Charity</w:t>
            </w:r>
          </w:p>
          <w:p w14:paraId="7D28F1C7" w14:textId="2B714FE3" w:rsidR="00C57465" w:rsidRPr="00A83116" w:rsidRDefault="00C57465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Review of pricing options for high profile events/concerts at Bught Park/Northern Meet</w:t>
            </w:r>
            <w:r w:rsidR="00C87E7E">
              <w:rPr>
                <w:rFonts w:ascii="Arial" w:hAnsi="Arial" w:cs="Arial"/>
                <w:sz w:val="24"/>
                <w:szCs w:val="24"/>
              </w:rPr>
              <w:t>ing Park/Inverness Leisure etc.</w:t>
            </w:r>
          </w:p>
          <w:p w14:paraId="26D04905" w14:textId="1FBA046C" w:rsidR="00C57465" w:rsidRPr="00A83116" w:rsidRDefault="00C57465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 xml:space="preserve">Consideration </w:t>
            </w:r>
            <w:r w:rsidR="00136594" w:rsidRPr="00A83116">
              <w:rPr>
                <w:rFonts w:ascii="Arial" w:hAnsi="Arial" w:cs="Arial"/>
                <w:sz w:val="24"/>
                <w:szCs w:val="24"/>
              </w:rPr>
              <w:t xml:space="preserve">given to </w:t>
            </w:r>
            <w:r w:rsidRPr="00A83116">
              <w:rPr>
                <w:rFonts w:ascii="Arial" w:hAnsi="Arial" w:cs="Arial"/>
                <w:sz w:val="24"/>
                <w:szCs w:val="24"/>
              </w:rPr>
              <w:t>pricin</w:t>
            </w:r>
            <w:r w:rsidR="00C87E7E">
              <w:rPr>
                <w:rFonts w:ascii="Arial" w:hAnsi="Arial" w:cs="Arial"/>
                <w:sz w:val="24"/>
                <w:szCs w:val="24"/>
              </w:rPr>
              <w:t>g freezes in leisure facilities</w:t>
            </w:r>
          </w:p>
          <w:p w14:paraId="1F8E03AF" w14:textId="7A3B9E61" w:rsidR="00C57465" w:rsidRPr="00A83116" w:rsidRDefault="00C57465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Review of charging packages for Strathpeffer Pavi</w:t>
            </w:r>
            <w:r w:rsidR="00C87E7E">
              <w:rPr>
                <w:rFonts w:ascii="Arial" w:hAnsi="Arial" w:cs="Arial"/>
                <w:sz w:val="24"/>
                <w:szCs w:val="24"/>
              </w:rPr>
              <w:t>lion events/weddings</w:t>
            </w:r>
          </w:p>
          <w:p w14:paraId="26301343" w14:textId="664BD201" w:rsidR="00C57465" w:rsidRPr="00A83116" w:rsidRDefault="00C57465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Letti</w:t>
            </w:r>
            <w:r w:rsidR="00C87E7E">
              <w:rPr>
                <w:rFonts w:ascii="Arial" w:hAnsi="Arial" w:cs="Arial"/>
                <w:sz w:val="24"/>
                <w:szCs w:val="24"/>
              </w:rPr>
              <w:t>ng income for facilities/venues</w:t>
            </w:r>
          </w:p>
          <w:p w14:paraId="1D5FBE25" w14:textId="58900558" w:rsidR="00C57465" w:rsidRPr="00A83116" w:rsidRDefault="00C57465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Music tuition – including in</w:t>
            </w:r>
            <w:r w:rsidR="00C87E7E">
              <w:rPr>
                <w:rFonts w:ascii="Arial" w:hAnsi="Arial" w:cs="Arial"/>
                <w:sz w:val="24"/>
                <w:szCs w:val="24"/>
              </w:rPr>
              <w:t>troduction of sibling discounts</w:t>
            </w:r>
          </w:p>
          <w:p w14:paraId="7D0E4BE2" w14:textId="68F86627" w:rsidR="00C57465" w:rsidRPr="00A83116" w:rsidRDefault="00C57465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Charges at visitor attractions such as Highland Folk Museum</w:t>
            </w:r>
            <w:r w:rsidR="00136594" w:rsidRPr="00A83116">
              <w:rPr>
                <w:rFonts w:ascii="Arial" w:hAnsi="Arial" w:cs="Arial"/>
                <w:sz w:val="24"/>
                <w:szCs w:val="24"/>
              </w:rPr>
              <w:t>; char</w:t>
            </w:r>
            <w:r w:rsidR="00C87E7E">
              <w:rPr>
                <w:rFonts w:ascii="Arial" w:hAnsi="Arial" w:cs="Arial"/>
                <w:sz w:val="24"/>
                <w:szCs w:val="24"/>
              </w:rPr>
              <w:t>ges for bus/coach tours/parking</w:t>
            </w:r>
          </w:p>
          <w:p w14:paraId="28821104" w14:textId="23CFCDE7" w:rsidR="00136594" w:rsidRPr="00A83116" w:rsidRDefault="00136594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Extension of partnerships with local businesses (</w:t>
            </w:r>
            <w:proofErr w:type="gramStart"/>
            <w:r w:rsidRPr="00A83116">
              <w:rPr>
                <w:rFonts w:ascii="Arial" w:hAnsi="Arial" w:cs="Arial"/>
                <w:sz w:val="24"/>
                <w:szCs w:val="24"/>
              </w:rPr>
              <w:t>B&amp;Bs</w:t>
            </w:r>
            <w:proofErr w:type="gramEnd"/>
            <w:r w:rsidRPr="00A83116">
              <w:rPr>
                <w:rFonts w:ascii="Arial" w:hAnsi="Arial" w:cs="Arial"/>
                <w:sz w:val="24"/>
                <w:szCs w:val="24"/>
              </w:rPr>
              <w:t>, Hotels, Transport firms,</w:t>
            </w:r>
            <w:r w:rsidR="00C87E7E">
              <w:rPr>
                <w:rFonts w:ascii="Arial" w:hAnsi="Arial" w:cs="Arial"/>
                <w:sz w:val="24"/>
                <w:szCs w:val="24"/>
              </w:rPr>
              <w:t xml:space="preserve"> new housing developments etc.)</w:t>
            </w:r>
          </w:p>
          <w:p w14:paraId="20D3A04B" w14:textId="00E107AE" w:rsidR="00136594" w:rsidRPr="00A83116" w:rsidRDefault="00136594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Opening hours at key sites (e.g. piloting 24-hour openi</w:t>
            </w:r>
            <w:r w:rsidR="00C87E7E">
              <w:rPr>
                <w:rFonts w:ascii="Arial" w:hAnsi="Arial" w:cs="Arial"/>
                <w:sz w:val="24"/>
                <w:szCs w:val="24"/>
              </w:rPr>
              <w:t>ng of gym at Inverness Leisure)</w:t>
            </w:r>
          </w:p>
          <w:p w14:paraId="71B92EEA" w14:textId="77777777" w:rsidR="00A83116" w:rsidRPr="00A83116" w:rsidRDefault="00A83116" w:rsidP="0000101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 xml:space="preserve">Review of “happy hour” sessions in favour of offering site Managers the opportunity to promote key activities to generate additional income. </w:t>
            </w:r>
          </w:p>
          <w:p w14:paraId="6849C6C2" w14:textId="77777777" w:rsidR="00C57465" w:rsidRPr="00A83116" w:rsidRDefault="00C57465" w:rsidP="00C57465">
            <w:pPr>
              <w:jc w:val="both"/>
              <w:rPr>
                <w:rFonts w:ascii="Arial" w:hAnsi="Arial" w:cs="Arial"/>
              </w:rPr>
            </w:pPr>
          </w:p>
        </w:tc>
      </w:tr>
      <w:tr w:rsidR="00C57465" w:rsidRPr="00A83116" w14:paraId="08E44FEE" w14:textId="77777777" w:rsidTr="00D53CDE">
        <w:tc>
          <w:tcPr>
            <w:tcW w:w="959" w:type="dxa"/>
          </w:tcPr>
          <w:p w14:paraId="497B38CC" w14:textId="77777777" w:rsidR="00C57465" w:rsidRPr="00A83116" w:rsidRDefault="00C57465" w:rsidP="00001016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173ED855" w14:textId="77777777" w:rsidR="00C57465" w:rsidRPr="00A83116" w:rsidRDefault="00C57465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The information gathered from Senior Managers across all services is being considered in line with the information outlined in 3.5 of the report.</w:t>
            </w:r>
          </w:p>
          <w:p w14:paraId="60FDEFC5" w14:textId="77777777" w:rsidR="00C57465" w:rsidRPr="00A83116" w:rsidRDefault="00C57465" w:rsidP="00FD4188">
            <w:pPr>
              <w:jc w:val="both"/>
              <w:rPr>
                <w:rFonts w:ascii="Arial" w:hAnsi="Arial" w:cs="Arial"/>
              </w:rPr>
            </w:pPr>
          </w:p>
        </w:tc>
      </w:tr>
      <w:tr w:rsidR="00136594" w:rsidRPr="00A83116" w14:paraId="0A208335" w14:textId="77777777" w:rsidTr="00D53CDE">
        <w:tc>
          <w:tcPr>
            <w:tcW w:w="959" w:type="dxa"/>
          </w:tcPr>
          <w:p w14:paraId="39DB1E80" w14:textId="77777777" w:rsidR="00136594" w:rsidRPr="00A83116" w:rsidRDefault="00136594" w:rsidP="00001016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262DE174" w14:textId="77777777" w:rsidR="00136594" w:rsidRPr="00A83116" w:rsidRDefault="00136594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The Charity will also give due cognisance to the following areas;</w:t>
            </w:r>
          </w:p>
          <w:p w14:paraId="492EE785" w14:textId="77777777" w:rsidR="00136594" w:rsidRPr="00A83116" w:rsidRDefault="00136594" w:rsidP="00FD4188">
            <w:pPr>
              <w:jc w:val="both"/>
              <w:rPr>
                <w:rFonts w:ascii="Arial" w:hAnsi="Arial" w:cs="Arial"/>
              </w:rPr>
            </w:pPr>
          </w:p>
          <w:p w14:paraId="2774C4FD" w14:textId="53F059C7" w:rsidR="00136594" w:rsidRPr="00A83116" w:rsidRDefault="00136594" w:rsidP="0013659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A phased approach across a period of years where appropriate</w:t>
            </w:r>
          </w:p>
          <w:p w14:paraId="45B5F86C" w14:textId="11D857B8" w:rsidR="00136594" w:rsidRPr="00A83116" w:rsidRDefault="00136594" w:rsidP="0013659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A clear understanding of any unintended consequences (cancellations; transfer t</w:t>
            </w:r>
            <w:r w:rsidR="00C87E7E">
              <w:rPr>
                <w:rFonts w:ascii="Arial" w:hAnsi="Arial" w:cs="Arial"/>
                <w:sz w:val="24"/>
                <w:szCs w:val="24"/>
              </w:rPr>
              <w:t>o other facilities/venues etc.)</w:t>
            </w:r>
          </w:p>
          <w:p w14:paraId="71083141" w14:textId="1A54F483" w:rsidR="00136594" w:rsidRPr="00A83116" w:rsidRDefault="00136594" w:rsidP="0013659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Understanding the tipping points as outlined in the aforemention</w:t>
            </w:r>
            <w:r w:rsidR="00C87E7E">
              <w:rPr>
                <w:rFonts w:ascii="Arial" w:hAnsi="Arial" w:cs="Arial"/>
                <w:sz w:val="24"/>
                <w:szCs w:val="24"/>
              </w:rPr>
              <w:t>ed focus groups</w:t>
            </w:r>
          </w:p>
          <w:p w14:paraId="62568BA3" w14:textId="33FBCA92" w:rsidR="00136594" w:rsidRPr="00A83116" w:rsidRDefault="00136594" w:rsidP="0013659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Working with local agencies, such as B&amp;B Associations; Chambers of Commerce; Busi</w:t>
            </w:r>
            <w:r w:rsidR="00C87E7E">
              <w:rPr>
                <w:rFonts w:ascii="Arial" w:hAnsi="Arial" w:cs="Arial"/>
                <w:sz w:val="24"/>
                <w:szCs w:val="24"/>
              </w:rPr>
              <w:t>ness Improvement Districts etc.</w:t>
            </w:r>
          </w:p>
          <w:p w14:paraId="2D37E454" w14:textId="09E26DEA" w:rsidR="00136594" w:rsidRPr="00A83116" w:rsidRDefault="00136594" w:rsidP="0013659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The user p</w:t>
            </w:r>
            <w:r w:rsidR="00C87E7E">
              <w:rPr>
                <w:rFonts w:ascii="Arial" w:hAnsi="Arial" w:cs="Arial"/>
                <w:sz w:val="24"/>
                <w:szCs w:val="24"/>
              </w:rPr>
              <w:t>rofile of members and customers</w:t>
            </w:r>
          </w:p>
          <w:p w14:paraId="543F2482" w14:textId="77777777" w:rsidR="00A83116" w:rsidRPr="00A83116" w:rsidRDefault="00A83116" w:rsidP="0013659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 xml:space="preserve">How any changes to charging will be communicated to customers; members; stakeholders; media etc. </w:t>
            </w:r>
          </w:p>
          <w:p w14:paraId="15687FB2" w14:textId="4E9F5431" w:rsidR="00A83116" w:rsidRPr="00A83116" w:rsidRDefault="00A83116" w:rsidP="0013659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Concession charges, i.e. charges for 60</w:t>
            </w:r>
            <w:proofErr w:type="gramStart"/>
            <w:r w:rsidRPr="00A83116">
              <w:rPr>
                <w:rFonts w:ascii="Arial" w:hAnsi="Arial" w:cs="Arial"/>
                <w:sz w:val="24"/>
                <w:szCs w:val="24"/>
              </w:rPr>
              <w:t xml:space="preserve">+ </w:t>
            </w:r>
            <w:r w:rsidR="00C87E7E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</w:p>
          <w:p w14:paraId="64F79BCA" w14:textId="77777777" w:rsidR="00A83116" w:rsidRPr="00A83116" w:rsidRDefault="00A83116" w:rsidP="00A83116">
            <w:pPr>
              <w:jc w:val="both"/>
              <w:rPr>
                <w:rFonts w:ascii="Arial" w:hAnsi="Arial" w:cs="Arial"/>
              </w:rPr>
            </w:pPr>
          </w:p>
        </w:tc>
      </w:tr>
      <w:tr w:rsidR="00C57465" w:rsidRPr="00A83116" w14:paraId="6CB2C98D" w14:textId="77777777" w:rsidTr="00D53CDE">
        <w:tc>
          <w:tcPr>
            <w:tcW w:w="959" w:type="dxa"/>
          </w:tcPr>
          <w:p w14:paraId="1C562E2C" w14:textId="77777777" w:rsidR="00C57465" w:rsidRPr="00A83116" w:rsidRDefault="00C57465" w:rsidP="00C5746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3135FE04" w14:textId="77777777" w:rsidR="00C57465" w:rsidRPr="00A83116" w:rsidRDefault="00C57465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  <w:b/>
              </w:rPr>
              <w:t>New income generation activities/services</w:t>
            </w:r>
          </w:p>
          <w:p w14:paraId="7F5EA37C" w14:textId="77777777" w:rsidR="00C57465" w:rsidRPr="00A83116" w:rsidRDefault="00C57465" w:rsidP="00FD4188">
            <w:pPr>
              <w:jc w:val="both"/>
              <w:rPr>
                <w:rFonts w:ascii="Arial" w:hAnsi="Arial" w:cs="Arial"/>
              </w:rPr>
            </w:pPr>
          </w:p>
        </w:tc>
      </w:tr>
      <w:tr w:rsidR="00C57465" w:rsidRPr="00A83116" w14:paraId="796F3FC1" w14:textId="77777777" w:rsidTr="00D53CDE">
        <w:tc>
          <w:tcPr>
            <w:tcW w:w="959" w:type="dxa"/>
          </w:tcPr>
          <w:p w14:paraId="21EB09A8" w14:textId="77777777" w:rsidR="00C57465" w:rsidRPr="00A83116" w:rsidRDefault="00C57465" w:rsidP="00C57465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50DE2701" w14:textId="77777777" w:rsidR="00C57465" w:rsidRPr="00A83116" w:rsidRDefault="00C57465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As part of the wider pricing review all services Principal Managers are being asked to consider ways in which new income could be generated</w:t>
            </w:r>
            <w:r w:rsidR="00CD3379" w:rsidRPr="00A83116">
              <w:rPr>
                <w:rFonts w:ascii="Arial" w:hAnsi="Arial" w:cs="Arial"/>
              </w:rPr>
              <w:t xml:space="preserve"> or new initiatives that could make services more efficient</w:t>
            </w:r>
            <w:r w:rsidRPr="00A83116">
              <w:rPr>
                <w:rFonts w:ascii="Arial" w:hAnsi="Arial" w:cs="Arial"/>
              </w:rPr>
              <w:t>.</w:t>
            </w:r>
          </w:p>
          <w:p w14:paraId="758B3B4F" w14:textId="77777777" w:rsidR="00C57465" w:rsidRPr="00A83116" w:rsidRDefault="00C57465" w:rsidP="00FD4188">
            <w:pPr>
              <w:jc w:val="both"/>
              <w:rPr>
                <w:rFonts w:ascii="Arial" w:hAnsi="Arial" w:cs="Arial"/>
              </w:rPr>
            </w:pPr>
          </w:p>
        </w:tc>
      </w:tr>
      <w:tr w:rsidR="00C57465" w:rsidRPr="00A83116" w14:paraId="385AFE97" w14:textId="77777777" w:rsidTr="00D53CDE">
        <w:tc>
          <w:tcPr>
            <w:tcW w:w="959" w:type="dxa"/>
          </w:tcPr>
          <w:p w14:paraId="3BEDCB45" w14:textId="77777777" w:rsidR="00C57465" w:rsidRPr="00A83116" w:rsidRDefault="00C57465" w:rsidP="00C57465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2C9BEF28" w14:textId="77777777" w:rsidR="00C57465" w:rsidRPr="00A83116" w:rsidRDefault="00704437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New income generation suggestions include</w:t>
            </w:r>
            <w:r w:rsidR="00464923" w:rsidRPr="00A83116">
              <w:rPr>
                <w:rFonts w:ascii="Arial" w:hAnsi="Arial" w:cs="Arial"/>
              </w:rPr>
              <w:t xml:space="preserve"> (not exhaustive)</w:t>
            </w:r>
            <w:r w:rsidRPr="00A83116">
              <w:rPr>
                <w:rFonts w:ascii="Arial" w:hAnsi="Arial" w:cs="Arial"/>
              </w:rPr>
              <w:t>:</w:t>
            </w:r>
          </w:p>
          <w:p w14:paraId="7532AA3E" w14:textId="77777777" w:rsidR="00704437" w:rsidRPr="00A83116" w:rsidRDefault="00704437" w:rsidP="00FD4188">
            <w:pPr>
              <w:jc w:val="both"/>
              <w:rPr>
                <w:rFonts w:ascii="Arial" w:hAnsi="Arial" w:cs="Arial"/>
              </w:rPr>
            </w:pPr>
          </w:p>
          <w:p w14:paraId="33BA0F20" w14:textId="516DBFC1" w:rsidR="00704437" w:rsidRPr="00A83116" w:rsidRDefault="00704437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Combination tickets in visitor attractions – offering multiple activities on one ticket</w:t>
            </w:r>
          </w:p>
          <w:p w14:paraId="03E3092F" w14:textId="249015E2" w:rsidR="00704437" w:rsidRPr="00A83116" w:rsidRDefault="00704437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 xml:space="preserve">Sponsorship opportunities for various aspects of the charity – Youth </w:t>
            </w:r>
            <w:r w:rsidRPr="00A83116">
              <w:rPr>
                <w:rFonts w:ascii="Arial" w:hAnsi="Arial" w:cs="Arial"/>
                <w:sz w:val="24"/>
                <w:szCs w:val="24"/>
              </w:rPr>
              <w:lastRenderedPageBreak/>
              <w:t>Parliament Conference, Leadership Programme, l</w:t>
            </w:r>
            <w:r w:rsidR="00C87E7E">
              <w:rPr>
                <w:rFonts w:ascii="Arial" w:hAnsi="Arial" w:cs="Arial"/>
                <w:sz w:val="24"/>
                <w:szCs w:val="24"/>
              </w:rPr>
              <w:t>ocations/sites or parts thereof</w:t>
            </w:r>
          </w:p>
          <w:p w14:paraId="37E3F949" w14:textId="244C2868" w:rsidR="00704437" w:rsidRPr="00A83116" w:rsidRDefault="00704437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Int</w:t>
            </w:r>
            <w:r w:rsidR="00C87E7E">
              <w:rPr>
                <w:rFonts w:ascii="Arial" w:hAnsi="Arial" w:cs="Arial"/>
                <w:sz w:val="24"/>
                <w:szCs w:val="24"/>
              </w:rPr>
              <w:t xml:space="preserve">roduction of </w:t>
            </w:r>
            <w:proofErr w:type="spellStart"/>
            <w:r w:rsidR="00C87E7E">
              <w:rPr>
                <w:rFonts w:ascii="Arial" w:hAnsi="Arial" w:cs="Arial"/>
                <w:sz w:val="24"/>
                <w:szCs w:val="24"/>
              </w:rPr>
              <w:t>AirBnB</w:t>
            </w:r>
            <w:proofErr w:type="spellEnd"/>
            <w:r w:rsidR="00C87E7E">
              <w:rPr>
                <w:rFonts w:ascii="Arial" w:hAnsi="Arial" w:cs="Arial"/>
                <w:sz w:val="24"/>
                <w:szCs w:val="24"/>
              </w:rPr>
              <w:t xml:space="preserve"> experiences</w:t>
            </w:r>
          </w:p>
          <w:p w14:paraId="3FDF3B9D" w14:textId="18B6D634" w:rsidR="00704437" w:rsidRPr="00A83116" w:rsidRDefault="00704437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Increased donations targets in key services where not otherwise targeted</w:t>
            </w:r>
          </w:p>
          <w:p w14:paraId="71FEC48F" w14:textId="0E41E07B" w:rsidR="00704437" w:rsidRPr="00A83116" w:rsidRDefault="00704437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 xml:space="preserve">Paid for activities sessions in museums, archives and libraries </w:t>
            </w:r>
            <w:r w:rsidR="00C87E7E">
              <w:rPr>
                <w:rFonts w:ascii="Arial" w:hAnsi="Arial" w:cs="Arial"/>
                <w:sz w:val="24"/>
                <w:szCs w:val="24"/>
              </w:rPr>
              <w:t>(beyond the core free services)</w:t>
            </w:r>
          </w:p>
          <w:p w14:paraId="55C78993" w14:textId="0A7E39F0" w:rsidR="00704437" w:rsidRPr="00A83116" w:rsidRDefault="00704437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Sports Development opportunities offered by sports teams out of core sport</w:t>
            </w:r>
            <w:r w:rsidRPr="00A83116">
              <w:rPr>
                <w:rFonts w:ascii="Arial" w:hAnsi="Arial" w:cs="Arial"/>
                <w:b/>
                <w:sz w:val="24"/>
                <w:szCs w:val="24"/>
              </w:rPr>
              <w:t>scotland</w:t>
            </w:r>
            <w:r w:rsidR="00C87E7E">
              <w:rPr>
                <w:rFonts w:ascii="Arial" w:hAnsi="Arial" w:cs="Arial"/>
                <w:sz w:val="24"/>
                <w:szCs w:val="24"/>
              </w:rPr>
              <w:t xml:space="preserve"> funded proportions</w:t>
            </w:r>
          </w:p>
          <w:p w14:paraId="62F5AE55" w14:textId="2A56A1E3" w:rsidR="00704437" w:rsidRPr="00A83116" w:rsidRDefault="00704437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Botanic Gardens su</w:t>
            </w:r>
            <w:r w:rsidR="00C87E7E">
              <w:rPr>
                <w:rFonts w:ascii="Arial" w:hAnsi="Arial" w:cs="Arial"/>
                <w:sz w:val="24"/>
                <w:szCs w:val="24"/>
              </w:rPr>
              <w:t>bscription – monthly garden box</w:t>
            </w:r>
          </w:p>
          <w:p w14:paraId="062DDC3B" w14:textId="3F794D97" w:rsidR="00704437" w:rsidRPr="00A83116" w:rsidRDefault="00464923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 xml:space="preserve">Improved catering provision across sites </w:t>
            </w:r>
            <w:r w:rsidR="00C87E7E">
              <w:rPr>
                <w:rFonts w:ascii="Arial" w:hAnsi="Arial" w:cs="Arial"/>
                <w:sz w:val="24"/>
                <w:szCs w:val="24"/>
              </w:rPr>
              <w:t>not currently offering catering</w:t>
            </w:r>
          </w:p>
          <w:p w14:paraId="286685BF" w14:textId="10ADB751" w:rsidR="00464923" w:rsidRPr="00A83116" w:rsidRDefault="00464923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Promotional opportunities for site managers to be able to highlight areas of the business with growth</w:t>
            </w:r>
            <w:r w:rsidR="00C87E7E">
              <w:rPr>
                <w:rFonts w:ascii="Arial" w:hAnsi="Arial" w:cs="Arial"/>
                <w:sz w:val="24"/>
                <w:szCs w:val="24"/>
              </w:rPr>
              <w:t xml:space="preserve"> opportunity (on a local basis)</w:t>
            </w:r>
          </w:p>
          <w:p w14:paraId="0025C0B7" w14:textId="040301E5" w:rsidR="00464923" w:rsidRPr="00A83116" w:rsidRDefault="00464923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 xml:space="preserve">Introduction of new group-fitness/personal fitness </w:t>
            </w:r>
            <w:r w:rsidR="00C87E7E">
              <w:rPr>
                <w:rFonts w:ascii="Arial" w:hAnsi="Arial" w:cs="Arial"/>
                <w:sz w:val="24"/>
                <w:szCs w:val="24"/>
              </w:rPr>
              <w:t>programmes</w:t>
            </w:r>
          </w:p>
          <w:p w14:paraId="435ED52B" w14:textId="153054AC" w:rsidR="00464923" w:rsidRPr="00A83116" w:rsidRDefault="00464923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 xml:space="preserve">Experience days at </w:t>
            </w:r>
            <w:r w:rsidR="00C87E7E">
              <w:rPr>
                <w:rFonts w:ascii="Arial" w:hAnsi="Arial" w:cs="Arial"/>
                <w:sz w:val="24"/>
                <w:szCs w:val="24"/>
              </w:rPr>
              <w:t>museums, archives and libraries</w:t>
            </w:r>
          </w:p>
          <w:p w14:paraId="28249E4D" w14:textId="2CC11BE7" w:rsidR="00464923" w:rsidRPr="00A83116" w:rsidRDefault="00464923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Themed birthday parties and corporate events in librari</w:t>
            </w:r>
            <w:r w:rsidR="00C87E7E">
              <w:rPr>
                <w:rFonts w:ascii="Arial" w:hAnsi="Arial" w:cs="Arial"/>
                <w:sz w:val="24"/>
                <w:szCs w:val="24"/>
              </w:rPr>
              <w:t>es, museums and archive centres</w:t>
            </w:r>
          </w:p>
          <w:p w14:paraId="1FD9C35F" w14:textId="77777777" w:rsidR="00464923" w:rsidRPr="00A83116" w:rsidRDefault="00464923" w:rsidP="00704437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3116">
              <w:rPr>
                <w:rFonts w:ascii="Arial" w:hAnsi="Arial" w:cs="Arial"/>
                <w:sz w:val="24"/>
                <w:szCs w:val="24"/>
              </w:rPr>
              <w:t>HLH presence at high footfall events such as Piping Inverness/</w:t>
            </w:r>
            <w:proofErr w:type="spellStart"/>
            <w:r w:rsidRPr="00A83116">
              <w:rPr>
                <w:rFonts w:ascii="Arial" w:hAnsi="Arial" w:cs="Arial"/>
                <w:sz w:val="24"/>
                <w:szCs w:val="24"/>
              </w:rPr>
              <w:t>Belladrum</w:t>
            </w:r>
            <w:proofErr w:type="spellEnd"/>
            <w:r w:rsidRPr="00A83116">
              <w:rPr>
                <w:rFonts w:ascii="Arial" w:hAnsi="Arial" w:cs="Arial"/>
                <w:sz w:val="24"/>
                <w:szCs w:val="24"/>
              </w:rPr>
              <w:t xml:space="preserve"> to promote and sell services and/or charge for HLH to offer services to these events et</w:t>
            </w:r>
            <w:bookmarkStart w:id="0" w:name="_GoBack"/>
            <w:bookmarkEnd w:id="0"/>
            <w:r w:rsidRPr="00A83116">
              <w:rPr>
                <w:rFonts w:ascii="Arial" w:hAnsi="Arial" w:cs="Arial"/>
                <w:sz w:val="24"/>
                <w:szCs w:val="24"/>
              </w:rPr>
              <w:t>c.</w:t>
            </w:r>
          </w:p>
          <w:p w14:paraId="0028CD5C" w14:textId="77777777" w:rsidR="00464923" w:rsidRPr="00A83116" w:rsidRDefault="00464923" w:rsidP="00464923">
            <w:pPr>
              <w:jc w:val="both"/>
              <w:rPr>
                <w:rFonts w:ascii="Arial" w:hAnsi="Arial" w:cs="Arial"/>
              </w:rPr>
            </w:pPr>
          </w:p>
        </w:tc>
      </w:tr>
      <w:tr w:rsidR="00464923" w:rsidRPr="00A83116" w14:paraId="30F79B49" w14:textId="77777777" w:rsidTr="00D53CDE">
        <w:tc>
          <w:tcPr>
            <w:tcW w:w="959" w:type="dxa"/>
          </w:tcPr>
          <w:p w14:paraId="15E5BB3B" w14:textId="77777777" w:rsidR="00464923" w:rsidRPr="00A83116" w:rsidRDefault="00464923" w:rsidP="00C57465">
            <w:pPr>
              <w:pStyle w:val="NoSpacing"/>
              <w:numPr>
                <w:ilvl w:val="1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3BE47DB4" w14:textId="77777777" w:rsidR="00463517" w:rsidRDefault="00464923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Considerations will be given to the resources required to deliver the above initiatives to ensure that any developments are costed and generate </w:t>
            </w:r>
            <w:r w:rsidR="003940E3" w:rsidRPr="00A83116">
              <w:rPr>
                <w:rFonts w:ascii="Arial" w:hAnsi="Arial" w:cs="Arial"/>
              </w:rPr>
              <w:t>appropriate</w:t>
            </w:r>
            <w:r w:rsidRPr="00A83116">
              <w:rPr>
                <w:rFonts w:ascii="Arial" w:hAnsi="Arial" w:cs="Arial"/>
              </w:rPr>
              <w:t xml:space="preserve"> surpluses to make the initiative worthwhile.</w:t>
            </w:r>
            <w:r w:rsidR="00463517">
              <w:rPr>
                <w:rFonts w:ascii="Arial" w:hAnsi="Arial" w:cs="Arial"/>
              </w:rPr>
              <w:t xml:space="preserve"> </w:t>
            </w:r>
          </w:p>
          <w:p w14:paraId="5AF05C38" w14:textId="77777777" w:rsidR="00463517" w:rsidRDefault="00463517" w:rsidP="00FD4188">
            <w:pPr>
              <w:jc w:val="both"/>
              <w:rPr>
                <w:rFonts w:ascii="Arial" w:hAnsi="Arial" w:cs="Arial"/>
              </w:rPr>
            </w:pPr>
          </w:p>
          <w:p w14:paraId="294C762A" w14:textId="6CA762C5" w:rsidR="00464923" w:rsidRPr="00A83116" w:rsidRDefault="00463517" w:rsidP="00FD41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Once evaluated, formal proposals will be presented to the Charity Board as part of the 2020/21 budget planning process. </w:t>
            </w:r>
          </w:p>
          <w:p w14:paraId="755DF7C8" w14:textId="77777777" w:rsidR="00464923" w:rsidRPr="00A83116" w:rsidRDefault="00464923" w:rsidP="00FD4188">
            <w:pPr>
              <w:jc w:val="both"/>
              <w:rPr>
                <w:rFonts w:ascii="Arial" w:hAnsi="Arial" w:cs="Arial"/>
              </w:rPr>
            </w:pPr>
          </w:p>
        </w:tc>
      </w:tr>
      <w:tr w:rsidR="00464923" w:rsidRPr="00A83116" w14:paraId="52A4087B" w14:textId="77777777" w:rsidTr="00D53CDE">
        <w:tc>
          <w:tcPr>
            <w:tcW w:w="959" w:type="dxa"/>
          </w:tcPr>
          <w:p w14:paraId="260CFB17" w14:textId="77777777" w:rsidR="00464923" w:rsidRPr="00A83116" w:rsidRDefault="00464923" w:rsidP="00464923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5B096457" w14:textId="77777777" w:rsidR="00464923" w:rsidRPr="00A83116" w:rsidRDefault="00464923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  <w:b/>
              </w:rPr>
              <w:t>Implications</w:t>
            </w:r>
          </w:p>
          <w:p w14:paraId="125B4649" w14:textId="77777777" w:rsidR="00464923" w:rsidRPr="00A83116" w:rsidRDefault="00464923" w:rsidP="00FD4188">
            <w:pPr>
              <w:jc w:val="both"/>
              <w:rPr>
                <w:rFonts w:ascii="Arial" w:hAnsi="Arial" w:cs="Arial"/>
              </w:rPr>
            </w:pPr>
          </w:p>
        </w:tc>
      </w:tr>
      <w:tr w:rsidR="00464923" w:rsidRPr="00A83116" w14:paraId="791F80C2" w14:textId="77777777" w:rsidTr="00D53CDE">
        <w:tc>
          <w:tcPr>
            <w:tcW w:w="959" w:type="dxa"/>
          </w:tcPr>
          <w:p w14:paraId="79E625BB" w14:textId="77777777" w:rsidR="00464923" w:rsidRPr="00A83116" w:rsidRDefault="00464923" w:rsidP="00D53CDE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0D4268FA" w14:textId="77777777" w:rsidR="00464923" w:rsidRPr="00A83116" w:rsidRDefault="00464923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Resource implications – there may be financial and human resource implications arising from the recommendations of this report. However, these will be duly considered with a cost/benefit analysis to any resources required.</w:t>
            </w:r>
          </w:p>
          <w:p w14:paraId="47C203FB" w14:textId="77777777" w:rsidR="00464923" w:rsidRPr="00A83116" w:rsidRDefault="00464923" w:rsidP="00FD4188">
            <w:pPr>
              <w:jc w:val="both"/>
              <w:rPr>
                <w:rFonts w:ascii="Arial" w:hAnsi="Arial" w:cs="Arial"/>
              </w:rPr>
            </w:pPr>
          </w:p>
        </w:tc>
      </w:tr>
      <w:tr w:rsidR="00464923" w:rsidRPr="00A83116" w14:paraId="620D2D2C" w14:textId="77777777" w:rsidTr="00D53CDE">
        <w:tc>
          <w:tcPr>
            <w:tcW w:w="959" w:type="dxa"/>
          </w:tcPr>
          <w:p w14:paraId="489B84BE" w14:textId="77777777" w:rsidR="00464923" w:rsidRPr="00A83116" w:rsidRDefault="00464923" w:rsidP="00D53CDE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11404704" w14:textId="77777777" w:rsidR="00464923" w:rsidRPr="00A83116" w:rsidRDefault="00464923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Legal implications – there are no new legal implications arising from the recommendations in this report.</w:t>
            </w:r>
          </w:p>
          <w:p w14:paraId="69F11DB2" w14:textId="77777777" w:rsidR="00464923" w:rsidRPr="00A83116" w:rsidRDefault="00464923" w:rsidP="00FD4188">
            <w:pPr>
              <w:jc w:val="both"/>
              <w:rPr>
                <w:rFonts w:ascii="Arial" w:hAnsi="Arial" w:cs="Arial"/>
              </w:rPr>
            </w:pPr>
          </w:p>
        </w:tc>
      </w:tr>
      <w:tr w:rsidR="00464923" w:rsidRPr="00A83116" w14:paraId="77A80422" w14:textId="77777777" w:rsidTr="00D53CDE">
        <w:tc>
          <w:tcPr>
            <w:tcW w:w="959" w:type="dxa"/>
          </w:tcPr>
          <w:p w14:paraId="2E8AE653" w14:textId="77777777" w:rsidR="00464923" w:rsidRPr="00A83116" w:rsidRDefault="00464923" w:rsidP="00D53CDE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21B2C2DD" w14:textId="77777777" w:rsidR="00464923" w:rsidRPr="00A83116" w:rsidRDefault="00464923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Equality implications </w:t>
            </w:r>
            <w:r w:rsidR="003940E3" w:rsidRPr="00A83116">
              <w:rPr>
                <w:rFonts w:ascii="Arial" w:hAnsi="Arial" w:cs="Arial"/>
              </w:rPr>
              <w:t>–</w:t>
            </w:r>
            <w:r w:rsidRPr="00A83116">
              <w:rPr>
                <w:rFonts w:ascii="Arial" w:hAnsi="Arial" w:cs="Arial"/>
              </w:rPr>
              <w:t xml:space="preserve"> </w:t>
            </w:r>
            <w:r w:rsidR="003940E3" w:rsidRPr="00A83116">
              <w:rPr>
                <w:rFonts w:ascii="Arial" w:hAnsi="Arial" w:cs="Arial"/>
              </w:rPr>
              <w:t>there are no new equality implications arising from the recommendations of this report.</w:t>
            </w:r>
          </w:p>
          <w:p w14:paraId="61EA616A" w14:textId="77777777" w:rsidR="003940E3" w:rsidRPr="00A83116" w:rsidRDefault="003940E3" w:rsidP="00FD4188">
            <w:pPr>
              <w:jc w:val="both"/>
              <w:rPr>
                <w:rFonts w:ascii="Arial" w:hAnsi="Arial" w:cs="Arial"/>
              </w:rPr>
            </w:pPr>
          </w:p>
        </w:tc>
      </w:tr>
      <w:tr w:rsidR="003940E3" w:rsidRPr="00A83116" w14:paraId="2C6FA847" w14:textId="77777777" w:rsidTr="00D53CDE">
        <w:tc>
          <w:tcPr>
            <w:tcW w:w="959" w:type="dxa"/>
          </w:tcPr>
          <w:p w14:paraId="03B38A63" w14:textId="77777777" w:rsidR="003940E3" w:rsidRPr="00A83116" w:rsidRDefault="003940E3" w:rsidP="00D53CDE">
            <w:pPr>
              <w:pStyle w:val="NoSpacing"/>
              <w:numPr>
                <w:ilvl w:val="1"/>
                <w:numId w:val="1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8777" w:type="dxa"/>
          </w:tcPr>
          <w:p w14:paraId="19D09929" w14:textId="77777777" w:rsidR="003940E3" w:rsidRPr="00A83116" w:rsidRDefault="003940E3" w:rsidP="00FD4188">
            <w:pPr>
              <w:jc w:val="both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>Risk implications – there are no new risks arising from the recommendations of this report at this stage.</w:t>
            </w:r>
          </w:p>
          <w:p w14:paraId="72907F46" w14:textId="77777777" w:rsidR="003940E3" w:rsidRPr="00A83116" w:rsidRDefault="003940E3" w:rsidP="00FD4188">
            <w:pPr>
              <w:jc w:val="both"/>
              <w:rPr>
                <w:rFonts w:ascii="Arial" w:hAnsi="Arial" w:cs="Arial"/>
              </w:rPr>
            </w:pPr>
          </w:p>
        </w:tc>
      </w:tr>
    </w:tbl>
    <w:p w14:paraId="52976B68" w14:textId="77777777" w:rsidR="00B6521A" w:rsidRPr="00A83116" w:rsidRDefault="00B6521A" w:rsidP="00B6521A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940E3" w:rsidRPr="00A83116" w14:paraId="14122ABB" w14:textId="77777777" w:rsidTr="003940E3">
        <w:tc>
          <w:tcPr>
            <w:tcW w:w="9736" w:type="dxa"/>
          </w:tcPr>
          <w:p w14:paraId="160056CA" w14:textId="77777777" w:rsidR="003940E3" w:rsidRPr="00A83116" w:rsidRDefault="003940E3" w:rsidP="00B6521A">
            <w:pPr>
              <w:pStyle w:val="NoSpacing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  <w:b/>
              </w:rPr>
              <w:t>Recommendation</w:t>
            </w:r>
          </w:p>
          <w:p w14:paraId="260E4D57" w14:textId="77777777" w:rsidR="003940E3" w:rsidRPr="00A83116" w:rsidRDefault="003940E3" w:rsidP="00B6521A">
            <w:pPr>
              <w:pStyle w:val="NoSpacing"/>
              <w:rPr>
                <w:rFonts w:ascii="Arial" w:hAnsi="Arial" w:cs="Arial"/>
              </w:rPr>
            </w:pPr>
          </w:p>
          <w:p w14:paraId="7217E19A" w14:textId="77777777" w:rsidR="00D53CDE" w:rsidRPr="00A83116" w:rsidRDefault="00D53CDE" w:rsidP="00D53CDE">
            <w:pPr>
              <w:pStyle w:val="NoSpacing"/>
              <w:rPr>
                <w:rFonts w:ascii="Arial" w:hAnsi="Arial" w:cs="Arial"/>
              </w:rPr>
            </w:pPr>
            <w:r w:rsidRPr="00A83116">
              <w:rPr>
                <w:rFonts w:ascii="Arial" w:hAnsi="Arial" w:cs="Arial"/>
              </w:rPr>
              <w:t xml:space="preserve">Directors are asked to </w:t>
            </w:r>
            <w:r>
              <w:rPr>
                <w:rFonts w:ascii="Arial" w:hAnsi="Arial" w:cs="Arial"/>
              </w:rPr>
              <w:t xml:space="preserve">comment on and </w:t>
            </w:r>
            <w:r w:rsidRPr="00A83116">
              <w:rPr>
                <w:rFonts w:ascii="Arial" w:hAnsi="Arial" w:cs="Arial"/>
              </w:rPr>
              <w:t>note the content of the report and the preparatory work that has been un</w:t>
            </w:r>
            <w:r>
              <w:rPr>
                <w:rFonts w:ascii="Arial" w:hAnsi="Arial" w:cs="Arial"/>
              </w:rPr>
              <w:t>dertaken on the pricing reviews.</w:t>
            </w:r>
          </w:p>
          <w:p w14:paraId="2A2622CF" w14:textId="77777777" w:rsidR="003940E3" w:rsidRPr="00A83116" w:rsidRDefault="003940E3" w:rsidP="00D53CD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7FDFF02" w14:textId="77777777" w:rsidR="003940E3" w:rsidRPr="00A83116" w:rsidRDefault="003940E3" w:rsidP="003940E3">
      <w:pPr>
        <w:pStyle w:val="NoSpacing"/>
        <w:rPr>
          <w:rFonts w:ascii="Arial" w:hAnsi="Arial" w:cs="Arial"/>
        </w:rPr>
      </w:pPr>
    </w:p>
    <w:p w14:paraId="062CB69D" w14:textId="77777777" w:rsidR="003940E3" w:rsidRPr="00A83116" w:rsidRDefault="003940E3" w:rsidP="003940E3">
      <w:pPr>
        <w:pStyle w:val="NoSpacing"/>
        <w:rPr>
          <w:rFonts w:ascii="Arial" w:hAnsi="Arial" w:cs="Arial"/>
        </w:rPr>
      </w:pPr>
    </w:p>
    <w:p w14:paraId="7C665210" w14:textId="77777777" w:rsidR="003940E3" w:rsidRPr="00A83116" w:rsidRDefault="003940E3" w:rsidP="003940E3">
      <w:pPr>
        <w:pStyle w:val="NoSpacing"/>
        <w:rPr>
          <w:rFonts w:ascii="Arial" w:hAnsi="Arial" w:cs="Arial"/>
        </w:rPr>
      </w:pPr>
      <w:r w:rsidRPr="00A83116">
        <w:rPr>
          <w:rFonts w:ascii="Arial" w:hAnsi="Arial" w:cs="Arial"/>
          <w:b/>
        </w:rPr>
        <w:t xml:space="preserve">Designation: </w:t>
      </w:r>
      <w:r w:rsidRPr="00A83116">
        <w:rPr>
          <w:rFonts w:ascii="Arial" w:hAnsi="Arial" w:cs="Arial"/>
          <w:b/>
        </w:rPr>
        <w:tab/>
      </w:r>
      <w:r w:rsidRPr="00A83116">
        <w:rPr>
          <w:rFonts w:ascii="Arial" w:hAnsi="Arial" w:cs="Arial"/>
        </w:rPr>
        <w:t>Chief Executive</w:t>
      </w:r>
    </w:p>
    <w:p w14:paraId="7C673661" w14:textId="77777777" w:rsidR="003940E3" w:rsidRPr="00A83116" w:rsidRDefault="003940E3" w:rsidP="003940E3">
      <w:pPr>
        <w:pStyle w:val="NoSpacing"/>
        <w:rPr>
          <w:rFonts w:ascii="Arial" w:hAnsi="Arial" w:cs="Arial"/>
          <w:b/>
        </w:rPr>
      </w:pPr>
    </w:p>
    <w:p w14:paraId="35A95CCC" w14:textId="3F7A369F" w:rsidR="003940E3" w:rsidRPr="00D53CDE" w:rsidRDefault="003940E3" w:rsidP="003940E3">
      <w:pPr>
        <w:pStyle w:val="NoSpacing"/>
        <w:rPr>
          <w:rFonts w:ascii="Arial" w:hAnsi="Arial" w:cs="Arial"/>
        </w:rPr>
      </w:pPr>
      <w:r w:rsidRPr="00A83116">
        <w:rPr>
          <w:rFonts w:ascii="Arial" w:hAnsi="Arial" w:cs="Arial"/>
          <w:b/>
        </w:rPr>
        <w:t>Date:</w:t>
      </w:r>
      <w:r w:rsidRPr="00A83116">
        <w:rPr>
          <w:rFonts w:ascii="Arial" w:hAnsi="Arial" w:cs="Arial"/>
          <w:b/>
        </w:rPr>
        <w:tab/>
      </w:r>
      <w:r w:rsidRPr="00A83116">
        <w:rPr>
          <w:rFonts w:ascii="Arial" w:hAnsi="Arial" w:cs="Arial"/>
          <w:b/>
        </w:rPr>
        <w:tab/>
      </w:r>
      <w:r w:rsidRPr="00A83116">
        <w:rPr>
          <w:rFonts w:ascii="Arial" w:hAnsi="Arial" w:cs="Arial"/>
          <w:b/>
        </w:rPr>
        <w:tab/>
      </w:r>
      <w:r w:rsidRPr="00A83116">
        <w:rPr>
          <w:rFonts w:ascii="Arial" w:hAnsi="Arial" w:cs="Arial"/>
        </w:rPr>
        <w:t>27 November 2019</w:t>
      </w:r>
    </w:p>
    <w:sectPr w:rsidR="003940E3" w:rsidRPr="00D53CDE" w:rsidSect="0008384A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181"/>
    <w:multiLevelType w:val="hybridMultilevel"/>
    <w:tmpl w:val="DD8273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E176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832D67"/>
    <w:multiLevelType w:val="hybridMultilevel"/>
    <w:tmpl w:val="EC448E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E3307"/>
    <w:multiLevelType w:val="hybridMultilevel"/>
    <w:tmpl w:val="AF04A9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9116F"/>
    <w:multiLevelType w:val="hybridMultilevel"/>
    <w:tmpl w:val="E0C2075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316A7"/>
    <w:multiLevelType w:val="hybridMultilevel"/>
    <w:tmpl w:val="87461D6A"/>
    <w:lvl w:ilvl="0" w:tplc="F42E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27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F2E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27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741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2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2C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41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EA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7E51D4E"/>
    <w:multiLevelType w:val="hybridMultilevel"/>
    <w:tmpl w:val="DA2A24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B2F8F"/>
    <w:multiLevelType w:val="hybridMultilevel"/>
    <w:tmpl w:val="6F547F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F3CA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196A12"/>
    <w:multiLevelType w:val="hybridMultilevel"/>
    <w:tmpl w:val="E9E46D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345C3A"/>
    <w:multiLevelType w:val="hybridMultilevel"/>
    <w:tmpl w:val="DB1422F8"/>
    <w:lvl w:ilvl="0" w:tplc="06D0D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7E6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2A3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2C18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8CDD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8A2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A6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AB5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BE9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D2E7D"/>
    <w:multiLevelType w:val="multilevel"/>
    <w:tmpl w:val="AC7A45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FA25F30"/>
    <w:multiLevelType w:val="hybridMultilevel"/>
    <w:tmpl w:val="222A02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0521C"/>
    <w:multiLevelType w:val="hybridMultilevel"/>
    <w:tmpl w:val="619E3F16"/>
    <w:lvl w:ilvl="0" w:tplc="BDBA2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F0F9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5AD8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2CF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296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0CE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E2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169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4E0C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45750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</w:lvl>
    <w:lvl w:ilvl="1" w:tplc="08090019">
      <w:start w:val="1"/>
      <w:numFmt w:val="lowerLetter"/>
      <w:lvlText w:val="%2."/>
      <w:lvlJc w:val="left"/>
      <w:pPr>
        <w:ind w:left="1539" w:hanging="360"/>
      </w:pPr>
    </w:lvl>
    <w:lvl w:ilvl="2" w:tplc="0809001B">
      <w:start w:val="1"/>
      <w:numFmt w:val="lowerRoman"/>
      <w:lvlText w:val="%3."/>
      <w:lvlJc w:val="right"/>
      <w:pPr>
        <w:ind w:left="2259" w:hanging="180"/>
      </w:pPr>
    </w:lvl>
    <w:lvl w:ilvl="3" w:tplc="0809000F">
      <w:start w:val="1"/>
      <w:numFmt w:val="decimal"/>
      <w:lvlText w:val="%4."/>
      <w:lvlJc w:val="left"/>
      <w:pPr>
        <w:ind w:left="2979" w:hanging="360"/>
      </w:pPr>
    </w:lvl>
    <w:lvl w:ilvl="4" w:tplc="08090019">
      <w:start w:val="1"/>
      <w:numFmt w:val="lowerLetter"/>
      <w:lvlText w:val="%5."/>
      <w:lvlJc w:val="left"/>
      <w:pPr>
        <w:ind w:left="3699" w:hanging="360"/>
      </w:pPr>
    </w:lvl>
    <w:lvl w:ilvl="5" w:tplc="0809001B">
      <w:start w:val="1"/>
      <w:numFmt w:val="lowerRoman"/>
      <w:lvlText w:val="%6."/>
      <w:lvlJc w:val="right"/>
      <w:pPr>
        <w:ind w:left="4419" w:hanging="180"/>
      </w:pPr>
    </w:lvl>
    <w:lvl w:ilvl="6" w:tplc="0809000F">
      <w:start w:val="1"/>
      <w:numFmt w:val="decimal"/>
      <w:lvlText w:val="%7."/>
      <w:lvlJc w:val="left"/>
      <w:pPr>
        <w:ind w:left="5139" w:hanging="360"/>
      </w:pPr>
    </w:lvl>
    <w:lvl w:ilvl="7" w:tplc="08090019">
      <w:start w:val="1"/>
      <w:numFmt w:val="lowerLetter"/>
      <w:lvlText w:val="%8."/>
      <w:lvlJc w:val="left"/>
      <w:pPr>
        <w:ind w:left="5859" w:hanging="360"/>
      </w:pPr>
    </w:lvl>
    <w:lvl w:ilvl="8" w:tplc="0809001B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</w:num>
  <w:num w:numId="5">
    <w:abstractNumId w:val="6"/>
  </w:num>
  <w:num w:numId="6">
    <w:abstractNumId w:val="12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1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1A"/>
    <w:rsid w:val="00001016"/>
    <w:rsid w:val="00044C06"/>
    <w:rsid w:val="0008384A"/>
    <w:rsid w:val="000D4EC5"/>
    <w:rsid w:val="00117446"/>
    <w:rsid w:val="00136594"/>
    <w:rsid w:val="003037E5"/>
    <w:rsid w:val="003713C1"/>
    <w:rsid w:val="003940E3"/>
    <w:rsid w:val="00463517"/>
    <w:rsid w:val="00464923"/>
    <w:rsid w:val="005430ED"/>
    <w:rsid w:val="00547C9E"/>
    <w:rsid w:val="00563CD4"/>
    <w:rsid w:val="00633802"/>
    <w:rsid w:val="0069472D"/>
    <w:rsid w:val="00704437"/>
    <w:rsid w:val="0075603C"/>
    <w:rsid w:val="00760EE3"/>
    <w:rsid w:val="00A83116"/>
    <w:rsid w:val="00B22D41"/>
    <w:rsid w:val="00B6521A"/>
    <w:rsid w:val="00B92251"/>
    <w:rsid w:val="00C57465"/>
    <w:rsid w:val="00C87E7E"/>
    <w:rsid w:val="00CD3379"/>
    <w:rsid w:val="00D53CDE"/>
    <w:rsid w:val="00D9178A"/>
    <w:rsid w:val="00DB00D0"/>
    <w:rsid w:val="00E672E0"/>
    <w:rsid w:val="00EC3F6F"/>
    <w:rsid w:val="00F869DE"/>
    <w:rsid w:val="00F87AC5"/>
    <w:rsid w:val="00FD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9B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21A"/>
    <w:pPr>
      <w:spacing w:after="0" w:line="240" w:lineRule="auto"/>
    </w:pPr>
  </w:style>
  <w:style w:type="table" w:styleId="TableGrid">
    <w:name w:val="Table Grid"/>
    <w:basedOn w:val="TableNormal"/>
    <w:uiPriority w:val="39"/>
    <w:rsid w:val="00B6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652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B6521A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6521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7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21A"/>
    <w:pPr>
      <w:spacing w:after="0" w:line="240" w:lineRule="auto"/>
    </w:pPr>
  </w:style>
  <w:style w:type="table" w:styleId="TableGrid">
    <w:name w:val="Table Grid"/>
    <w:basedOn w:val="TableNormal"/>
    <w:uiPriority w:val="39"/>
    <w:rsid w:val="00B6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652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B6521A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6521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7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01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27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31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Martin</dc:creator>
  <cp:keywords/>
  <dc:description/>
  <cp:lastModifiedBy>Jackie MacKenzie - ECS</cp:lastModifiedBy>
  <cp:revision>10</cp:revision>
  <dcterms:created xsi:type="dcterms:W3CDTF">2019-11-27T19:27:00Z</dcterms:created>
  <dcterms:modified xsi:type="dcterms:W3CDTF">2019-12-02T12:32:00Z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791650481</vt:i4>
  </property>
  <property fmtid="{D5CDD505-2E9C-101B-9397-08002B2CF9AE}" pid="3" name="_NewReviewCycle">
    <vt:lpwstr/>
  </property>
  <property fmtid="{D5CDD505-2E9C-101B-9397-08002B2CF9AE}" pid="4" name="_EmailSubject">
    <vt:lpwstr>hlh board agenda and reports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7" name="_PreviousAdHocReviewCycleID">
    <vt:i4>791650481</vt:i4>
  </property>
</Properties>
</file>