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76" w:type="dxa"/>
        <w:tblLayout w:type="fixed"/>
        <w:tblLook w:val="0000" w:firstRow="0" w:lastRow="0" w:firstColumn="0" w:lastColumn="0" w:noHBand="0" w:noVBand="0"/>
      </w:tblPr>
      <w:tblGrid>
        <w:gridCol w:w="6380"/>
        <w:gridCol w:w="3685"/>
      </w:tblGrid>
      <w:tr w:rsidR="00BD0989" w:rsidRPr="004F7045" w14:paraId="520774EF" w14:textId="77777777" w:rsidTr="00C6209A">
        <w:trPr>
          <w:cantSplit/>
          <w:trHeight w:val="992"/>
        </w:trPr>
        <w:tc>
          <w:tcPr>
            <w:tcW w:w="6380" w:type="dxa"/>
          </w:tcPr>
          <w:p w14:paraId="75567CC2" w14:textId="77777777" w:rsidR="00BD0989" w:rsidRPr="004F7045" w:rsidRDefault="00BD0989" w:rsidP="00D30A72">
            <w:pPr>
              <w:pStyle w:val="BodyText"/>
              <w:jc w:val="left"/>
              <w:rPr>
                <w:rFonts w:ascii="Arial" w:hAnsi="Arial" w:cs="Arial"/>
                <w:szCs w:val="24"/>
              </w:rPr>
            </w:pPr>
            <w:r w:rsidRPr="004F7045">
              <w:rPr>
                <w:rFonts w:ascii="Arial" w:hAnsi="Arial" w:cs="Arial"/>
                <w:szCs w:val="24"/>
              </w:rPr>
              <w:t xml:space="preserve">HIGH LIFE HIGHLAND </w:t>
            </w:r>
          </w:p>
          <w:p w14:paraId="59AAF3A5" w14:textId="77777777" w:rsidR="007E1E04" w:rsidRPr="006C758B" w:rsidRDefault="007E1E04" w:rsidP="007E1E04">
            <w:pPr>
              <w:pStyle w:val="BodyText"/>
              <w:jc w:val="left"/>
              <w:rPr>
                <w:rFonts w:ascii="Arial" w:hAnsi="Arial" w:cs="Arial"/>
                <w:szCs w:val="24"/>
              </w:rPr>
            </w:pPr>
            <w:r w:rsidRPr="006C758B">
              <w:rPr>
                <w:rFonts w:ascii="Arial" w:hAnsi="Arial" w:cs="Arial"/>
                <w:szCs w:val="24"/>
              </w:rPr>
              <w:t>REPORT TO BOARD OF DIRECTORS</w:t>
            </w:r>
          </w:p>
          <w:p w14:paraId="35FC317B" w14:textId="0E51D64A" w:rsidR="00BD0989" w:rsidRPr="004F7045" w:rsidRDefault="007E1E04" w:rsidP="007E1E04">
            <w:pPr>
              <w:pStyle w:val="BodyText"/>
              <w:jc w:val="left"/>
              <w:rPr>
                <w:rFonts w:ascii="Arial" w:hAnsi="Arial" w:cs="Arial"/>
                <w:szCs w:val="24"/>
              </w:rPr>
            </w:pPr>
            <w:r>
              <w:rPr>
                <w:rFonts w:ascii="Arial" w:hAnsi="Arial" w:cs="Arial"/>
                <w:szCs w:val="24"/>
              </w:rPr>
              <w:t>11 December 2019</w:t>
            </w:r>
            <w:r w:rsidR="00BD0989" w:rsidRPr="004F7045">
              <w:rPr>
                <w:rFonts w:ascii="Arial" w:hAnsi="Arial" w:cs="Arial"/>
                <w:szCs w:val="24"/>
              </w:rPr>
              <w:fldChar w:fldCharType="begin"/>
            </w:r>
            <w:r w:rsidR="00BD0989" w:rsidRPr="004F7045">
              <w:rPr>
                <w:rFonts w:ascii="Arial" w:hAnsi="Arial" w:cs="Arial"/>
                <w:szCs w:val="24"/>
              </w:rPr>
              <w:instrText xml:space="preserve">  </w:instrText>
            </w:r>
            <w:r w:rsidR="00BD0989" w:rsidRPr="004F7045">
              <w:rPr>
                <w:rFonts w:ascii="Arial" w:hAnsi="Arial" w:cs="Arial"/>
                <w:szCs w:val="24"/>
              </w:rPr>
              <w:fldChar w:fldCharType="end"/>
            </w:r>
          </w:p>
        </w:tc>
        <w:tc>
          <w:tcPr>
            <w:tcW w:w="3685" w:type="dxa"/>
          </w:tcPr>
          <w:p w14:paraId="27030112" w14:textId="1B21461A" w:rsidR="00BD0989" w:rsidRPr="00A11547" w:rsidRDefault="00BD0989" w:rsidP="00D30A72">
            <w:pPr>
              <w:ind w:left="-108"/>
              <w:rPr>
                <w:rFonts w:ascii="Arial" w:hAnsi="Arial" w:cs="Arial"/>
                <w:szCs w:val="24"/>
              </w:rPr>
            </w:pPr>
            <w:r w:rsidRPr="004F7045">
              <w:rPr>
                <w:rFonts w:ascii="Arial" w:hAnsi="Arial" w:cs="Arial"/>
                <w:szCs w:val="24"/>
              </w:rPr>
              <w:t xml:space="preserve">AGENDA </w:t>
            </w:r>
            <w:r w:rsidRPr="00A11547">
              <w:rPr>
                <w:rFonts w:ascii="Arial" w:hAnsi="Arial" w:cs="Arial"/>
                <w:szCs w:val="24"/>
              </w:rPr>
              <w:t xml:space="preserve">ITEM </w:t>
            </w:r>
          </w:p>
          <w:p w14:paraId="394CCAA9" w14:textId="5345419A" w:rsidR="00BD0989" w:rsidRPr="004F7045" w:rsidRDefault="00AE19E4" w:rsidP="00451F55">
            <w:pPr>
              <w:ind w:left="-108"/>
              <w:rPr>
                <w:rFonts w:ascii="Arial" w:hAnsi="Arial" w:cs="Arial"/>
                <w:szCs w:val="24"/>
              </w:rPr>
            </w:pPr>
            <w:r>
              <w:rPr>
                <w:rFonts w:ascii="Arial" w:hAnsi="Arial" w:cs="Arial"/>
                <w:szCs w:val="24"/>
              </w:rPr>
              <w:t>REPORT No HLH</w:t>
            </w:r>
            <w:r w:rsidR="00BD0989" w:rsidRPr="00A11547">
              <w:rPr>
                <w:rFonts w:ascii="Arial" w:hAnsi="Arial" w:cs="Arial"/>
                <w:szCs w:val="24"/>
              </w:rPr>
              <w:t>/</w:t>
            </w:r>
            <w:r w:rsidR="007E5311" w:rsidRPr="00A11547">
              <w:rPr>
                <w:rFonts w:ascii="Arial" w:hAnsi="Arial" w:cs="Arial"/>
                <w:szCs w:val="24"/>
              </w:rPr>
              <w:t xml:space="preserve">   </w:t>
            </w:r>
            <w:r w:rsidR="00BD0989" w:rsidRPr="00A11547">
              <w:rPr>
                <w:rFonts w:ascii="Arial" w:hAnsi="Arial" w:cs="Arial"/>
                <w:szCs w:val="24"/>
              </w:rPr>
              <w:t>/1</w:t>
            </w:r>
            <w:r w:rsidR="00451F55" w:rsidRPr="00A11547">
              <w:rPr>
                <w:rFonts w:ascii="Arial" w:hAnsi="Arial" w:cs="Arial"/>
                <w:szCs w:val="24"/>
              </w:rPr>
              <w:t>9</w:t>
            </w:r>
            <w:r w:rsidR="00BD0989" w:rsidRPr="00A11547">
              <w:rPr>
                <w:rFonts w:ascii="Arial" w:hAnsi="Arial" w:cs="Arial"/>
                <w:szCs w:val="24"/>
              </w:rPr>
              <w:t xml:space="preserve"> </w:t>
            </w:r>
          </w:p>
        </w:tc>
      </w:tr>
    </w:tbl>
    <w:p w14:paraId="031DCFDE" w14:textId="77777777" w:rsidR="00103427" w:rsidRPr="004F7045" w:rsidRDefault="00103427" w:rsidP="00BD0989">
      <w:pPr>
        <w:pStyle w:val="Heading2"/>
        <w:rPr>
          <w:rFonts w:ascii="Arial" w:hAnsi="Arial" w:cs="Arial"/>
          <w:b/>
          <w:szCs w:val="24"/>
          <w:u w:val="none"/>
        </w:rPr>
      </w:pPr>
    </w:p>
    <w:p w14:paraId="29BC1F5D" w14:textId="74968416" w:rsidR="00BD0989" w:rsidRPr="004F7045" w:rsidRDefault="009A2EB8" w:rsidP="00A11547">
      <w:pPr>
        <w:pStyle w:val="Heading2"/>
        <w:ind w:hanging="284"/>
        <w:rPr>
          <w:rFonts w:ascii="Arial" w:hAnsi="Arial" w:cs="Arial"/>
          <w:b/>
          <w:szCs w:val="24"/>
          <w:u w:val="none"/>
        </w:rPr>
      </w:pPr>
      <w:r w:rsidRPr="004F7045">
        <w:rPr>
          <w:rFonts w:ascii="Arial" w:hAnsi="Arial" w:cs="Arial"/>
          <w:b/>
          <w:caps/>
          <w:szCs w:val="24"/>
          <w:u w:val="none"/>
        </w:rPr>
        <w:t xml:space="preserve">Health and </w:t>
      </w:r>
      <w:r w:rsidR="00582530" w:rsidRPr="004F7045">
        <w:rPr>
          <w:rFonts w:ascii="Arial" w:hAnsi="Arial" w:cs="Arial"/>
          <w:b/>
          <w:caps/>
          <w:szCs w:val="24"/>
          <w:u w:val="none"/>
        </w:rPr>
        <w:t>S</w:t>
      </w:r>
      <w:r w:rsidRPr="004F7045">
        <w:rPr>
          <w:rFonts w:ascii="Arial" w:hAnsi="Arial" w:cs="Arial"/>
          <w:b/>
          <w:caps/>
          <w:szCs w:val="24"/>
          <w:u w:val="none"/>
        </w:rPr>
        <w:t>afety</w:t>
      </w:r>
      <w:r w:rsidR="00F13C7D">
        <w:rPr>
          <w:rFonts w:ascii="Arial" w:hAnsi="Arial" w:cs="Arial"/>
          <w:b/>
          <w:caps/>
          <w:szCs w:val="24"/>
          <w:u w:val="none"/>
        </w:rPr>
        <w:t xml:space="preserve"> </w:t>
      </w:r>
      <w:r w:rsidR="00E36315">
        <w:rPr>
          <w:rFonts w:ascii="Arial" w:hAnsi="Arial" w:cs="Arial"/>
          <w:b/>
          <w:caps/>
          <w:szCs w:val="24"/>
          <w:u w:val="none"/>
        </w:rPr>
        <w:t>PLAN 2020</w:t>
      </w:r>
      <w:r w:rsidR="002C435A">
        <w:rPr>
          <w:rFonts w:ascii="Arial" w:hAnsi="Arial" w:cs="Arial"/>
          <w:b/>
          <w:caps/>
          <w:szCs w:val="24"/>
          <w:u w:val="none"/>
        </w:rPr>
        <w:t xml:space="preserve"> to </w:t>
      </w:r>
      <w:r w:rsidR="00E36315">
        <w:rPr>
          <w:rFonts w:ascii="Arial" w:hAnsi="Arial" w:cs="Arial"/>
          <w:b/>
          <w:caps/>
          <w:szCs w:val="24"/>
          <w:u w:val="none"/>
        </w:rPr>
        <w:t xml:space="preserve">2025 </w:t>
      </w:r>
      <w:r w:rsidR="00BD0989" w:rsidRPr="004F7045">
        <w:rPr>
          <w:rFonts w:ascii="Arial" w:hAnsi="Arial" w:cs="Arial"/>
          <w:b/>
          <w:szCs w:val="24"/>
          <w:u w:val="none"/>
        </w:rPr>
        <w:t>- Report by Chief Executive</w:t>
      </w:r>
    </w:p>
    <w:p w14:paraId="310BF09B" w14:textId="77777777" w:rsidR="00BD0989" w:rsidRPr="004F7045" w:rsidRDefault="00BD0989" w:rsidP="00BD0989">
      <w:pPr>
        <w:pStyle w:val="Heading1"/>
        <w:jc w:val="left"/>
        <w:rPr>
          <w:rFonts w:ascii="Arial" w:hAnsi="Arial" w:cs="Arial"/>
          <w:szCs w:val="24"/>
        </w:rPr>
      </w:pPr>
      <w:r w:rsidRPr="004F7045">
        <w:rPr>
          <w:rFonts w:ascii="Arial" w:hAnsi="Arial" w:cs="Arial"/>
          <w:szCs w:val="24"/>
        </w:rPr>
        <w:fldChar w:fldCharType="begin"/>
      </w:r>
      <w:r w:rsidRPr="004F7045">
        <w:rPr>
          <w:rFonts w:ascii="Arial" w:hAnsi="Arial" w:cs="Arial"/>
          <w:szCs w:val="24"/>
        </w:rPr>
        <w:instrText xml:space="preserve">  </w:instrText>
      </w:r>
      <w:r w:rsidRPr="004F7045">
        <w:rPr>
          <w:rFonts w:ascii="Arial" w:hAnsi="Arial" w:cs="Arial"/>
          <w:szCs w:val="24"/>
        </w:rPr>
        <w:fldChar w:fldCharType="end"/>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BD0989" w:rsidRPr="00D1562C" w14:paraId="51B3C661" w14:textId="77777777" w:rsidTr="00C6209A">
        <w:trPr>
          <w:cantSplit/>
        </w:trPr>
        <w:tc>
          <w:tcPr>
            <w:tcW w:w="10065" w:type="dxa"/>
          </w:tcPr>
          <w:p w14:paraId="321A2F2B" w14:textId="32728A5F" w:rsidR="00BD0989" w:rsidRPr="00D1562C" w:rsidRDefault="00BD0989" w:rsidP="00D30A72">
            <w:pPr>
              <w:pStyle w:val="Heading2"/>
              <w:rPr>
                <w:rFonts w:ascii="Arial" w:hAnsi="Arial" w:cs="Arial"/>
                <w:b/>
                <w:szCs w:val="24"/>
                <w:u w:val="none"/>
              </w:rPr>
            </w:pPr>
            <w:r w:rsidRPr="00D1562C">
              <w:rPr>
                <w:rFonts w:ascii="Arial" w:hAnsi="Arial" w:cs="Arial"/>
                <w:b/>
                <w:szCs w:val="24"/>
                <w:u w:val="none"/>
              </w:rPr>
              <w:t>Summary</w:t>
            </w:r>
          </w:p>
          <w:p w14:paraId="31905BB0" w14:textId="77777777" w:rsidR="00BD0989" w:rsidRPr="00D1562C" w:rsidRDefault="00BD0989" w:rsidP="00D30A72">
            <w:pPr>
              <w:rPr>
                <w:rFonts w:ascii="Arial" w:hAnsi="Arial" w:cs="Arial"/>
                <w:szCs w:val="24"/>
              </w:rPr>
            </w:pPr>
          </w:p>
          <w:p w14:paraId="1E41A0EB" w14:textId="5C9CF9BE" w:rsidR="00E36315" w:rsidRDefault="00C56F90" w:rsidP="00EC56A5">
            <w:pPr>
              <w:jc w:val="both"/>
              <w:rPr>
                <w:rFonts w:ascii="Arial" w:hAnsi="Arial" w:cs="Arial"/>
                <w:szCs w:val="24"/>
              </w:rPr>
            </w:pPr>
            <w:r w:rsidRPr="00D1562C">
              <w:rPr>
                <w:rFonts w:ascii="Arial" w:hAnsi="Arial" w:cs="Arial"/>
                <w:szCs w:val="24"/>
              </w:rPr>
              <w:t xml:space="preserve">The purpose of this report is to present the </w:t>
            </w:r>
            <w:r w:rsidR="00E36315">
              <w:rPr>
                <w:rFonts w:ascii="Arial" w:hAnsi="Arial" w:cs="Arial"/>
                <w:szCs w:val="24"/>
              </w:rPr>
              <w:t xml:space="preserve">draft Health and Safety Plan 2020 to 2025 </w:t>
            </w:r>
            <w:r w:rsidR="007E1E04">
              <w:rPr>
                <w:rFonts w:ascii="Arial" w:hAnsi="Arial" w:cs="Arial"/>
                <w:szCs w:val="24"/>
              </w:rPr>
              <w:t>which was considered by the Health and Safety and Environmental Compliance Committee at its meeting held on 19 November 2019.</w:t>
            </w:r>
            <w:r w:rsidRPr="00B5395E">
              <w:rPr>
                <w:rFonts w:ascii="Arial" w:hAnsi="Arial" w:cs="Arial"/>
                <w:szCs w:val="24"/>
              </w:rPr>
              <w:t xml:space="preserve"> </w:t>
            </w:r>
          </w:p>
          <w:p w14:paraId="3102C9F3" w14:textId="77777777" w:rsidR="00E36315" w:rsidRDefault="00E36315" w:rsidP="00EC56A5">
            <w:pPr>
              <w:jc w:val="both"/>
              <w:rPr>
                <w:rFonts w:ascii="Arial" w:hAnsi="Arial" w:cs="Arial"/>
                <w:szCs w:val="24"/>
              </w:rPr>
            </w:pPr>
          </w:p>
          <w:p w14:paraId="06638CF4" w14:textId="56C725D2" w:rsidR="00EC56A5" w:rsidRPr="009B1E6A" w:rsidRDefault="00EC56A5" w:rsidP="00EC56A5">
            <w:pPr>
              <w:jc w:val="both"/>
              <w:rPr>
                <w:rFonts w:ascii="Arial" w:hAnsi="Arial" w:cs="Arial"/>
                <w:color w:val="FF0000"/>
                <w:szCs w:val="24"/>
              </w:rPr>
            </w:pPr>
            <w:r w:rsidRPr="00B5395E">
              <w:rPr>
                <w:rFonts w:ascii="Arial" w:hAnsi="Arial" w:cs="Arial"/>
                <w:szCs w:val="24"/>
              </w:rPr>
              <w:t>It is recommended that Direct</w:t>
            </w:r>
            <w:r w:rsidRPr="00A11547">
              <w:rPr>
                <w:rFonts w:ascii="Arial" w:hAnsi="Arial" w:cs="Arial"/>
                <w:szCs w:val="24"/>
              </w:rPr>
              <w:t>ors:</w:t>
            </w:r>
          </w:p>
          <w:p w14:paraId="34232570" w14:textId="77777777" w:rsidR="00EC56A5" w:rsidRPr="009B1E6A" w:rsidRDefault="00EC56A5" w:rsidP="00EC56A5">
            <w:pPr>
              <w:jc w:val="both"/>
              <w:rPr>
                <w:rFonts w:ascii="Arial" w:hAnsi="Arial" w:cs="Arial"/>
                <w:color w:val="FF0000"/>
                <w:szCs w:val="24"/>
              </w:rPr>
            </w:pPr>
          </w:p>
          <w:p w14:paraId="560848AA" w14:textId="67E817A3" w:rsidR="00EC56A5" w:rsidRPr="00D35751" w:rsidRDefault="00EC56A5" w:rsidP="009C1524">
            <w:pPr>
              <w:pStyle w:val="ListParagraph"/>
              <w:numPr>
                <w:ilvl w:val="0"/>
                <w:numId w:val="2"/>
              </w:numPr>
              <w:ind w:left="743" w:hanging="567"/>
              <w:jc w:val="both"/>
              <w:rPr>
                <w:rFonts w:ascii="Arial" w:hAnsi="Arial" w:cs="Arial"/>
                <w:sz w:val="24"/>
                <w:szCs w:val="24"/>
              </w:rPr>
            </w:pPr>
            <w:r w:rsidRPr="00D35751">
              <w:rPr>
                <w:rFonts w:ascii="Arial" w:hAnsi="Arial" w:cs="Arial"/>
                <w:sz w:val="24"/>
                <w:szCs w:val="24"/>
              </w:rPr>
              <w:t>note that</w:t>
            </w:r>
            <w:r w:rsidR="00081D1F" w:rsidRPr="00D35751">
              <w:rPr>
                <w:rFonts w:ascii="Arial" w:hAnsi="Arial" w:cs="Arial"/>
                <w:sz w:val="24"/>
                <w:szCs w:val="24"/>
              </w:rPr>
              <w:t xml:space="preserve"> the </w:t>
            </w:r>
            <w:r w:rsidR="00E36315">
              <w:rPr>
                <w:rFonts w:ascii="Arial" w:hAnsi="Arial" w:cs="Arial"/>
                <w:sz w:val="24"/>
                <w:szCs w:val="24"/>
              </w:rPr>
              <w:t>draft</w:t>
            </w:r>
            <w:r w:rsidR="00081D1F" w:rsidRPr="00D35751">
              <w:rPr>
                <w:rFonts w:ascii="Arial" w:hAnsi="Arial" w:cs="Arial"/>
                <w:sz w:val="24"/>
                <w:szCs w:val="24"/>
              </w:rPr>
              <w:t xml:space="preserve"> plan has been developed </w:t>
            </w:r>
            <w:r w:rsidR="00A64B24">
              <w:rPr>
                <w:rFonts w:ascii="Arial" w:hAnsi="Arial" w:cs="Arial"/>
                <w:sz w:val="24"/>
                <w:szCs w:val="24"/>
              </w:rPr>
              <w:t>following</w:t>
            </w:r>
            <w:r w:rsidR="00A64B24" w:rsidRPr="00D35751">
              <w:rPr>
                <w:rFonts w:ascii="Arial" w:hAnsi="Arial" w:cs="Arial"/>
                <w:sz w:val="24"/>
                <w:szCs w:val="24"/>
              </w:rPr>
              <w:t xml:space="preserve"> </w:t>
            </w:r>
            <w:r w:rsidR="00081D1F" w:rsidRPr="00D35751">
              <w:rPr>
                <w:rFonts w:ascii="Arial" w:hAnsi="Arial" w:cs="Arial"/>
                <w:sz w:val="24"/>
                <w:szCs w:val="24"/>
              </w:rPr>
              <w:t>consultation with the Health and Safety and Env</w:t>
            </w:r>
            <w:r w:rsidR="00A11547">
              <w:rPr>
                <w:rFonts w:ascii="Arial" w:hAnsi="Arial" w:cs="Arial"/>
                <w:sz w:val="24"/>
                <w:szCs w:val="24"/>
              </w:rPr>
              <w:t>ironmental Compliance Committee</w:t>
            </w:r>
            <w:r w:rsidR="007E1E04">
              <w:rPr>
                <w:rFonts w:ascii="Arial" w:hAnsi="Arial" w:cs="Arial"/>
                <w:sz w:val="24"/>
                <w:szCs w:val="24"/>
              </w:rPr>
              <w:t xml:space="preserve">, </w:t>
            </w:r>
            <w:r w:rsidR="00A11547">
              <w:rPr>
                <w:rFonts w:ascii="Arial" w:hAnsi="Arial" w:cs="Arial"/>
                <w:sz w:val="24"/>
                <w:szCs w:val="24"/>
              </w:rPr>
              <w:t>HLH’s external H</w:t>
            </w:r>
            <w:r w:rsidR="00E36315">
              <w:rPr>
                <w:rFonts w:ascii="Arial" w:hAnsi="Arial" w:cs="Arial"/>
                <w:sz w:val="24"/>
                <w:szCs w:val="24"/>
              </w:rPr>
              <w:t xml:space="preserve">ealth and </w:t>
            </w:r>
            <w:r w:rsidR="00A11547">
              <w:rPr>
                <w:rFonts w:ascii="Arial" w:hAnsi="Arial" w:cs="Arial"/>
                <w:sz w:val="24"/>
                <w:szCs w:val="24"/>
              </w:rPr>
              <w:t>S</w:t>
            </w:r>
            <w:r w:rsidR="00E36315">
              <w:rPr>
                <w:rFonts w:ascii="Arial" w:hAnsi="Arial" w:cs="Arial"/>
                <w:sz w:val="24"/>
                <w:szCs w:val="24"/>
              </w:rPr>
              <w:t xml:space="preserve">afety </w:t>
            </w:r>
            <w:r w:rsidR="00A11547">
              <w:rPr>
                <w:rFonts w:ascii="Arial" w:hAnsi="Arial" w:cs="Arial"/>
                <w:sz w:val="24"/>
                <w:szCs w:val="24"/>
              </w:rPr>
              <w:t>A</w:t>
            </w:r>
            <w:r w:rsidR="00E36315">
              <w:rPr>
                <w:rFonts w:ascii="Arial" w:hAnsi="Arial" w:cs="Arial"/>
                <w:sz w:val="24"/>
                <w:szCs w:val="24"/>
              </w:rPr>
              <w:t>dviser</w:t>
            </w:r>
            <w:r w:rsidR="007E1E04">
              <w:rPr>
                <w:rFonts w:ascii="Arial" w:hAnsi="Arial" w:cs="Arial"/>
                <w:sz w:val="24"/>
                <w:szCs w:val="24"/>
              </w:rPr>
              <w:t>, and HLH managers and staff</w:t>
            </w:r>
            <w:r w:rsidRPr="00D35751">
              <w:rPr>
                <w:rFonts w:ascii="Arial" w:hAnsi="Arial" w:cs="Arial"/>
                <w:sz w:val="24"/>
                <w:szCs w:val="24"/>
              </w:rPr>
              <w:t xml:space="preserve">; </w:t>
            </w:r>
          </w:p>
          <w:p w14:paraId="5D45FAFD" w14:textId="77777777" w:rsidR="007E1E04" w:rsidRDefault="00A64B24" w:rsidP="009C1524">
            <w:pPr>
              <w:pStyle w:val="ListParagraph"/>
              <w:numPr>
                <w:ilvl w:val="0"/>
                <w:numId w:val="2"/>
              </w:numPr>
              <w:ind w:left="743" w:hanging="567"/>
              <w:jc w:val="both"/>
              <w:rPr>
                <w:rFonts w:ascii="Arial" w:hAnsi="Arial" w:cs="Arial"/>
                <w:sz w:val="24"/>
                <w:szCs w:val="24"/>
              </w:rPr>
            </w:pPr>
            <w:r>
              <w:rPr>
                <w:rFonts w:ascii="Arial" w:hAnsi="Arial" w:cs="Arial"/>
                <w:sz w:val="24"/>
                <w:szCs w:val="24"/>
              </w:rPr>
              <w:t xml:space="preserve">approve </w:t>
            </w:r>
            <w:r w:rsidR="00D35751" w:rsidRPr="00D35751">
              <w:rPr>
                <w:rFonts w:ascii="Arial" w:hAnsi="Arial" w:cs="Arial"/>
                <w:sz w:val="24"/>
                <w:szCs w:val="24"/>
              </w:rPr>
              <w:t xml:space="preserve">the draft </w:t>
            </w:r>
            <w:r w:rsidR="007E1E04">
              <w:rPr>
                <w:rFonts w:ascii="Arial" w:hAnsi="Arial" w:cs="Arial"/>
                <w:sz w:val="24"/>
                <w:szCs w:val="24"/>
              </w:rPr>
              <w:t xml:space="preserve">plan in </w:t>
            </w:r>
            <w:r w:rsidR="007E1E04" w:rsidRPr="000839FF">
              <w:rPr>
                <w:rFonts w:ascii="Arial" w:hAnsi="Arial" w:cs="Arial"/>
                <w:b/>
                <w:sz w:val="24"/>
                <w:szCs w:val="24"/>
              </w:rPr>
              <w:t>A</w:t>
            </w:r>
            <w:r w:rsidR="007E1E04">
              <w:rPr>
                <w:rFonts w:ascii="Arial" w:hAnsi="Arial" w:cs="Arial"/>
                <w:b/>
                <w:sz w:val="24"/>
                <w:szCs w:val="24"/>
              </w:rPr>
              <w:t>ppendix A</w:t>
            </w:r>
            <w:r w:rsidR="007E1E04">
              <w:rPr>
                <w:rFonts w:ascii="Arial" w:hAnsi="Arial" w:cs="Arial"/>
                <w:sz w:val="24"/>
                <w:szCs w:val="24"/>
              </w:rPr>
              <w:t>;</w:t>
            </w:r>
            <w:r w:rsidR="007E1E04" w:rsidRPr="00D35751">
              <w:rPr>
                <w:rFonts w:ascii="Arial" w:hAnsi="Arial" w:cs="Arial"/>
                <w:sz w:val="24"/>
                <w:szCs w:val="24"/>
              </w:rPr>
              <w:t xml:space="preserve"> </w:t>
            </w:r>
            <w:r w:rsidR="007E1E04">
              <w:rPr>
                <w:rFonts w:ascii="Arial" w:hAnsi="Arial" w:cs="Arial"/>
                <w:sz w:val="24"/>
                <w:szCs w:val="24"/>
              </w:rPr>
              <w:t xml:space="preserve">and </w:t>
            </w:r>
          </w:p>
          <w:p w14:paraId="0105AC68" w14:textId="22F280E5" w:rsidR="00BD0989" w:rsidRPr="00D1562C" w:rsidRDefault="007E1E04" w:rsidP="009C1524">
            <w:pPr>
              <w:pStyle w:val="ListParagraph"/>
              <w:numPr>
                <w:ilvl w:val="0"/>
                <w:numId w:val="2"/>
              </w:numPr>
              <w:ind w:left="743" w:hanging="567"/>
              <w:jc w:val="both"/>
              <w:rPr>
                <w:rFonts w:ascii="Arial" w:hAnsi="Arial" w:cs="Arial"/>
                <w:sz w:val="24"/>
                <w:szCs w:val="24"/>
              </w:rPr>
            </w:pPr>
            <w:r>
              <w:rPr>
                <w:rFonts w:ascii="Arial" w:hAnsi="Arial" w:cs="Arial"/>
                <w:sz w:val="24"/>
                <w:szCs w:val="24"/>
              </w:rPr>
              <w:t xml:space="preserve">note that </w:t>
            </w:r>
            <w:r w:rsidR="00935B21">
              <w:rPr>
                <w:rFonts w:ascii="Arial" w:hAnsi="Arial" w:cs="Arial"/>
                <w:sz w:val="24"/>
                <w:szCs w:val="24"/>
              </w:rPr>
              <w:t xml:space="preserve">progress on the delivery of the plan </w:t>
            </w:r>
            <w:r w:rsidR="00AE19E4">
              <w:rPr>
                <w:rFonts w:ascii="Arial" w:hAnsi="Arial" w:cs="Arial"/>
                <w:sz w:val="24"/>
                <w:szCs w:val="24"/>
              </w:rPr>
              <w:t xml:space="preserve">will </w:t>
            </w:r>
            <w:r w:rsidR="00935B21">
              <w:rPr>
                <w:rFonts w:ascii="Arial" w:hAnsi="Arial" w:cs="Arial"/>
                <w:sz w:val="24"/>
                <w:szCs w:val="24"/>
              </w:rPr>
              <w:t xml:space="preserve">be considered quarterly by the </w:t>
            </w:r>
            <w:r w:rsidR="00935B21" w:rsidRPr="00D35751">
              <w:rPr>
                <w:rFonts w:ascii="Arial" w:hAnsi="Arial" w:cs="Arial"/>
                <w:sz w:val="24"/>
                <w:szCs w:val="24"/>
              </w:rPr>
              <w:t>Health and Safety and Environmental Compliance Committee</w:t>
            </w:r>
            <w:r w:rsidR="00935B21">
              <w:rPr>
                <w:rFonts w:ascii="Arial" w:hAnsi="Arial" w:cs="Arial"/>
                <w:sz w:val="24"/>
                <w:szCs w:val="24"/>
              </w:rPr>
              <w:t xml:space="preserve"> and </w:t>
            </w:r>
            <w:r>
              <w:rPr>
                <w:rFonts w:ascii="Arial" w:hAnsi="Arial" w:cs="Arial"/>
                <w:sz w:val="24"/>
                <w:szCs w:val="24"/>
              </w:rPr>
              <w:t xml:space="preserve">reported </w:t>
            </w:r>
            <w:r w:rsidR="00935B21">
              <w:rPr>
                <w:rFonts w:ascii="Arial" w:hAnsi="Arial" w:cs="Arial"/>
                <w:sz w:val="24"/>
                <w:szCs w:val="24"/>
              </w:rPr>
              <w:t xml:space="preserve">annually </w:t>
            </w:r>
            <w:r>
              <w:rPr>
                <w:rFonts w:ascii="Arial" w:hAnsi="Arial" w:cs="Arial"/>
                <w:sz w:val="24"/>
                <w:szCs w:val="24"/>
              </w:rPr>
              <w:t>to</w:t>
            </w:r>
            <w:r w:rsidR="00935B21">
              <w:rPr>
                <w:rFonts w:ascii="Arial" w:hAnsi="Arial" w:cs="Arial"/>
                <w:sz w:val="24"/>
                <w:szCs w:val="24"/>
              </w:rPr>
              <w:t xml:space="preserve"> the HLH Board</w:t>
            </w:r>
            <w:r w:rsidR="00D35751" w:rsidRPr="00D35751">
              <w:rPr>
                <w:rFonts w:ascii="Arial" w:hAnsi="Arial" w:cs="Arial"/>
                <w:sz w:val="24"/>
                <w:szCs w:val="24"/>
              </w:rPr>
              <w:t>.</w:t>
            </w:r>
            <w:r w:rsidR="00BD0989" w:rsidRPr="00D1562C">
              <w:rPr>
                <w:rFonts w:ascii="Arial" w:hAnsi="Arial" w:cs="Arial"/>
                <w:sz w:val="24"/>
                <w:szCs w:val="24"/>
              </w:rPr>
              <w:fldChar w:fldCharType="begin"/>
            </w:r>
            <w:r w:rsidR="00BD0989" w:rsidRPr="00D1562C">
              <w:rPr>
                <w:rFonts w:ascii="Arial" w:hAnsi="Arial" w:cs="Arial"/>
                <w:sz w:val="24"/>
                <w:szCs w:val="24"/>
              </w:rPr>
              <w:instrText xml:space="preserve">  </w:instrText>
            </w:r>
            <w:r w:rsidR="00BD0989" w:rsidRPr="00D1562C">
              <w:rPr>
                <w:rFonts w:ascii="Arial" w:hAnsi="Arial" w:cs="Arial"/>
                <w:sz w:val="24"/>
                <w:szCs w:val="24"/>
              </w:rPr>
              <w:fldChar w:fldCharType="end"/>
            </w:r>
          </w:p>
        </w:tc>
      </w:tr>
    </w:tbl>
    <w:p w14:paraId="78CE64B5" w14:textId="77777777" w:rsidR="00E42F78" w:rsidRPr="004F7045" w:rsidRDefault="00E42F78">
      <w:pPr>
        <w:rPr>
          <w:rFonts w:ascii="Arial" w:hAnsi="Arial" w:cs="Arial"/>
          <w:szCs w:val="24"/>
        </w:rPr>
      </w:pP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355"/>
      </w:tblGrid>
      <w:tr w:rsidR="00BD0989" w:rsidRPr="004F7045" w14:paraId="7F624F9D" w14:textId="77777777" w:rsidTr="00CD3701">
        <w:tc>
          <w:tcPr>
            <w:tcW w:w="710" w:type="dxa"/>
          </w:tcPr>
          <w:p w14:paraId="20FA6785" w14:textId="77777777" w:rsidR="00BD0989" w:rsidRPr="004F7045" w:rsidRDefault="00BD0989">
            <w:pPr>
              <w:rPr>
                <w:rFonts w:ascii="Arial" w:hAnsi="Arial" w:cs="Arial"/>
                <w:b/>
                <w:szCs w:val="24"/>
              </w:rPr>
            </w:pPr>
            <w:r w:rsidRPr="004F7045">
              <w:rPr>
                <w:rFonts w:ascii="Arial" w:hAnsi="Arial" w:cs="Arial"/>
                <w:b/>
                <w:szCs w:val="24"/>
              </w:rPr>
              <w:t>1.</w:t>
            </w:r>
          </w:p>
        </w:tc>
        <w:tc>
          <w:tcPr>
            <w:tcW w:w="9355" w:type="dxa"/>
          </w:tcPr>
          <w:p w14:paraId="41622538" w14:textId="77777777" w:rsidR="00BD0989" w:rsidRPr="00F60EB6" w:rsidRDefault="00BD0989">
            <w:pPr>
              <w:rPr>
                <w:rFonts w:ascii="Arial" w:hAnsi="Arial" w:cs="Arial"/>
                <w:b/>
                <w:szCs w:val="24"/>
              </w:rPr>
            </w:pPr>
            <w:r w:rsidRPr="00F60EB6">
              <w:rPr>
                <w:rFonts w:ascii="Arial" w:hAnsi="Arial" w:cs="Arial"/>
                <w:b/>
                <w:szCs w:val="24"/>
              </w:rPr>
              <w:t>Business Plan Contribution</w:t>
            </w:r>
          </w:p>
          <w:p w14:paraId="6D3AAF41" w14:textId="77777777" w:rsidR="00BD0989" w:rsidRPr="00F60EB6" w:rsidRDefault="00BD0989">
            <w:pPr>
              <w:rPr>
                <w:rFonts w:ascii="Arial" w:hAnsi="Arial" w:cs="Arial"/>
                <w:b/>
                <w:szCs w:val="24"/>
              </w:rPr>
            </w:pPr>
          </w:p>
        </w:tc>
      </w:tr>
      <w:tr w:rsidR="00BD0989" w:rsidRPr="004F7045" w14:paraId="048FEFF8" w14:textId="77777777" w:rsidTr="00CD3701">
        <w:tc>
          <w:tcPr>
            <w:tcW w:w="710" w:type="dxa"/>
          </w:tcPr>
          <w:p w14:paraId="799535BD" w14:textId="77777777" w:rsidR="00BD0989" w:rsidRPr="004F7045" w:rsidRDefault="00BD0989">
            <w:pPr>
              <w:rPr>
                <w:rFonts w:ascii="Arial" w:hAnsi="Arial" w:cs="Arial"/>
                <w:szCs w:val="24"/>
              </w:rPr>
            </w:pPr>
            <w:r w:rsidRPr="004F7045">
              <w:rPr>
                <w:rFonts w:ascii="Arial" w:hAnsi="Arial" w:cs="Arial"/>
                <w:szCs w:val="24"/>
              </w:rPr>
              <w:t>1.1</w:t>
            </w:r>
          </w:p>
        </w:tc>
        <w:tc>
          <w:tcPr>
            <w:tcW w:w="9355" w:type="dxa"/>
          </w:tcPr>
          <w:p w14:paraId="6C3B8FAA" w14:textId="77777777" w:rsidR="00712FAB" w:rsidRPr="00F60EB6" w:rsidRDefault="00712FAB" w:rsidP="00712FAB">
            <w:pPr>
              <w:jc w:val="both"/>
              <w:rPr>
                <w:rFonts w:ascii="Arial" w:hAnsi="Arial" w:cs="Arial"/>
                <w:szCs w:val="24"/>
              </w:rPr>
            </w:pPr>
            <w:r w:rsidRPr="00F60EB6">
              <w:rPr>
                <w:rFonts w:ascii="Arial" w:hAnsi="Arial" w:cs="Arial"/>
                <w:szCs w:val="24"/>
              </w:rPr>
              <w:t>This report supports the highlighted Business Outcome from the High Life Highland (HLH) Business Plan:</w:t>
            </w:r>
          </w:p>
          <w:p w14:paraId="44035E46" w14:textId="77777777" w:rsidR="00C56F90" w:rsidRPr="00F60EB6" w:rsidRDefault="00C56F90" w:rsidP="00623751">
            <w:pPr>
              <w:jc w:val="both"/>
              <w:rPr>
                <w:rFonts w:ascii="Arial" w:hAnsi="Arial" w:cs="Arial"/>
                <w:szCs w:val="24"/>
              </w:rPr>
            </w:pPr>
          </w:p>
          <w:p w14:paraId="50448476" w14:textId="77777777" w:rsidR="00F60EB6" w:rsidRPr="00F60EB6"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F60EB6">
              <w:rPr>
                <w:rFonts w:ascii="Arial" w:hAnsi="Arial" w:cs="Arial"/>
                <w:b/>
                <w:sz w:val="24"/>
                <w:szCs w:val="24"/>
              </w:rPr>
              <w:t>Sustain a high standard of health and safety, and environmental performance</w:t>
            </w:r>
          </w:p>
          <w:p w14:paraId="6F9A8552" w14:textId="77777777" w:rsidR="00F60EB6" w:rsidRPr="009B1E6A"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9B1E6A">
              <w:rPr>
                <w:rFonts w:ascii="Arial" w:hAnsi="Arial" w:cs="Arial"/>
                <w:b/>
                <w:sz w:val="24"/>
                <w:szCs w:val="24"/>
              </w:rPr>
              <w:t>Implement the Service Delivery Contract with THC</w:t>
            </w:r>
          </w:p>
          <w:p w14:paraId="15F98E8E" w14:textId="77777777" w:rsidR="00F60EB6" w:rsidRPr="00F13C7D"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F13C7D">
              <w:rPr>
                <w:rFonts w:ascii="Arial" w:hAnsi="Arial" w:cs="Arial"/>
                <w:b/>
                <w:sz w:val="24"/>
                <w:szCs w:val="24"/>
              </w:rPr>
              <w:t>Improving customer engagement and satisfaction</w:t>
            </w:r>
          </w:p>
          <w:p w14:paraId="21DEA97E" w14:textId="77777777" w:rsidR="00F60EB6" w:rsidRPr="00F13C7D"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F13C7D">
              <w:rPr>
                <w:rFonts w:ascii="Arial" w:hAnsi="Arial" w:cs="Arial"/>
                <w:b/>
                <w:sz w:val="24"/>
                <w:szCs w:val="24"/>
              </w:rPr>
              <w:t>Improving staff engagement and satisfaction</w:t>
            </w:r>
          </w:p>
          <w:p w14:paraId="7618FA52" w14:textId="77777777" w:rsidR="00F60EB6" w:rsidRPr="00F13C7D"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F13C7D">
              <w:rPr>
                <w:rFonts w:ascii="Arial" w:hAnsi="Arial" w:cs="Arial"/>
                <w:b/>
                <w:sz w:val="24"/>
                <w:szCs w:val="24"/>
              </w:rPr>
              <w:t>Enhance the positive charity image</w:t>
            </w:r>
          </w:p>
          <w:p w14:paraId="37481ACB" w14:textId="77777777" w:rsidR="00F60EB6" w:rsidRPr="00BD0C8B" w:rsidRDefault="00F60EB6" w:rsidP="009C1524">
            <w:pPr>
              <w:pStyle w:val="ListParagraph"/>
              <w:numPr>
                <w:ilvl w:val="0"/>
                <w:numId w:val="1"/>
              </w:numPr>
              <w:spacing w:after="0" w:line="240" w:lineRule="auto"/>
              <w:ind w:left="816" w:hanging="357"/>
              <w:jc w:val="both"/>
              <w:rPr>
                <w:rFonts w:ascii="Arial" w:hAnsi="Arial" w:cs="Arial"/>
                <w:sz w:val="24"/>
                <w:szCs w:val="24"/>
              </w:rPr>
            </w:pPr>
            <w:r w:rsidRPr="00BD0C8B">
              <w:rPr>
                <w:rFonts w:ascii="Arial" w:hAnsi="Arial" w:cs="Arial"/>
                <w:sz w:val="24"/>
                <w:szCs w:val="24"/>
              </w:rPr>
              <w:t>Be a trusted and effective partner</w:t>
            </w:r>
          </w:p>
          <w:p w14:paraId="6438B316" w14:textId="77777777" w:rsidR="00F60EB6" w:rsidRPr="00F60EB6" w:rsidRDefault="00F60EB6" w:rsidP="009C1524">
            <w:pPr>
              <w:pStyle w:val="ListParagraph"/>
              <w:numPr>
                <w:ilvl w:val="0"/>
                <w:numId w:val="1"/>
              </w:numPr>
              <w:spacing w:after="0" w:line="240" w:lineRule="auto"/>
              <w:ind w:left="816" w:hanging="357"/>
              <w:jc w:val="both"/>
              <w:rPr>
                <w:rFonts w:ascii="Arial" w:hAnsi="Arial" w:cs="Arial"/>
                <w:sz w:val="24"/>
                <w:szCs w:val="24"/>
              </w:rPr>
            </w:pPr>
            <w:r w:rsidRPr="00F60EB6">
              <w:rPr>
                <w:rFonts w:ascii="Arial" w:hAnsi="Arial" w:cs="Arial"/>
                <w:sz w:val="24"/>
                <w:szCs w:val="24"/>
              </w:rPr>
              <w:t>Achieve sustainable growth across the organisation</w:t>
            </w:r>
          </w:p>
          <w:p w14:paraId="6E3B4EEC" w14:textId="77777777" w:rsidR="00F60EB6" w:rsidRPr="00F13C7D" w:rsidRDefault="00F60EB6" w:rsidP="009C1524">
            <w:pPr>
              <w:pStyle w:val="ListParagraph"/>
              <w:numPr>
                <w:ilvl w:val="0"/>
                <w:numId w:val="1"/>
              </w:numPr>
              <w:spacing w:after="0" w:line="240" w:lineRule="auto"/>
              <w:ind w:left="816" w:hanging="357"/>
              <w:jc w:val="both"/>
              <w:rPr>
                <w:rFonts w:ascii="Arial" w:hAnsi="Arial" w:cs="Arial"/>
                <w:b/>
                <w:sz w:val="24"/>
                <w:szCs w:val="24"/>
              </w:rPr>
            </w:pPr>
            <w:r w:rsidRPr="00F13C7D">
              <w:rPr>
                <w:rFonts w:ascii="Arial" w:hAnsi="Arial" w:cs="Arial"/>
                <w:b/>
                <w:sz w:val="24"/>
                <w:szCs w:val="24"/>
              </w:rPr>
              <w:t>Develop health and wellbeing across Highland communities</w:t>
            </w:r>
          </w:p>
          <w:p w14:paraId="744F9E34" w14:textId="77777777" w:rsidR="007D01EC" w:rsidRPr="00F60EB6" w:rsidRDefault="00F60EB6" w:rsidP="009C1524">
            <w:pPr>
              <w:pStyle w:val="ListParagraph"/>
              <w:numPr>
                <w:ilvl w:val="0"/>
                <w:numId w:val="1"/>
              </w:numPr>
              <w:spacing w:after="0" w:line="240" w:lineRule="auto"/>
              <w:ind w:left="816" w:hanging="357"/>
              <w:jc w:val="both"/>
              <w:rPr>
                <w:rFonts w:ascii="Arial" w:hAnsi="Arial" w:cs="Arial"/>
                <w:sz w:val="24"/>
                <w:szCs w:val="24"/>
              </w:rPr>
            </w:pPr>
            <w:r w:rsidRPr="00F60EB6">
              <w:rPr>
                <w:rFonts w:ascii="Arial" w:hAnsi="Arial" w:cs="Arial"/>
                <w:sz w:val="24"/>
                <w:szCs w:val="24"/>
              </w:rPr>
              <w:t>Develop and promote the High Life brand</w:t>
            </w:r>
          </w:p>
          <w:p w14:paraId="2D753571" w14:textId="77777777" w:rsidR="00BD0989" w:rsidRPr="00F60EB6" w:rsidRDefault="00BD0989" w:rsidP="007D01EC">
            <w:pPr>
              <w:ind w:left="459"/>
              <w:contextualSpacing/>
              <w:jc w:val="both"/>
              <w:rPr>
                <w:rFonts w:ascii="Arial" w:hAnsi="Arial" w:cs="Arial"/>
                <w:szCs w:val="24"/>
              </w:rPr>
            </w:pPr>
          </w:p>
        </w:tc>
      </w:tr>
      <w:tr w:rsidR="00BD0989" w:rsidRPr="004F7045" w14:paraId="6704082A" w14:textId="77777777" w:rsidTr="00CD3701">
        <w:tc>
          <w:tcPr>
            <w:tcW w:w="710" w:type="dxa"/>
          </w:tcPr>
          <w:p w14:paraId="20F5AE40" w14:textId="43C6BB0D" w:rsidR="00BD0989" w:rsidRPr="004F7045" w:rsidRDefault="00BD0989">
            <w:pPr>
              <w:rPr>
                <w:rFonts w:ascii="Arial" w:hAnsi="Arial" w:cs="Arial"/>
                <w:b/>
                <w:szCs w:val="24"/>
              </w:rPr>
            </w:pPr>
            <w:r w:rsidRPr="004F7045">
              <w:rPr>
                <w:rFonts w:ascii="Arial" w:hAnsi="Arial" w:cs="Arial"/>
                <w:b/>
                <w:szCs w:val="24"/>
              </w:rPr>
              <w:t>2.</w:t>
            </w:r>
          </w:p>
        </w:tc>
        <w:tc>
          <w:tcPr>
            <w:tcW w:w="9355" w:type="dxa"/>
          </w:tcPr>
          <w:p w14:paraId="25892442" w14:textId="5FAF128A" w:rsidR="00BD0989" w:rsidRDefault="00C51363" w:rsidP="00673FAA">
            <w:pPr>
              <w:rPr>
                <w:rFonts w:ascii="Arial" w:hAnsi="Arial" w:cs="Arial"/>
                <w:b/>
                <w:szCs w:val="24"/>
              </w:rPr>
            </w:pPr>
            <w:r>
              <w:rPr>
                <w:rFonts w:ascii="Arial" w:hAnsi="Arial" w:cs="Arial"/>
                <w:b/>
                <w:szCs w:val="24"/>
              </w:rPr>
              <w:t>Background</w:t>
            </w:r>
          </w:p>
          <w:p w14:paraId="567F26E5" w14:textId="0915D496" w:rsidR="00113303" w:rsidRPr="004F7045" w:rsidRDefault="00113303" w:rsidP="00673FAA">
            <w:pPr>
              <w:rPr>
                <w:rFonts w:ascii="Arial" w:hAnsi="Arial" w:cs="Arial"/>
                <w:b/>
                <w:szCs w:val="24"/>
              </w:rPr>
            </w:pPr>
          </w:p>
        </w:tc>
      </w:tr>
      <w:tr w:rsidR="00113303" w:rsidRPr="009B1E6A" w14:paraId="0B8783B9" w14:textId="77777777" w:rsidTr="00CD3701">
        <w:tc>
          <w:tcPr>
            <w:tcW w:w="710" w:type="dxa"/>
          </w:tcPr>
          <w:p w14:paraId="5451980A" w14:textId="77777777" w:rsidR="00113303" w:rsidRPr="00530AA1" w:rsidRDefault="00113303" w:rsidP="00113303">
            <w:pPr>
              <w:rPr>
                <w:rFonts w:ascii="Arial" w:hAnsi="Arial" w:cs="Arial"/>
                <w:szCs w:val="24"/>
              </w:rPr>
            </w:pPr>
            <w:r w:rsidRPr="00530AA1">
              <w:rPr>
                <w:rFonts w:ascii="Arial" w:hAnsi="Arial" w:cs="Arial"/>
                <w:szCs w:val="24"/>
              </w:rPr>
              <w:t>2.1</w:t>
            </w:r>
          </w:p>
          <w:p w14:paraId="34BFA057" w14:textId="77777777" w:rsidR="00113303" w:rsidRPr="00530AA1" w:rsidRDefault="00113303" w:rsidP="008212ED">
            <w:pPr>
              <w:rPr>
                <w:rFonts w:ascii="Arial" w:hAnsi="Arial" w:cs="Arial"/>
                <w:szCs w:val="24"/>
              </w:rPr>
            </w:pPr>
          </w:p>
        </w:tc>
        <w:tc>
          <w:tcPr>
            <w:tcW w:w="9355" w:type="dxa"/>
          </w:tcPr>
          <w:p w14:paraId="6F2A0883" w14:textId="2776F034" w:rsidR="00113303" w:rsidRDefault="00113303" w:rsidP="00C51363">
            <w:pPr>
              <w:jc w:val="both"/>
              <w:rPr>
                <w:rFonts w:ascii="Arial" w:hAnsi="Arial" w:cs="Arial"/>
                <w:szCs w:val="24"/>
              </w:rPr>
            </w:pPr>
            <w:r w:rsidRPr="00BD0C8B">
              <w:rPr>
                <w:rFonts w:ascii="Arial" w:hAnsi="Arial" w:cs="Arial"/>
                <w:szCs w:val="24"/>
              </w:rPr>
              <w:t>A</w:t>
            </w:r>
            <w:r w:rsidR="00FD4F3E" w:rsidRPr="00BD0C8B">
              <w:rPr>
                <w:rFonts w:ascii="Arial" w:hAnsi="Arial" w:cs="Arial"/>
                <w:szCs w:val="24"/>
              </w:rPr>
              <w:t xml:space="preserve">t </w:t>
            </w:r>
            <w:r w:rsidR="00C51363" w:rsidRPr="00BD0C8B">
              <w:rPr>
                <w:rFonts w:ascii="Arial" w:hAnsi="Arial" w:cs="Arial"/>
                <w:szCs w:val="24"/>
              </w:rPr>
              <w:t xml:space="preserve">its meeting held on 14 May 2019 </w:t>
            </w:r>
            <w:r w:rsidRPr="00BD0C8B">
              <w:rPr>
                <w:rFonts w:ascii="Arial" w:hAnsi="Arial" w:cs="Arial"/>
                <w:szCs w:val="24"/>
              </w:rPr>
              <w:t xml:space="preserve">the Health and Safety and Environmental Compliance Committee </w:t>
            </w:r>
            <w:r w:rsidR="00C51363" w:rsidRPr="00BD0C8B">
              <w:rPr>
                <w:rFonts w:ascii="Arial" w:hAnsi="Arial" w:cs="Arial"/>
                <w:szCs w:val="24"/>
              </w:rPr>
              <w:t>agreed to</w:t>
            </w:r>
            <w:r w:rsidR="00C51363">
              <w:rPr>
                <w:rFonts w:ascii="Arial" w:hAnsi="Arial" w:cs="Arial"/>
                <w:szCs w:val="24"/>
              </w:rPr>
              <w:t xml:space="preserve"> </w:t>
            </w:r>
            <w:r w:rsidR="00C51363" w:rsidRPr="00BD0C8B">
              <w:rPr>
                <w:rFonts w:ascii="Arial" w:hAnsi="Arial" w:cs="Arial"/>
                <w:szCs w:val="24"/>
              </w:rPr>
              <w:t>develop a Health and Safety Plan for 2020-25</w:t>
            </w:r>
            <w:r w:rsidR="00C51363">
              <w:rPr>
                <w:rFonts w:ascii="Arial" w:hAnsi="Arial" w:cs="Arial"/>
                <w:szCs w:val="24"/>
              </w:rPr>
              <w:t xml:space="preserve"> with it </w:t>
            </w:r>
            <w:r w:rsidR="00C51363" w:rsidRPr="00530AA1">
              <w:rPr>
                <w:rFonts w:ascii="Arial" w:hAnsi="Arial" w:cs="Arial"/>
                <w:szCs w:val="24"/>
              </w:rPr>
              <w:t>review</w:t>
            </w:r>
            <w:r w:rsidR="00C51363">
              <w:rPr>
                <w:rFonts w:ascii="Arial" w:hAnsi="Arial" w:cs="Arial"/>
                <w:szCs w:val="24"/>
              </w:rPr>
              <w:t>ing</w:t>
            </w:r>
            <w:r w:rsidR="00C51363" w:rsidRPr="00530AA1">
              <w:rPr>
                <w:rFonts w:ascii="Arial" w:hAnsi="Arial" w:cs="Arial"/>
                <w:szCs w:val="24"/>
              </w:rPr>
              <w:t xml:space="preserve"> the final draft at its meeting </w:t>
            </w:r>
            <w:r w:rsidR="003E29DF">
              <w:rPr>
                <w:rFonts w:ascii="Arial" w:hAnsi="Arial" w:cs="Arial"/>
                <w:szCs w:val="24"/>
              </w:rPr>
              <w:t>on</w:t>
            </w:r>
            <w:r w:rsidR="00C51363" w:rsidRPr="00530AA1">
              <w:rPr>
                <w:rFonts w:ascii="Arial" w:hAnsi="Arial" w:cs="Arial"/>
                <w:szCs w:val="24"/>
              </w:rPr>
              <w:t xml:space="preserve"> 19 November </w:t>
            </w:r>
            <w:r w:rsidR="00C51363">
              <w:rPr>
                <w:rFonts w:ascii="Arial" w:hAnsi="Arial" w:cs="Arial"/>
                <w:szCs w:val="24"/>
              </w:rPr>
              <w:t xml:space="preserve">prior </w:t>
            </w:r>
            <w:r w:rsidR="00C51363" w:rsidRPr="00530AA1">
              <w:rPr>
                <w:rFonts w:ascii="Arial" w:hAnsi="Arial" w:cs="Arial"/>
                <w:szCs w:val="24"/>
              </w:rPr>
              <w:t>to it being considered by the HLH Board on 11 December 2019.</w:t>
            </w:r>
          </w:p>
          <w:p w14:paraId="3676EDA4" w14:textId="44B1AC41" w:rsidR="00C51363" w:rsidRPr="00530AA1" w:rsidRDefault="00C51363">
            <w:pPr>
              <w:jc w:val="both"/>
              <w:rPr>
                <w:rFonts w:ascii="Arial" w:hAnsi="Arial" w:cs="Arial"/>
                <w:szCs w:val="24"/>
              </w:rPr>
            </w:pPr>
          </w:p>
        </w:tc>
      </w:tr>
      <w:tr w:rsidR="00113303" w:rsidRPr="009B1E6A" w14:paraId="354E04D9" w14:textId="77777777" w:rsidTr="00CD3701">
        <w:tc>
          <w:tcPr>
            <w:tcW w:w="710" w:type="dxa"/>
          </w:tcPr>
          <w:p w14:paraId="69FFFC75" w14:textId="77777777" w:rsidR="00113303" w:rsidRDefault="00113303" w:rsidP="00113303">
            <w:pPr>
              <w:rPr>
                <w:rFonts w:ascii="Arial" w:hAnsi="Arial" w:cs="Arial"/>
                <w:b/>
                <w:szCs w:val="24"/>
              </w:rPr>
            </w:pPr>
            <w:r w:rsidRPr="00530AA1">
              <w:rPr>
                <w:rFonts w:ascii="Arial" w:hAnsi="Arial" w:cs="Arial"/>
                <w:b/>
                <w:szCs w:val="24"/>
              </w:rPr>
              <w:t>3.</w:t>
            </w:r>
          </w:p>
          <w:p w14:paraId="11223881" w14:textId="77777777" w:rsidR="00113303" w:rsidRPr="00530AA1" w:rsidRDefault="00113303" w:rsidP="0041351E">
            <w:pPr>
              <w:rPr>
                <w:rFonts w:ascii="Arial" w:hAnsi="Arial" w:cs="Arial"/>
                <w:b/>
                <w:szCs w:val="24"/>
              </w:rPr>
            </w:pPr>
          </w:p>
        </w:tc>
        <w:tc>
          <w:tcPr>
            <w:tcW w:w="9355" w:type="dxa"/>
          </w:tcPr>
          <w:p w14:paraId="18FBA859" w14:textId="4581D125" w:rsidR="00113303" w:rsidRPr="00530AA1" w:rsidRDefault="00006084" w:rsidP="00113303">
            <w:pPr>
              <w:rPr>
                <w:rFonts w:ascii="Arial" w:hAnsi="Arial" w:cs="Arial"/>
                <w:b/>
                <w:szCs w:val="24"/>
              </w:rPr>
            </w:pPr>
            <w:r>
              <w:rPr>
                <w:rFonts w:ascii="Arial" w:hAnsi="Arial" w:cs="Arial"/>
                <w:b/>
                <w:szCs w:val="24"/>
              </w:rPr>
              <w:t>Plan Development</w:t>
            </w:r>
          </w:p>
          <w:p w14:paraId="68DE5ACB" w14:textId="77777777" w:rsidR="00113303" w:rsidRPr="00530AA1" w:rsidRDefault="00113303" w:rsidP="0041351E">
            <w:pPr>
              <w:rPr>
                <w:rFonts w:ascii="Arial" w:hAnsi="Arial" w:cs="Arial"/>
                <w:b/>
                <w:szCs w:val="24"/>
              </w:rPr>
            </w:pPr>
          </w:p>
        </w:tc>
      </w:tr>
      <w:tr w:rsidR="009B1E6A" w:rsidRPr="00F50C69" w14:paraId="03F12196" w14:textId="77777777" w:rsidTr="00CD3701">
        <w:tc>
          <w:tcPr>
            <w:tcW w:w="710" w:type="dxa"/>
          </w:tcPr>
          <w:p w14:paraId="65EB425B" w14:textId="3783FC68" w:rsidR="00530AA1" w:rsidRPr="00F50C69" w:rsidRDefault="00530AA1" w:rsidP="0041351E">
            <w:pPr>
              <w:rPr>
                <w:rFonts w:ascii="Arial" w:hAnsi="Arial" w:cs="Arial"/>
                <w:szCs w:val="24"/>
              </w:rPr>
            </w:pPr>
            <w:r w:rsidRPr="00F50C69">
              <w:rPr>
                <w:rFonts w:ascii="Arial" w:hAnsi="Arial" w:cs="Arial"/>
                <w:szCs w:val="24"/>
              </w:rPr>
              <w:t>3.1</w:t>
            </w:r>
          </w:p>
        </w:tc>
        <w:tc>
          <w:tcPr>
            <w:tcW w:w="9355" w:type="dxa"/>
          </w:tcPr>
          <w:p w14:paraId="3B5221C8" w14:textId="477D4C7A" w:rsidR="00246BDF" w:rsidRDefault="006C3CA9" w:rsidP="0041351E">
            <w:pPr>
              <w:rPr>
                <w:rFonts w:ascii="Arial" w:hAnsi="Arial" w:cs="Arial"/>
                <w:szCs w:val="24"/>
              </w:rPr>
            </w:pPr>
            <w:r>
              <w:rPr>
                <w:rFonts w:ascii="Arial" w:hAnsi="Arial" w:cs="Arial"/>
                <w:szCs w:val="24"/>
              </w:rPr>
              <w:t>In</w:t>
            </w:r>
            <w:r w:rsidR="00F50C69" w:rsidRPr="00F50C69">
              <w:rPr>
                <w:rFonts w:ascii="Arial" w:hAnsi="Arial" w:cs="Arial"/>
                <w:szCs w:val="24"/>
              </w:rPr>
              <w:t xml:space="preserve"> </w:t>
            </w:r>
            <w:r w:rsidR="003E29DF" w:rsidRPr="00BD0C8B">
              <w:rPr>
                <w:rFonts w:ascii="Arial" w:hAnsi="Arial" w:cs="Arial"/>
                <w:szCs w:val="24"/>
              </w:rPr>
              <w:t>develop</w:t>
            </w:r>
            <w:r>
              <w:rPr>
                <w:rFonts w:ascii="Arial" w:hAnsi="Arial" w:cs="Arial"/>
                <w:szCs w:val="24"/>
              </w:rPr>
              <w:t>ing</w:t>
            </w:r>
            <w:r w:rsidR="003E29DF" w:rsidRPr="00BD0C8B">
              <w:rPr>
                <w:rFonts w:ascii="Arial" w:hAnsi="Arial" w:cs="Arial"/>
                <w:szCs w:val="24"/>
              </w:rPr>
              <w:t xml:space="preserve"> the draft</w:t>
            </w:r>
            <w:r w:rsidR="00F50C69" w:rsidRPr="00F50C69">
              <w:rPr>
                <w:rFonts w:ascii="Arial" w:hAnsi="Arial" w:cs="Arial"/>
                <w:szCs w:val="24"/>
              </w:rPr>
              <w:t xml:space="preserve"> plan</w:t>
            </w:r>
            <w:r w:rsidR="003E29DF" w:rsidRPr="00BD0C8B">
              <w:rPr>
                <w:rFonts w:ascii="Arial" w:hAnsi="Arial" w:cs="Arial"/>
                <w:szCs w:val="24"/>
              </w:rPr>
              <w:t>, t</w:t>
            </w:r>
            <w:r w:rsidR="00B46BC8" w:rsidRPr="00F50C69">
              <w:rPr>
                <w:rFonts w:ascii="Arial" w:hAnsi="Arial" w:cs="Arial"/>
                <w:szCs w:val="24"/>
              </w:rPr>
              <w:t>he</w:t>
            </w:r>
            <w:r w:rsidR="003E29DF" w:rsidRPr="00F50C69">
              <w:rPr>
                <w:rFonts w:ascii="Arial" w:hAnsi="Arial" w:cs="Arial"/>
                <w:szCs w:val="24"/>
              </w:rPr>
              <w:t xml:space="preserve"> Principal Estates Manger and Health and Safety and Property Officer undert</w:t>
            </w:r>
            <w:r w:rsidR="00F50C69" w:rsidRPr="00F50C69">
              <w:rPr>
                <w:rFonts w:ascii="Arial" w:hAnsi="Arial" w:cs="Arial"/>
                <w:szCs w:val="24"/>
              </w:rPr>
              <w:t xml:space="preserve">ook </w:t>
            </w:r>
            <w:r w:rsidR="003E29DF" w:rsidRPr="00F50C69">
              <w:rPr>
                <w:rFonts w:ascii="Arial" w:hAnsi="Arial" w:cs="Arial"/>
                <w:szCs w:val="24"/>
              </w:rPr>
              <w:t>the following tasks:</w:t>
            </w:r>
          </w:p>
          <w:p w14:paraId="2CEBC3D1" w14:textId="77777777" w:rsidR="008C1BDD" w:rsidRPr="00F50C69" w:rsidRDefault="008C1BDD" w:rsidP="0041351E">
            <w:pPr>
              <w:rPr>
                <w:rFonts w:ascii="Arial" w:hAnsi="Arial" w:cs="Arial"/>
                <w:szCs w:val="24"/>
              </w:rPr>
            </w:pPr>
          </w:p>
          <w:p w14:paraId="4BDF1BC4" w14:textId="68DF6F16" w:rsidR="003E29DF" w:rsidRPr="00BD0C8B" w:rsidRDefault="003E29DF" w:rsidP="009C1524">
            <w:pPr>
              <w:pStyle w:val="ListParagraph"/>
              <w:numPr>
                <w:ilvl w:val="0"/>
                <w:numId w:val="4"/>
              </w:numPr>
              <w:spacing w:after="0" w:line="240" w:lineRule="auto"/>
              <w:ind w:left="714" w:hanging="357"/>
              <w:jc w:val="both"/>
              <w:rPr>
                <w:rFonts w:ascii="Arial" w:hAnsi="Arial" w:cs="Arial"/>
                <w:sz w:val="24"/>
                <w:szCs w:val="24"/>
              </w:rPr>
            </w:pPr>
            <w:r w:rsidRPr="00BD0C8B">
              <w:rPr>
                <w:rFonts w:ascii="Arial" w:hAnsi="Arial" w:cs="Arial"/>
                <w:sz w:val="24"/>
                <w:szCs w:val="24"/>
              </w:rPr>
              <w:t>July and August - consultation and informati</w:t>
            </w:r>
            <w:r w:rsidR="00A11547">
              <w:rPr>
                <w:rFonts w:ascii="Arial" w:hAnsi="Arial" w:cs="Arial"/>
                <w:sz w:val="24"/>
                <w:szCs w:val="24"/>
              </w:rPr>
              <w:t xml:space="preserve">on gathering with the external </w:t>
            </w:r>
            <w:r w:rsidR="00030F46">
              <w:rPr>
                <w:rFonts w:ascii="Arial" w:hAnsi="Arial" w:cs="Arial"/>
                <w:sz w:val="24"/>
                <w:szCs w:val="24"/>
              </w:rPr>
              <w:t>H</w:t>
            </w:r>
            <w:r w:rsidRPr="00BD0C8B">
              <w:rPr>
                <w:rFonts w:ascii="Arial" w:hAnsi="Arial" w:cs="Arial"/>
                <w:sz w:val="24"/>
                <w:szCs w:val="24"/>
              </w:rPr>
              <w:t xml:space="preserve">ealth and </w:t>
            </w:r>
            <w:r w:rsidR="008C1BDD">
              <w:rPr>
                <w:rFonts w:ascii="Arial" w:hAnsi="Arial" w:cs="Arial"/>
                <w:sz w:val="24"/>
                <w:szCs w:val="24"/>
              </w:rPr>
              <w:t>S</w:t>
            </w:r>
            <w:r w:rsidR="00AE19E4">
              <w:rPr>
                <w:rFonts w:ascii="Arial" w:hAnsi="Arial" w:cs="Arial"/>
                <w:sz w:val="24"/>
                <w:szCs w:val="24"/>
              </w:rPr>
              <w:t>afety Adviser, QLM;</w:t>
            </w:r>
          </w:p>
          <w:p w14:paraId="36696C20" w14:textId="72146D0B" w:rsidR="003E29DF" w:rsidRPr="00BD0C8B" w:rsidRDefault="003E29DF" w:rsidP="009C1524">
            <w:pPr>
              <w:pStyle w:val="ListParagraph"/>
              <w:numPr>
                <w:ilvl w:val="0"/>
                <w:numId w:val="4"/>
              </w:numPr>
              <w:spacing w:after="0" w:line="240" w:lineRule="auto"/>
              <w:ind w:left="714" w:hanging="357"/>
              <w:jc w:val="both"/>
              <w:rPr>
                <w:rFonts w:ascii="Arial" w:hAnsi="Arial" w:cs="Arial"/>
                <w:sz w:val="24"/>
                <w:szCs w:val="24"/>
              </w:rPr>
            </w:pPr>
            <w:r w:rsidRPr="00BD0C8B">
              <w:rPr>
                <w:rFonts w:ascii="Arial" w:hAnsi="Arial" w:cs="Arial"/>
                <w:sz w:val="24"/>
                <w:szCs w:val="24"/>
              </w:rPr>
              <w:t xml:space="preserve">20 August 2019 – QLM delivered health and safety workshops with the Health and </w:t>
            </w:r>
            <w:r w:rsidR="00A11547">
              <w:rPr>
                <w:rFonts w:ascii="Arial" w:hAnsi="Arial" w:cs="Arial"/>
                <w:sz w:val="24"/>
                <w:szCs w:val="24"/>
              </w:rPr>
              <w:t>S</w:t>
            </w:r>
            <w:r w:rsidRPr="00BD0C8B">
              <w:rPr>
                <w:rFonts w:ascii="Arial" w:hAnsi="Arial" w:cs="Arial"/>
                <w:sz w:val="24"/>
                <w:szCs w:val="24"/>
              </w:rPr>
              <w:t>afety and Environmental Compliance Co</w:t>
            </w:r>
            <w:r w:rsidR="00AE19E4">
              <w:rPr>
                <w:rFonts w:ascii="Arial" w:hAnsi="Arial" w:cs="Arial"/>
                <w:sz w:val="24"/>
                <w:szCs w:val="24"/>
              </w:rPr>
              <w:t>mmittee; staff and trade unions;</w:t>
            </w:r>
            <w:r w:rsidRPr="00BD0C8B">
              <w:rPr>
                <w:rFonts w:ascii="Arial" w:hAnsi="Arial" w:cs="Arial"/>
                <w:sz w:val="24"/>
                <w:szCs w:val="24"/>
              </w:rPr>
              <w:t xml:space="preserve"> </w:t>
            </w:r>
          </w:p>
          <w:p w14:paraId="77C63F22" w14:textId="4BBBFD56" w:rsidR="003E29DF" w:rsidRPr="00BD0C8B" w:rsidRDefault="003E29DF" w:rsidP="009C1524">
            <w:pPr>
              <w:pStyle w:val="ListParagraph"/>
              <w:numPr>
                <w:ilvl w:val="0"/>
                <w:numId w:val="4"/>
              </w:numPr>
              <w:spacing w:after="0" w:line="240" w:lineRule="auto"/>
              <w:ind w:left="714" w:hanging="357"/>
              <w:jc w:val="both"/>
              <w:rPr>
                <w:rFonts w:ascii="Arial" w:hAnsi="Arial" w:cs="Arial"/>
                <w:sz w:val="24"/>
                <w:szCs w:val="24"/>
              </w:rPr>
            </w:pPr>
            <w:r w:rsidRPr="00BD0C8B">
              <w:rPr>
                <w:rFonts w:ascii="Arial" w:hAnsi="Arial" w:cs="Arial"/>
                <w:sz w:val="24"/>
                <w:szCs w:val="24"/>
              </w:rPr>
              <w:t xml:space="preserve">September – </w:t>
            </w:r>
            <w:r w:rsidR="006C3CA9">
              <w:rPr>
                <w:rFonts w:ascii="Arial" w:hAnsi="Arial" w:cs="Arial"/>
                <w:sz w:val="24"/>
                <w:szCs w:val="24"/>
              </w:rPr>
              <w:t xml:space="preserve">a </w:t>
            </w:r>
            <w:r w:rsidR="00F50C69">
              <w:rPr>
                <w:rFonts w:ascii="Arial" w:hAnsi="Arial" w:cs="Arial"/>
                <w:sz w:val="24"/>
                <w:szCs w:val="24"/>
              </w:rPr>
              <w:t xml:space="preserve">consultation </w:t>
            </w:r>
            <w:r w:rsidRPr="00BD0C8B">
              <w:rPr>
                <w:rFonts w:ascii="Arial" w:hAnsi="Arial" w:cs="Arial"/>
                <w:sz w:val="24"/>
                <w:szCs w:val="24"/>
              </w:rPr>
              <w:t xml:space="preserve">draft </w:t>
            </w:r>
            <w:r w:rsidR="006C3CA9">
              <w:rPr>
                <w:rFonts w:ascii="Arial" w:hAnsi="Arial" w:cs="Arial"/>
                <w:sz w:val="24"/>
                <w:szCs w:val="24"/>
              </w:rPr>
              <w:t xml:space="preserve">was </w:t>
            </w:r>
            <w:r w:rsidRPr="00BD0C8B">
              <w:rPr>
                <w:rFonts w:ascii="Arial" w:hAnsi="Arial" w:cs="Arial"/>
                <w:sz w:val="24"/>
                <w:szCs w:val="24"/>
              </w:rPr>
              <w:t>developed following compl</w:t>
            </w:r>
            <w:r w:rsidR="00AE19E4">
              <w:rPr>
                <w:rFonts w:ascii="Arial" w:hAnsi="Arial" w:cs="Arial"/>
                <w:sz w:val="24"/>
                <w:szCs w:val="24"/>
              </w:rPr>
              <w:t>etion of workshop report by QLM;</w:t>
            </w:r>
            <w:r w:rsidRPr="00BD0C8B">
              <w:rPr>
                <w:rFonts w:ascii="Arial" w:hAnsi="Arial" w:cs="Arial"/>
                <w:sz w:val="24"/>
                <w:szCs w:val="24"/>
              </w:rPr>
              <w:t xml:space="preserve"> </w:t>
            </w:r>
          </w:p>
          <w:p w14:paraId="235A8F60" w14:textId="37E2B653" w:rsidR="003E29DF" w:rsidRPr="00BD0C8B" w:rsidRDefault="003E29DF" w:rsidP="009C1524">
            <w:pPr>
              <w:pStyle w:val="ListParagraph"/>
              <w:numPr>
                <w:ilvl w:val="0"/>
                <w:numId w:val="4"/>
              </w:numPr>
              <w:spacing w:after="0" w:line="240" w:lineRule="auto"/>
              <w:ind w:left="714" w:hanging="357"/>
              <w:jc w:val="both"/>
              <w:rPr>
                <w:rFonts w:ascii="Arial" w:hAnsi="Arial" w:cs="Arial"/>
                <w:sz w:val="24"/>
                <w:szCs w:val="24"/>
              </w:rPr>
            </w:pPr>
            <w:r w:rsidRPr="00BD0C8B">
              <w:rPr>
                <w:rFonts w:ascii="Arial" w:hAnsi="Arial" w:cs="Arial"/>
                <w:sz w:val="24"/>
                <w:szCs w:val="24"/>
              </w:rPr>
              <w:t xml:space="preserve">October – </w:t>
            </w:r>
            <w:r w:rsidR="00F95CF5">
              <w:rPr>
                <w:rFonts w:ascii="Arial" w:hAnsi="Arial" w:cs="Arial"/>
                <w:sz w:val="24"/>
                <w:szCs w:val="24"/>
              </w:rPr>
              <w:t>the</w:t>
            </w:r>
            <w:r w:rsidR="006C3CA9">
              <w:rPr>
                <w:rFonts w:ascii="Arial" w:hAnsi="Arial" w:cs="Arial"/>
                <w:sz w:val="24"/>
                <w:szCs w:val="24"/>
              </w:rPr>
              <w:t xml:space="preserve"> </w:t>
            </w:r>
            <w:r w:rsidRPr="00BD0C8B">
              <w:rPr>
                <w:rFonts w:ascii="Arial" w:hAnsi="Arial" w:cs="Arial"/>
                <w:sz w:val="24"/>
                <w:szCs w:val="24"/>
              </w:rPr>
              <w:t>consultation draft</w:t>
            </w:r>
            <w:r w:rsidR="00F95CF5">
              <w:rPr>
                <w:rFonts w:ascii="Arial" w:hAnsi="Arial" w:cs="Arial"/>
                <w:sz w:val="24"/>
                <w:szCs w:val="24"/>
              </w:rPr>
              <w:t xml:space="preserve"> was</w:t>
            </w:r>
            <w:r w:rsidRPr="00BD0C8B">
              <w:rPr>
                <w:rFonts w:ascii="Arial" w:hAnsi="Arial" w:cs="Arial"/>
                <w:sz w:val="24"/>
                <w:szCs w:val="24"/>
              </w:rPr>
              <w:t xml:space="preserve"> issued to the</w:t>
            </w:r>
            <w:r w:rsidR="00AE19E4">
              <w:rPr>
                <w:rFonts w:ascii="Arial" w:hAnsi="Arial" w:cs="Arial"/>
                <w:sz w:val="24"/>
                <w:szCs w:val="24"/>
              </w:rPr>
              <w:t xml:space="preserve"> HLH Quarterly Management Team; and</w:t>
            </w:r>
          </w:p>
          <w:p w14:paraId="1EF67BD5" w14:textId="77777777" w:rsidR="00673FAA" w:rsidRDefault="00F50C69" w:rsidP="009C1524">
            <w:pPr>
              <w:pStyle w:val="ListParagraph"/>
              <w:numPr>
                <w:ilvl w:val="0"/>
                <w:numId w:val="4"/>
              </w:numPr>
              <w:spacing w:after="0" w:line="240" w:lineRule="auto"/>
              <w:ind w:left="714" w:hanging="357"/>
              <w:jc w:val="both"/>
              <w:rPr>
                <w:rFonts w:ascii="Arial" w:hAnsi="Arial" w:cs="Arial"/>
                <w:sz w:val="24"/>
                <w:szCs w:val="24"/>
              </w:rPr>
            </w:pPr>
            <w:r w:rsidRPr="00BD0C8B">
              <w:rPr>
                <w:rFonts w:ascii="Arial" w:hAnsi="Arial" w:cs="Arial"/>
                <w:sz w:val="24"/>
                <w:szCs w:val="24"/>
              </w:rPr>
              <w:t xml:space="preserve">November – </w:t>
            </w:r>
            <w:r w:rsidR="006C3CA9">
              <w:rPr>
                <w:rFonts w:ascii="Arial" w:hAnsi="Arial" w:cs="Arial"/>
                <w:sz w:val="24"/>
                <w:szCs w:val="24"/>
              </w:rPr>
              <w:t xml:space="preserve">the plan in </w:t>
            </w:r>
            <w:r w:rsidR="00DE04CA">
              <w:rPr>
                <w:rFonts w:ascii="Arial" w:hAnsi="Arial" w:cs="Arial"/>
                <w:b/>
                <w:sz w:val="24"/>
                <w:szCs w:val="24"/>
              </w:rPr>
              <w:t>A</w:t>
            </w:r>
            <w:r w:rsidR="006C3CA9">
              <w:rPr>
                <w:rFonts w:ascii="Arial" w:hAnsi="Arial" w:cs="Arial"/>
                <w:b/>
                <w:sz w:val="24"/>
                <w:szCs w:val="24"/>
              </w:rPr>
              <w:t xml:space="preserve">ppendix A </w:t>
            </w:r>
            <w:r w:rsidR="006C3CA9" w:rsidRPr="00BD0C8B">
              <w:rPr>
                <w:rFonts w:ascii="Arial" w:hAnsi="Arial" w:cs="Arial"/>
                <w:sz w:val="24"/>
                <w:szCs w:val="24"/>
              </w:rPr>
              <w:t>was</w:t>
            </w:r>
            <w:r w:rsidR="006C3CA9">
              <w:rPr>
                <w:rFonts w:ascii="Arial" w:hAnsi="Arial" w:cs="Arial"/>
                <w:b/>
                <w:sz w:val="24"/>
                <w:szCs w:val="24"/>
              </w:rPr>
              <w:t xml:space="preserve"> </w:t>
            </w:r>
            <w:r w:rsidRPr="00BD0C8B">
              <w:rPr>
                <w:rFonts w:ascii="Arial" w:hAnsi="Arial" w:cs="Arial"/>
                <w:sz w:val="24"/>
                <w:szCs w:val="24"/>
              </w:rPr>
              <w:t xml:space="preserve">drafted for consideration </w:t>
            </w:r>
            <w:r w:rsidR="006C3CA9">
              <w:rPr>
                <w:rFonts w:ascii="Arial" w:hAnsi="Arial" w:cs="Arial"/>
                <w:sz w:val="24"/>
                <w:szCs w:val="24"/>
              </w:rPr>
              <w:t>by</w:t>
            </w:r>
            <w:r w:rsidRPr="00BD0C8B">
              <w:rPr>
                <w:rFonts w:ascii="Arial" w:hAnsi="Arial" w:cs="Arial"/>
                <w:sz w:val="24"/>
                <w:szCs w:val="24"/>
              </w:rPr>
              <w:t xml:space="preserve"> the Health and Safety and Environmental Compliance Committee.</w:t>
            </w:r>
          </w:p>
          <w:p w14:paraId="59F415B2" w14:textId="31735DEE" w:rsidR="00A11547" w:rsidRPr="00970B3E" w:rsidRDefault="00A11547" w:rsidP="00A11547">
            <w:pPr>
              <w:pStyle w:val="ListParagraph"/>
              <w:spacing w:after="0"/>
              <w:jc w:val="both"/>
              <w:rPr>
                <w:rFonts w:ascii="Arial" w:hAnsi="Arial" w:cs="Arial"/>
                <w:sz w:val="24"/>
                <w:szCs w:val="24"/>
              </w:rPr>
            </w:pPr>
          </w:p>
        </w:tc>
      </w:tr>
      <w:tr w:rsidR="009B1E6A" w:rsidRPr="009B1E6A" w14:paraId="3ED861E5" w14:textId="77777777" w:rsidTr="00CD3701">
        <w:tc>
          <w:tcPr>
            <w:tcW w:w="710" w:type="dxa"/>
          </w:tcPr>
          <w:p w14:paraId="5FC27DB1" w14:textId="77777777" w:rsidR="00F266AD" w:rsidRPr="007C33C5" w:rsidRDefault="00F266AD" w:rsidP="0086030D">
            <w:pPr>
              <w:rPr>
                <w:rFonts w:ascii="Arial" w:hAnsi="Arial" w:cs="Arial"/>
                <w:b/>
                <w:szCs w:val="24"/>
              </w:rPr>
            </w:pPr>
            <w:r w:rsidRPr="007C33C5">
              <w:rPr>
                <w:rFonts w:ascii="Arial" w:hAnsi="Arial" w:cs="Arial"/>
                <w:b/>
                <w:szCs w:val="24"/>
              </w:rPr>
              <w:lastRenderedPageBreak/>
              <w:t>4.</w:t>
            </w:r>
          </w:p>
        </w:tc>
        <w:tc>
          <w:tcPr>
            <w:tcW w:w="9355" w:type="dxa"/>
          </w:tcPr>
          <w:p w14:paraId="435CD188" w14:textId="30EE0815" w:rsidR="00F266AD" w:rsidRPr="007C33C5" w:rsidRDefault="00F95CF5" w:rsidP="0086030D">
            <w:pPr>
              <w:rPr>
                <w:rFonts w:ascii="Arial" w:hAnsi="Arial" w:cs="Arial"/>
                <w:b/>
                <w:szCs w:val="24"/>
              </w:rPr>
            </w:pPr>
            <w:r>
              <w:rPr>
                <w:rFonts w:ascii="Arial" w:hAnsi="Arial" w:cs="Arial"/>
                <w:b/>
                <w:szCs w:val="24"/>
              </w:rPr>
              <w:t>Draft Plan Summary/Outline</w:t>
            </w:r>
          </w:p>
          <w:p w14:paraId="5ADF2D44" w14:textId="77777777" w:rsidR="00F266AD" w:rsidRPr="007C33C5" w:rsidRDefault="00F266AD" w:rsidP="0086030D">
            <w:pPr>
              <w:rPr>
                <w:rFonts w:ascii="Arial" w:hAnsi="Arial" w:cs="Arial"/>
                <w:b/>
                <w:szCs w:val="24"/>
              </w:rPr>
            </w:pPr>
          </w:p>
        </w:tc>
      </w:tr>
      <w:tr w:rsidR="009B1E6A" w:rsidRPr="00AC44C0" w14:paraId="542AF4F4" w14:textId="77777777" w:rsidTr="00CD3701">
        <w:tc>
          <w:tcPr>
            <w:tcW w:w="710" w:type="dxa"/>
          </w:tcPr>
          <w:p w14:paraId="0E306004" w14:textId="77777777" w:rsidR="00F266AD" w:rsidRPr="00AC44C0" w:rsidRDefault="00F266AD" w:rsidP="002600DB">
            <w:pPr>
              <w:rPr>
                <w:rFonts w:ascii="Arial" w:hAnsi="Arial" w:cs="Arial"/>
                <w:szCs w:val="24"/>
              </w:rPr>
            </w:pPr>
            <w:r w:rsidRPr="00AC44C0">
              <w:rPr>
                <w:rFonts w:ascii="Arial" w:hAnsi="Arial" w:cs="Arial"/>
                <w:szCs w:val="24"/>
              </w:rPr>
              <w:t>4.1</w:t>
            </w:r>
          </w:p>
          <w:p w14:paraId="70E03A6A" w14:textId="77777777" w:rsidR="00F266AD" w:rsidRPr="00AC44C0" w:rsidRDefault="00F266AD" w:rsidP="002600DB">
            <w:pPr>
              <w:rPr>
                <w:rFonts w:ascii="Arial" w:hAnsi="Arial" w:cs="Arial"/>
                <w:b/>
                <w:szCs w:val="24"/>
              </w:rPr>
            </w:pPr>
          </w:p>
        </w:tc>
        <w:tc>
          <w:tcPr>
            <w:tcW w:w="9355" w:type="dxa"/>
          </w:tcPr>
          <w:p w14:paraId="75D0BBC4" w14:textId="368CBAB9" w:rsidR="006C3CA9" w:rsidRPr="00AC44C0" w:rsidRDefault="00CD3701" w:rsidP="00C279F7">
            <w:pPr>
              <w:jc w:val="both"/>
              <w:rPr>
                <w:rFonts w:ascii="Arial" w:hAnsi="Arial" w:cs="Arial"/>
                <w:szCs w:val="24"/>
              </w:rPr>
            </w:pPr>
            <w:r w:rsidRPr="00AC44C0">
              <w:rPr>
                <w:rFonts w:ascii="Arial" w:hAnsi="Arial" w:cs="Arial"/>
                <w:szCs w:val="24"/>
              </w:rPr>
              <w:t>Th</w:t>
            </w:r>
            <w:r w:rsidR="006C3CA9" w:rsidRPr="00AC44C0">
              <w:rPr>
                <w:rFonts w:ascii="Arial" w:hAnsi="Arial" w:cs="Arial"/>
                <w:szCs w:val="24"/>
              </w:rPr>
              <w:t xml:space="preserve">e </w:t>
            </w:r>
            <w:r w:rsidRPr="00AC44C0">
              <w:rPr>
                <w:rFonts w:ascii="Arial" w:hAnsi="Arial" w:cs="Arial"/>
                <w:szCs w:val="24"/>
              </w:rPr>
              <w:t xml:space="preserve">plan has been developed to support the delivery of HLH’s Business </w:t>
            </w:r>
            <w:r w:rsidR="00C279F7" w:rsidRPr="00AC44C0">
              <w:rPr>
                <w:rFonts w:ascii="Arial" w:hAnsi="Arial" w:cs="Arial"/>
                <w:szCs w:val="24"/>
              </w:rPr>
              <w:t>P</w:t>
            </w:r>
            <w:r w:rsidRPr="00AC44C0">
              <w:rPr>
                <w:rFonts w:ascii="Arial" w:hAnsi="Arial" w:cs="Arial"/>
                <w:szCs w:val="24"/>
              </w:rPr>
              <w:t>lan 2019-24</w:t>
            </w:r>
            <w:r w:rsidR="006C3CA9" w:rsidRPr="00AC44C0">
              <w:rPr>
                <w:rFonts w:ascii="Arial" w:hAnsi="Arial" w:cs="Arial"/>
                <w:szCs w:val="24"/>
              </w:rPr>
              <w:t>. It recognises the importance of going b</w:t>
            </w:r>
            <w:r w:rsidRPr="00AC44C0">
              <w:rPr>
                <w:rFonts w:ascii="Arial" w:hAnsi="Arial" w:cs="Arial"/>
                <w:szCs w:val="24"/>
              </w:rPr>
              <w:t>eyond the traditional health and safety role of preventing harm</w:t>
            </w:r>
            <w:r w:rsidR="006C3CA9" w:rsidRPr="00AC44C0">
              <w:rPr>
                <w:rFonts w:ascii="Arial" w:hAnsi="Arial" w:cs="Arial"/>
                <w:szCs w:val="24"/>
              </w:rPr>
              <w:t xml:space="preserve"> and describes how HLH will achieve its aim of</w:t>
            </w:r>
            <w:r w:rsidRPr="00AC44C0">
              <w:rPr>
                <w:rFonts w:ascii="Arial" w:hAnsi="Arial" w:cs="Arial"/>
                <w:szCs w:val="24"/>
              </w:rPr>
              <w:t xml:space="preserve"> continually improv</w:t>
            </w:r>
            <w:r w:rsidR="006C3CA9" w:rsidRPr="00AC44C0">
              <w:rPr>
                <w:rFonts w:ascii="Arial" w:hAnsi="Arial" w:cs="Arial"/>
                <w:szCs w:val="24"/>
              </w:rPr>
              <w:t>ing</w:t>
            </w:r>
            <w:r w:rsidRPr="00AC44C0">
              <w:rPr>
                <w:rFonts w:ascii="Arial" w:hAnsi="Arial" w:cs="Arial"/>
                <w:szCs w:val="24"/>
              </w:rPr>
              <w:t xml:space="preserve"> the health and safety of its staff, volunteers, customers and visitors. </w:t>
            </w:r>
            <w:r w:rsidR="006C3CA9" w:rsidRPr="00AC44C0">
              <w:rPr>
                <w:rFonts w:ascii="Arial" w:hAnsi="Arial" w:cs="Arial"/>
                <w:szCs w:val="24"/>
              </w:rPr>
              <w:t xml:space="preserve">In doing this it covers the following topics: </w:t>
            </w:r>
          </w:p>
          <w:p w14:paraId="779DFE3D" w14:textId="77777777" w:rsidR="006C3CA9" w:rsidRPr="00AC44C0" w:rsidRDefault="006C3CA9" w:rsidP="00BD0C8B">
            <w:pPr>
              <w:rPr>
                <w:rFonts w:ascii="Arial" w:hAnsi="Arial" w:cs="Arial"/>
                <w:szCs w:val="24"/>
              </w:rPr>
            </w:pPr>
          </w:p>
          <w:p w14:paraId="6F9A37CB" w14:textId="487E5A6E" w:rsidR="006C3CA9"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Roles of the Health and Safety and Environmental Compliance Committee and Staff Health and Safety Groups</w:t>
            </w:r>
            <w:r w:rsidR="00A11547" w:rsidRPr="00AC44C0">
              <w:rPr>
                <w:rFonts w:ascii="Arial" w:hAnsi="Arial" w:cs="Arial"/>
                <w:sz w:val="24"/>
                <w:szCs w:val="24"/>
              </w:rPr>
              <w:t>;</w:t>
            </w:r>
          </w:p>
          <w:p w14:paraId="0A5B50FF" w14:textId="326010CB" w:rsidR="006C3CA9"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Current Health and Safety Performance</w:t>
            </w:r>
            <w:r w:rsidR="00A11547" w:rsidRPr="00AC44C0">
              <w:rPr>
                <w:rFonts w:ascii="Arial" w:hAnsi="Arial" w:cs="Arial"/>
                <w:sz w:val="24"/>
                <w:szCs w:val="24"/>
              </w:rPr>
              <w:t>;</w:t>
            </w:r>
          </w:p>
          <w:p w14:paraId="6C3F0FFD" w14:textId="2A7105A1" w:rsidR="006C3CA9"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Principal Strategic Aims</w:t>
            </w:r>
            <w:r w:rsidR="00A11547" w:rsidRPr="00AC44C0">
              <w:rPr>
                <w:rFonts w:ascii="Arial" w:hAnsi="Arial" w:cs="Arial"/>
                <w:sz w:val="24"/>
                <w:szCs w:val="24"/>
              </w:rPr>
              <w:t>;</w:t>
            </w:r>
          </w:p>
          <w:p w14:paraId="0CFE4927" w14:textId="7B8B9E5E" w:rsidR="00970B3E"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Strategic Health and Safety Themes</w:t>
            </w:r>
            <w:r w:rsidR="00CA15A9">
              <w:rPr>
                <w:rFonts w:ascii="Arial" w:hAnsi="Arial" w:cs="Arial"/>
                <w:sz w:val="24"/>
                <w:szCs w:val="24"/>
              </w:rPr>
              <w:t>:</w:t>
            </w:r>
          </w:p>
          <w:p w14:paraId="46E21EDE" w14:textId="77777777" w:rsidR="006C3CA9" w:rsidRPr="00AC44C0" w:rsidRDefault="006C3CA9" w:rsidP="009C1524">
            <w:pPr>
              <w:pStyle w:val="ListParagraph"/>
              <w:numPr>
                <w:ilvl w:val="1"/>
                <w:numId w:val="6"/>
              </w:numPr>
              <w:spacing w:after="0" w:line="240" w:lineRule="auto"/>
              <w:rPr>
                <w:rFonts w:ascii="Arial" w:hAnsi="Arial" w:cs="Arial"/>
                <w:sz w:val="24"/>
                <w:szCs w:val="24"/>
              </w:rPr>
            </w:pPr>
            <w:r w:rsidRPr="00AC44C0">
              <w:rPr>
                <w:rFonts w:ascii="Arial" w:hAnsi="Arial" w:cs="Arial"/>
                <w:sz w:val="24"/>
                <w:szCs w:val="24"/>
              </w:rPr>
              <w:t>Leadership and Management</w:t>
            </w:r>
          </w:p>
          <w:p w14:paraId="6BC7011D" w14:textId="77777777" w:rsidR="006C3CA9" w:rsidRPr="00AC44C0" w:rsidRDefault="006C3CA9" w:rsidP="009C1524">
            <w:pPr>
              <w:pStyle w:val="ListParagraph"/>
              <w:numPr>
                <w:ilvl w:val="1"/>
                <w:numId w:val="6"/>
              </w:numPr>
              <w:spacing w:after="0" w:line="240" w:lineRule="auto"/>
              <w:rPr>
                <w:rFonts w:ascii="Arial" w:hAnsi="Arial" w:cs="Arial"/>
                <w:sz w:val="24"/>
                <w:szCs w:val="24"/>
              </w:rPr>
            </w:pPr>
            <w:r w:rsidRPr="00AC44C0">
              <w:rPr>
                <w:rFonts w:ascii="Arial" w:hAnsi="Arial" w:cs="Arial"/>
                <w:sz w:val="24"/>
                <w:szCs w:val="24"/>
              </w:rPr>
              <w:t>Competence</w:t>
            </w:r>
          </w:p>
          <w:p w14:paraId="4C82A6E7" w14:textId="77777777" w:rsidR="006C3CA9" w:rsidRPr="00AC44C0" w:rsidRDefault="006C3CA9" w:rsidP="009C1524">
            <w:pPr>
              <w:pStyle w:val="ListParagraph"/>
              <w:numPr>
                <w:ilvl w:val="1"/>
                <w:numId w:val="6"/>
              </w:numPr>
              <w:spacing w:after="0" w:line="240" w:lineRule="auto"/>
              <w:rPr>
                <w:rFonts w:ascii="Arial" w:hAnsi="Arial" w:cs="Arial"/>
                <w:sz w:val="24"/>
                <w:szCs w:val="24"/>
              </w:rPr>
            </w:pPr>
            <w:r w:rsidRPr="00AC44C0">
              <w:rPr>
                <w:rFonts w:ascii="Arial" w:hAnsi="Arial" w:cs="Arial"/>
                <w:sz w:val="24"/>
                <w:szCs w:val="24"/>
              </w:rPr>
              <w:t>Risk Management</w:t>
            </w:r>
          </w:p>
          <w:p w14:paraId="4B49BF03" w14:textId="77777777" w:rsidR="006C3CA9" w:rsidRPr="00AC44C0" w:rsidRDefault="006C3CA9" w:rsidP="009C1524">
            <w:pPr>
              <w:pStyle w:val="ListParagraph"/>
              <w:numPr>
                <w:ilvl w:val="1"/>
                <w:numId w:val="6"/>
              </w:numPr>
              <w:spacing w:after="0" w:line="240" w:lineRule="auto"/>
              <w:rPr>
                <w:rFonts w:ascii="Arial" w:hAnsi="Arial" w:cs="Arial"/>
                <w:sz w:val="24"/>
                <w:szCs w:val="24"/>
              </w:rPr>
            </w:pPr>
            <w:r w:rsidRPr="00AC44C0">
              <w:rPr>
                <w:rFonts w:ascii="Arial" w:hAnsi="Arial" w:cs="Arial"/>
                <w:sz w:val="24"/>
                <w:szCs w:val="24"/>
              </w:rPr>
              <w:t>Health and Wellbeing</w:t>
            </w:r>
          </w:p>
          <w:p w14:paraId="6731C0C9" w14:textId="36477BC1" w:rsidR="006C3CA9" w:rsidRPr="00AC44C0" w:rsidRDefault="006C3CA9" w:rsidP="009C1524">
            <w:pPr>
              <w:pStyle w:val="ListParagraph"/>
              <w:numPr>
                <w:ilvl w:val="1"/>
                <w:numId w:val="6"/>
              </w:numPr>
              <w:spacing w:after="0" w:line="240" w:lineRule="auto"/>
              <w:rPr>
                <w:rFonts w:ascii="Arial" w:hAnsi="Arial" w:cs="Arial"/>
                <w:sz w:val="24"/>
                <w:szCs w:val="24"/>
              </w:rPr>
            </w:pPr>
            <w:r w:rsidRPr="00AC44C0">
              <w:rPr>
                <w:rFonts w:ascii="Arial" w:hAnsi="Arial" w:cs="Arial"/>
                <w:sz w:val="24"/>
                <w:szCs w:val="24"/>
              </w:rPr>
              <w:t>Asset Management</w:t>
            </w:r>
            <w:r w:rsidR="00CA15A9">
              <w:rPr>
                <w:rFonts w:ascii="Arial" w:hAnsi="Arial" w:cs="Arial"/>
                <w:sz w:val="24"/>
                <w:szCs w:val="24"/>
              </w:rPr>
              <w:t>;</w:t>
            </w:r>
          </w:p>
          <w:p w14:paraId="7ABDD208" w14:textId="2944C27D" w:rsidR="006C3CA9"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Making it Happen</w:t>
            </w:r>
            <w:r w:rsidR="00A11547" w:rsidRPr="00AC44C0">
              <w:rPr>
                <w:rFonts w:ascii="Arial" w:hAnsi="Arial" w:cs="Arial"/>
                <w:sz w:val="24"/>
                <w:szCs w:val="24"/>
              </w:rPr>
              <w:t>; and</w:t>
            </w:r>
          </w:p>
          <w:p w14:paraId="17F208DB" w14:textId="4DE5F9AB" w:rsidR="00CD3701" w:rsidRPr="00AC44C0" w:rsidRDefault="006C3CA9" w:rsidP="009C1524">
            <w:pPr>
              <w:pStyle w:val="ListParagraph"/>
              <w:numPr>
                <w:ilvl w:val="0"/>
                <w:numId w:val="5"/>
              </w:numPr>
              <w:spacing w:after="0" w:line="240" w:lineRule="auto"/>
              <w:rPr>
                <w:rFonts w:ascii="Arial" w:hAnsi="Arial" w:cs="Arial"/>
                <w:sz w:val="24"/>
                <w:szCs w:val="24"/>
              </w:rPr>
            </w:pPr>
            <w:r w:rsidRPr="00AC44C0">
              <w:rPr>
                <w:rFonts w:ascii="Arial" w:hAnsi="Arial" w:cs="Arial"/>
                <w:sz w:val="24"/>
                <w:szCs w:val="24"/>
              </w:rPr>
              <w:t>Framework for Delivery</w:t>
            </w:r>
            <w:r w:rsidR="00A11547" w:rsidRPr="00AC44C0">
              <w:rPr>
                <w:rFonts w:ascii="Arial" w:hAnsi="Arial" w:cs="Arial"/>
                <w:sz w:val="24"/>
                <w:szCs w:val="24"/>
              </w:rPr>
              <w:t>.</w:t>
            </w:r>
          </w:p>
          <w:p w14:paraId="697BF9CC" w14:textId="04CBFCB1" w:rsidR="005668F9" w:rsidRPr="00AC44C0" w:rsidRDefault="005668F9" w:rsidP="00A43AC5">
            <w:pPr>
              <w:rPr>
                <w:rFonts w:ascii="Arial" w:hAnsi="Arial" w:cs="Arial"/>
                <w:b/>
                <w:szCs w:val="24"/>
              </w:rPr>
            </w:pPr>
          </w:p>
        </w:tc>
      </w:tr>
      <w:tr w:rsidR="00CD3701" w:rsidRPr="009B1E6A" w14:paraId="665EE177" w14:textId="77777777" w:rsidTr="00CD3701">
        <w:tc>
          <w:tcPr>
            <w:tcW w:w="710" w:type="dxa"/>
          </w:tcPr>
          <w:p w14:paraId="152DF146" w14:textId="5708A022" w:rsidR="00CD3701" w:rsidRPr="007C33C5" w:rsidRDefault="00CD3701" w:rsidP="00CD3701">
            <w:pPr>
              <w:rPr>
                <w:rFonts w:ascii="Arial" w:hAnsi="Arial" w:cs="Arial"/>
                <w:szCs w:val="24"/>
              </w:rPr>
            </w:pPr>
            <w:r w:rsidRPr="007C33C5">
              <w:rPr>
                <w:rFonts w:ascii="Arial" w:hAnsi="Arial" w:cs="Arial"/>
                <w:b/>
                <w:szCs w:val="24"/>
              </w:rPr>
              <w:t>5.</w:t>
            </w:r>
          </w:p>
        </w:tc>
        <w:tc>
          <w:tcPr>
            <w:tcW w:w="9355" w:type="dxa"/>
          </w:tcPr>
          <w:p w14:paraId="262D26C9" w14:textId="34E6BDAC" w:rsidR="00CD3701" w:rsidRPr="007C33C5" w:rsidRDefault="00DF753F" w:rsidP="00CD3701">
            <w:pPr>
              <w:rPr>
                <w:rFonts w:ascii="Arial" w:hAnsi="Arial" w:cs="Arial"/>
                <w:b/>
                <w:szCs w:val="24"/>
              </w:rPr>
            </w:pPr>
            <w:r>
              <w:rPr>
                <w:rFonts w:ascii="Arial" w:hAnsi="Arial" w:cs="Arial"/>
                <w:b/>
                <w:szCs w:val="24"/>
              </w:rPr>
              <w:t>Strategic</w:t>
            </w:r>
            <w:r w:rsidR="006C3CA9">
              <w:rPr>
                <w:rFonts w:ascii="Arial" w:hAnsi="Arial" w:cs="Arial"/>
                <w:b/>
                <w:szCs w:val="24"/>
              </w:rPr>
              <w:t xml:space="preserve"> </w:t>
            </w:r>
            <w:r w:rsidR="00CD3701" w:rsidRPr="007C33C5">
              <w:rPr>
                <w:rFonts w:ascii="Arial" w:hAnsi="Arial" w:cs="Arial"/>
                <w:b/>
                <w:szCs w:val="24"/>
              </w:rPr>
              <w:t>Health and Safety Themes</w:t>
            </w:r>
            <w:r w:rsidR="00CD3701" w:rsidRPr="007C33C5" w:rsidDel="00D30A72">
              <w:rPr>
                <w:rFonts w:ascii="Arial" w:hAnsi="Arial" w:cs="Arial"/>
                <w:b/>
                <w:szCs w:val="24"/>
              </w:rPr>
              <w:t xml:space="preserve"> </w:t>
            </w:r>
          </w:p>
          <w:p w14:paraId="411F3C73" w14:textId="77777777" w:rsidR="00CD3701" w:rsidRPr="007C33C5" w:rsidRDefault="00CD3701" w:rsidP="00CD3701">
            <w:pPr>
              <w:rPr>
                <w:rFonts w:ascii="Arial" w:hAnsi="Arial" w:cs="Arial"/>
                <w:b/>
                <w:szCs w:val="24"/>
              </w:rPr>
            </w:pPr>
          </w:p>
        </w:tc>
      </w:tr>
      <w:tr w:rsidR="00113303" w:rsidRPr="00070212" w14:paraId="2A59B3CE" w14:textId="77777777" w:rsidTr="00CD3701">
        <w:tc>
          <w:tcPr>
            <w:tcW w:w="710" w:type="dxa"/>
          </w:tcPr>
          <w:p w14:paraId="205DE3BC" w14:textId="77777777" w:rsidR="00113303" w:rsidRPr="00070212" w:rsidRDefault="00113303" w:rsidP="00113303">
            <w:pPr>
              <w:rPr>
                <w:rFonts w:ascii="Arial" w:hAnsi="Arial" w:cs="Arial"/>
                <w:szCs w:val="24"/>
              </w:rPr>
            </w:pPr>
            <w:r w:rsidRPr="00070212">
              <w:rPr>
                <w:rFonts w:ascii="Arial" w:hAnsi="Arial" w:cs="Arial"/>
                <w:szCs w:val="24"/>
              </w:rPr>
              <w:t>5.1</w:t>
            </w:r>
          </w:p>
          <w:p w14:paraId="10460BA2" w14:textId="77777777" w:rsidR="00113303" w:rsidRPr="00070212" w:rsidRDefault="00113303" w:rsidP="00CD3701">
            <w:pPr>
              <w:rPr>
                <w:rFonts w:ascii="Arial" w:hAnsi="Arial" w:cs="Arial"/>
                <w:szCs w:val="24"/>
              </w:rPr>
            </w:pPr>
          </w:p>
        </w:tc>
        <w:tc>
          <w:tcPr>
            <w:tcW w:w="9355" w:type="dxa"/>
          </w:tcPr>
          <w:p w14:paraId="3D266068" w14:textId="0AA8012C" w:rsidR="00113303" w:rsidRDefault="00070212" w:rsidP="00113303">
            <w:pPr>
              <w:jc w:val="both"/>
              <w:rPr>
                <w:rFonts w:ascii="Arial" w:hAnsi="Arial" w:cs="Arial"/>
                <w:szCs w:val="24"/>
              </w:rPr>
            </w:pPr>
            <w:r w:rsidRPr="00070212">
              <w:rPr>
                <w:rFonts w:ascii="Arial" w:hAnsi="Arial" w:cs="Arial"/>
                <w:szCs w:val="24"/>
              </w:rPr>
              <w:t>The strategic themes</w:t>
            </w:r>
            <w:r w:rsidR="00113303" w:rsidRPr="00070212">
              <w:rPr>
                <w:rFonts w:ascii="Arial" w:hAnsi="Arial" w:cs="Arial"/>
                <w:szCs w:val="24"/>
              </w:rPr>
              <w:t xml:space="preserve"> </w:t>
            </w:r>
            <w:r w:rsidRPr="00070212">
              <w:rPr>
                <w:rFonts w:ascii="Arial" w:hAnsi="Arial" w:cs="Arial"/>
                <w:szCs w:val="24"/>
              </w:rPr>
              <w:t>which were identified during the consultation form the basis of the action plan with individual tasks and measures having been identified under those themes. The rationale for each theme is, therefore, provided below:</w:t>
            </w:r>
          </w:p>
          <w:p w14:paraId="12E8D938" w14:textId="77777777" w:rsidR="00F95CF5" w:rsidRPr="00070212" w:rsidRDefault="00F95CF5" w:rsidP="00113303">
            <w:pPr>
              <w:jc w:val="both"/>
              <w:rPr>
                <w:rFonts w:ascii="Arial" w:hAnsi="Arial" w:cs="Arial"/>
                <w:szCs w:val="24"/>
              </w:rPr>
            </w:pPr>
          </w:p>
          <w:p w14:paraId="41930147" w14:textId="33FD6470" w:rsidR="00070212" w:rsidRPr="00BD0C8B" w:rsidRDefault="00070212" w:rsidP="009C1524">
            <w:pPr>
              <w:pStyle w:val="ListParagraph"/>
              <w:numPr>
                <w:ilvl w:val="0"/>
                <w:numId w:val="7"/>
              </w:numPr>
              <w:ind w:left="459" w:hanging="426"/>
              <w:jc w:val="both"/>
              <w:rPr>
                <w:rFonts w:ascii="Arial" w:hAnsi="Arial" w:cs="Arial"/>
                <w:sz w:val="24"/>
                <w:szCs w:val="24"/>
              </w:rPr>
            </w:pPr>
            <w:r w:rsidRPr="00BD0C8B">
              <w:rPr>
                <w:rFonts w:ascii="Arial" w:hAnsi="Arial" w:cs="Arial"/>
                <w:b/>
                <w:sz w:val="24"/>
                <w:szCs w:val="24"/>
              </w:rPr>
              <w:t xml:space="preserve">Leadership and Management - </w:t>
            </w:r>
            <w:r w:rsidRPr="00BD0C8B">
              <w:rPr>
                <w:rFonts w:ascii="Arial" w:hAnsi="Arial" w:cs="Arial"/>
                <w:sz w:val="24"/>
                <w:szCs w:val="24"/>
              </w:rPr>
              <w:t>Successful health and safety management is reliant on good strategic management. Visible and active commitment from the managers to health and safety clearly demonstrates a commitment which will be embraced by other staff. Proactive management and ownership of health and safety is a clear indication of a positive health and safety culture.</w:t>
            </w:r>
          </w:p>
          <w:p w14:paraId="03195C21" w14:textId="1457BB23" w:rsidR="00070212" w:rsidRPr="00BD0C8B" w:rsidRDefault="00070212" w:rsidP="009C1524">
            <w:pPr>
              <w:pStyle w:val="ListParagraph"/>
              <w:numPr>
                <w:ilvl w:val="0"/>
                <w:numId w:val="7"/>
              </w:numPr>
              <w:ind w:left="459" w:hanging="426"/>
              <w:jc w:val="both"/>
              <w:rPr>
                <w:rFonts w:ascii="Arial" w:hAnsi="Arial" w:cs="Arial"/>
                <w:szCs w:val="24"/>
              </w:rPr>
            </w:pPr>
            <w:r w:rsidRPr="00BD0C8B">
              <w:rPr>
                <w:rFonts w:ascii="Arial" w:hAnsi="Arial" w:cs="Arial"/>
                <w:b/>
                <w:sz w:val="24"/>
                <w:szCs w:val="24"/>
              </w:rPr>
              <w:t xml:space="preserve">Competence - </w:t>
            </w:r>
            <w:r w:rsidRPr="00BD0C8B">
              <w:rPr>
                <w:rFonts w:ascii="Arial" w:hAnsi="Arial" w:cs="Arial"/>
                <w:sz w:val="24"/>
                <w:szCs w:val="24"/>
              </w:rPr>
              <w:t xml:space="preserve">Effective health and safety management requires competence at every level. Competence in this context is the ability of every member of staff to recognise the most foreseeable risks, particularly serious risks, and have the ability to take steps to control them. For large and complex organisations such as HLH competence also means having health and safety practices, procedures and </w:t>
            </w:r>
            <w:r w:rsidRPr="00BD0C8B">
              <w:rPr>
                <w:rFonts w:ascii="Arial" w:hAnsi="Arial" w:cs="Arial"/>
                <w:sz w:val="24"/>
                <w:szCs w:val="24"/>
              </w:rPr>
              <w:lastRenderedPageBreak/>
              <w:t>standards which are used consistently across the organisation.</w:t>
            </w:r>
          </w:p>
          <w:p w14:paraId="33383E40" w14:textId="54AEBC98" w:rsidR="00070212" w:rsidRPr="00BD0C8B" w:rsidRDefault="00070212" w:rsidP="009C1524">
            <w:pPr>
              <w:pStyle w:val="ListParagraph"/>
              <w:numPr>
                <w:ilvl w:val="0"/>
                <w:numId w:val="7"/>
              </w:numPr>
              <w:ind w:left="459" w:hanging="426"/>
              <w:jc w:val="both"/>
              <w:rPr>
                <w:rFonts w:ascii="Arial" w:hAnsi="Arial" w:cs="Arial"/>
                <w:szCs w:val="24"/>
              </w:rPr>
            </w:pPr>
            <w:r w:rsidRPr="00BD0C8B">
              <w:rPr>
                <w:rFonts w:ascii="Arial" w:hAnsi="Arial" w:cs="Arial"/>
                <w:b/>
                <w:sz w:val="24"/>
                <w:szCs w:val="24"/>
              </w:rPr>
              <w:t xml:space="preserve">Risk Management - </w:t>
            </w:r>
            <w:r w:rsidRPr="00BD0C8B">
              <w:rPr>
                <w:rFonts w:ascii="Arial" w:hAnsi="Arial" w:cs="Arial"/>
                <w:sz w:val="24"/>
                <w:szCs w:val="24"/>
              </w:rPr>
              <w:t>Effective and proportionate risk management should ensure both legal compliance and the safety of staff and customers.</w:t>
            </w:r>
          </w:p>
          <w:p w14:paraId="1B02DE1A" w14:textId="611DAF7E" w:rsidR="00070212" w:rsidRPr="00BD0C8B" w:rsidRDefault="00070212" w:rsidP="009C1524">
            <w:pPr>
              <w:pStyle w:val="ListParagraph"/>
              <w:numPr>
                <w:ilvl w:val="0"/>
                <w:numId w:val="7"/>
              </w:numPr>
              <w:ind w:left="459" w:hanging="426"/>
              <w:jc w:val="both"/>
              <w:rPr>
                <w:rFonts w:ascii="Arial" w:hAnsi="Arial" w:cs="Arial"/>
                <w:szCs w:val="24"/>
              </w:rPr>
            </w:pPr>
            <w:r w:rsidRPr="00BD0C8B">
              <w:rPr>
                <w:rFonts w:ascii="Arial" w:hAnsi="Arial" w:cs="Arial"/>
                <w:b/>
                <w:sz w:val="24"/>
                <w:szCs w:val="24"/>
              </w:rPr>
              <w:t xml:space="preserve">Health and Wellbeing - </w:t>
            </w:r>
            <w:r w:rsidRPr="00BD0C8B">
              <w:rPr>
                <w:rFonts w:ascii="Arial" w:hAnsi="Arial" w:cs="Arial"/>
                <w:sz w:val="24"/>
                <w:szCs w:val="24"/>
              </w:rPr>
              <w:t xml:space="preserve">Positive health and wellbeing can reduce </w:t>
            </w:r>
            <w:r w:rsidR="00D02F51">
              <w:rPr>
                <w:rFonts w:ascii="Arial" w:hAnsi="Arial" w:cs="Arial"/>
                <w:sz w:val="24"/>
                <w:szCs w:val="24"/>
              </w:rPr>
              <w:t>staff absences</w:t>
            </w:r>
            <w:r w:rsidRPr="00BD0C8B">
              <w:rPr>
                <w:rFonts w:ascii="Arial" w:hAnsi="Arial" w:cs="Arial"/>
                <w:sz w:val="24"/>
                <w:szCs w:val="24"/>
              </w:rPr>
              <w:t>, improve physical fitness and mental alertness and as a result increase productivity.</w:t>
            </w:r>
          </w:p>
          <w:p w14:paraId="6A39114D" w14:textId="024AACE0" w:rsidR="007E0AC0" w:rsidRPr="006A324B" w:rsidRDefault="00070212" w:rsidP="009C1524">
            <w:pPr>
              <w:pStyle w:val="ListParagraph"/>
              <w:numPr>
                <w:ilvl w:val="0"/>
                <w:numId w:val="7"/>
              </w:numPr>
              <w:ind w:left="459" w:hanging="426"/>
              <w:jc w:val="both"/>
              <w:rPr>
                <w:rFonts w:ascii="Arial" w:hAnsi="Arial" w:cs="Arial"/>
                <w:szCs w:val="24"/>
              </w:rPr>
            </w:pPr>
            <w:r w:rsidRPr="00BD0C8B">
              <w:rPr>
                <w:rFonts w:ascii="Arial" w:hAnsi="Arial" w:cs="Arial"/>
                <w:b/>
                <w:sz w:val="24"/>
                <w:szCs w:val="24"/>
              </w:rPr>
              <w:t xml:space="preserve">Asset Management - </w:t>
            </w:r>
            <w:r w:rsidRPr="00BD0C8B">
              <w:rPr>
                <w:rFonts w:ascii="Arial" w:hAnsi="Arial" w:cs="Arial"/>
                <w:sz w:val="24"/>
                <w:szCs w:val="24"/>
              </w:rPr>
              <w:t xml:space="preserve">Successful health and safety management for the HLH estate requires a collaborative approach with The Highland Council (THC). </w:t>
            </w:r>
            <w:r w:rsidR="007E0AC0" w:rsidRPr="007E0AC0">
              <w:rPr>
                <w:rFonts w:ascii="Arial" w:hAnsi="Arial" w:cs="Arial"/>
                <w:sz w:val="24"/>
                <w:szCs w:val="24"/>
              </w:rPr>
              <w:t>The Property Agreement has set out the respective responsibilities of THC as landlord those of HLH. A collaborative approach is required because as occupier HLH could be held responsible under the occupier’s liability should THC fail to undertake its duties.</w:t>
            </w:r>
          </w:p>
        </w:tc>
      </w:tr>
      <w:tr w:rsidR="00AC04D0" w:rsidRPr="009B1E6A" w14:paraId="32A513F8" w14:textId="77777777" w:rsidTr="00CD3701">
        <w:tc>
          <w:tcPr>
            <w:tcW w:w="710" w:type="dxa"/>
          </w:tcPr>
          <w:p w14:paraId="29800E7A" w14:textId="77777777" w:rsidR="00AC04D0" w:rsidRPr="004167AB" w:rsidRDefault="00AC04D0" w:rsidP="00AC04D0">
            <w:pPr>
              <w:rPr>
                <w:rFonts w:ascii="Arial" w:hAnsi="Arial" w:cs="Arial"/>
                <w:b/>
                <w:szCs w:val="24"/>
              </w:rPr>
            </w:pPr>
            <w:r w:rsidRPr="004167AB">
              <w:rPr>
                <w:rFonts w:ascii="Arial" w:hAnsi="Arial" w:cs="Arial"/>
                <w:b/>
                <w:szCs w:val="24"/>
              </w:rPr>
              <w:lastRenderedPageBreak/>
              <w:t>6</w:t>
            </w:r>
          </w:p>
          <w:p w14:paraId="3E2695F1" w14:textId="77777777" w:rsidR="00AC04D0" w:rsidRPr="004167AB" w:rsidRDefault="00AC04D0" w:rsidP="00113303">
            <w:pPr>
              <w:rPr>
                <w:rFonts w:ascii="Arial" w:hAnsi="Arial" w:cs="Arial"/>
                <w:b/>
                <w:szCs w:val="24"/>
              </w:rPr>
            </w:pPr>
          </w:p>
        </w:tc>
        <w:tc>
          <w:tcPr>
            <w:tcW w:w="9355" w:type="dxa"/>
          </w:tcPr>
          <w:p w14:paraId="6953104C" w14:textId="7CF26CF5" w:rsidR="00AC04D0" w:rsidRDefault="00AC04D0">
            <w:pPr>
              <w:rPr>
                <w:rFonts w:ascii="Arial" w:hAnsi="Arial" w:cs="Arial"/>
                <w:b/>
                <w:szCs w:val="24"/>
              </w:rPr>
            </w:pPr>
            <w:r>
              <w:rPr>
                <w:rFonts w:ascii="Arial" w:hAnsi="Arial" w:cs="Arial"/>
                <w:b/>
                <w:szCs w:val="24"/>
              </w:rPr>
              <w:t>Healthy Working Lives Award</w:t>
            </w:r>
          </w:p>
        </w:tc>
      </w:tr>
      <w:tr w:rsidR="00AC04D0" w:rsidRPr="00AC04D0" w14:paraId="782916C7" w14:textId="77777777" w:rsidTr="00CD3701">
        <w:tc>
          <w:tcPr>
            <w:tcW w:w="710" w:type="dxa"/>
          </w:tcPr>
          <w:p w14:paraId="7D84BC9F" w14:textId="77777777" w:rsidR="00AC04D0" w:rsidRPr="00AC04D0" w:rsidRDefault="00AC04D0" w:rsidP="00AC04D0">
            <w:pPr>
              <w:rPr>
                <w:rFonts w:ascii="Arial" w:hAnsi="Arial" w:cs="Arial"/>
                <w:szCs w:val="24"/>
              </w:rPr>
            </w:pPr>
            <w:r w:rsidRPr="00AC04D0">
              <w:rPr>
                <w:rFonts w:ascii="Arial" w:hAnsi="Arial" w:cs="Arial"/>
                <w:szCs w:val="24"/>
              </w:rPr>
              <w:t>6.1</w:t>
            </w:r>
          </w:p>
          <w:p w14:paraId="74A7F4B1" w14:textId="77777777" w:rsidR="00AC04D0" w:rsidRPr="00BD0C8B" w:rsidRDefault="00AC04D0" w:rsidP="00113303">
            <w:pPr>
              <w:rPr>
                <w:rFonts w:ascii="Arial" w:hAnsi="Arial" w:cs="Arial"/>
                <w:szCs w:val="24"/>
              </w:rPr>
            </w:pPr>
          </w:p>
        </w:tc>
        <w:tc>
          <w:tcPr>
            <w:tcW w:w="9355" w:type="dxa"/>
          </w:tcPr>
          <w:p w14:paraId="4DCB20BF" w14:textId="49CAF59B" w:rsidR="00AC04D0" w:rsidRDefault="00AC04D0" w:rsidP="008A6683">
            <w:pPr>
              <w:ind w:left="33"/>
              <w:jc w:val="both"/>
              <w:rPr>
                <w:rFonts w:ascii="Arial" w:hAnsi="Arial" w:cs="Arial"/>
                <w:szCs w:val="24"/>
              </w:rPr>
            </w:pPr>
            <w:r w:rsidRPr="00BD0C8B">
              <w:rPr>
                <w:rFonts w:ascii="Arial" w:hAnsi="Arial" w:cs="Arial"/>
                <w:szCs w:val="24"/>
              </w:rPr>
              <w:t xml:space="preserve">At the </w:t>
            </w:r>
            <w:r w:rsidRPr="00AC04D0">
              <w:rPr>
                <w:rFonts w:ascii="Arial" w:hAnsi="Arial" w:cs="Arial"/>
                <w:szCs w:val="24"/>
              </w:rPr>
              <w:t xml:space="preserve">workshop in </w:t>
            </w:r>
            <w:r w:rsidR="00627E37">
              <w:rPr>
                <w:rFonts w:ascii="Arial" w:hAnsi="Arial" w:cs="Arial"/>
                <w:szCs w:val="24"/>
              </w:rPr>
              <w:t>August</w:t>
            </w:r>
            <w:r w:rsidRPr="00AC04D0">
              <w:rPr>
                <w:rFonts w:ascii="Arial" w:hAnsi="Arial" w:cs="Arial"/>
                <w:szCs w:val="24"/>
              </w:rPr>
              <w:t xml:space="preserve">, Directors requested that the option of HLH </w:t>
            </w:r>
            <w:r w:rsidR="00935B21">
              <w:rPr>
                <w:rFonts w:ascii="Arial" w:hAnsi="Arial" w:cs="Arial"/>
                <w:szCs w:val="24"/>
              </w:rPr>
              <w:t xml:space="preserve">participating in an </w:t>
            </w:r>
            <w:r w:rsidRPr="00AC04D0">
              <w:rPr>
                <w:rFonts w:ascii="Arial" w:hAnsi="Arial" w:cs="Arial"/>
                <w:szCs w:val="24"/>
              </w:rPr>
              <w:t xml:space="preserve">external accreditation </w:t>
            </w:r>
            <w:r w:rsidR="00935B21">
              <w:rPr>
                <w:rFonts w:ascii="Arial" w:hAnsi="Arial" w:cs="Arial"/>
                <w:szCs w:val="24"/>
              </w:rPr>
              <w:t xml:space="preserve">framework </w:t>
            </w:r>
            <w:r w:rsidRPr="00AC04D0">
              <w:rPr>
                <w:rFonts w:ascii="Arial" w:hAnsi="Arial" w:cs="Arial"/>
                <w:szCs w:val="24"/>
              </w:rPr>
              <w:t>be considered. A number of options for this were explored and it was considered that the Healthy Working Lives Award was the best option for HLH at present because</w:t>
            </w:r>
            <w:r w:rsidR="008A6683">
              <w:rPr>
                <w:rFonts w:ascii="Arial" w:hAnsi="Arial" w:cs="Arial"/>
                <w:szCs w:val="24"/>
              </w:rPr>
              <w:t>:</w:t>
            </w:r>
            <w:r w:rsidRPr="00AC04D0">
              <w:rPr>
                <w:rFonts w:ascii="Arial" w:hAnsi="Arial" w:cs="Arial"/>
                <w:szCs w:val="24"/>
              </w:rPr>
              <w:t xml:space="preserve"> </w:t>
            </w:r>
          </w:p>
          <w:p w14:paraId="5146FA5E" w14:textId="77777777" w:rsidR="00AC04D0" w:rsidRPr="00AC04D0" w:rsidRDefault="00AC04D0" w:rsidP="00F95CF5">
            <w:pPr>
              <w:rPr>
                <w:rFonts w:ascii="Arial" w:hAnsi="Arial" w:cs="Arial"/>
                <w:szCs w:val="24"/>
              </w:rPr>
            </w:pPr>
          </w:p>
          <w:p w14:paraId="41E688BE" w14:textId="656C7872" w:rsidR="00D570DC" w:rsidRPr="00D302DA" w:rsidRDefault="008A6683" w:rsidP="008A6683">
            <w:pPr>
              <w:pStyle w:val="ListParagraph"/>
              <w:numPr>
                <w:ilvl w:val="0"/>
                <w:numId w:val="8"/>
              </w:numPr>
              <w:ind w:left="459" w:hanging="142"/>
              <w:jc w:val="both"/>
              <w:rPr>
                <w:rFonts w:ascii="Arial" w:hAnsi="Arial" w:cs="Arial"/>
                <w:szCs w:val="24"/>
              </w:rPr>
            </w:pPr>
            <w:r>
              <w:rPr>
                <w:rFonts w:ascii="Arial" w:hAnsi="Arial" w:cs="Arial"/>
                <w:sz w:val="24"/>
                <w:szCs w:val="24"/>
              </w:rPr>
              <w:t>t</w:t>
            </w:r>
            <w:r w:rsidR="00D570DC" w:rsidRPr="00D302DA">
              <w:rPr>
                <w:rFonts w:ascii="Arial" w:hAnsi="Arial" w:cs="Arial"/>
                <w:sz w:val="24"/>
                <w:szCs w:val="24"/>
              </w:rPr>
              <w:t>he award has been recommended by NHS Highland as an appropriate framework for HLH</w:t>
            </w:r>
            <w:r w:rsidR="00CA15A9">
              <w:rPr>
                <w:rFonts w:ascii="Arial" w:hAnsi="Arial" w:cs="Arial"/>
                <w:sz w:val="24"/>
                <w:szCs w:val="24"/>
              </w:rPr>
              <w:t>; and</w:t>
            </w:r>
          </w:p>
          <w:p w14:paraId="73D5002E" w14:textId="2AEF7834" w:rsidR="00A152CD" w:rsidRPr="008A6683" w:rsidRDefault="008A6683" w:rsidP="008A6683">
            <w:pPr>
              <w:pStyle w:val="ListParagraph"/>
              <w:numPr>
                <w:ilvl w:val="0"/>
                <w:numId w:val="8"/>
              </w:numPr>
              <w:ind w:left="459" w:hanging="142"/>
              <w:jc w:val="both"/>
              <w:rPr>
                <w:rFonts w:ascii="Arial" w:hAnsi="Arial" w:cs="Arial"/>
                <w:szCs w:val="24"/>
              </w:rPr>
            </w:pPr>
            <w:r>
              <w:rPr>
                <w:rFonts w:ascii="Arial" w:hAnsi="Arial" w:cs="Arial"/>
                <w:sz w:val="24"/>
                <w:szCs w:val="24"/>
              </w:rPr>
              <w:t>t</w:t>
            </w:r>
            <w:r w:rsidR="00D570DC" w:rsidRPr="00D302DA">
              <w:rPr>
                <w:rFonts w:ascii="Arial" w:hAnsi="Arial" w:cs="Arial"/>
                <w:sz w:val="24"/>
                <w:szCs w:val="24"/>
              </w:rPr>
              <w:t xml:space="preserve">he Healthy Working Lives </w:t>
            </w:r>
            <w:r w:rsidR="001A4E14">
              <w:rPr>
                <w:rFonts w:ascii="Arial" w:hAnsi="Arial" w:cs="Arial"/>
                <w:sz w:val="24"/>
                <w:szCs w:val="24"/>
              </w:rPr>
              <w:t>A</w:t>
            </w:r>
            <w:r w:rsidR="00D570DC" w:rsidRPr="00D302DA">
              <w:rPr>
                <w:rFonts w:ascii="Arial" w:hAnsi="Arial" w:cs="Arial"/>
                <w:sz w:val="24"/>
                <w:szCs w:val="24"/>
              </w:rPr>
              <w:t xml:space="preserve">ward programme helps organisations to identify issues and improve health, safety and wellbeing in a structured and productive </w:t>
            </w:r>
            <w:proofErr w:type="gramStart"/>
            <w:r w:rsidR="00D570DC" w:rsidRPr="00D302DA">
              <w:rPr>
                <w:rFonts w:ascii="Arial" w:hAnsi="Arial" w:cs="Arial"/>
                <w:sz w:val="24"/>
                <w:szCs w:val="24"/>
              </w:rPr>
              <w:t>way.​</w:t>
            </w:r>
            <w:proofErr w:type="gramEnd"/>
            <w:r w:rsidR="00D570DC" w:rsidRPr="00D302DA">
              <w:rPr>
                <w:rFonts w:ascii="Arial" w:hAnsi="Arial" w:cs="Arial"/>
                <w:sz w:val="24"/>
                <w:szCs w:val="24"/>
              </w:rPr>
              <w:t xml:space="preserve"> Organisations of any size can join the programme and are supported by local advisors, based in NHS Highland. </w:t>
            </w:r>
          </w:p>
          <w:p w14:paraId="4D74E4FD" w14:textId="0C44E327" w:rsidR="008A6683" w:rsidRPr="008A6683" w:rsidRDefault="008A6683" w:rsidP="008A6683">
            <w:pPr>
              <w:jc w:val="both"/>
              <w:rPr>
                <w:rFonts w:ascii="Arial" w:hAnsi="Arial" w:cs="Arial"/>
                <w:szCs w:val="24"/>
              </w:rPr>
            </w:pPr>
            <w:r w:rsidRPr="008A6683">
              <w:rPr>
                <w:rFonts w:ascii="Arial" w:hAnsi="Arial" w:cs="Arial"/>
                <w:szCs w:val="24"/>
              </w:rPr>
              <w:t>(Note: there is no cost for the accreditation):</w:t>
            </w:r>
          </w:p>
          <w:p w14:paraId="6A632255" w14:textId="207DC677" w:rsidR="008A6683" w:rsidRPr="008A6683" w:rsidRDefault="008A6683" w:rsidP="008A6683">
            <w:pPr>
              <w:jc w:val="both"/>
              <w:rPr>
                <w:rFonts w:ascii="Arial" w:hAnsi="Arial" w:cs="Arial"/>
                <w:szCs w:val="24"/>
              </w:rPr>
            </w:pPr>
          </w:p>
        </w:tc>
      </w:tr>
      <w:tr w:rsidR="00113303" w:rsidRPr="009B1E6A" w14:paraId="510EF506" w14:textId="77777777" w:rsidTr="00CD3701">
        <w:tc>
          <w:tcPr>
            <w:tcW w:w="710" w:type="dxa"/>
          </w:tcPr>
          <w:p w14:paraId="045D91D6" w14:textId="2FD7E25F" w:rsidR="00113303" w:rsidRPr="004167AB" w:rsidRDefault="00AC04D0">
            <w:pPr>
              <w:rPr>
                <w:rFonts w:ascii="Arial" w:hAnsi="Arial" w:cs="Arial"/>
                <w:b/>
                <w:szCs w:val="24"/>
              </w:rPr>
            </w:pPr>
            <w:r>
              <w:rPr>
                <w:rFonts w:ascii="Arial" w:hAnsi="Arial" w:cs="Arial"/>
                <w:b/>
                <w:szCs w:val="24"/>
              </w:rPr>
              <w:t>7</w:t>
            </w:r>
            <w:r w:rsidRPr="007E621B">
              <w:rPr>
                <w:rFonts w:ascii="Arial" w:hAnsi="Arial" w:cs="Arial"/>
                <w:b/>
                <w:szCs w:val="24"/>
              </w:rPr>
              <w:t>.</w:t>
            </w:r>
          </w:p>
        </w:tc>
        <w:tc>
          <w:tcPr>
            <w:tcW w:w="9355" w:type="dxa"/>
          </w:tcPr>
          <w:p w14:paraId="0975EB09" w14:textId="77777777" w:rsidR="00113303" w:rsidRDefault="00F95CF5" w:rsidP="00F95CF5">
            <w:pPr>
              <w:rPr>
                <w:rFonts w:ascii="Arial" w:hAnsi="Arial" w:cs="Arial"/>
                <w:b/>
                <w:szCs w:val="24"/>
              </w:rPr>
            </w:pPr>
            <w:r>
              <w:rPr>
                <w:rFonts w:ascii="Arial" w:hAnsi="Arial" w:cs="Arial"/>
                <w:b/>
                <w:szCs w:val="24"/>
              </w:rPr>
              <w:t>Monitoring</w:t>
            </w:r>
          </w:p>
          <w:p w14:paraId="14B07897" w14:textId="08142FAE" w:rsidR="00AC04D0" w:rsidRPr="007C2F67" w:rsidRDefault="00AC04D0">
            <w:pPr>
              <w:rPr>
                <w:rFonts w:ascii="Arial" w:hAnsi="Arial" w:cs="Arial"/>
                <w:b/>
                <w:szCs w:val="24"/>
              </w:rPr>
            </w:pPr>
          </w:p>
        </w:tc>
      </w:tr>
      <w:tr w:rsidR="00CD3701" w:rsidRPr="009B1E6A" w14:paraId="66F16FDA" w14:textId="77777777" w:rsidTr="00CD3701">
        <w:tc>
          <w:tcPr>
            <w:tcW w:w="710" w:type="dxa"/>
          </w:tcPr>
          <w:p w14:paraId="2A103536" w14:textId="484CE60E" w:rsidR="00CD3701" w:rsidRPr="007C2F67" w:rsidRDefault="00AC04D0">
            <w:pPr>
              <w:rPr>
                <w:rFonts w:ascii="Arial" w:hAnsi="Arial" w:cs="Arial"/>
                <w:szCs w:val="24"/>
              </w:rPr>
            </w:pPr>
            <w:r>
              <w:rPr>
                <w:rFonts w:ascii="Arial" w:hAnsi="Arial" w:cs="Arial"/>
                <w:szCs w:val="24"/>
              </w:rPr>
              <w:t>7</w:t>
            </w:r>
            <w:r w:rsidRPr="007E621B">
              <w:rPr>
                <w:rFonts w:ascii="Arial" w:hAnsi="Arial" w:cs="Arial"/>
                <w:szCs w:val="24"/>
              </w:rPr>
              <w:t>.1</w:t>
            </w:r>
          </w:p>
        </w:tc>
        <w:tc>
          <w:tcPr>
            <w:tcW w:w="9355" w:type="dxa"/>
          </w:tcPr>
          <w:p w14:paraId="37C306EB" w14:textId="41D144ED" w:rsidR="00AC04D0" w:rsidRPr="007C2F67" w:rsidRDefault="00F95CF5">
            <w:pPr>
              <w:jc w:val="both"/>
              <w:rPr>
                <w:rFonts w:ascii="Arial" w:hAnsi="Arial" w:cs="Arial"/>
                <w:szCs w:val="24"/>
              </w:rPr>
            </w:pPr>
            <w:r w:rsidRPr="00BD0C8B">
              <w:rPr>
                <w:rFonts w:ascii="Arial" w:hAnsi="Arial" w:cs="Arial"/>
                <w:szCs w:val="24"/>
              </w:rPr>
              <w:t xml:space="preserve">It is recommended </w:t>
            </w:r>
            <w:r>
              <w:rPr>
                <w:rFonts w:ascii="Arial" w:hAnsi="Arial" w:cs="Arial"/>
                <w:szCs w:val="24"/>
              </w:rPr>
              <w:t xml:space="preserve">that </w:t>
            </w:r>
            <w:r w:rsidR="00AC04D0">
              <w:rPr>
                <w:rFonts w:ascii="Arial" w:hAnsi="Arial" w:cs="Arial"/>
                <w:szCs w:val="24"/>
              </w:rPr>
              <w:t xml:space="preserve">at each meeting of the </w:t>
            </w:r>
            <w:r w:rsidR="004167AB" w:rsidRPr="007C2F67">
              <w:rPr>
                <w:rFonts w:ascii="Arial" w:hAnsi="Arial" w:cs="Arial"/>
                <w:szCs w:val="24"/>
              </w:rPr>
              <w:t xml:space="preserve">Health and Safety and Environmental Compliance Committee </w:t>
            </w:r>
            <w:r w:rsidR="00AC04D0">
              <w:rPr>
                <w:rFonts w:ascii="Arial" w:hAnsi="Arial" w:cs="Arial"/>
                <w:szCs w:val="24"/>
              </w:rPr>
              <w:t xml:space="preserve">that progress on the implementation of the action plan be considered and that an update on progress be included in the annual Health and Safety report to the HLH Board.  </w:t>
            </w:r>
          </w:p>
          <w:p w14:paraId="14499BFA" w14:textId="77777777" w:rsidR="00CD3701" w:rsidRPr="007C2F67" w:rsidDel="00D30A72" w:rsidRDefault="00CD3701" w:rsidP="00BD0C8B">
            <w:pPr>
              <w:jc w:val="both"/>
              <w:rPr>
                <w:rFonts w:ascii="Arial" w:hAnsi="Arial" w:cs="Arial"/>
                <w:szCs w:val="24"/>
              </w:rPr>
            </w:pPr>
          </w:p>
        </w:tc>
      </w:tr>
    </w:tbl>
    <w:p w14:paraId="6F32A35A" w14:textId="77777777" w:rsidR="0023565A" w:rsidRDefault="0023565A">
      <w:r>
        <w:br w:type="page"/>
      </w:r>
    </w:p>
    <w:tbl>
      <w:tblPr>
        <w:tblStyle w:val="TableGrid"/>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9355"/>
      </w:tblGrid>
      <w:tr w:rsidR="00CD3701" w:rsidRPr="009B1E6A" w14:paraId="12DE35F4" w14:textId="77777777" w:rsidTr="00CD3701">
        <w:tc>
          <w:tcPr>
            <w:tcW w:w="710" w:type="dxa"/>
          </w:tcPr>
          <w:p w14:paraId="736A5E13" w14:textId="72ACEDFB" w:rsidR="00CD3701" w:rsidRPr="009B1E6A" w:rsidRDefault="00935B21" w:rsidP="00CD3701">
            <w:pPr>
              <w:rPr>
                <w:rFonts w:ascii="Arial" w:hAnsi="Arial" w:cs="Arial"/>
                <w:color w:val="FF0000"/>
                <w:szCs w:val="24"/>
              </w:rPr>
            </w:pPr>
            <w:r>
              <w:rPr>
                <w:rFonts w:ascii="Arial" w:hAnsi="Arial" w:cs="Arial"/>
                <w:b/>
                <w:szCs w:val="24"/>
              </w:rPr>
              <w:lastRenderedPageBreak/>
              <w:t>8.</w:t>
            </w:r>
          </w:p>
        </w:tc>
        <w:tc>
          <w:tcPr>
            <w:tcW w:w="9355" w:type="dxa"/>
          </w:tcPr>
          <w:p w14:paraId="35E6AE11" w14:textId="77777777" w:rsidR="00DF3CB5" w:rsidRPr="007E621B" w:rsidRDefault="00DF3CB5" w:rsidP="00DF3CB5">
            <w:pPr>
              <w:rPr>
                <w:rFonts w:ascii="Arial" w:hAnsi="Arial" w:cs="Arial"/>
                <w:b/>
                <w:szCs w:val="24"/>
              </w:rPr>
            </w:pPr>
            <w:r w:rsidRPr="007E621B">
              <w:rPr>
                <w:rFonts w:ascii="Arial" w:hAnsi="Arial" w:cs="Arial"/>
                <w:b/>
                <w:szCs w:val="24"/>
              </w:rPr>
              <w:t>Implications</w:t>
            </w:r>
          </w:p>
          <w:p w14:paraId="52A8053F" w14:textId="3AED29BB" w:rsidR="00CD3701" w:rsidRPr="009B1E6A" w:rsidRDefault="00CD3701" w:rsidP="00CD3701">
            <w:pPr>
              <w:autoSpaceDE w:val="0"/>
              <w:autoSpaceDN w:val="0"/>
              <w:adjustRightInd w:val="0"/>
              <w:rPr>
                <w:rFonts w:ascii="Arial" w:hAnsi="Arial" w:cs="Arial"/>
                <w:color w:val="FF0000"/>
                <w:szCs w:val="24"/>
              </w:rPr>
            </w:pPr>
          </w:p>
        </w:tc>
      </w:tr>
      <w:tr w:rsidR="00935B21" w:rsidRPr="00935B21" w14:paraId="2D25A04A" w14:textId="77777777" w:rsidTr="00CD3701">
        <w:tc>
          <w:tcPr>
            <w:tcW w:w="710" w:type="dxa"/>
          </w:tcPr>
          <w:p w14:paraId="0060795B" w14:textId="141B4ED4" w:rsidR="00DF3CB5" w:rsidRPr="00935B21" w:rsidRDefault="00935B21" w:rsidP="00DF3CB5">
            <w:pPr>
              <w:rPr>
                <w:rFonts w:ascii="Arial" w:hAnsi="Arial" w:cs="Arial"/>
                <w:b/>
                <w:szCs w:val="24"/>
              </w:rPr>
            </w:pPr>
            <w:r w:rsidRPr="00935B21">
              <w:rPr>
                <w:rFonts w:ascii="Arial" w:hAnsi="Arial" w:cs="Arial"/>
                <w:szCs w:val="24"/>
              </w:rPr>
              <w:t>8.1</w:t>
            </w:r>
          </w:p>
        </w:tc>
        <w:tc>
          <w:tcPr>
            <w:tcW w:w="9355" w:type="dxa"/>
          </w:tcPr>
          <w:p w14:paraId="7BB95924" w14:textId="1284B042" w:rsidR="00DF3CB5" w:rsidRPr="00BD0C8B" w:rsidRDefault="00DF3CB5" w:rsidP="00DF3CB5">
            <w:pPr>
              <w:jc w:val="both"/>
              <w:rPr>
                <w:rFonts w:ascii="Arial" w:hAnsi="Arial" w:cs="Arial"/>
                <w:szCs w:val="24"/>
              </w:rPr>
            </w:pPr>
            <w:r w:rsidRPr="00935B21">
              <w:rPr>
                <w:rFonts w:ascii="Arial" w:hAnsi="Arial" w:cs="Arial"/>
                <w:szCs w:val="24"/>
              </w:rPr>
              <w:t xml:space="preserve">Resource Implications – </w:t>
            </w:r>
            <w:r w:rsidR="00935B21" w:rsidRPr="00935B21">
              <w:rPr>
                <w:rFonts w:ascii="Arial" w:hAnsi="Arial" w:cs="Arial"/>
                <w:szCs w:val="24"/>
              </w:rPr>
              <w:t xml:space="preserve">while </w:t>
            </w:r>
            <w:r w:rsidRPr="00BD0C8B">
              <w:rPr>
                <w:rFonts w:ascii="Arial" w:hAnsi="Arial" w:cs="Arial"/>
                <w:szCs w:val="24"/>
              </w:rPr>
              <w:t>there are no additional resource implications arising from</w:t>
            </w:r>
            <w:r w:rsidR="00935B21" w:rsidRPr="00BD0C8B">
              <w:rPr>
                <w:rFonts w:ascii="Arial" w:hAnsi="Arial" w:cs="Arial"/>
                <w:szCs w:val="24"/>
              </w:rPr>
              <w:t xml:space="preserve"> the implementation of the recommendations in</w:t>
            </w:r>
            <w:r w:rsidRPr="00BD0C8B">
              <w:rPr>
                <w:rFonts w:ascii="Arial" w:hAnsi="Arial" w:cs="Arial"/>
                <w:szCs w:val="24"/>
              </w:rPr>
              <w:t xml:space="preserve"> this report</w:t>
            </w:r>
            <w:r w:rsidR="00935B21" w:rsidRPr="00BD0C8B">
              <w:rPr>
                <w:rFonts w:ascii="Arial" w:hAnsi="Arial" w:cs="Arial"/>
                <w:szCs w:val="24"/>
              </w:rPr>
              <w:t>, it is recognised that individual management decisions might have to be made on specific health and safety matters as they arise</w:t>
            </w:r>
            <w:r w:rsidRPr="00BD0C8B">
              <w:rPr>
                <w:rFonts w:ascii="Arial" w:hAnsi="Arial" w:cs="Arial"/>
                <w:szCs w:val="24"/>
              </w:rPr>
              <w:t>.</w:t>
            </w:r>
          </w:p>
          <w:p w14:paraId="275CC606" w14:textId="77777777" w:rsidR="00DF3CB5" w:rsidRPr="00935B21" w:rsidRDefault="00DF3CB5" w:rsidP="00DF3CB5">
            <w:pPr>
              <w:rPr>
                <w:rFonts w:ascii="Arial" w:hAnsi="Arial" w:cs="Arial"/>
                <w:b/>
                <w:szCs w:val="24"/>
              </w:rPr>
            </w:pPr>
          </w:p>
        </w:tc>
      </w:tr>
      <w:tr w:rsidR="00DF3CB5" w:rsidRPr="009B1E6A" w14:paraId="026C4D77" w14:textId="77777777" w:rsidTr="00CD3701">
        <w:tc>
          <w:tcPr>
            <w:tcW w:w="710" w:type="dxa"/>
          </w:tcPr>
          <w:p w14:paraId="17830735" w14:textId="76ABE09F" w:rsidR="00DF3CB5" w:rsidRPr="007E621B" w:rsidRDefault="00935B21" w:rsidP="00DF3CB5">
            <w:pPr>
              <w:rPr>
                <w:rFonts w:ascii="Arial" w:hAnsi="Arial" w:cs="Arial"/>
                <w:szCs w:val="24"/>
              </w:rPr>
            </w:pPr>
            <w:r>
              <w:rPr>
                <w:rFonts w:ascii="Arial" w:hAnsi="Arial" w:cs="Arial"/>
                <w:szCs w:val="24"/>
              </w:rPr>
              <w:t>8</w:t>
            </w:r>
            <w:r w:rsidR="00DF3CB5" w:rsidRPr="007E621B">
              <w:rPr>
                <w:rFonts w:ascii="Arial" w:hAnsi="Arial" w:cs="Arial"/>
                <w:szCs w:val="24"/>
              </w:rPr>
              <w:t>.2</w:t>
            </w:r>
          </w:p>
        </w:tc>
        <w:tc>
          <w:tcPr>
            <w:tcW w:w="9355" w:type="dxa"/>
          </w:tcPr>
          <w:p w14:paraId="109DAD2C" w14:textId="77777777" w:rsidR="00DF3CB5" w:rsidRPr="007E621B" w:rsidRDefault="00DF3CB5" w:rsidP="00DF3CB5">
            <w:pPr>
              <w:jc w:val="both"/>
              <w:rPr>
                <w:rFonts w:ascii="Arial" w:hAnsi="Arial" w:cs="Arial"/>
                <w:szCs w:val="24"/>
              </w:rPr>
            </w:pPr>
            <w:r w:rsidRPr="007E621B">
              <w:rPr>
                <w:rFonts w:ascii="Arial" w:hAnsi="Arial" w:cs="Arial"/>
                <w:szCs w:val="24"/>
              </w:rPr>
              <w:t>Legal Implications – there are no additional legal implications arising from this report.</w:t>
            </w:r>
          </w:p>
          <w:p w14:paraId="712DBB03" w14:textId="77777777" w:rsidR="00DF3CB5" w:rsidRPr="007E621B" w:rsidRDefault="00DF3CB5" w:rsidP="00DF3CB5">
            <w:pPr>
              <w:rPr>
                <w:rFonts w:ascii="Arial" w:hAnsi="Arial" w:cs="Arial"/>
                <w:b/>
                <w:szCs w:val="24"/>
              </w:rPr>
            </w:pPr>
          </w:p>
        </w:tc>
      </w:tr>
      <w:tr w:rsidR="00DF3CB5" w:rsidRPr="009B1E6A" w14:paraId="0151A2DA" w14:textId="77777777" w:rsidTr="00CD3701">
        <w:tc>
          <w:tcPr>
            <w:tcW w:w="710" w:type="dxa"/>
          </w:tcPr>
          <w:p w14:paraId="0FE48CF3" w14:textId="3AD52A26" w:rsidR="00DF3CB5" w:rsidRPr="007E621B" w:rsidRDefault="00935B21" w:rsidP="00DF3CB5">
            <w:pPr>
              <w:rPr>
                <w:rFonts w:ascii="Arial" w:hAnsi="Arial" w:cs="Arial"/>
                <w:szCs w:val="24"/>
              </w:rPr>
            </w:pPr>
            <w:r>
              <w:rPr>
                <w:rFonts w:ascii="Arial" w:hAnsi="Arial" w:cs="Arial"/>
                <w:szCs w:val="24"/>
              </w:rPr>
              <w:t>8</w:t>
            </w:r>
            <w:r w:rsidR="00DF3CB5" w:rsidRPr="007E621B">
              <w:rPr>
                <w:rFonts w:ascii="Arial" w:hAnsi="Arial" w:cs="Arial"/>
                <w:szCs w:val="24"/>
              </w:rPr>
              <w:t>.3</w:t>
            </w:r>
          </w:p>
        </w:tc>
        <w:tc>
          <w:tcPr>
            <w:tcW w:w="9355" w:type="dxa"/>
          </w:tcPr>
          <w:p w14:paraId="1EACE9DD" w14:textId="77777777" w:rsidR="00DF3CB5" w:rsidRDefault="00DF3CB5" w:rsidP="00DF3CB5">
            <w:pPr>
              <w:rPr>
                <w:rFonts w:ascii="Arial" w:hAnsi="Arial" w:cs="Arial"/>
                <w:szCs w:val="24"/>
              </w:rPr>
            </w:pPr>
            <w:r w:rsidRPr="007E621B">
              <w:rPr>
                <w:rFonts w:ascii="Arial" w:hAnsi="Arial" w:cs="Arial"/>
                <w:szCs w:val="24"/>
              </w:rPr>
              <w:t>Equalities Implications – there are no additional equality implications arising from this report.</w:t>
            </w:r>
          </w:p>
          <w:p w14:paraId="704E2796" w14:textId="076A9398" w:rsidR="00935B21" w:rsidRPr="007E621B" w:rsidRDefault="00935B21" w:rsidP="00DF3CB5">
            <w:pPr>
              <w:rPr>
                <w:rFonts w:ascii="Arial" w:hAnsi="Arial" w:cs="Arial"/>
                <w:b/>
                <w:szCs w:val="24"/>
              </w:rPr>
            </w:pPr>
          </w:p>
        </w:tc>
      </w:tr>
      <w:tr w:rsidR="00935B21" w:rsidRPr="00935B21" w14:paraId="560CC762" w14:textId="77777777" w:rsidTr="00CD3701">
        <w:tc>
          <w:tcPr>
            <w:tcW w:w="710" w:type="dxa"/>
          </w:tcPr>
          <w:p w14:paraId="0FADD1A1" w14:textId="1EBECD59" w:rsidR="00DF3CB5" w:rsidRPr="00935B21" w:rsidRDefault="00935B21" w:rsidP="00DF3CB5">
            <w:pPr>
              <w:rPr>
                <w:rFonts w:ascii="Arial" w:hAnsi="Arial" w:cs="Arial"/>
                <w:szCs w:val="24"/>
              </w:rPr>
            </w:pPr>
            <w:r w:rsidRPr="00935B21">
              <w:rPr>
                <w:rFonts w:ascii="Arial" w:hAnsi="Arial" w:cs="Arial"/>
                <w:szCs w:val="24"/>
              </w:rPr>
              <w:t>8</w:t>
            </w:r>
            <w:r w:rsidR="00DF3CB5" w:rsidRPr="00935B21">
              <w:rPr>
                <w:rFonts w:ascii="Arial" w:hAnsi="Arial" w:cs="Arial"/>
                <w:szCs w:val="24"/>
              </w:rPr>
              <w:t>.4</w:t>
            </w:r>
          </w:p>
          <w:p w14:paraId="33E13454" w14:textId="7DFE8F0D" w:rsidR="00DF3CB5" w:rsidRPr="00935B21" w:rsidRDefault="00DF3CB5" w:rsidP="00DF3CB5">
            <w:pPr>
              <w:rPr>
                <w:rFonts w:ascii="Arial" w:hAnsi="Arial" w:cs="Arial"/>
                <w:szCs w:val="24"/>
              </w:rPr>
            </w:pPr>
          </w:p>
        </w:tc>
        <w:tc>
          <w:tcPr>
            <w:tcW w:w="9355" w:type="dxa"/>
          </w:tcPr>
          <w:p w14:paraId="00E115C5" w14:textId="55C8948A" w:rsidR="00DF3CB5" w:rsidRPr="00935B21" w:rsidRDefault="00DF3CB5" w:rsidP="00DF3CB5">
            <w:pPr>
              <w:jc w:val="both"/>
              <w:rPr>
                <w:rFonts w:ascii="Arial" w:hAnsi="Arial" w:cs="Arial"/>
                <w:b/>
                <w:szCs w:val="24"/>
              </w:rPr>
            </w:pPr>
            <w:r w:rsidRPr="00935B21">
              <w:rPr>
                <w:rFonts w:ascii="Arial" w:hAnsi="Arial" w:cs="Arial"/>
                <w:szCs w:val="24"/>
              </w:rPr>
              <w:t xml:space="preserve">Risk Implications </w:t>
            </w:r>
            <w:r w:rsidRPr="00BD0C8B">
              <w:rPr>
                <w:rFonts w:ascii="Arial" w:hAnsi="Arial" w:cs="Arial"/>
                <w:szCs w:val="24"/>
              </w:rPr>
              <w:t>- there are no new risks which require to be added to the risk register arising from this report.</w:t>
            </w:r>
          </w:p>
        </w:tc>
      </w:tr>
    </w:tbl>
    <w:p w14:paraId="4EE61451" w14:textId="77777777" w:rsidR="00BD0989" w:rsidRPr="009B1E6A" w:rsidRDefault="00BD0989">
      <w:pPr>
        <w:rPr>
          <w:rFonts w:ascii="Arial" w:hAnsi="Arial" w:cs="Arial"/>
          <w:color w:val="FF0000"/>
          <w:szCs w:val="24"/>
        </w:rPr>
      </w:pPr>
    </w:p>
    <w:tbl>
      <w:tblPr>
        <w:tblStyle w:val="TableGrid"/>
        <w:tblW w:w="10065" w:type="dxa"/>
        <w:tblInd w:w="-176" w:type="dxa"/>
        <w:tblLook w:val="04A0" w:firstRow="1" w:lastRow="0" w:firstColumn="1" w:lastColumn="0" w:noHBand="0" w:noVBand="1"/>
      </w:tblPr>
      <w:tblGrid>
        <w:gridCol w:w="10065"/>
      </w:tblGrid>
      <w:tr w:rsidR="009B1E6A" w:rsidRPr="009B1E6A" w14:paraId="79E94C0C" w14:textId="77777777" w:rsidTr="003A0236">
        <w:tc>
          <w:tcPr>
            <w:tcW w:w="10065" w:type="dxa"/>
          </w:tcPr>
          <w:p w14:paraId="6BA64024" w14:textId="77777777" w:rsidR="00BD0989" w:rsidRPr="007E621B" w:rsidRDefault="00BD0989" w:rsidP="00BD0989">
            <w:pPr>
              <w:keepNext/>
              <w:outlineLvl w:val="2"/>
              <w:rPr>
                <w:rFonts w:ascii="Arial" w:hAnsi="Arial" w:cs="Arial"/>
                <w:b/>
                <w:szCs w:val="24"/>
              </w:rPr>
            </w:pPr>
            <w:r w:rsidRPr="007E621B">
              <w:rPr>
                <w:rFonts w:ascii="Arial" w:hAnsi="Arial" w:cs="Arial"/>
                <w:b/>
                <w:szCs w:val="24"/>
              </w:rPr>
              <w:t>Recommendation</w:t>
            </w:r>
            <w:r w:rsidR="002B19E5" w:rsidRPr="007E621B">
              <w:rPr>
                <w:rFonts w:ascii="Arial" w:hAnsi="Arial" w:cs="Arial"/>
                <w:b/>
                <w:szCs w:val="24"/>
              </w:rPr>
              <w:t>s</w:t>
            </w:r>
          </w:p>
          <w:p w14:paraId="63F79851" w14:textId="77777777" w:rsidR="00BD0989" w:rsidRPr="007E621B" w:rsidRDefault="00BD0989" w:rsidP="00BD0989">
            <w:pPr>
              <w:jc w:val="both"/>
              <w:rPr>
                <w:rFonts w:ascii="Arial" w:hAnsi="Arial" w:cs="Arial"/>
                <w:szCs w:val="24"/>
              </w:rPr>
            </w:pPr>
          </w:p>
          <w:p w14:paraId="571189AB" w14:textId="77777777" w:rsidR="00A152CD" w:rsidRPr="009B1E6A" w:rsidRDefault="00A152CD" w:rsidP="00A152CD">
            <w:pPr>
              <w:jc w:val="both"/>
              <w:rPr>
                <w:rFonts w:ascii="Arial" w:hAnsi="Arial" w:cs="Arial"/>
                <w:color w:val="FF0000"/>
                <w:szCs w:val="24"/>
              </w:rPr>
            </w:pPr>
            <w:r w:rsidRPr="00B5395E">
              <w:rPr>
                <w:rFonts w:ascii="Arial" w:hAnsi="Arial" w:cs="Arial"/>
                <w:szCs w:val="24"/>
              </w:rPr>
              <w:t>It is recommended that Direct</w:t>
            </w:r>
            <w:r w:rsidRPr="00A11547">
              <w:rPr>
                <w:rFonts w:ascii="Arial" w:hAnsi="Arial" w:cs="Arial"/>
                <w:szCs w:val="24"/>
              </w:rPr>
              <w:t>ors:</w:t>
            </w:r>
          </w:p>
          <w:p w14:paraId="56DB4FE5" w14:textId="77777777" w:rsidR="00A152CD" w:rsidRPr="009B1E6A" w:rsidRDefault="00A152CD" w:rsidP="00A152CD">
            <w:pPr>
              <w:jc w:val="both"/>
              <w:rPr>
                <w:rFonts w:ascii="Arial" w:hAnsi="Arial" w:cs="Arial"/>
                <w:color w:val="FF0000"/>
                <w:szCs w:val="24"/>
              </w:rPr>
            </w:pPr>
          </w:p>
          <w:p w14:paraId="3694D7D0" w14:textId="77777777" w:rsidR="00A152CD" w:rsidRPr="00D35751" w:rsidRDefault="00A152CD" w:rsidP="009C1524">
            <w:pPr>
              <w:pStyle w:val="ListParagraph"/>
              <w:numPr>
                <w:ilvl w:val="0"/>
                <w:numId w:val="3"/>
              </w:numPr>
              <w:jc w:val="both"/>
              <w:rPr>
                <w:rFonts w:ascii="Arial" w:hAnsi="Arial" w:cs="Arial"/>
                <w:sz w:val="24"/>
                <w:szCs w:val="24"/>
              </w:rPr>
            </w:pPr>
            <w:r w:rsidRPr="00D35751">
              <w:rPr>
                <w:rFonts w:ascii="Arial" w:hAnsi="Arial" w:cs="Arial"/>
                <w:sz w:val="24"/>
                <w:szCs w:val="24"/>
              </w:rPr>
              <w:t xml:space="preserve">note that the </w:t>
            </w:r>
            <w:r>
              <w:rPr>
                <w:rFonts w:ascii="Arial" w:hAnsi="Arial" w:cs="Arial"/>
                <w:sz w:val="24"/>
                <w:szCs w:val="24"/>
              </w:rPr>
              <w:t>draft</w:t>
            </w:r>
            <w:r w:rsidRPr="00D35751">
              <w:rPr>
                <w:rFonts w:ascii="Arial" w:hAnsi="Arial" w:cs="Arial"/>
                <w:sz w:val="24"/>
                <w:szCs w:val="24"/>
              </w:rPr>
              <w:t xml:space="preserve"> plan has been developed </w:t>
            </w:r>
            <w:r>
              <w:rPr>
                <w:rFonts w:ascii="Arial" w:hAnsi="Arial" w:cs="Arial"/>
                <w:sz w:val="24"/>
                <w:szCs w:val="24"/>
              </w:rPr>
              <w:t>following</w:t>
            </w:r>
            <w:r w:rsidRPr="00D35751">
              <w:rPr>
                <w:rFonts w:ascii="Arial" w:hAnsi="Arial" w:cs="Arial"/>
                <w:sz w:val="24"/>
                <w:szCs w:val="24"/>
              </w:rPr>
              <w:t xml:space="preserve"> consultation with the Health and Safety and Env</w:t>
            </w:r>
            <w:r>
              <w:rPr>
                <w:rFonts w:ascii="Arial" w:hAnsi="Arial" w:cs="Arial"/>
                <w:sz w:val="24"/>
                <w:szCs w:val="24"/>
              </w:rPr>
              <w:t>ironmental Compliance Committee, HLH’s external Health and Safety Adviser, and HLH managers and staff</w:t>
            </w:r>
            <w:r w:rsidRPr="00D35751">
              <w:rPr>
                <w:rFonts w:ascii="Arial" w:hAnsi="Arial" w:cs="Arial"/>
                <w:sz w:val="24"/>
                <w:szCs w:val="24"/>
              </w:rPr>
              <w:t xml:space="preserve">; </w:t>
            </w:r>
          </w:p>
          <w:p w14:paraId="07281551" w14:textId="77777777" w:rsidR="00A152CD" w:rsidRDefault="00A152CD" w:rsidP="009C1524">
            <w:pPr>
              <w:pStyle w:val="ListParagraph"/>
              <w:numPr>
                <w:ilvl w:val="0"/>
                <w:numId w:val="3"/>
              </w:numPr>
              <w:jc w:val="both"/>
              <w:rPr>
                <w:rFonts w:ascii="Arial" w:hAnsi="Arial" w:cs="Arial"/>
                <w:sz w:val="24"/>
                <w:szCs w:val="24"/>
              </w:rPr>
            </w:pPr>
            <w:r>
              <w:rPr>
                <w:rFonts w:ascii="Arial" w:hAnsi="Arial" w:cs="Arial"/>
                <w:sz w:val="24"/>
                <w:szCs w:val="24"/>
              </w:rPr>
              <w:t xml:space="preserve">approve </w:t>
            </w:r>
            <w:r w:rsidRPr="00D35751">
              <w:rPr>
                <w:rFonts w:ascii="Arial" w:hAnsi="Arial" w:cs="Arial"/>
                <w:sz w:val="24"/>
                <w:szCs w:val="24"/>
              </w:rPr>
              <w:t xml:space="preserve">the draft </w:t>
            </w:r>
            <w:r>
              <w:rPr>
                <w:rFonts w:ascii="Arial" w:hAnsi="Arial" w:cs="Arial"/>
                <w:sz w:val="24"/>
                <w:szCs w:val="24"/>
              </w:rPr>
              <w:t xml:space="preserve">plan in </w:t>
            </w:r>
            <w:r w:rsidRPr="000839FF">
              <w:rPr>
                <w:rFonts w:ascii="Arial" w:hAnsi="Arial" w:cs="Arial"/>
                <w:b/>
                <w:sz w:val="24"/>
                <w:szCs w:val="24"/>
              </w:rPr>
              <w:t>A</w:t>
            </w:r>
            <w:r>
              <w:rPr>
                <w:rFonts w:ascii="Arial" w:hAnsi="Arial" w:cs="Arial"/>
                <w:b/>
                <w:sz w:val="24"/>
                <w:szCs w:val="24"/>
              </w:rPr>
              <w:t>ppendix A</w:t>
            </w:r>
            <w:r>
              <w:rPr>
                <w:rFonts w:ascii="Arial" w:hAnsi="Arial" w:cs="Arial"/>
                <w:sz w:val="24"/>
                <w:szCs w:val="24"/>
              </w:rPr>
              <w:t>;</w:t>
            </w:r>
            <w:r w:rsidRPr="00D35751">
              <w:rPr>
                <w:rFonts w:ascii="Arial" w:hAnsi="Arial" w:cs="Arial"/>
                <w:sz w:val="24"/>
                <w:szCs w:val="24"/>
              </w:rPr>
              <w:t xml:space="preserve"> </w:t>
            </w:r>
            <w:r>
              <w:rPr>
                <w:rFonts w:ascii="Arial" w:hAnsi="Arial" w:cs="Arial"/>
                <w:sz w:val="24"/>
                <w:szCs w:val="24"/>
              </w:rPr>
              <w:t xml:space="preserve">and </w:t>
            </w:r>
          </w:p>
          <w:p w14:paraId="7F7656B5" w14:textId="55798CA2" w:rsidR="00EC56A5" w:rsidRPr="009B1E6A" w:rsidRDefault="00A152CD" w:rsidP="009C1524">
            <w:pPr>
              <w:pStyle w:val="ListParagraph"/>
              <w:numPr>
                <w:ilvl w:val="0"/>
                <w:numId w:val="3"/>
              </w:numPr>
              <w:jc w:val="both"/>
              <w:rPr>
                <w:rFonts w:ascii="Arial" w:hAnsi="Arial" w:cs="Arial"/>
                <w:color w:val="FF0000"/>
                <w:sz w:val="24"/>
                <w:szCs w:val="24"/>
              </w:rPr>
            </w:pPr>
            <w:r>
              <w:rPr>
                <w:rFonts w:ascii="Arial" w:hAnsi="Arial" w:cs="Arial"/>
                <w:sz w:val="24"/>
                <w:szCs w:val="24"/>
              </w:rPr>
              <w:t xml:space="preserve">note that progress on the delivery of the plan </w:t>
            </w:r>
            <w:r w:rsidR="00AE19E4">
              <w:rPr>
                <w:rFonts w:ascii="Arial" w:hAnsi="Arial" w:cs="Arial"/>
                <w:sz w:val="24"/>
                <w:szCs w:val="24"/>
              </w:rPr>
              <w:t xml:space="preserve">will </w:t>
            </w:r>
            <w:r>
              <w:rPr>
                <w:rFonts w:ascii="Arial" w:hAnsi="Arial" w:cs="Arial"/>
                <w:sz w:val="24"/>
                <w:szCs w:val="24"/>
              </w:rPr>
              <w:t xml:space="preserve">be considered quarterly by the </w:t>
            </w:r>
            <w:r w:rsidRPr="00D35751">
              <w:rPr>
                <w:rFonts w:ascii="Arial" w:hAnsi="Arial" w:cs="Arial"/>
                <w:sz w:val="24"/>
                <w:szCs w:val="24"/>
              </w:rPr>
              <w:t>Health and Safety and Environmental Compliance Committee</w:t>
            </w:r>
            <w:r>
              <w:rPr>
                <w:rFonts w:ascii="Arial" w:hAnsi="Arial" w:cs="Arial"/>
                <w:sz w:val="24"/>
                <w:szCs w:val="24"/>
              </w:rPr>
              <w:t xml:space="preserve"> and reported annually to the HLH Board</w:t>
            </w:r>
            <w:r w:rsidRPr="00D35751">
              <w:rPr>
                <w:rFonts w:ascii="Arial" w:hAnsi="Arial" w:cs="Arial"/>
                <w:sz w:val="24"/>
                <w:szCs w:val="24"/>
              </w:rPr>
              <w:t>.</w:t>
            </w:r>
          </w:p>
        </w:tc>
      </w:tr>
    </w:tbl>
    <w:p w14:paraId="06175097" w14:textId="77777777" w:rsidR="00BD0989" w:rsidRPr="009B1E6A" w:rsidRDefault="00BD0989">
      <w:pPr>
        <w:rPr>
          <w:rFonts w:ascii="Arial" w:hAnsi="Arial" w:cs="Arial"/>
          <w:color w:val="FF0000"/>
          <w:szCs w:val="24"/>
        </w:rPr>
      </w:pPr>
    </w:p>
    <w:p w14:paraId="61D678CB" w14:textId="77777777" w:rsidR="00BD0989" w:rsidRPr="00B5395E" w:rsidRDefault="00BD0989" w:rsidP="00BD0989">
      <w:pPr>
        <w:tabs>
          <w:tab w:val="left" w:pos="1843"/>
        </w:tabs>
        <w:rPr>
          <w:rFonts w:ascii="Arial" w:hAnsi="Arial" w:cs="Arial"/>
          <w:szCs w:val="24"/>
        </w:rPr>
      </w:pPr>
      <w:r w:rsidRPr="00B5395E">
        <w:rPr>
          <w:rFonts w:ascii="Arial" w:hAnsi="Arial" w:cs="Arial"/>
          <w:szCs w:val="24"/>
        </w:rPr>
        <w:t>Designation:</w:t>
      </w:r>
      <w:r w:rsidRPr="00B5395E">
        <w:rPr>
          <w:rFonts w:ascii="Arial" w:hAnsi="Arial" w:cs="Arial"/>
          <w:szCs w:val="24"/>
        </w:rPr>
        <w:tab/>
        <w:t>Chief Executive</w:t>
      </w:r>
    </w:p>
    <w:p w14:paraId="7BE4EF6A" w14:textId="77777777" w:rsidR="00BD0989" w:rsidRPr="009B1E6A" w:rsidRDefault="00BD0989" w:rsidP="00BD0989">
      <w:pPr>
        <w:tabs>
          <w:tab w:val="left" w:pos="1843"/>
        </w:tabs>
        <w:rPr>
          <w:rFonts w:ascii="Arial" w:hAnsi="Arial" w:cs="Arial"/>
          <w:color w:val="FF0000"/>
          <w:szCs w:val="24"/>
        </w:rPr>
      </w:pPr>
    </w:p>
    <w:p w14:paraId="5A7EB7A0" w14:textId="487C54F8" w:rsidR="003A0236" w:rsidRDefault="00BD0989" w:rsidP="00621307">
      <w:pPr>
        <w:tabs>
          <w:tab w:val="left" w:pos="1843"/>
        </w:tabs>
        <w:rPr>
          <w:rFonts w:ascii="Arial" w:hAnsi="Arial" w:cs="Arial"/>
          <w:szCs w:val="24"/>
        </w:rPr>
      </w:pPr>
      <w:r w:rsidRPr="00B5395E">
        <w:rPr>
          <w:rFonts w:ascii="Arial" w:hAnsi="Arial" w:cs="Arial"/>
          <w:szCs w:val="24"/>
        </w:rPr>
        <w:t>Date:</w:t>
      </w:r>
      <w:r w:rsidRPr="009B1E6A">
        <w:rPr>
          <w:rFonts w:ascii="Arial" w:hAnsi="Arial" w:cs="Arial"/>
          <w:color w:val="FF0000"/>
          <w:szCs w:val="24"/>
        </w:rPr>
        <w:tab/>
      </w:r>
      <w:r w:rsidR="00AE19E4">
        <w:rPr>
          <w:rFonts w:ascii="Arial" w:hAnsi="Arial" w:cs="Arial"/>
          <w:szCs w:val="24"/>
        </w:rPr>
        <w:t>26</w:t>
      </w:r>
      <w:r w:rsidR="00A152CD" w:rsidRPr="00A152CD">
        <w:rPr>
          <w:rFonts w:ascii="Arial" w:hAnsi="Arial" w:cs="Arial"/>
          <w:szCs w:val="24"/>
        </w:rPr>
        <w:t xml:space="preserve"> </w:t>
      </w:r>
      <w:r w:rsidR="00B5395E" w:rsidRPr="00A152CD">
        <w:rPr>
          <w:rFonts w:ascii="Arial" w:hAnsi="Arial" w:cs="Arial"/>
          <w:szCs w:val="24"/>
        </w:rPr>
        <w:t>November</w:t>
      </w:r>
      <w:r w:rsidR="007E5311" w:rsidRPr="00A152CD">
        <w:rPr>
          <w:rFonts w:ascii="Arial" w:hAnsi="Arial" w:cs="Arial"/>
          <w:szCs w:val="24"/>
        </w:rPr>
        <w:t xml:space="preserve"> 201</w:t>
      </w:r>
      <w:r w:rsidR="00AE558D" w:rsidRPr="00A152CD">
        <w:rPr>
          <w:rFonts w:ascii="Arial" w:hAnsi="Arial" w:cs="Arial"/>
          <w:szCs w:val="24"/>
        </w:rPr>
        <w:t>9</w:t>
      </w:r>
    </w:p>
    <w:p w14:paraId="5147112B" w14:textId="2E6A80DA" w:rsidR="00885F82" w:rsidRDefault="00885F82">
      <w:pPr>
        <w:spacing w:after="200"/>
        <w:rPr>
          <w:rFonts w:ascii="Arial" w:hAnsi="Arial" w:cs="Arial"/>
          <w:szCs w:val="24"/>
        </w:rPr>
      </w:pPr>
      <w:r>
        <w:rPr>
          <w:rFonts w:ascii="Arial" w:hAnsi="Arial" w:cs="Arial"/>
          <w:szCs w:val="24"/>
        </w:rPr>
        <w:br w:type="page"/>
      </w:r>
    </w:p>
    <w:tbl>
      <w:tblPr>
        <w:tblStyle w:val="TableGrid"/>
        <w:tblW w:w="9606" w:type="dxa"/>
        <w:tblLook w:val="04A0" w:firstRow="1" w:lastRow="0" w:firstColumn="1" w:lastColumn="0" w:noHBand="0" w:noVBand="1"/>
      </w:tblPr>
      <w:tblGrid>
        <w:gridCol w:w="3639"/>
        <w:gridCol w:w="5967"/>
      </w:tblGrid>
      <w:tr w:rsidR="00344782" w:rsidRPr="00885F82" w14:paraId="1002A530" w14:textId="77777777" w:rsidTr="00344782">
        <w:tc>
          <w:tcPr>
            <w:tcW w:w="3639" w:type="dxa"/>
            <w:tcBorders>
              <w:top w:val="nil"/>
              <w:left w:val="nil"/>
              <w:bottom w:val="single" w:sz="4" w:space="0" w:color="auto"/>
              <w:right w:val="nil"/>
            </w:tcBorders>
          </w:tcPr>
          <w:p w14:paraId="68C53EB5" w14:textId="77777777" w:rsidR="00344782" w:rsidRPr="00885F82" w:rsidRDefault="00344782" w:rsidP="00885F82">
            <w:pPr>
              <w:rPr>
                <w:rFonts w:asciiTheme="minorHAnsi" w:eastAsiaTheme="minorHAnsi" w:hAnsiTheme="minorHAnsi" w:cstheme="minorBidi"/>
                <w:noProof/>
                <w:sz w:val="22"/>
                <w:szCs w:val="22"/>
              </w:rPr>
            </w:pPr>
          </w:p>
        </w:tc>
        <w:tc>
          <w:tcPr>
            <w:tcW w:w="5967" w:type="dxa"/>
            <w:tcBorders>
              <w:top w:val="nil"/>
              <w:left w:val="nil"/>
              <w:bottom w:val="single" w:sz="4" w:space="0" w:color="auto"/>
              <w:right w:val="nil"/>
            </w:tcBorders>
          </w:tcPr>
          <w:p w14:paraId="72039F49" w14:textId="5759584C" w:rsidR="00344782" w:rsidRPr="00344782" w:rsidRDefault="00344782" w:rsidP="00344782">
            <w:pPr>
              <w:jc w:val="right"/>
              <w:rPr>
                <w:rFonts w:ascii="Arial" w:eastAsiaTheme="minorHAnsi" w:hAnsi="Arial" w:cs="Arial"/>
                <w:b/>
                <w:szCs w:val="24"/>
                <w:lang w:eastAsia="en-US"/>
              </w:rPr>
            </w:pPr>
            <w:r w:rsidRPr="00344782">
              <w:rPr>
                <w:rFonts w:ascii="Arial" w:eastAsiaTheme="minorHAnsi" w:hAnsi="Arial" w:cs="Arial"/>
                <w:b/>
                <w:szCs w:val="24"/>
                <w:lang w:eastAsia="en-US"/>
              </w:rPr>
              <w:t>Annex A</w:t>
            </w:r>
          </w:p>
        </w:tc>
      </w:tr>
      <w:tr w:rsidR="00885F82" w:rsidRPr="00885F82" w14:paraId="0608EF23" w14:textId="77777777" w:rsidTr="00344782">
        <w:tc>
          <w:tcPr>
            <w:tcW w:w="3639" w:type="dxa"/>
            <w:tcBorders>
              <w:top w:val="single" w:sz="4" w:space="0" w:color="auto"/>
            </w:tcBorders>
          </w:tcPr>
          <w:p w14:paraId="5B0B259B" w14:textId="77777777" w:rsidR="00885F82" w:rsidRPr="00885F82" w:rsidRDefault="00885F82" w:rsidP="00885F82">
            <w:pPr>
              <w:rPr>
                <w:rFonts w:asciiTheme="minorHAnsi" w:eastAsiaTheme="minorHAnsi" w:hAnsiTheme="minorHAnsi" w:cstheme="minorBidi"/>
                <w:sz w:val="22"/>
                <w:szCs w:val="22"/>
                <w:lang w:eastAsia="en-US"/>
              </w:rPr>
            </w:pPr>
            <w:r w:rsidRPr="00885F82">
              <w:rPr>
                <w:rFonts w:asciiTheme="minorHAnsi" w:eastAsiaTheme="minorHAnsi" w:hAnsiTheme="minorHAnsi" w:cstheme="minorBidi"/>
                <w:noProof/>
                <w:sz w:val="22"/>
                <w:szCs w:val="22"/>
              </w:rPr>
              <w:drawing>
                <wp:inline distT="0" distB="0" distL="0" distR="0" wp14:anchorId="1FCAD873" wp14:editId="43DE793C">
                  <wp:extent cx="2173993" cy="1104900"/>
                  <wp:effectExtent l="0" t="0" r="0" b="0"/>
                  <wp:docPr id="2" name="Picture 2" descr="C:\Users\lorrhour\AppData\Local\Microsoft\Windows\Temporary Internet Files\Content.Outlook\FU2TPUMV\high_life_blac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rhour\AppData\Local\Microsoft\Windows\Temporary Internet Files\Content.Outlook\FU2TPUMV\high_life_black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3465" cy="1104632"/>
                          </a:xfrm>
                          <a:prstGeom prst="rect">
                            <a:avLst/>
                          </a:prstGeom>
                          <a:noFill/>
                          <a:ln>
                            <a:noFill/>
                          </a:ln>
                        </pic:spPr>
                      </pic:pic>
                    </a:graphicData>
                  </a:graphic>
                </wp:inline>
              </w:drawing>
            </w:r>
          </w:p>
        </w:tc>
        <w:tc>
          <w:tcPr>
            <w:tcW w:w="5967" w:type="dxa"/>
            <w:tcBorders>
              <w:top w:val="single" w:sz="4" w:space="0" w:color="auto"/>
            </w:tcBorders>
          </w:tcPr>
          <w:p w14:paraId="55AE8825" w14:textId="77777777" w:rsidR="00885F82" w:rsidRPr="00885F82" w:rsidRDefault="00885F82" w:rsidP="00885F82">
            <w:pPr>
              <w:rPr>
                <w:rFonts w:asciiTheme="minorHAnsi" w:eastAsiaTheme="minorHAnsi" w:hAnsiTheme="minorHAnsi" w:cstheme="minorBidi"/>
                <w:sz w:val="10"/>
                <w:szCs w:val="16"/>
                <w:lang w:eastAsia="en-US"/>
              </w:rPr>
            </w:pPr>
          </w:p>
          <w:p w14:paraId="23A9CF4E" w14:textId="77777777" w:rsidR="00885F82" w:rsidRPr="00885F82" w:rsidRDefault="00885F82" w:rsidP="00885F82">
            <w:pPr>
              <w:jc w:val="center"/>
              <w:rPr>
                <w:rFonts w:ascii="Arial" w:eastAsiaTheme="minorHAnsi" w:hAnsi="Arial" w:cs="Arial"/>
                <w:b/>
                <w:sz w:val="40"/>
                <w:szCs w:val="40"/>
                <w:lang w:eastAsia="en-US"/>
              </w:rPr>
            </w:pPr>
            <w:r w:rsidRPr="00885F82">
              <w:rPr>
                <w:rFonts w:ascii="Arial" w:eastAsiaTheme="minorHAnsi" w:hAnsi="Arial" w:cs="Arial"/>
                <w:b/>
                <w:sz w:val="40"/>
                <w:szCs w:val="40"/>
                <w:lang w:eastAsia="en-US"/>
              </w:rPr>
              <w:t>Health and Safety 5 Year Plan (2020 to 2025)</w:t>
            </w:r>
          </w:p>
          <w:p w14:paraId="4482B156" w14:textId="77777777" w:rsidR="00885F82" w:rsidRPr="00885F82" w:rsidRDefault="00885F82" w:rsidP="00885F82">
            <w:pPr>
              <w:rPr>
                <w:rFonts w:asciiTheme="minorHAnsi" w:eastAsiaTheme="minorHAnsi" w:hAnsiTheme="minorHAnsi" w:cstheme="minorBidi"/>
                <w:szCs w:val="24"/>
                <w:lang w:eastAsia="en-US"/>
              </w:rPr>
            </w:pPr>
          </w:p>
          <w:p w14:paraId="64DA0D73" w14:textId="77777777" w:rsidR="00885F82" w:rsidRPr="00885F82" w:rsidRDefault="00885F82" w:rsidP="00885F82">
            <w:pPr>
              <w:rPr>
                <w:rFonts w:ascii="Arial" w:eastAsiaTheme="minorHAnsi" w:hAnsi="Arial" w:cs="Arial"/>
                <w:szCs w:val="24"/>
                <w:lang w:eastAsia="en-US"/>
              </w:rPr>
            </w:pPr>
            <w:r w:rsidRPr="00885F82">
              <w:rPr>
                <w:rFonts w:ascii="Arial" w:eastAsiaTheme="minorHAnsi" w:hAnsi="Arial" w:cs="Arial"/>
                <w:szCs w:val="24"/>
                <w:lang w:eastAsia="en-US"/>
              </w:rPr>
              <w:t>Version Draft – December 2019</w:t>
            </w:r>
          </w:p>
          <w:p w14:paraId="1C42F37C" w14:textId="77777777" w:rsidR="00885F82" w:rsidRPr="00885F82" w:rsidRDefault="00885F82" w:rsidP="00885F82">
            <w:pPr>
              <w:rPr>
                <w:rFonts w:ascii="Arial" w:eastAsiaTheme="minorHAnsi" w:hAnsi="Arial" w:cs="Arial"/>
                <w:szCs w:val="24"/>
                <w:lang w:eastAsia="en-US"/>
              </w:rPr>
            </w:pPr>
          </w:p>
          <w:p w14:paraId="4F839571" w14:textId="77777777" w:rsidR="00885F82" w:rsidRPr="00885F82" w:rsidRDefault="00885F82" w:rsidP="00885F82">
            <w:pPr>
              <w:rPr>
                <w:rFonts w:asciiTheme="minorHAnsi" w:eastAsiaTheme="minorHAnsi" w:hAnsiTheme="minorHAnsi" w:cstheme="minorBidi"/>
                <w:szCs w:val="24"/>
                <w:lang w:eastAsia="en-US"/>
              </w:rPr>
            </w:pPr>
            <w:r w:rsidRPr="00885F82">
              <w:rPr>
                <w:rFonts w:ascii="Arial" w:eastAsiaTheme="minorHAnsi" w:hAnsi="Arial" w:cs="Arial"/>
                <w:szCs w:val="24"/>
                <w:lang w:eastAsia="en-US"/>
              </w:rPr>
              <w:t>HS01- G02                                            Review Date – Jan 2025</w:t>
            </w:r>
          </w:p>
        </w:tc>
      </w:tr>
    </w:tbl>
    <w:p w14:paraId="46DE0A0E" w14:textId="77777777" w:rsidR="00885F82" w:rsidRDefault="00885F82" w:rsidP="00621307">
      <w:pPr>
        <w:tabs>
          <w:tab w:val="left" w:pos="1843"/>
        </w:tabs>
        <w:rPr>
          <w:rFonts w:ascii="Arial" w:hAnsi="Arial" w:cs="Arial"/>
          <w:szCs w:val="24"/>
        </w:rPr>
      </w:pPr>
    </w:p>
    <w:p w14:paraId="044E42F9" w14:textId="77777777" w:rsidR="00885F82" w:rsidRPr="00885F82" w:rsidRDefault="00885F82" w:rsidP="008A6683">
      <w:pPr>
        <w:tabs>
          <w:tab w:val="left" w:pos="780"/>
          <w:tab w:val="left" w:pos="9498"/>
        </w:tabs>
        <w:spacing w:after="200" w:line="276" w:lineRule="auto"/>
        <w:ind w:right="1"/>
        <w:rPr>
          <w:rFonts w:ascii="Arial" w:eastAsia="Arial" w:hAnsi="Arial" w:cs="Arial"/>
          <w:b/>
          <w:szCs w:val="24"/>
          <w:u w:val="single"/>
          <w:lang w:eastAsia="en-US"/>
        </w:rPr>
      </w:pPr>
      <w:r w:rsidRPr="00885F82">
        <w:rPr>
          <w:rFonts w:ascii="Arial" w:eastAsia="Arial" w:hAnsi="Arial" w:cs="Arial"/>
          <w:b/>
          <w:spacing w:val="1"/>
          <w:szCs w:val="24"/>
          <w:u w:val="single"/>
          <w:lang w:eastAsia="en-US"/>
        </w:rPr>
        <w:t>Executive Summary</w:t>
      </w:r>
    </w:p>
    <w:p w14:paraId="496C0ECB" w14:textId="77777777" w:rsidR="00885F82" w:rsidRPr="00885F82" w:rsidRDefault="00885F82" w:rsidP="008A6683">
      <w:pPr>
        <w:tabs>
          <w:tab w:val="left" w:pos="9498"/>
        </w:tabs>
        <w:spacing w:after="200" w:line="276" w:lineRule="auto"/>
        <w:jc w:val="both"/>
        <w:rPr>
          <w:rFonts w:ascii="Arial" w:eastAsia="Arial" w:hAnsi="Arial" w:cs="Arial"/>
          <w:szCs w:val="24"/>
          <w:lang w:eastAsia="en-US"/>
        </w:rPr>
      </w:pPr>
      <w:r w:rsidRPr="00885F82">
        <w:rPr>
          <w:rFonts w:ascii="Arial" w:eastAsia="Arial" w:hAnsi="Arial" w:cs="Arial"/>
          <w:szCs w:val="24"/>
          <w:lang w:eastAsia="en-US"/>
        </w:rPr>
        <w:t>High Life Highland (HLH) is committed to the provision of a safe and healthy workplace and environment for its customers, staff and contractors. In addition to meeting its statutory requirements, HLH will strive to continually improve standards of health, safety, wellbeing and environmental compliance.</w:t>
      </w:r>
    </w:p>
    <w:p w14:paraId="51804E66" w14:textId="77777777" w:rsidR="00885F82" w:rsidRPr="00885F82" w:rsidRDefault="00885F82" w:rsidP="008A6683">
      <w:pPr>
        <w:tabs>
          <w:tab w:val="left" w:pos="9498"/>
        </w:tabs>
        <w:spacing w:after="200" w:line="276" w:lineRule="auto"/>
        <w:jc w:val="both"/>
        <w:rPr>
          <w:rFonts w:ascii="Arial" w:eastAsiaTheme="minorHAnsi" w:hAnsi="Arial" w:cs="Arial"/>
          <w:szCs w:val="24"/>
          <w:lang w:eastAsia="en-US"/>
        </w:rPr>
      </w:pPr>
      <w:r w:rsidRPr="00885F82">
        <w:rPr>
          <w:rFonts w:ascii="Arial" w:eastAsia="Arial" w:hAnsi="Arial" w:cs="Arial"/>
          <w:szCs w:val="24"/>
          <w:lang w:eastAsia="en-US"/>
        </w:rPr>
        <w:t xml:space="preserve">HLH’s </w:t>
      </w:r>
      <w:r w:rsidRPr="00885F82">
        <w:rPr>
          <w:rFonts w:ascii="Arial" w:eastAsiaTheme="minorHAnsi" w:hAnsi="Arial" w:cs="Arial"/>
          <w:szCs w:val="24"/>
          <w:lang w:eastAsia="en-US"/>
        </w:rPr>
        <w:t>ambition is t</w:t>
      </w:r>
      <w:r w:rsidRPr="00885F82">
        <w:rPr>
          <w:rFonts w:ascii="Arial" w:eastAsiaTheme="minorHAnsi" w:hAnsi="Arial" w:cs="Arial"/>
          <w:bCs/>
          <w:szCs w:val="24"/>
          <w:lang w:eastAsia="en-US"/>
        </w:rPr>
        <w:t>o be recognised and respected as the leading organisation for developing, promoting and inspiring opportunities in culture, learning,</w:t>
      </w:r>
      <w:bookmarkStart w:id="0" w:name="_GoBack"/>
      <w:bookmarkEnd w:id="0"/>
      <w:r w:rsidRPr="00885F82">
        <w:rPr>
          <w:rFonts w:ascii="Arial" w:eastAsiaTheme="minorHAnsi" w:hAnsi="Arial" w:cs="Arial"/>
          <w:bCs/>
          <w:szCs w:val="24"/>
          <w:lang w:eastAsia="en-US"/>
        </w:rPr>
        <w:t xml:space="preserve"> sport, leisure, health and wellbeing; and to grow the business in a sustainable and innovative way by enabling and facilitating services that the public value and by being valued as a trusted and effective partner.</w:t>
      </w:r>
    </w:p>
    <w:p w14:paraId="424C71ED" w14:textId="77777777" w:rsidR="00885F82" w:rsidRPr="00885F82" w:rsidRDefault="00885F82" w:rsidP="008A6683">
      <w:pPr>
        <w:tabs>
          <w:tab w:val="left" w:pos="9498"/>
        </w:tabs>
        <w:spacing w:after="200"/>
        <w:jc w:val="both"/>
        <w:rPr>
          <w:rFonts w:ascii="Arial" w:eastAsiaTheme="minorHAnsi" w:hAnsi="Arial" w:cs="Arial"/>
          <w:szCs w:val="24"/>
          <w:lang w:eastAsia="en-US"/>
        </w:rPr>
      </w:pPr>
      <w:r w:rsidRPr="00885F82">
        <w:rPr>
          <w:rFonts w:ascii="Arial" w:eastAsiaTheme="minorHAnsi" w:hAnsi="Arial" w:cs="Arial"/>
          <w:szCs w:val="24"/>
          <w:lang w:eastAsia="en-US"/>
        </w:rPr>
        <w:t>The following nine business outcomes form the basis of the work of the Charity:</w:t>
      </w:r>
    </w:p>
    <w:p w14:paraId="09BB66E5"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Sustain a high standard of health and safety, and environmental performance</w:t>
      </w:r>
    </w:p>
    <w:p w14:paraId="756711D7"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Implement the Service Delivery Contract with THC</w:t>
      </w:r>
    </w:p>
    <w:p w14:paraId="0E245D38"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Improving customer engagement and satisfaction</w:t>
      </w:r>
    </w:p>
    <w:p w14:paraId="2418E76A"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Improving staff engagement and satisfaction</w:t>
      </w:r>
    </w:p>
    <w:p w14:paraId="6A729E94"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Enhance the positive charity image</w:t>
      </w:r>
    </w:p>
    <w:p w14:paraId="4A3A8222"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Be a trusted and effective partner</w:t>
      </w:r>
    </w:p>
    <w:p w14:paraId="419F418C"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Achieve sustainable growth across the organisation</w:t>
      </w:r>
    </w:p>
    <w:p w14:paraId="15A2609E"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Develop health and wellbeing across Highland communities</w:t>
      </w:r>
    </w:p>
    <w:p w14:paraId="11614F30" w14:textId="77777777" w:rsidR="00885F82" w:rsidRPr="00885F82" w:rsidRDefault="00885F82" w:rsidP="008A6683">
      <w:pPr>
        <w:numPr>
          <w:ilvl w:val="0"/>
          <w:numId w:val="9"/>
        </w:numPr>
        <w:tabs>
          <w:tab w:val="left" w:pos="9498"/>
        </w:tabs>
        <w:spacing w:after="200" w:line="276" w:lineRule="auto"/>
        <w:contextualSpacing/>
        <w:jc w:val="both"/>
        <w:rPr>
          <w:rFonts w:ascii="Arial" w:eastAsiaTheme="minorHAnsi" w:hAnsi="Arial" w:cs="Arial"/>
          <w:bCs/>
          <w:szCs w:val="24"/>
          <w:lang w:eastAsia="en-US"/>
        </w:rPr>
      </w:pPr>
      <w:r w:rsidRPr="00885F82">
        <w:rPr>
          <w:rFonts w:ascii="Arial" w:eastAsiaTheme="minorHAnsi" w:hAnsi="Arial" w:cs="Arial"/>
          <w:bCs/>
          <w:szCs w:val="24"/>
          <w:lang w:eastAsia="en-US"/>
        </w:rPr>
        <w:t>Develop and promote the High Life brand</w:t>
      </w:r>
    </w:p>
    <w:p w14:paraId="5D27AA58" w14:textId="77777777" w:rsidR="00885F82" w:rsidRPr="00885F82" w:rsidRDefault="00885F82" w:rsidP="008A6683">
      <w:pPr>
        <w:tabs>
          <w:tab w:val="left" w:pos="9498"/>
        </w:tabs>
        <w:spacing w:after="200" w:line="276" w:lineRule="auto"/>
        <w:ind w:right="1"/>
        <w:jc w:val="both"/>
        <w:rPr>
          <w:rFonts w:ascii="Arial" w:eastAsiaTheme="minorHAnsi" w:hAnsi="Arial" w:cs="Arial"/>
          <w:color w:val="000000"/>
          <w:szCs w:val="24"/>
          <w:lang w:eastAsia="en-US"/>
        </w:rPr>
      </w:pPr>
      <w:r w:rsidRPr="00885F82">
        <w:rPr>
          <w:rFonts w:ascii="Arial" w:eastAsia="Arial" w:hAnsi="Arial" w:cs="Arial"/>
          <w:szCs w:val="24"/>
          <w:lang w:eastAsia="en-US"/>
        </w:rPr>
        <w:t>A</w:t>
      </w:r>
      <w:r w:rsidRPr="00885F82">
        <w:rPr>
          <w:rFonts w:ascii="Arial" w:eastAsia="Arial" w:hAnsi="Arial" w:cs="Arial"/>
          <w:spacing w:val="-1"/>
          <w:szCs w:val="24"/>
          <w:lang w:eastAsia="en-US"/>
        </w:rPr>
        <w:t xml:space="preserve"> </w:t>
      </w:r>
      <w:r w:rsidRPr="00885F82">
        <w:rPr>
          <w:rFonts w:ascii="Arial" w:eastAsia="Arial" w:hAnsi="Arial" w:cs="Arial"/>
          <w:spacing w:val="2"/>
          <w:szCs w:val="24"/>
          <w:lang w:eastAsia="en-US"/>
        </w:rPr>
        <w:t>r</w:t>
      </w:r>
      <w:r w:rsidRPr="00885F82">
        <w:rPr>
          <w:rFonts w:ascii="Arial" w:eastAsia="Arial" w:hAnsi="Arial" w:cs="Arial"/>
          <w:spacing w:val="1"/>
          <w:szCs w:val="24"/>
          <w:lang w:eastAsia="en-US"/>
        </w:rPr>
        <w:t>obu</w:t>
      </w:r>
      <w:r w:rsidRPr="00885F82">
        <w:rPr>
          <w:rFonts w:ascii="Arial" w:eastAsia="Arial" w:hAnsi="Arial" w:cs="Arial"/>
          <w:szCs w:val="24"/>
          <w:lang w:eastAsia="en-US"/>
        </w:rPr>
        <w:t>st</w:t>
      </w:r>
      <w:r w:rsidRPr="00885F82">
        <w:rPr>
          <w:rFonts w:ascii="Arial" w:eastAsia="Arial" w:hAnsi="Arial" w:cs="Arial"/>
          <w:spacing w:val="1"/>
          <w:szCs w:val="24"/>
          <w:lang w:eastAsia="en-US"/>
        </w:rPr>
        <w:t xml:space="preserve"> a</w:t>
      </w:r>
      <w:r w:rsidRPr="00885F82">
        <w:rPr>
          <w:rFonts w:ascii="Arial" w:eastAsia="Arial" w:hAnsi="Arial" w:cs="Arial"/>
          <w:spacing w:val="-4"/>
          <w:szCs w:val="24"/>
          <w:lang w:eastAsia="en-US"/>
        </w:rPr>
        <w:t>n</w:t>
      </w:r>
      <w:r w:rsidRPr="00885F82">
        <w:rPr>
          <w:rFonts w:ascii="Arial" w:eastAsia="Arial" w:hAnsi="Arial" w:cs="Arial"/>
          <w:szCs w:val="24"/>
          <w:lang w:eastAsia="en-US"/>
        </w:rPr>
        <w:t>d</w:t>
      </w:r>
      <w:r w:rsidRPr="00885F82">
        <w:rPr>
          <w:rFonts w:ascii="Arial" w:eastAsia="Arial" w:hAnsi="Arial" w:cs="Arial"/>
          <w:spacing w:val="1"/>
          <w:szCs w:val="24"/>
          <w:lang w:eastAsia="en-US"/>
        </w:rPr>
        <w:t xml:space="preserve"> </w:t>
      </w:r>
      <w:r w:rsidRPr="00885F82">
        <w:rPr>
          <w:rFonts w:ascii="Arial" w:eastAsia="Arial" w:hAnsi="Arial" w:cs="Arial"/>
          <w:spacing w:val="-5"/>
          <w:szCs w:val="24"/>
          <w:lang w:eastAsia="en-US"/>
        </w:rPr>
        <w:t>w</w:t>
      </w:r>
      <w:r w:rsidRPr="00885F82">
        <w:rPr>
          <w:rFonts w:ascii="Arial" w:eastAsia="Arial" w:hAnsi="Arial" w:cs="Arial"/>
          <w:spacing w:val="1"/>
          <w:szCs w:val="24"/>
          <w:lang w:eastAsia="en-US"/>
        </w:rPr>
        <w:t>e</w:t>
      </w:r>
      <w:r w:rsidRPr="00885F82">
        <w:rPr>
          <w:rFonts w:ascii="Arial" w:eastAsia="Arial" w:hAnsi="Arial" w:cs="Arial"/>
          <w:szCs w:val="24"/>
          <w:lang w:eastAsia="en-US"/>
        </w:rPr>
        <w:t>ll</w:t>
      </w:r>
      <w:r w:rsidRPr="00885F82">
        <w:rPr>
          <w:rFonts w:ascii="Arial" w:eastAsia="Arial" w:hAnsi="Arial" w:cs="Arial"/>
          <w:spacing w:val="5"/>
          <w:szCs w:val="24"/>
          <w:lang w:eastAsia="en-US"/>
        </w:rPr>
        <w:t xml:space="preserve"> </w:t>
      </w:r>
      <w:r w:rsidRPr="00885F82">
        <w:rPr>
          <w:rFonts w:ascii="Arial" w:eastAsia="Arial" w:hAnsi="Arial" w:cs="Arial"/>
          <w:spacing w:val="1"/>
          <w:szCs w:val="24"/>
          <w:lang w:eastAsia="en-US"/>
        </w:rPr>
        <w:t xml:space="preserve">managed Health and Safety </w:t>
      </w:r>
      <w:r w:rsidRPr="00885F82">
        <w:rPr>
          <w:rFonts w:ascii="Arial" w:eastAsiaTheme="minorHAnsi" w:hAnsi="Arial" w:cs="Arial"/>
          <w:szCs w:val="24"/>
          <w:lang w:eastAsia="en-US"/>
        </w:rPr>
        <w:t>Plan</w:t>
      </w:r>
      <w:r w:rsidRPr="00885F82">
        <w:rPr>
          <w:rFonts w:ascii="Arial" w:eastAsia="Arial" w:hAnsi="Arial" w:cs="Arial"/>
          <w:spacing w:val="-3"/>
          <w:szCs w:val="24"/>
          <w:lang w:eastAsia="en-US"/>
        </w:rPr>
        <w:t xml:space="preserve"> </w:t>
      </w:r>
      <w:r w:rsidRPr="00885F82">
        <w:rPr>
          <w:rFonts w:ascii="Arial" w:eastAsia="Arial" w:hAnsi="Arial" w:cs="Arial"/>
          <w:spacing w:val="4"/>
          <w:szCs w:val="24"/>
          <w:lang w:eastAsia="en-US"/>
        </w:rPr>
        <w:t>i</w:t>
      </w:r>
      <w:r w:rsidRPr="00885F82">
        <w:rPr>
          <w:rFonts w:ascii="Arial" w:eastAsia="Arial" w:hAnsi="Arial" w:cs="Arial"/>
          <w:szCs w:val="24"/>
          <w:lang w:eastAsia="en-US"/>
        </w:rPr>
        <w:t>s</w:t>
      </w:r>
      <w:r w:rsidRPr="00885F82">
        <w:rPr>
          <w:rFonts w:ascii="Arial" w:eastAsia="Arial" w:hAnsi="Arial" w:cs="Arial"/>
          <w:spacing w:val="-4"/>
          <w:szCs w:val="24"/>
          <w:lang w:eastAsia="en-US"/>
        </w:rPr>
        <w:t xml:space="preserve"> </w:t>
      </w:r>
      <w:r w:rsidRPr="00885F82">
        <w:rPr>
          <w:rFonts w:ascii="Arial" w:eastAsia="Arial" w:hAnsi="Arial" w:cs="Arial"/>
          <w:spacing w:val="2"/>
          <w:szCs w:val="24"/>
          <w:lang w:eastAsia="en-US"/>
        </w:rPr>
        <w:t>r</w:t>
      </w:r>
      <w:r w:rsidRPr="00885F82">
        <w:rPr>
          <w:rFonts w:ascii="Arial" w:eastAsia="Arial" w:hAnsi="Arial" w:cs="Arial"/>
          <w:spacing w:val="1"/>
          <w:szCs w:val="24"/>
          <w:lang w:eastAsia="en-US"/>
        </w:rPr>
        <w:t>e</w:t>
      </w:r>
      <w:r w:rsidRPr="00885F82">
        <w:rPr>
          <w:rFonts w:ascii="Arial" w:eastAsia="Arial" w:hAnsi="Arial" w:cs="Arial"/>
          <w:szCs w:val="24"/>
          <w:lang w:eastAsia="en-US"/>
        </w:rPr>
        <w:t>c</w:t>
      </w:r>
      <w:r w:rsidRPr="00885F82">
        <w:rPr>
          <w:rFonts w:ascii="Arial" w:eastAsia="Arial" w:hAnsi="Arial" w:cs="Arial"/>
          <w:spacing w:val="1"/>
          <w:szCs w:val="24"/>
          <w:lang w:eastAsia="en-US"/>
        </w:rPr>
        <w:t>og</w:t>
      </w:r>
      <w:r w:rsidRPr="00885F82">
        <w:rPr>
          <w:rFonts w:ascii="Arial" w:eastAsia="Arial" w:hAnsi="Arial" w:cs="Arial"/>
          <w:spacing w:val="-4"/>
          <w:szCs w:val="24"/>
          <w:lang w:eastAsia="en-US"/>
        </w:rPr>
        <w:t>n</w:t>
      </w:r>
      <w:r w:rsidRPr="00885F82">
        <w:rPr>
          <w:rFonts w:ascii="Arial" w:eastAsia="Arial" w:hAnsi="Arial" w:cs="Arial"/>
          <w:spacing w:val="4"/>
          <w:szCs w:val="24"/>
          <w:lang w:eastAsia="en-US"/>
        </w:rPr>
        <w:t>i</w:t>
      </w:r>
      <w:r w:rsidRPr="00885F82">
        <w:rPr>
          <w:rFonts w:ascii="Arial" w:eastAsia="Arial" w:hAnsi="Arial" w:cs="Arial"/>
          <w:spacing w:val="-5"/>
          <w:szCs w:val="24"/>
          <w:lang w:eastAsia="en-US"/>
        </w:rPr>
        <w:t>s</w:t>
      </w:r>
      <w:r w:rsidRPr="00885F82">
        <w:rPr>
          <w:rFonts w:ascii="Arial" w:eastAsia="Arial" w:hAnsi="Arial" w:cs="Arial"/>
          <w:spacing w:val="1"/>
          <w:szCs w:val="24"/>
          <w:lang w:eastAsia="en-US"/>
        </w:rPr>
        <w:t>e</w:t>
      </w:r>
      <w:r w:rsidRPr="00885F82">
        <w:rPr>
          <w:rFonts w:ascii="Arial" w:eastAsia="Arial" w:hAnsi="Arial" w:cs="Arial"/>
          <w:szCs w:val="24"/>
          <w:lang w:eastAsia="en-US"/>
        </w:rPr>
        <w:t>d</w:t>
      </w:r>
      <w:r w:rsidRPr="00885F82">
        <w:rPr>
          <w:rFonts w:ascii="Arial" w:eastAsia="Arial" w:hAnsi="Arial" w:cs="Arial"/>
          <w:spacing w:val="1"/>
          <w:szCs w:val="24"/>
          <w:lang w:eastAsia="en-US"/>
        </w:rPr>
        <w:t xml:space="preserve"> as be</w:t>
      </w:r>
      <w:r w:rsidRPr="00885F82">
        <w:rPr>
          <w:rFonts w:ascii="Arial" w:eastAsia="Arial" w:hAnsi="Arial" w:cs="Arial"/>
          <w:spacing w:val="4"/>
          <w:szCs w:val="24"/>
          <w:lang w:eastAsia="en-US"/>
        </w:rPr>
        <w:t>i</w:t>
      </w:r>
      <w:r w:rsidRPr="00885F82">
        <w:rPr>
          <w:rFonts w:ascii="Arial" w:eastAsia="Arial" w:hAnsi="Arial" w:cs="Arial"/>
          <w:spacing w:val="-4"/>
          <w:szCs w:val="24"/>
          <w:lang w:eastAsia="en-US"/>
        </w:rPr>
        <w:t>n</w:t>
      </w:r>
      <w:r w:rsidRPr="00885F82">
        <w:rPr>
          <w:rFonts w:ascii="Arial" w:eastAsia="Arial" w:hAnsi="Arial" w:cs="Arial"/>
          <w:szCs w:val="24"/>
          <w:lang w:eastAsia="en-US"/>
        </w:rPr>
        <w:t>g</w:t>
      </w:r>
      <w:r w:rsidRPr="00885F82">
        <w:rPr>
          <w:rFonts w:ascii="Arial" w:eastAsia="Arial" w:hAnsi="Arial" w:cs="Arial"/>
          <w:spacing w:val="-3"/>
          <w:szCs w:val="24"/>
          <w:lang w:eastAsia="en-US"/>
        </w:rPr>
        <w:t xml:space="preserve"> </w:t>
      </w:r>
      <w:r w:rsidRPr="00885F82">
        <w:rPr>
          <w:rFonts w:ascii="Arial" w:eastAsia="Arial" w:hAnsi="Arial" w:cs="Arial"/>
          <w:spacing w:val="4"/>
          <w:szCs w:val="24"/>
          <w:lang w:eastAsia="en-US"/>
        </w:rPr>
        <w:t>i</w:t>
      </w:r>
      <w:r w:rsidRPr="00885F82">
        <w:rPr>
          <w:rFonts w:ascii="Arial" w:eastAsia="Arial" w:hAnsi="Arial" w:cs="Arial"/>
          <w:spacing w:val="1"/>
          <w:szCs w:val="24"/>
          <w:lang w:eastAsia="en-US"/>
        </w:rPr>
        <w:t>n</w:t>
      </w:r>
      <w:r w:rsidRPr="00885F82">
        <w:rPr>
          <w:rFonts w:ascii="Arial" w:eastAsia="Arial" w:hAnsi="Arial" w:cs="Arial"/>
          <w:szCs w:val="24"/>
          <w:lang w:eastAsia="en-US"/>
        </w:rPr>
        <w:t>t</w:t>
      </w:r>
      <w:r w:rsidRPr="00885F82">
        <w:rPr>
          <w:rFonts w:ascii="Arial" w:eastAsia="Arial" w:hAnsi="Arial" w:cs="Arial"/>
          <w:spacing w:val="1"/>
          <w:szCs w:val="24"/>
          <w:lang w:eastAsia="en-US"/>
        </w:rPr>
        <w:t>e</w:t>
      </w:r>
      <w:r w:rsidRPr="00885F82">
        <w:rPr>
          <w:rFonts w:ascii="Arial" w:eastAsia="Arial" w:hAnsi="Arial" w:cs="Arial"/>
          <w:spacing w:val="-4"/>
          <w:szCs w:val="24"/>
          <w:lang w:eastAsia="en-US"/>
        </w:rPr>
        <w:t>g</w:t>
      </w:r>
      <w:r w:rsidRPr="00885F82">
        <w:rPr>
          <w:rFonts w:ascii="Arial" w:eastAsia="Arial" w:hAnsi="Arial" w:cs="Arial"/>
          <w:spacing w:val="2"/>
          <w:szCs w:val="24"/>
          <w:lang w:eastAsia="en-US"/>
        </w:rPr>
        <w:t>r</w:t>
      </w:r>
      <w:r w:rsidRPr="00885F82">
        <w:rPr>
          <w:rFonts w:ascii="Arial" w:eastAsia="Arial" w:hAnsi="Arial" w:cs="Arial"/>
          <w:spacing w:val="-4"/>
          <w:szCs w:val="24"/>
          <w:lang w:eastAsia="en-US"/>
        </w:rPr>
        <w:t>a</w:t>
      </w:r>
      <w:r w:rsidRPr="00885F82">
        <w:rPr>
          <w:rFonts w:ascii="Arial" w:eastAsia="Arial" w:hAnsi="Arial" w:cs="Arial"/>
          <w:szCs w:val="24"/>
          <w:lang w:eastAsia="en-US"/>
        </w:rPr>
        <w:t>l</w:t>
      </w:r>
      <w:r w:rsidRPr="00885F82">
        <w:rPr>
          <w:rFonts w:ascii="Arial" w:eastAsia="Arial" w:hAnsi="Arial" w:cs="Arial"/>
          <w:spacing w:val="5"/>
          <w:szCs w:val="24"/>
          <w:lang w:eastAsia="en-US"/>
        </w:rPr>
        <w:t xml:space="preserve"> </w:t>
      </w:r>
      <w:r w:rsidRPr="00885F82">
        <w:rPr>
          <w:rFonts w:ascii="Arial" w:eastAsia="Arial" w:hAnsi="Arial" w:cs="Arial"/>
          <w:szCs w:val="24"/>
          <w:lang w:eastAsia="en-US"/>
        </w:rPr>
        <w:t>to</w:t>
      </w:r>
      <w:r w:rsidRPr="00885F82">
        <w:rPr>
          <w:rFonts w:ascii="Arial" w:eastAsia="Arial" w:hAnsi="Arial" w:cs="Arial"/>
          <w:spacing w:val="-3"/>
          <w:szCs w:val="24"/>
          <w:lang w:eastAsia="en-US"/>
        </w:rPr>
        <w:t xml:space="preserve"> </w:t>
      </w:r>
      <w:r w:rsidRPr="00885F82">
        <w:rPr>
          <w:rFonts w:ascii="Arial" w:eastAsia="Arial" w:hAnsi="Arial" w:cs="Arial"/>
          <w:spacing w:val="1"/>
          <w:szCs w:val="24"/>
          <w:lang w:eastAsia="en-US"/>
        </w:rPr>
        <w:t>a</w:t>
      </w:r>
      <w:r w:rsidRPr="00885F82">
        <w:rPr>
          <w:rFonts w:ascii="Arial" w:eastAsia="Arial" w:hAnsi="Arial" w:cs="Arial"/>
          <w:szCs w:val="24"/>
          <w:lang w:eastAsia="en-US"/>
        </w:rPr>
        <w:t>c</w:t>
      </w:r>
      <w:r w:rsidRPr="00885F82">
        <w:rPr>
          <w:rFonts w:ascii="Arial" w:eastAsia="Arial" w:hAnsi="Arial" w:cs="Arial"/>
          <w:spacing w:val="-4"/>
          <w:szCs w:val="24"/>
          <w:lang w:eastAsia="en-US"/>
        </w:rPr>
        <w:t>h</w:t>
      </w:r>
      <w:r w:rsidRPr="00885F82">
        <w:rPr>
          <w:rFonts w:ascii="Arial" w:eastAsia="Arial" w:hAnsi="Arial" w:cs="Arial"/>
          <w:spacing w:val="4"/>
          <w:szCs w:val="24"/>
          <w:lang w:eastAsia="en-US"/>
        </w:rPr>
        <w:t>i</w:t>
      </w:r>
      <w:r w:rsidRPr="00885F82">
        <w:rPr>
          <w:rFonts w:ascii="Arial" w:eastAsia="Arial" w:hAnsi="Arial" w:cs="Arial"/>
          <w:spacing w:val="1"/>
          <w:szCs w:val="24"/>
          <w:lang w:eastAsia="en-US"/>
        </w:rPr>
        <w:t>e</w:t>
      </w:r>
      <w:r w:rsidRPr="00885F82">
        <w:rPr>
          <w:rFonts w:ascii="Arial" w:eastAsia="Arial" w:hAnsi="Arial" w:cs="Arial"/>
          <w:spacing w:val="-5"/>
          <w:szCs w:val="24"/>
          <w:lang w:eastAsia="en-US"/>
        </w:rPr>
        <w:t>v</w:t>
      </w:r>
      <w:r w:rsidRPr="00885F82">
        <w:rPr>
          <w:rFonts w:ascii="Arial" w:eastAsia="Arial" w:hAnsi="Arial" w:cs="Arial"/>
          <w:spacing w:val="4"/>
          <w:szCs w:val="24"/>
          <w:lang w:eastAsia="en-US"/>
        </w:rPr>
        <w:t>i</w:t>
      </w:r>
      <w:r w:rsidRPr="00885F82">
        <w:rPr>
          <w:rFonts w:ascii="Arial" w:eastAsia="Arial" w:hAnsi="Arial" w:cs="Arial"/>
          <w:spacing w:val="1"/>
          <w:szCs w:val="24"/>
          <w:lang w:eastAsia="en-US"/>
        </w:rPr>
        <w:t>n</w:t>
      </w:r>
      <w:r w:rsidRPr="00885F82">
        <w:rPr>
          <w:rFonts w:ascii="Arial" w:eastAsia="Arial" w:hAnsi="Arial" w:cs="Arial"/>
          <w:szCs w:val="24"/>
          <w:lang w:eastAsia="en-US"/>
        </w:rPr>
        <w:t>g</w:t>
      </w:r>
      <w:r w:rsidRPr="00885F82">
        <w:rPr>
          <w:rFonts w:ascii="Arial" w:eastAsia="Arial" w:hAnsi="Arial" w:cs="Arial"/>
          <w:spacing w:val="1"/>
          <w:szCs w:val="24"/>
          <w:lang w:eastAsia="en-US"/>
        </w:rPr>
        <w:t xml:space="preserve"> </w:t>
      </w:r>
      <w:r w:rsidRPr="00885F82">
        <w:rPr>
          <w:rFonts w:ascii="Arial" w:eastAsia="Arial" w:hAnsi="Arial" w:cs="Arial"/>
          <w:spacing w:val="-4"/>
          <w:szCs w:val="24"/>
          <w:lang w:eastAsia="en-US"/>
        </w:rPr>
        <w:t>t</w:t>
      </w:r>
      <w:r w:rsidRPr="00885F82">
        <w:rPr>
          <w:rFonts w:ascii="Arial" w:eastAsia="Arial" w:hAnsi="Arial" w:cs="Arial"/>
          <w:spacing w:val="1"/>
          <w:szCs w:val="24"/>
          <w:lang w:eastAsia="en-US"/>
        </w:rPr>
        <w:t>h</w:t>
      </w:r>
      <w:r w:rsidRPr="00885F82">
        <w:rPr>
          <w:rFonts w:ascii="Arial" w:eastAsia="Arial" w:hAnsi="Arial" w:cs="Arial"/>
          <w:spacing w:val="4"/>
          <w:szCs w:val="24"/>
          <w:lang w:eastAsia="en-US"/>
        </w:rPr>
        <w:t>i</w:t>
      </w:r>
      <w:r w:rsidRPr="00885F82">
        <w:rPr>
          <w:rFonts w:ascii="Arial" w:eastAsia="Arial" w:hAnsi="Arial" w:cs="Arial"/>
          <w:szCs w:val="24"/>
          <w:lang w:eastAsia="en-US"/>
        </w:rPr>
        <w:t>s</w:t>
      </w:r>
      <w:r w:rsidRPr="00885F82">
        <w:rPr>
          <w:rFonts w:ascii="Arial" w:eastAsia="Arial" w:hAnsi="Arial" w:cs="Arial"/>
          <w:spacing w:val="-4"/>
          <w:szCs w:val="24"/>
          <w:lang w:eastAsia="en-US"/>
        </w:rPr>
        <w:t xml:space="preserve"> </w:t>
      </w:r>
      <w:r w:rsidRPr="00885F82">
        <w:rPr>
          <w:rFonts w:ascii="Arial" w:eastAsia="Arial" w:hAnsi="Arial" w:cs="Arial"/>
          <w:spacing w:val="1"/>
          <w:szCs w:val="24"/>
          <w:lang w:eastAsia="en-US"/>
        </w:rPr>
        <w:t>a</w:t>
      </w:r>
      <w:r w:rsidRPr="00885F82">
        <w:rPr>
          <w:rFonts w:ascii="Arial" w:eastAsia="Arial" w:hAnsi="Arial" w:cs="Arial"/>
          <w:spacing w:val="-8"/>
          <w:szCs w:val="24"/>
          <w:lang w:eastAsia="en-US"/>
        </w:rPr>
        <w:t>m</w:t>
      </w:r>
      <w:r w:rsidRPr="00885F82">
        <w:rPr>
          <w:rFonts w:ascii="Arial" w:eastAsia="Arial" w:hAnsi="Arial" w:cs="Arial"/>
          <w:spacing w:val="1"/>
          <w:szCs w:val="24"/>
          <w:lang w:eastAsia="en-US"/>
        </w:rPr>
        <w:t>b</w:t>
      </w:r>
      <w:r w:rsidRPr="00885F82">
        <w:rPr>
          <w:rFonts w:ascii="Arial" w:eastAsia="Arial" w:hAnsi="Arial" w:cs="Arial"/>
          <w:spacing w:val="4"/>
          <w:szCs w:val="24"/>
          <w:lang w:eastAsia="en-US"/>
        </w:rPr>
        <w:t>i</w:t>
      </w:r>
      <w:r w:rsidRPr="00885F82">
        <w:rPr>
          <w:rFonts w:ascii="Arial" w:eastAsia="Arial" w:hAnsi="Arial" w:cs="Arial"/>
          <w:szCs w:val="24"/>
          <w:lang w:eastAsia="en-US"/>
        </w:rPr>
        <w:t>t</w:t>
      </w:r>
      <w:r w:rsidRPr="00885F82">
        <w:rPr>
          <w:rFonts w:ascii="Arial" w:eastAsia="Arial" w:hAnsi="Arial" w:cs="Arial"/>
          <w:spacing w:val="4"/>
          <w:szCs w:val="24"/>
          <w:lang w:eastAsia="en-US"/>
        </w:rPr>
        <w:t>i</w:t>
      </w:r>
      <w:r w:rsidRPr="00885F82">
        <w:rPr>
          <w:rFonts w:ascii="Arial" w:eastAsia="Arial" w:hAnsi="Arial" w:cs="Arial"/>
          <w:spacing w:val="-4"/>
          <w:szCs w:val="24"/>
          <w:lang w:eastAsia="en-US"/>
        </w:rPr>
        <w:t>o</w:t>
      </w:r>
      <w:r w:rsidRPr="00885F82">
        <w:rPr>
          <w:rFonts w:ascii="Arial" w:eastAsia="Arial" w:hAnsi="Arial" w:cs="Arial"/>
          <w:spacing w:val="1"/>
          <w:szCs w:val="24"/>
          <w:lang w:eastAsia="en-US"/>
        </w:rPr>
        <w:t>n and t</w:t>
      </w:r>
      <w:r w:rsidRPr="00885F82">
        <w:rPr>
          <w:rFonts w:ascii="Arial" w:eastAsiaTheme="minorHAnsi" w:hAnsi="Arial" w:cs="Arial"/>
          <w:szCs w:val="24"/>
          <w:lang w:eastAsia="en-US"/>
        </w:rPr>
        <w:t>his plan supports the implementation of the business plan and HLH’s Health and Safety and Environmental Compliance Policy and associated Operational Arrangements. It has been developed by its Health and Safety and Environmental Compliance Committee with the support of HLH’s external health and safety adviser, its staff and trade unions, taking account of industry best practice and Health and Safety Executive guidance and identified the following five themes:</w:t>
      </w:r>
      <w:r w:rsidRPr="00885F82">
        <w:rPr>
          <w:rFonts w:ascii="Arial" w:eastAsiaTheme="minorHAnsi" w:hAnsi="Arial" w:cs="Arial"/>
          <w:color w:val="000000"/>
          <w:szCs w:val="24"/>
          <w:lang w:eastAsia="en-US"/>
        </w:rPr>
        <w:t xml:space="preserve"> </w:t>
      </w:r>
    </w:p>
    <w:p w14:paraId="55BEDDDD" w14:textId="77777777" w:rsidR="00885F82" w:rsidRPr="00885F82" w:rsidRDefault="00885F82" w:rsidP="009C1524">
      <w:pPr>
        <w:numPr>
          <w:ilvl w:val="0"/>
          <w:numId w:val="11"/>
        </w:numPr>
        <w:autoSpaceDE w:val="0"/>
        <w:autoSpaceDN w:val="0"/>
        <w:adjustRightInd w:val="0"/>
        <w:spacing w:after="200" w:line="276" w:lineRule="auto"/>
        <w:ind w:left="284" w:hanging="284"/>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Leadership and Management </w:t>
      </w:r>
    </w:p>
    <w:p w14:paraId="165256B5" w14:textId="77777777" w:rsidR="00885F82" w:rsidRPr="00885F82" w:rsidRDefault="00885F82" w:rsidP="009C1524">
      <w:pPr>
        <w:numPr>
          <w:ilvl w:val="0"/>
          <w:numId w:val="11"/>
        </w:numPr>
        <w:autoSpaceDE w:val="0"/>
        <w:autoSpaceDN w:val="0"/>
        <w:adjustRightInd w:val="0"/>
        <w:spacing w:after="200" w:line="276" w:lineRule="auto"/>
        <w:ind w:left="284" w:hanging="284"/>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Competence </w:t>
      </w:r>
    </w:p>
    <w:p w14:paraId="6FD5150C" w14:textId="77777777" w:rsidR="00885F82" w:rsidRPr="00885F82" w:rsidRDefault="00885F82" w:rsidP="009C1524">
      <w:pPr>
        <w:numPr>
          <w:ilvl w:val="0"/>
          <w:numId w:val="11"/>
        </w:numPr>
        <w:autoSpaceDE w:val="0"/>
        <w:autoSpaceDN w:val="0"/>
        <w:adjustRightInd w:val="0"/>
        <w:spacing w:after="200" w:line="276" w:lineRule="auto"/>
        <w:ind w:left="284" w:hanging="284"/>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Risk Management </w:t>
      </w:r>
    </w:p>
    <w:p w14:paraId="5C956F82" w14:textId="77777777" w:rsidR="00885F82" w:rsidRPr="00885F82" w:rsidRDefault="00885F82" w:rsidP="009C1524">
      <w:pPr>
        <w:numPr>
          <w:ilvl w:val="0"/>
          <w:numId w:val="11"/>
        </w:numPr>
        <w:autoSpaceDE w:val="0"/>
        <w:autoSpaceDN w:val="0"/>
        <w:adjustRightInd w:val="0"/>
        <w:spacing w:after="200" w:line="276" w:lineRule="auto"/>
        <w:ind w:left="284" w:hanging="284"/>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Staff Health and Wellbeing </w:t>
      </w:r>
    </w:p>
    <w:p w14:paraId="6BE3BBB2" w14:textId="77777777" w:rsidR="00885F82" w:rsidRPr="00885F82" w:rsidRDefault="00885F82" w:rsidP="009C1524">
      <w:pPr>
        <w:numPr>
          <w:ilvl w:val="0"/>
          <w:numId w:val="11"/>
        </w:numPr>
        <w:autoSpaceDE w:val="0"/>
        <w:autoSpaceDN w:val="0"/>
        <w:adjustRightInd w:val="0"/>
        <w:spacing w:after="200" w:line="276" w:lineRule="auto"/>
        <w:ind w:left="284" w:hanging="284"/>
        <w:contextualSpacing/>
        <w:rPr>
          <w:rFonts w:ascii="Arial" w:eastAsiaTheme="minorHAnsi" w:hAnsi="Arial" w:cs="Arial"/>
          <w:b/>
          <w:szCs w:val="24"/>
          <w:lang w:eastAsia="en-US"/>
        </w:rPr>
      </w:pPr>
      <w:r w:rsidRPr="00885F82">
        <w:rPr>
          <w:rFonts w:ascii="Arial" w:eastAsiaTheme="minorHAnsi" w:hAnsi="Arial" w:cs="Arial"/>
          <w:b/>
          <w:szCs w:val="24"/>
          <w:lang w:eastAsia="en-US"/>
        </w:rPr>
        <w:t>Asset Management</w:t>
      </w:r>
    </w:p>
    <w:p w14:paraId="1AA483F8" w14:textId="77777777" w:rsidR="00885F82" w:rsidRPr="00885F82" w:rsidRDefault="00885F82" w:rsidP="00885F82">
      <w:pPr>
        <w:spacing w:after="200" w:line="276" w:lineRule="auto"/>
        <w:jc w:val="both"/>
        <w:rPr>
          <w:rFonts w:ascii="Arial" w:eastAsiaTheme="minorHAnsi" w:hAnsi="Arial" w:cs="Arial"/>
          <w:szCs w:val="24"/>
          <w:lang w:eastAsia="en-US"/>
        </w:rPr>
      </w:pPr>
      <w:r w:rsidRPr="00885F82">
        <w:rPr>
          <w:rFonts w:ascii="Arial" w:eastAsiaTheme="minorHAnsi" w:hAnsi="Arial" w:cs="Arial"/>
          <w:szCs w:val="24"/>
          <w:lang w:eastAsia="en-US"/>
        </w:rPr>
        <w:lastRenderedPageBreak/>
        <w:t xml:space="preserve">This plan takes account of the charity having a large number of customers and staff accessing and delivering activities across a large geographic area and in diverse sites and  buildings and will assist in achieving: </w:t>
      </w:r>
    </w:p>
    <w:p w14:paraId="34676E94" w14:textId="77777777" w:rsidR="00885F82" w:rsidRPr="00885F82" w:rsidRDefault="00885F82" w:rsidP="009C1524">
      <w:pPr>
        <w:numPr>
          <w:ilvl w:val="0"/>
          <w:numId w:val="15"/>
        </w:numPr>
        <w:autoSpaceDE w:val="0"/>
        <w:autoSpaceDN w:val="0"/>
        <w:adjustRightInd w:val="0"/>
        <w:spacing w:after="200" w:line="276" w:lineRule="auto"/>
        <w:ind w:left="426" w:hanging="426"/>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efficient, proactive and pragmatic ways of delivering health and safety;</w:t>
      </w:r>
    </w:p>
    <w:p w14:paraId="7F09E10E" w14:textId="77777777" w:rsidR="00885F82" w:rsidRPr="00885F82" w:rsidRDefault="00885F82" w:rsidP="009C1524">
      <w:pPr>
        <w:numPr>
          <w:ilvl w:val="0"/>
          <w:numId w:val="15"/>
        </w:numPr>
        <w:autoSpaceDE w:val="0"/>
        <w:autoSpaceDN w:val="0"/>
        <w:adjustRightInd w:val="0"/>
        <w:spacing w:after="200" w:line="276" w:lineRule="auto"/>
        <w:ind w:left="426" w:hanging="426"/>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a safe and healthy environment for staff customers and visitors;</w:t>
      </w:r>
    </w:p>
    <w:p w14:paraId="390BC641" w14:textId="77777777" w:rsidR="00885F82" w:rsidRPr="00885F82" w:rsidRDefault="00885F82" w:rsidP="009C1524">
      <w:pPr>
        <w:numPr>
          <w:ilvl w:val="0"/>
          <w:numId w:val="15"/>
        </w:numPr>
        <w:autoSpaceDE w:val="0"/>
        <w:autoSpaceDN w:val="0"/>
        <w:adjustRightInd w:val="0"/>
        <w:spacing w:after="200" w:line="276" w:lineRule="auto"/>
        <w:ind w:left="426" w:hanging="426"/>
        <w:rPr>
          <w:rFonts w:ascii="Calibri" w:eastAsiaTheme="minorHAnsi" w:hAnsi="Calibri" w:cs="Calibri"/>
          <w:color w:val="000000"/>
          <w:sz w:val="20"/>
          <w:lang w:eastAsia="en-US"/>
        </w:rPr>
      </w:pPr>
      <w:r w:rsidRPr="00885F82">
        <w:rPr>
          <w:rFonts w:ascii="Arial" w:eastAsiaTheme="minorHAnsi" w:hAnsi="Arial" w:cs="Arial"/>
          <w:color w:val="000000"/>
          <w:szCs w:val="24"/>
          <w:lang w:eastAsia="en-US"/>
        </w:rPr>
        <w:t>a positive health and safety culture across the company; and</w:t>
      </w:r>
    </w:p>
    <w:p w14:paraId="01B0CA40" w14:textId="46781E59" w:rsidR="00885F82" w:rsidRPr="00885F82" w:rsidRDefault="00885F82" w:rsidP="008A6683">
      <w:pPr>
        <w:numPr>
          <w:ilvl w:val="0"/>
          <w:numId w:val="15"/>
        </w:numPr>
        <w:autoSpaceDE w:val="0"/>
        <w:autoSpaceDN w:val="0"/>
        <w:adjustRightInd w:val="0"/>
        <w:spacing w:after="200" w:line="276" w:lineRule="auto"/>
        <w:ind w:left="426" w:hanging="426"/>
        <w:rPr>
          <w:rFonts w:ascii="Calibri" w:eastAsiaTheme="minorHAnsi" w:hAnsi="Calibri" w:cs="Calibri"/>
          <w:color w:val="000000"/>
          <w:sz w:val="20"/>
          <w:lang w:eastAsia="en-US"/>
        </w:rPr>
      </w:pPr>
      <w:r w:rsidRPr="00885F82">
        <w:rPr>
          <w:rFonts w:ascii="Arial" w:eastAsiaTheme="minorHAnsi" w:hAnsi="Arial" w:cs="Arial"/>
          <w:color w:val="000000"/>
          <w:szCs w:val="24"/>
          <w:lang w:eastAsia="en-US"/>
        </w:rPr>
        <w:t>effective means of protecting stakeholders, including staff, visitors and contractors from harm</w:t>
      </w:r>
      <w:r w:rsidRPr="00885F82">
        <w:rPr>
          <w:rFonts w:ascii="Calibri" w:eastAsiaTheme="minorHAnsi" w:hAnsi="Calibri" w:cs="Calibri"/>
          <w:color w:val="000000"/>
          <w:sz w:val="20"/>
          <w:lang w:eastAsia="en-US"/>
        </w:rPr>
        <w:t>.</w:t>
      </w:r>
    </w:p>
    <w:p w14:paraId="764B998B" w14:textId="77777777" w:rsidR="00885F82" w:rsidRDefault="00885F82" w:rsidP="00885F82">
      <w:pPr>
        <w:tabs>
          <w:tab w:val="left" w:pos="8823"/>
        </w:tabs>
        <w:spacing w:after="200" w:line="260" w:lineRule="exact"/>
        <w:ind w:right="1"/>
        <w:jc w:val="both"/>
        <w:rPr>
          <w:rFonts w:ascii="Arial" w:eastAsia="Arial" w:hAnsi="Arial" w:cs="Arial"/>
          <w:szCs w:val="24"/>
          <w:lang w:eastAsia="en-US"/>
        </w:rPr>
      </w:pPr>
      <w:r w:rsidRPr="00885F82">
        <w:rPr>
          <w:rFonts w:ascii="Arial" w:eastAsia="Arial" w:hAnsi="Arial" w:cs="Arial"/>
          <w:szCs w:val="24"/>
          <w:lang w:eastAsia="en-US"/>
        </w:rPr>
        <w:t xml:space="preserve">The HLH Health and Safety and Environmental Compliance Committee will monitor this plan quarterly and will review and revise it as often as is required by changing legislation, the results of audits and trend analysis or because of changing business objectives.  </w:t>
      </w:r>
    </w:p>
    <w:p w14:paraId="2F06D3F8" w14:textId="77777777" w:rsidR="008A6683" w:rsidRPr="00885F82" w:rsidRDefault="008A6683" w:rsidP="00885F82">
      <w:pPr>
        <w:tabs>
          <w:tab w:val="left" w:pos="8823"/>
        </w:tabs>
        <w:spacing w:after="200" w:line="260" w:lineRule="exact"/>
        <w:ind w:right="1"/>
        <w:jc w:val="both"/>
        <w:rPr>
          <w:rFonts w:ascii="Arial" w:eastAsia="Arial" w:hAnsi="Arial" w:cs="Arial"/>
          <w:szCs w:val="24"/>
          <w:lang w:eastAsia="en-US"/>
        </w:rPr>
      </w:pPr>
    </w:p>
    <w:p w14:paraId="1B5E86E8" w14:textId="77777777" w:rsidR="008A6683" w:rsidRDefault="00885F82" w:rsidP="009C1524">
      <w:pPr>
        <w:numPr>
          <w:ilvl w:val="0"/>
          <w:numId w:val="13"/>
        </w:numPr>
        <w:spacing w:after="200" w:line="276" w:lineRule="auto"/>
        <w:ind w:left="426" w:hanging="426"/>
        <w:contextualSpacing/>
        <w:rPr>
          <w:rFonts w:ascii="Arial" w:eastAsiaTheme="minorHAnsi" w:hAnsi="Arial" w:cs="Arial"/>
          <w:b/>
          <w:bCs/>
          <w:szCs w:val="24"/>
          <w:lang w:eastAsia="en-US"/>
        </w:rPr>
      </w:pPr>
      <w:r w:rsidRPr="00885F82">
        <w:rPr>
          <w:rFonts w:ascii="Arial" w:eastAsiaTheme="minorHAnsi" w:hAnsi="Arial" w:cs="Arial"/>
          <w:b/>
          <w:bCs/>
          <w:szCs w:val="24"/>
          <w:lang w:eastAsia="en-US"/>
        </w:rPr>
        <w:t>Background and Introduction</w:t>
      </w:r>
    </w:p>
    <w:p w14:paraId="4D4E4E5A" w14:textId="146A42C2" w:rsidR="00885F82" w:rsidRPr="00885F82" w:rsidRDefault="00885F82" w:rsidP="008A6683">
      <w:pPr>
        <w:spacing w:after="200" w:line="276" w:lineRule="auto"/>
        <w:ind w:left="426"/>
        <w:contextualSpacing/>
        <w:rPr>
          <w:rFonts w:ascii="Arial" w:eastAsiaTheme="minorHAnsi" w:hAnsi="Arial" w:cs="Arial"/>
          <w:b/>
          <w:bCs/>
          <w:szCs w:val="24"/>
          <w:lang w:eastAsia="en-US"/>
        </w:rPr>
      </w:pPr>
      <w:r w:rsidRPr="00885F82">
        <w:rPr>
          <w:rFonts w:ascii="Arial" w:eastAsiaTheme="minorHAnsi" w:hAnsi="Arial" w:cs="Arial"/>
          <w:b/>
          <w:bCs/>
          <w:szCs w:val="24"/>
          <w:lang w:eastAsia="en-US"/>
        </w:rPr>
        <w:t xml:space="preserve"> </w:t>
      </w:r>
    </w:p>
    <w:p w14:paraId="5020AFFB"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HLH is a charity registered in Scotland and a Company, Limited by Guarantee, wholly owned by The Highland Council (THC),</w:t>
      </w:r>
      <w:r w:rsidRPr="00885F82">
        <w:rPr>
          <w:rFonts w:ascii="Arial" w:eastAsia="+mn-ea" w:hAnsi="Arial" w:cs="Arial"/>
          <w:color w:val="000000"/>
          <w:kern w:val="24"/>
          <w:szCs w:val="24"/>
          <w:lang w:eastAsia="en-US"/>
        </w:rPr>
        <w:t xml:space="preserve"> </w:t>
      </w:r>
      <w:r w:rsidRPr="00885F82">
        <w:rPr>
          <w:rFonts w:ascii="Arial" w:eastAsia="+mn-ea" w:hAnsi="Arial" w:cs="Arial"/>
          <w:kern w:val="24"/>
          <w:szCs w:val="24"/>
          <w:lang w:eastAsia="en-US"/>
        </w:rPr>
        <w:t xml:space="preserve">which makes the </w:t>
      </w:r>
      <w:r w:rsidRPr="00885F82">
        <w:rPr>
          <w:rFonts w:ascii="Arial" w:eastAsia="+mn-ea" w:hAnsi="Arial" w:cs="Arial"/>
          <w:color w:val="000000"/>
          <w:kern w:val="24"/>
          <w:szCs w:val="24"/>
          <w:lang w:eastAsia="en-US"/>
        </w:rPr>
        <w:t>Highlands a better place to live, work and visit by working in partnership to develop and promote opportunities in culture, learning, sport, leisure, health and wellbeing.</w:t>
      </w:r>
      <w:r w:rsidRPr="00885F82">
        <w:rPr>
          <w:rFonts w:ascii="Arial" w:eastAsiaTheme="minorHAnsi" w:hAnsi="Arial" w:cs="Arial"/>
          <w:szCs w:val="24"/>
          <w:lang w:eastAsia="en-US"/>
        </w:rPr>
        <w:t xml:space="preserve"> The Charity was established on 1 October 2011 to deliver Community Learning and Leisure Services on behalf of the Highland Council (THC).  </w:t>
      </w:r>
    </w:p>
    <w:p w14:paraId="110C0F7F" w14:textId="77777777" w:rsidR="00885F82" w:rsidRDefault="00885F82" w:rsidP="00885F82">
      <w:pPr>
        <w:spacing w:after="200"/>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main business of HLH is the delivery of a Service Delivery Contract (SDC) for THC across the charity’s nine areas of work: </w:t>
      </w:r>
    </w:p>
    <w:p w14:paraId="4B8FC319" w14:textId="77777777" w:rsidR="008A6683" w:rsidRPr="00885F82" w:rsidRDefault="008A6683" w:rsidP="00885F82">
      <w:pPr>
        <w:spacing w:after="200"/>
        <w:contextualSpacing/>
        <w:jc w:val="both"/>
        <w:rPr>
          <w:rFonts w:ascii="Arial" w:eastAsiaTheme="minorHAnsi" w:hAnsi="Arial" w:cs="Arial"/>
          <w:color w:val="000000"/>
          <w:szCs w:val="24"/>
          <w:lang w:eastAsia="en-US"/>
        </w:rPr>
      </w:pPr>
    </w:p>
    <w:p w14:paraId="16BB306A"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Adult Learning</w:t>
      </w:r>
    </w:p>
    <w:p w14:paraId="263D0B9B"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Archives</w:t>
      </w:r>
    </w:p>
    <w:p w14:paraId="0EF2FC86"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Arts</w:t>
      </w:r>
    </w:p>
    <w:p w14:paraId="1ACE5189"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Leisure Facilities</w:t>
      </w:r>
    </w:p>
    <w:p w14:paraId="781AB8BA"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Libraries</w:t>
      </w:r>
    </w:p>
    <w:p w14:paraId="342DAE1C"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Museums</w:t>
      </w:r>
    </w:p>
    <w:p w14:paraId="577D296F"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Music Tuition</w:t>
      </w:r>
    </w:p>
    <w:p w14:paraId="77AB692D" w14:textId="77777777" w:rsidR="00885F82" w:rsidRPr="00885F82"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Sport and Outdoor Education</w:t>
      </w:r>
    </w:p>
    <w:p w14:paraId="05EEEC18" w14:textId="77777777" w:rsidR="00885F82" w:rsidRPr="008A6683" w:rsidRDefault="00885F82" w:rsidP="009C1524">
      <w:pPr>
        <w:numPr>
          <w:ilvl w:val="0"/>
          <w:numId w:val="12"/>
        </w:numPr>
        <w:spacing w:after="200" w:line="276" w:lineRule="auto"/>
        <w:ind w:left="284" w:hanging="284"/>
        <w:contextualSpacing/>
        <w:jc w:val="both"/>
        <w:rPr>
          <w:rFonts w:ascii="Arial" w:eastAsiaTheme="minorHAnsi" w:hAnsi="Arial" w:cs="Arial"/>
          <w:bCs/>
          <w:szCs w:val="24"/>
          <w:lang w:eastAsia="en-US"/>
        </w:rPr>
      </w:pPr>
      <w:r w:rsidRPr="00885F82">
        <w:rPr>
          <w:rFonts w:ascii="Arial" w:eastAsiaTheme="minorHAnsi" w:hAnsi="Arial" w:cs="Arial"/>
          <w:color w:val="000000"/>
          <w:szCs w:val="24"/>
          <w:lang w:eastAsia="en-US"/>
        </w:rPr>
        <w:t xml:space="preserve">Youth Work </w:t>
      </w:r>
    </w:p>
    <w:p w14:paraId="653C7FE1" w14:textId="77777777" w:rsidR="008A6683" w:rsidRPr="00885F82" w:rsidRDefault="008A6683" w:rsidP="008A6683">
      <w:pPr>
        <w:spacing w:after="200" w:line="276" w:lineRule="auto"/>
        <w:ind w:left="284"/>
        <w:contextualSpacing/>
        <w:jc w:val="both"/>
        <w:rPr>
          <w:rFonts w:ascii="Arial" w:eastAsiaTheme="minorHAnsi" w:hAnsi="Arial" w:cs="Arial"/>
          <w:bCs/>
          <w:szCs w:val="24"/>
          <w:lang w:eastAsia="en-US"/>
        </w:rPr>
      </w:pPr>
    </w:p>
    <w:p w14:paraId="39E41B3A" w14:textId="77777777" w:rsidR="00885F82" w:rsidRPr="00885F82" w:rsidRDefault="00885F82" w:rsidP="00885F82">
      <w:pPr>
        <w:tabs>
          <w:tab w:val="left" w:pos="8823"/>
        </w:tabs>
        <w:spacing w:after="200" w:line="234" w:lineRule="auto"/>
        <w:ind w:right="1"/>
        <w:jc w:val="both"/>
        <w:rPr>
          <w:rFonts w:ascii="Arial" w:eastAsiaTheme="minorHAnsi" w:hAnsi="Arial" w:cs="Arial"/>
          <w:szCs w:val="24"/>
          <w:lang w:eastAsia="en-US"/>
        </w:rPr>
      </w:pPr>
      <w:r w:rsidRPr="00885F82">
        <w:rPr>
          <w:rFonts w:ascii="Arial" w:eastAsiaTheme="minorHAnsi" w:hAnsi="Arial" w:cs="Arial"/>
          <w:szCs w:val="24"/>
          <w:lang w:eastAsia="en-US"/>
        </w:rPr>
        <w:t xml:space="preserve">This Health and Safety Plan 2020-25 was developed with the support of HLH’s external health and safety adviser, QLM consulting Ltd; consulting with Directors (through the Health and Safety and Environmental Compliance Committee); staff; trade unions; and managers starting with a facilitated workshop led by QLM. It has, been developed to support the delivery of HLH’s Business plan 2019-24 and goes beyond the traditional health and safety role of preventing harm. The Health and Safety Plan outlines the company’s objective to continually improve the health and safety of its staff, volunteers, customers and visitors. </w:t>
      </w:r>
    </w:p>
    <w:p w14:paraId="7EF556FC" w14:textId="5D02C6DC" w:rsidR="00885F82" w:rsidRPr="00885F82" w:rsidRDefault="00885F82" w:rsidP="008A6683">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lastRenderedPageBreak/>
        <w:t>Health and safety management, as with all aspects of HLH’s operation, does not operate in isolation and is affected by, for example, the current political and economic environ</w:t>
      </w:r>
      <w:r w:rsidR="008A6683">
        <w:rPr>
          <w:rFonts w:ascii="Arial" w:eastAsiaTheme="minorHAnsi" w:hAnsi="Arial" w:cs="Arial"/>
          <w:color w:val="000000"/>
          <w:szCs w:val="24"/>
          <w:lang w:eastAsia="en-US"/>
        </w:rPr>
        <w:t>-</w:t>
      </w:r>
      <w:proofErr w:type="spellStart"/>
      <w:r w:rsidRPr="00885F82">
        <w:rPr>
          <w:rFonts w:ascii="Arial" w:eastAsiaTheme="minorHAnsi" w:hAnsi="Arial" w:cs="Arial"/>
          <w:color w:val="000000"/>
          <w:szCs w:val="24"/>
          <w:lang w:eastAsia="en-US"/>
        </w:rPr>
        <w:t>ment</w:t>
      </w:r>
      <w:proofErr w:type="spellEnd"/>
      <w:r w:rsidRPr="00885F82">
        <w:rPr>
          <w:rFonts w:ascii="Arial" w:eastAsiaTheme="minorHAnsi" w:hAnsi="Arial" w:cs="Arial"/>
          <w:color w:val="000000"/>
          <w:szCs w:val="24"/>
          <w:lang w:eastAsia="en-US"/>
        </w:rPr>
        <w:t>. The move towards deregulation and reduction in public spending, the tough business climate, a reduced tolerance to failure and emphasis on compensation and litigation, the rapid development of new processes, developments and materials all have an impact on health and safety management.</w:t>
      </w:r>
    </w:p>
    <w:p w14:paraId="33FE8D90" w14:textId="211A3C2D" w:rsidR="008A6683" w:rsidRPr="00885F82" w:rsidRDefault="00885F82" w:rsidP="008A6683">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Achieving a safe working environment, in this climate, has to be dynamic, proactive and comprehensive yet pragmatic. Health and Safety must, therefore, be appropriate, flexible, proportional and commensurate with the risk. </w:t>
      </w:r>
    </w:p>
    <w:p w14:paraId="05A3AD1E" w14:textId="77777777" w:rsidR="00885F82" w:rsidRDefault="00885F82" w:rsidP="009C1524">
      <w:pPr>
        <w:numPr>
          <w:ilvl w:val="0"/>
          <w:numId w:val="13"/>
        </w:numPr>
        <w:spacing w:after="200" w:line="276" w:lineRule="auto"/>
        <w:ind w:left="284" w:hanging="284"/>
        <w:contextualSpacing/>
        <w:jc w:val="both"/>
        <w:rPr>
          <w:rFonts w:ascii="Arial" w:eastAsiaTheme="minorHAnsi" w:hAnsi="Arial" w:cs="Arial"/>
          <w:b/>
          <w:szCs w:val="24"/>
          <w:lang w:eastAsia="en-US"/>
        </w:rPr>
      </w:pPr>
      <w:r w:rsidRPr="00885F82">
        <w:rPr>
          <w:rFonts w:ascii="Arial" w:eastAsiaTheme="minorHAnsi" w:hAnsi="Arial" w:cs="Arial"/>
          <w:b/>
          <w:szCs w:val="24"/>
          <w:lang w:eastAsia="en-US"/>
        </w:rPr>
        <w:t>The Roles of the Health and Safety and Environmental Compliance Committee and Staff Health and Safety Groups</w:t>
      </w:r>
    </w:p>
    <w:p w14:paraId="15CE8667" w14:textId="77777777" w:rsidR="008A6683" w:rsidRPr="00885F82" w:rsidRDefault="008A6683" w:rsidP="008A6683">
      <w:pPr>
        <w:spacing w:after="200" w:line="276" w:lineRule="auto"/>
        <w:ind w:left="284"/>
        <w:contextualSpacing/>
        <w:jc w:val="both"/>
        <w:rPr>
          <w:rFonts w:ascii="Arial" w:eastAsiaTheme="minorHAnsi" w:hAnsi="Arial" w:cs="Arial"/>
          <w:b/>
          <w:szCs w:val="24"/>
          <w:lang w:eastAsia="en-US"/>
        </w:rPr>
      </w:pPr>
    </w:p>
    <w:p w14:paraId="73350F91"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The Health and Safety and Environmental Compliance Committee’s core purpose is:</w:t>
      </w:r>
    </w:p>
    <w:p w14:paraId="55A32C4E"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“to assist the Board of Directors in fulfilling its responsibilities for the management of health and safety and the associated annual and exception reporting on health and safety performance”.</w:t>
      </w:r>
    </w:p>
    <w:p w14:paraId="6FE78546"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The Health and Safety and Environmental Compliance Committee fulfils this core purpose through monitoring the charity’s performance in line with key performance indicators (KPI’s) and  the development of this plan is key to that role.</w:t>
      </w:r>
    </w:p>
    <w:p w14:paraId="1FF0BF93"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The Staff Health and Safety Group comprised of Principal Managers, nominated representatives from all services and staff representation in the form of trade unions health and safety representatives.</w:t>
      </w:r>
    </w:p>
    <w:p w14:paraId="47899731" w14:textId="59D37AC8" w:rsidR="008A6683"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This group is responsible for monitoring the charity’s performance in line with key performance indicators (KPI’s), prioritisation of operational activities or actions to reduce risk by taking into account the most significant hazards first and the resources available to them and the appropriateness of timescales for delivery.</w:t>
      </w:r>
    </w:p>
    <w:p w14:paraId="720EFFC9" w14:textId="77777777" w:rsidR="00885F82" w:rsidRDefault="00885F82" w:rsidP="009C1524">
      <w:pPr>
        <w:numPr>
          <w:ilvl w:val="0"/>
          <w:numId w:val="13"/>
        </w:numPr>
        <w:spacing w:after="200" w:line="276" w:lineRule="auto"/>
        <w:ind w:left="284"/>
        <w:contextualSpacing/>
        <w:jc w:val="both"/>
        <w:rPr>
          <w:rFonts w:ascii="Arial" w:eastAsiaTheme="minorHAnsi" w:hAnsi="Arial" w:cs="Arial"/>
          <w:b/>
          <w:szCs w:val="24"/>
          <w:lang w:eastAsia="en-US"/>
        </w:rPr>
      </w:pPr>
      <w:r w:rsidRPr="00885F82">
        <w:rPr>
          <w:rFonts w:ascii="Arial" w:eastAsiaTheme="minorHAnsi" w:hAnsi="Arial" w:cs="Arial"/>
          <w:b/>
          <w:szCs w:val="24"/>
          <w:lang w:eastAsia="en-US"/>
        </w:rPr>
        <w:t>Current Health and Safety Performance</w:t>
      </w:r>
    </w:p>
    <w:p w14:paraId="047A1064" w14:textId="77777777" w:rsidR="008A6683" w:rsidRPr="00885F82" w:rsidRDefault="008A6683" w:rsidP="008A6683">
      <w:pPr>
        <w:spacing w:after="200" w:line="276" w:lineRule="auto"/>
        <w:ind w:left="284"/>
        <w:contextualSpacing/>
        <w:jc w:val="both"/>
        <w:rPr>
          <w:rFonts w:ascii="Arial" w:eastAsiaTheme="minorHAnsi" w:hAnsi="Arial" w:cs="Arial"/>
          <w:b/>
          <w:szCs w:val="24"/>
          <w:lang w:eastAsia="en-US"/>
        </w:rPr>
      </w:pPr>
    </w:p>
    <w:p w14:paraId="4477AFF0" w14:textId="77777777" w:rsidR="00885F82" w:rsidRPr="00885F82" w:rsidRDefault="00885F82" w:rsidP="00885F82">
      <w:pPr>
        <w:spacing w:after="200"/>
        <w:jc w:val="both"/>
        <w:rPr>
          <w:rFonts w:ascii="Arial" w:eastAsiaTheme="minorHAnsi" w:hAnsi="Arial" w:cs="Arial"/>
          <w:szCs w:val="24"/>
          <w:lang w:eastAsia="en-US"/>
        </w:rPr>
      </w:pPr>
      <w:r w:rsidRPr="00885F82">
        <w:rPr>
          <w:rFonts w:ascii="Arial" w:eastAsiaTheme="minorHAnsi" w:hAnsi="Arial" w:cs="Arial"/>
          <w:szCs w:val="24"/>
          <w:lang w:eastAsia="en-US"/>
        </w:rPr>
        <w:t>A number of strengths were identified at the externally facilitated healthy and safety workshop based on the findings of internal and external audits carried out by HLH staff, THC as HLH’s internal auditor and HLH’s external health and safety adviser over the past five years:</w:t>
      </w:r>
    </w:p>
    <w:p w14:paraId="3EA57602" w14:textId="77777777" w:rsidR="00885F82" w:rsidRPr="00885F82" w:rsidRDefault="00885F82" w:rsidP="008A6683">
      <w:pPr>
        <w:numPr>
          <w:ilvl w:val="0"/>
          <w:numId w:val="16"/>
        </w:numPr>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A highly motivated, committed health and safety team, providing competent advice to support risk management activities and ensuring the continuation of statutory compliance.</w:t>
      </w:r>
    </w:p>
    <w:p w14:paraId="6CAD132D" w14:textId="77777777" w:rsidR="00885F82" w:rsidRPr="00885F82" w:rsidRDefault="00885F82" w:rsidP="008A6683">
      <w:pPr>
        <w:numPr>
          <w:ilvl w:val="0"/>
          <w:numId w:val="16"/>
        </w:numPr>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Well-established suite of corporate health and safety policies and procedures.</w:t>
      </w:r>
    </w:p>
    <w:p w14:paraId="46C58721" w14:textId="77777777" w:rsidR="00885F82" w:rsidRPr="00885F82" w:rsidRDefault="00885F82" w:rsidP="008A6683">
      <w:pPr>
        <w:numPr>
          <w:ilvl w:val="0"/>
          <w:numId w:val="16"/>
        </w:numPr>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The health and safety training programme.</w:t>
      </w:r>
    </w:p>
    <w:p w14:paraId="22DDD87A" w14:textId="77777777" w:rsidR="00885F82" w:rsidRPr="00885F82" w:rsidRDefault="00885F82" w:rsidP="008A6683">
      <w:pPr>
        <w:numPr>
          <w:ilvl w:val="0"/>
          <w:numId w:val="16"/>
        </w:numPr>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The commitment of the executive team to health, safety and wellbeing.</w:t>
      </w:r>
    </w:p>
    <w:p w14:paraId="33C691D8" w14:textId="77777777" w:rsidR="00885F82" w:rsidRPr="00885F82" w:rsidRDefault="00885F82" w:rsidP="008A6683">
      <w:pPr>
        <w:numPr>
          <w:ilvl w:val="0"/>
          <w:numId w:val="16"/>
        </w:numPr>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Departmental responsibility recognised by Heads of Service and Principal Managers.</w:t>
      </w:r>
    </w:p>
    <w:p w14:paraId="63D5D6EB" w14:textId="77777777" w:rsidR="00885F82" w:rsidRPr="00885F82" w:rsidRDefault="00885F82" w:rsidP="008A6683">
      <w:pPr>
        <w:numPr>
          <w:ilvl w:val="0"/>
          <w:numId w:val="16"/>
        </w:numPr>
        <w:autoSpaceDE w:val="0"/>
        <w:autoSpaceDN w:val="0"/>
        <w:adjustRightInd w:val="0"/>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Use of electronic communication systems and databases to allow staff to access information and record information specific to individuals, properties, activities and services.</w:t>
      </w:r>
    </w:p>
    <w:p w14:paraId="1DA2F234" w14:textId="77777777" w:rsidR="00885F82" w:rsidRPr="00885F82" w:rsidRDefault="00885F82" w:rsidP="00885F82">
      <w:pPr>
        <w:autoSpaceDE w:val="0"/>
        <w:autoSpaceDN w:val="0"/>
        <w:adjustRightInd w:val="0"/>
        <w:spacing w:after="200"/>
        <w:ind w:left="1080"/>
        <w:contextualSpacing/>
        <w:rPr>
          <w:rFonts w:ascii="Arial" w:eastAsiaTheme="minorHAnsi" w:hAnsi="Arial" w:cs="Arial"/>
          <w:szCs w:val="24"/>
          <w:lang w:eastAsia="en-US"/>
        </w:rPr>
      </w:pPr>
    </w:p>
    <w:p w14:paraId="0F327FE6" w14:textId="77777777" w:rsidR="00885F82" w:rsidRDefault="00885F82" w:rsidP="008A6683">
      <w:pPr>
        <w:numPr>
          <w:ilvl w:val="0"/>
          <w:numId w:val="13"/>
        </w:numPr>
        <w:autoSpaceDE w:val="0"/>
        <w:autoSpaceDN w:val="0"/>
        <w:adjustRightInd w:val="0"/>
        <w:spacing w:after="200" w:line="276" w:lineRule="auto"/>
        <w:ind w:left="426" w:hanging="426"/>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lastRenderedPageBreak/>
        <w:t xml:space="preserve"> Principal Strategic Aims</w:t>
      </w:r>
    </w:p>
    <w:p w14:paraId="068344F2" w14:textId="77777777" w:rsidR="008A6683" w:rsidRPr="00885F82" w:rsidRDefault="008A6683" w:rsidP="008A6683">
      <w:pPr>
        <w:autoSpaceDE w:val="0"/>
        <w:autoSpaceDN w:val="0"/>
        <w:adjustRightInd w:val="0"/>
        <w:spacing w:after="200" w:line="276" w:lineRule="auto"/>
        <w:ind w:left="426"/>
        <w:contextualSpacing/>
        <w:rPr>
          <w:rFonts w:ascii="Arial" w:eastAsiaTheme="minorHAnsi" w:hAnsi="Arial" w:cs="Arial"/>
          <w:b/>
          <w:color w:val="000000"/>
          <w:szCs w:val="24"/>
          <w:lang w:eastAsia="en-US"/>
        </w:rPr>
      </w:pPr>
    </w:p>
    <w:p w14:paraId="1F614737"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During the externally facilitated Health and Safety planning workshop following on from the self-evaluation carried out as part of the process of developing this five year plan the following aims and objectives were listed as the key priorities for HLH over the next five years:</w:t>
      </w:r>
    </w:p>
    <w:p w14:paraId="71F5C658"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legal compliance.</w:t>
      </w:r>
    </w:p>
    <w:p w14:paraId="7CC7151A"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delivery of a safer and healthier environment for all customers, staff and visitors.</w:t>
      </w:r>
    </w:p>
    <w:p w14:paraId="7C817F73"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Health and safety contributing to HLH’s positive company image.</w:t>
      </w:r>
    </w:p>
    <w:p w14:paraId="0F036C78"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Achieving an annual improvement in health and safety performance through the use of key performance indicators (KPIs) and external audits.</w:t>
      </w:r>
    </w:p>
    <w:p w14:paraId="1164FDA8"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that health and safety is ‘designed-in’ when implementing change decisions.</w:t>
      </w:r>
    </w:p>
    <w:p w14:paraId="6A63C323"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Helping to ensure that finances are protected through the avoidance of costs associated with non-compliance.</w:t>
      </w:r>
    </w:p>
    <w:p w14:paraId="1041FCE5" w14:textId="77777777" w:rsidR="00885F82" w:rsidRPr="00885F82" w:rsidRDefault="00885F82" w:rsidP="008A6683">
      <w:pPr>
        <w:numPr>
          <w:ilvl w:val="0"/>
          <w:numId w:val="17"/>
        </w:numPr>
        <w:autoSpaceDE w:val="0"/>
        <w:autoSpaceDN w:val="0"/>
        <w:adjustRightInd w:val="0"/>
        <w:spacing w:after="200" w:line="276" w:lineRule="auto"/>
        <w:ind w:left="426" w:hanging="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Contributing to reducing sickness absence rates through healthier working environments.</w:t>
      </w:r>
    </w:p>
    <w:p w14:paraId="0FB79D78" w14:textId="77777777" w:rsidR="00885F82" w:rsidRPr="00885F82" w:rsidRDefault="00885F82" w:rsidP="008A6683">
      <w:pPr>
        <w:autoSpaceDE w:val="0"/>
        <w:autoSpaceDN w:val="0"/>
        <w:adjustRightInd w:val="0"/>
        <w:spacing w:after="200"/>
        <w:contextualSpacing/>
        <w:rPr>
          <w:rFonts w:ascii="Arial" w:eastAsiaTheme="minorHAnsi" w:hAnsi="Arial" w:cs="Arial"/>
          <w:color w:val="000000"/>
          <w:szCs w:val="24"/>
          <w:lang w:eastAsia="en-US"/>
        </w:rPr>
      </w:pPr>
    </w:p>
    <w:p w14:paraId="74F8AD09" w14:textId="77777777" w:rsidR="008A6683" w:rsidRDefault="00885F82" w:rsidP="008A6683">
      <w:pPr>
        <w:numPr>
          <w:ilvl w:val="0"/>
          <w:numId w:val="13"/>
        </w:numPr>
        <w:autoSpaceDE w:val="0"/>
        <w:autoSpaceDN w:val="0"/>
        <w:adjustRightInd w:val="0"/>
        <w:spacing w:after="200" w:line="276" w:lineRule="auto"/>
        <w:ind w:left="426" w:hanging="426"/>
        <w:contextualSpacing/>
        <w:rPr>
          <w:rFonts w:ascii="Arial" w:eastAsiaTheme="minorHAnsi" w:hAnsi="Arial" w:cs="Arial"/>
          <w:b/>
          <w:bCs/>
          <w:color w:val="000000"/>
          <w:szCs w:val="24"/>
          <w:lang w:eastAsia="en-US"/>
        </w:rPr>
      </w:pPr>
      <w:r w:rsidRPr="00885F82">
        <w:rPr>
          <w:rFonts w:ascii="Arial" w:eastAsiaTheme="minorHAnsi" w:hAnsi="Arial" w:cs="Arial"/>
          <w:b/>
          <w:bCs/>
          <w:color w:val="000000"/>
          <w:szCs w:val="24"/>
          <w:lang w:eastAsia="en-US"/>
        </w:rPr>
        <w:t xml:space="preserve"> Developing Key Themes and key performance indicators </w:t>
      </w:r>
    </w:p>
    <w:p w14:paraId="1220C376" w14:textId="03132A29" w:rsidR="00885F82" w:rsidRPr="00885F82" w:rsidRDefault="00885F82" w:rsidP="008A6683">
      <w:pPr>
        <w:autoSpaceDE w:val="0"/>
        <w:autoSpaceDN w:val="0"/>
        <w:adjustRightInd w:val="0"/>
        <w:spacing w:after="200" w:line="276" w:lineRule="auto"/>
        <w:ind w:left="426"/>
        <w:contextualSpacing/>
        <w:rPr>
          <w:rFonts w:ascii="Arial" w:eastAsiaTheme="minorHAnsi" w:hAnsi="Arial" w:cs="Arial"/>
          <w:b/>
          <w:bCs/>
          <w:color w:val="000000"/>
          <w:szCs w:val="24"/>
          <w:lang w:eastAsia="en-US"/>
        </w:rPr>
      </w:pPr>
      <w:r w:rsidRPr="00885F82">
        <w:rPr>
          <w:rFonts w:ascii="Arial" w:eastAsiaTheme="minorHAnsi" w:hAnsi="Arial" w:cs="Arial"/>
          <w:b/>
          <w:bCs/>
          <w:color w:val="000000"/>
          <w:szCs w:val="24"/>
          <w:lang w:eastAsia="en-US"/>
        </w:rPr>
        <w:t xml:space="preserve"> </w:t>
      </w:r>
    </w:p>
    <w:p w14:paraId="0DF7488F" w14:textId="77777777" w:rsidR="00885F82" w:rsidRPr="00885F82" w:rsidRDefault="00885F82" w:rsidP="00885F82">
      <w:pPr>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key challenge identified for this five-year Plan is how to build upon the progress made to date and further embed health and safety into the operations of a complex charity spread over a large geographical area whilst continuing to manage higher risk activities/sites.</w:t>
      </w:r>
    </w:p>
    <w:p w14:paraId="62A73C63" w14:textId="77777777" w:rsidR="00885F82" w:rsidRPr="00885F82" w:rsidRDefault="00885F82" w:rsidP="00885F82">
      <w:pPr>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Charity has </w:t>
      </w:r>
      <w:r w:rsidRPr="00885F82">
        <w:rPr>
          <w:rFonts w:ascii="Arial" w:eastAsiaTheme="minorHAnsi" w:hAnsi="Arial" w:cs="Arial"/>
          <w:szCs w:val="24"/>
          <w:lang w:eastAsia="en-US"/>
        </w:rPr>
        <w:t xml:space="preserve">identified five key </w:t>
      </w:r>
      <w:r w:rsidRPr="00885F82">
        <w:rPr>
          <w:rFonts w:ascii="Arial" w:eastAsiaTheme="minorHAnsi" w:hAnsi="Arial" w:cs="Arial"/>
          <w:color w:val="000000"/>
          <w:szCs w:val="24"/>
          <w:lang w:eastAsia="en-US"/>
        </w:rPr>
        <w:t>themes that it will work towards over the life of the plan. These will address staff training and development, the relationship with our customers and the maintenance and management of our premises and facilities.</w:t>
      </w:r>
    </w:p>
    <w:p w14:paraId="44C482C6" w14:textId="77777777" w:rsidR="00885F82" w:rsidRPr="00885F82" w:rsidRDefault="00885F82" w:rsidP="00885F82">
      <w:pPr>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Each theme is to be met by setting targets for a number of objectives that should enable them to be achieved within the prescribed time period.  Some themes are inevitably linked and achieving one will assist in achieving others.</w:t>
      </w:r>
    </w:p>
    <w:p w14:paraId="41D9B37B" w14:textId="77777777" w:rsidR="00885F82" w:rsidRPr="00885F82" w:rsidRDefault="00885F82" w:rsidP="00885F82">
      <w:pPr>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five themes will assist in achieving an improved balance between systems and behavioural aspects of management. In addition, it will ensure that health and safety continues to be an integral part of HLH management.</w:t>
      </w:r>
    </w:p>
    <w:p w14:paraId="11450BFD" w14:textId="77777777" w:rsidR="008A6683" w:rsidRDefault="00885F82" w:rsidP="008A6683">
      <w:pPr>
        <w:numPr>
          <w:ilvl w:val="0"/>
          <w:numId w:val="13"/>
        </w:numPr>
        <w:autoSpaceDE w:val="0"/>
        <w:autoSpaceDN w:val="0"/>
        <w:adjustRightInd w:val="0"/>
        <w:spacing w:after="200" w:line="276" w:lineRule="auto"/>
        <w:ind w:left="284" w:hanging="284"/>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Strategic Health and Safety Themes</w:t>
      </w:r>
    </w:p>
    <w:p w14:paraId="57C74F72" w14:textId="20E99905" w:rsidR="00885F82" w:rsidRPr="00885F82" w:rsidRDefault="00885F82" w:rsidP="008A6683">
      <w:pPr>
        <w:autoSpaceDE w:val="0"/>
        <w:autoSpaceDN w:val="0"/>
        <w:adjustRightInd w:val="0"/>
        <w:spacing w:after="200" w:line="276" w:lineRule="auto"/>
        <w:ind w:left="284"/>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 xml:space="preserve"> </w:t>
      </w:r>
    </w:p>
    <w:p w14:paraId="143FB97C"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identified themes from the staff, trade union, management, Health and Safety and Environmental Compliance Committee consultation and current HSE and HLH strategies are: </w:t>
      </w:r>
    </w:p>
    <w:p w14:paraId="6BBB8131" w14:textId="77777777" w:rsidR="00885F82" w:rsidRPr="00885F82" w:rsidRDefault="00885F82" w:rsidP="009C1524">
      <w:pPr>
        <w:numPr>
          <w:ilvl w:val="0"/>
          <w:numId w:val="14"/>
        </w:numPr>
        <w:autoSpaceDE w:val="0"/>
        <w:autoSpaceDN w:val="0"/>
        <w:adjustRightInd w:val="0"/>
        <w:spacing w:after="200" w:line="276" w:lineRule="auto"/>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Leadership and Management </w:t>
      </w:r>
    </w:p>
    <w:p w14:paraId="13582905" w14:textId="77777777" w:rsidR="00885F82" w:rsidRPr="00885F82" w:rsidRDefault="00885F82" w:rsidP="009C1524">
      <w:pPr>
        <w:numPr>
          <w:ilvl w:val="0"/>
          <w:numId w:val="14"/>
        </w:numPr>
        <w:autoSpaceDE w:val="0"/>
        <w:autoSpaceDN w:val="0"/>
        <w:adjustRightInd w:val="0"/>
        <w:spacing w:after="200" w:line="276" w:lineRule="auto"/>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Competence </w:t>
      </w:r>
    </w:p>
    <w:p w14:paraId="382A4DCE" w14:textId="77777777" w:rsidR="00885F82" w:rsidRPr="00885F82" w:rsidRDefault="00885F82" w:rsidP="009C1524">
      <w:pPr>
        <w:numPr>
          <w:ilvl w:val="0"/>
          <w:numId w:val="14"/>
        </w:numPr>
        <w:autoSpaceDE w:val="0"/>
        <w:autoSpaceDN w:val="0"/>
        <w:adjustRightInd w:val="0"/>
        <w:spacing w:after="200" w:line="276" w:lineRule="auto"/>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Risk Management </w:t>
      </w:r>
    </w:p>
    <w:p w14:paraId="49F79906" w14:textId="77777777" w:rsidR="00885F82" w:rsidRPr="00885F82" w:rsidRDefault="00885F82" w:rsidP="009C1524">
      <w:pPr>
        <w:numPr>
          <w:ilvl w:val="0"/>
          <w:numId w:val="14"/>
        </w:numPr>
        <w:autoSpaceDE w:val="0"/>
        <w:autoSpaceDN w:val="0"/>
        <w:adjustRightInd w:val="0"/>
        <w:spacing w:after="200" w:line="276" w:lineRule="auto"/>
        <w:contextualSpacing/>
        <w:rPr>
          <w:rFonts w:ascii="Arial" w:eastAsiaTheme="minorHAnsi" w:hAnsi="Arial" w:cs="Arial"/>
          <w:b/>
          <w:szCs w:val="24"/>
          <w:lang w:eastAsia="en-US"/>
        </w:rPr>
      </w:pPr>
      <w:r w:rsidRPr="00885F82">
        <w:rPr>
          <w:rFonts w:ascii="Arial" w:eastAsiaTheme="minorHAnsi" w:hAnsi="Arial" w:cs="Arial"/>
          <w:b/>
          <w:szCs w:val="24"/>
          <w:lang w:eastAsia="en-US"/>
        </w:rPr>
        <w:t xml:space="preserve">Health and Wellbeing </w:t>
      </w:r>
    </w:p>
    <w:p w14:paraId="3AB65611" w14:textId="77777777" w:rsidR="00885F82" w:rsidRPr="00885F82" w:rsidRDefault="00885F82" w:rsidP="009C1524">
      <w:pPr>
        <w:numPr>
          <w:ilvl w:val="0"/>
          <w:numId w:val="14"/>
        </w:numPr>
        <w:autoSpaceDE w:val="0"/>
        <w:autoSpaceDN w:val="0"/>
        <w:adjustRightInd w:val="0"/>
        <w:spacing w:after="200" w:line="276" w:lineRule="auto"/>
        <w:contextualSpacing/>
        <w:rPr>
          <w:rFonts w:ascii="Arial" w:eastAsiaTheme="minorHAnsi" w:hAnsi="Arial" w:cs="Arial"/>
          <w:b/>
          <w:szCs w:val="24"/>
          <w:lang w:eastAsia="en-US"/>
        </w:rPr>
      </w:pPr>
      <w:r w:rsidRPr="00885F82">
        <w:rPr>
          <w:rFonts w:ascii="Arial" w:eastAsiaTheme="minorHAnsi" w:hAnsi="Arial" w:cs="Arial"/>
          <w:b/>
          <w:szCs w:val="24"/>
          <w:lang w:eastAsia="en-US"/>
        </w:rPr>
        <w:t>Asset Management</w:t>
      </w:r>
    </w:p>
    <w:p w14:paraId="0010B0AF"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p>
    <w:p w14:paraId="1B56C945" w14:textId="77777777" w:rsidR="00885F82" w:rsidRDefault="00885F82" w:rsidP="008A6683">
      <w:pPr>
        <w:numPr>
          <w:ilvl w:val="1"/>
          <w:numId w:val="13"/>
        </w:numPr>
        <w:autoSpaceDE w:val="0"/>
        <w:autoSpaceDN w:val="0"/>
        <w:adjustRightInd w:val="0"/>
        <w:spacing w:after="200" w:line="276" w:lineRule="auto"/>
        <w:ind w:left="284" w:hanging="284"/>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 xml:space="preserve">Leadership and Management </w:t>
      </w:r>
    </w:p>
    <w:p w14:paraId="3CA01076" w14:textId="77777777" w:rsidR="008A6683" w:rsidRPr="00885F82" w:rsidRDefault="008A6683" w:rsidP="008A6683">
      <w:pPr>
        <w:autoSpaceDE w:val="0"/>
        <w:autoSpaceDN w:val="0"/>
        <w:adjustRightInd w:val="0"/>
        <w:spacing w:after="200" w:line="276" w:lineRule="auto"/>
        <w:ind w:left="284"/>
        <w:contextualSpacing/>
        <w:rPr>
          <w:rFonts w:ascii="Arial" w:eastAsiaTheme="minorHAnsi" w:hAnsi="Arial" w:cs="Arial"/>
          <w:b/>
          <w:color w:val="000000"/>
          <w:szCs w:val="24"/>
          <w:lang w:eastAsia="en-US"/>
        </w:rPr>
      </w:pPr>
    </w:p>
    <w:p w14:paraId="6B742F89"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Successful health and safety management is reliant on good strategic management. Visible and active commitment from the managers to health and safety clearly demonstrates a commitment which will be embraced by other staff. Proactive management and ownership of health and safety is a clear indication of a positive health and safety culture. </w:t>
      </w:r>
    </w:p>
    <w:p w14:paraId="63508F95"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activities/key performance indicators necessary to promote this theme are: </w:t>
      </w:r>
    </w:p>
    <w:p w14:paraId="24A127DD"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Establishment of an effective communication system and clear management structures </w:t>
      </w:r>
    </w:p>
    <w:p w14:paraId="55830FDE"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Processes to demonstrate that health and safety management is integrated in business decisions </w:t>
      </w:r>
    </w:p>
    <w:p w14:paraId="20049589"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Ensuring there are regular reviews of health and safety performance </w:t>
      </w:r>
    </w:p>
    <w:p w14:paraId="6AE97319"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Ensuring appropriate resources are provided allowing for effective management of health and safety </w:t>
      </w:r>
    </w:p>
    <w:p w14:paraId="18F1671E"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Ensuring all staff receive appropriate induction and ongoing refresher training </w:t>
      </w:r>
    </w:p>
    <w:p w14:paraId="000DA612" w14:textId="77777777" w:rsidR="00885F82" w:rsidRPr="00885F82" w:rsidRDefault="00885F82" w:rsidP="009C1524">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Making available all health and safety information within HLH info (intranet), that all staff including volunteer staff can access health and safety information relevant to their roles within the charity.</w:t>
      </w:r>
    </w:p>
    <w:p w14:paraId="2E18B3A2" w14:textId="18FD9869" w:rsidR="00885F82" w:rsidRDefault="00885F82" w:rsidP="00885F82">
      <w:pPr>
        <w:numPr>
          <w:ilvl w:val="0"/>
          <w:numId w:val="18"/>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Promoting good safety awareness in the community using the charity’s web site, where appropriate and link this to charity led activities.</w:t>
      </w:r>
    </w:p>
    <w:p w14:paraId="53CCA12D" w14:textId="77777777" w:rsidR="008A6683" w:rsidRPr="00885F82" w:rsidRDefault="008A6683" w:rsidP="008A6683">
      <w:p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p>
    <w:p w14:paraId="04B02958" w14:textId="77777777" w:rsidR="00885F82" w:rsidRDefault="00885F82" w:rsidP="008A6683">
      <w:pPr>
        <w:numPr>
          <w:ilvl w:val="1"/>
          <w:numId w:val="13"/>
        </w:numPr>
        <w:autoSpaceDE w:val="0"/>
        <w:autoSpaceDN w:val="0"/>
        <w:adjustRightInd w:val="0"/>
        <w:spacing w:after="200" w:line="276" w:lineRule="auto"/>
        <w:ind w:left="567" w:hanging="567"/>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 xml:space="preserve">Competence </w:t>
      </w:r>
    </w:p>
    <w:p w14:paraId="6C501B8E" w14:textId="77777777" w:rsidR="008A6683" w:rsidRPr="00885F82" w:rsidRDefault="008A6683" w:rsidP="008A6683">
      <w:pPr>
        <w:autoSpaceDE w:val="0"/>
        <w:autoSpaceDN w:val="0"/>
        <w:adjustRightInd w:val="0"/>
        <w:spacing w:after="200" w:line="276" w:lineRule="auto"/>
        <w:ind w:left="567"/>
        <w:contextualSpacing/>
        <w:rPr>
          <w:rFonts w:ascii="Arial" w:eastAsiaTheme="minorHAnsi" w:hAnsi="Arial" w:cs="Arial"/>
          <w:b/>
          <w:color w:val="000000"/>
          <w:szCs w:val="24"/>
          <w:lang w:eastAsia="en-US"/>
        </w:rPr>
      </w:pPr>
    </w:p>
    <w:p w14:paraId="752EC020" w14:textId="77777777" w:rsidR="00885F82" w:rsidRPr="00885F82" w:rsidRDefault="00885F82" w:rsidP="008A6683">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Effective health and safety management requires competence at every level. Competence, in this context, is the ability for every member of staff to recognise the most foreseeable risks, particularly the serious risks, and have the ability to take steps to control them. For large and complex organisations, such as HLH, competence also means having health and safety practices, procedures and standards which are used consistently across the organisation.</w:t>
      </w:r>
    </w:p>
    <w:p w14:paraId="1D8D7D72" w14:textId="77777777" w:rsidR="00885F82" w:rsidRPr="00885F82" w:rsidRDefault="00885F82" w:rsidP="008A6683">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activities/key performance indicators necessary to promote this theme are: </w:t>
      </w:r>
    </w:p>
    <w:p w14:paraId="58122E98" w14:textId="5334A6A5"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Use of competent staff to ensure all policies and procedures are up to date and refl</w:t>
      </w:r>
      <w:r w:rsidR="008A6683">
        <w:rPr>
          <w:rFonts w:ascii="Arial" w:eastAsiaTheme="minorHAnsi" w:hAnsi="Arial" w:cs="Arial"/>
          <w:color w:val="000000"/>
          <w:szCs w:val="24"/>
          <w:lang w:eastAsia="en-US"/>
        </w:rPr>
        <w:t>ect best practice in the sector.</w:t>
      </w:r>
    </w:p>
    <w:p w14:paraId="4C924F31" w14:textId="7750BE6E"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Making sure internal policies, procedures, guidance and advice are understood and easily accessible to staff and where applicable visitors </w:t>
      </w:r>
      <w:r w:rsidR="008A6683">
        <w:rPr>
          <w:rFonts w:ascii="Arial" w:eastAsiaTheme="minorHAnsi" w:hAnsi="Arial" w:cs="Arial"/>
          <w:color w:val="000000"/>
          <w:szCs w:val="24"/>
          <w:lang w:eastAsia="en-US"/>
        </w:rPr>
        <w:t>and contractors.</w:t>
      </w:r>
    </w:p>
    <w:p w14:paraId="23F4D9B4" w14:textId="4DED7E43"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Staff are aware of</w:t>
      </w:r>
      <w:r w:rsidR="008A6683">
        <w:rPr>
          <w:rFonts w:ascii="Arial" w:eastAsiaTheme="minorHAnsi" w:hAnsi="Arial" w:cs="Arial"/>
          <w:color w:val="000000"/>
          <w:szCs w:val="24"/>
          <w:lang w:eastAsia="en-US"/>
        </w:rPr>
        <w:t xml:space="preserve"> how to access competent advice.</w:t>
      </w:r>
    </w:p>
    <w:p w14:paraId="03508C23" w14:textId="60F98A07"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Use of appropriate risk management/risk assessment techniques across all services</w:t>
      </w:r>
      <w:r w:rsidR="008A6683">
        <w:rPr>
          <w:rFonts w:ascii="Arial" w:eastAsiaTheme="minorHAnsi" w:hAnsi="Arial" w:cs="Arial"/>
          <w:color w:val="000000"/>
          <w:szCs w:val="24"/>
          <w:lang w:eastAsia="en-US"/>
        </w:rPr>
        <w:t>.</w:t>
      </w:r>
    </w:p>
    <w:p w14:paraId="441CC19A" w14:textId="60310ADA"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comprehensive training programs and opportunities are available to staff</w:t>
      </w:r>
      <w:r w:rsidR="008A6683">
        <w:rPr>
          <w:rFonts w:ascii="Arial" w:eastAsiaTheme="minorHAnsi" w:hAnsi="Arial" w:cs="Arial"/>
          <w:color w:val="000000"/>
          <w:szCs w:val="24"/>
          <w:lang w:eastAsia="en-US"/>
        </w:rPr>
        <w:t>.</w:t>
      </w:r>
    </w:p>
    <w:p w14:paraId="1E3C1534" w14:textId="77777777" w:rsidR="00885F82" w:rsidRPr="00885F82" w:rsidRDefault="00885F82" w:rsidP="008A6683">
      <w:pPr>
        <w:numPr>
          <w:ilvl w:val="0"/>
          <w:numId w:val="19"/>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Implement a training programme from a needs analysis to ensure that full and part-time and volunteer staff have access to job or activity specific training leading to improved continuing professional development (CPD) and where relevant professional qualifications.</w:t>
      </w:r>
    </w:p>
    <w:p w14:paraId="547A4501" w14:textId="77777777" w:rsidR="008A6683" w:rsidRDefault="00885F82" w:rsidP="008A6683">
      <w:pPr>
        <w:numPr>
          <w:ilvl w:val="1"/>
          <w:numId w:val="13"/>
        </w:numPr>
        <w:autoSpaceDE w:val="0"/>
        <w:autoSpaceDN w:val="0"/>
        <w:adjustRightInd w:val="0"/>
        <w:spacing w:after="200" w:line="276" w:lineRule="auto"/>
        <w:ind w:left="709" w:hanging="709"/>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lastRenderedPageBreak/>
        <w:t>Risk Management</w:t>
      </w:r>
    </w:p>
    <w:p w14:paraId="439460CA" w14:textId="71B62235" w:rsidR="00885F82" w:rsidRPr="00885F82" w:rsidRDefault="00885F82" w:rsidP="008A6683">
      <w:pPr>
        <w:autoSpaceDE w:val="0"/>
        <w:autoSpaceDN w:val="0"/>
        <w:adjustRightInd w:val="0"/>
        <w:spacing w:after="200" w:line="276" w:lineRule="auto"/>
        <w:ind w:left="709"/>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 xml:space="preserve"> </w:t>
      </w:r>
    </w:p>
    <w:p w14:paraId="2E520226"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Effective and proportionate risk management should ensure both legal compliance and the safety of staff and customers.</w:t>
      </w:r>
    </w:p>
    <w:p w14:paraId="1B293157"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activities/key performance indicators necessary to this theme are: </w:t>
      </w:r>
    </w:p>
    <w:p w14:paraId="16569FAA" w14:textId="2AB757F6"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Proactively identifying hazards across the organisation</w:t>
      </w:r>
      <w:r w:rsidR="008A6683">
        <w:rPr>
          <w:rFonts w:ascii="Arial" w:eastAsiaTheme="minorHAnsi" w:hAnsi="Arial" w:cs="Arial"/>
          <w:color w:val="000000"/>
          <w:szCs w:val="24"/>
          <w:lang w:eastAsia="en-US"/>
        </w:rPr>
        <w:t>.</w:t>
      </w:r>
    </w:p>
    <w:p w14:paraId="1437F40F" w14:textId="56B62F97"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Where identified implement appropriate control measures to reduce the levels of risk</w:t>
      </w:r>
      <w:r w:rsidR="008A6683">
        <w:rPr>
          <w:rFonts w:ascii="Arial" w:eastAsiaTheme="minorHAnsi" w:hAnsi="Arial" w:cs="Arial"/>
          <w:color w:val="000000"/>
          <w:szCs w:val="24"/>
          <w:lang w:eastAsia="en-US"/>
        </w:rPr>
        <w:t>.</w:t>
      </w:r>
    </w:p>
    <w:p w14:paraId="419A98E0" w14:textId="41EC80F5"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Improving the risk management framework to en</w:t>
      </w:r>
      <w:r w:rsidR="008A6683">
        <w:rPr>
          <w:rFonts w:ascii="Arial" w:eastAsiaTheme="minorHAnsi" w:hAnsi="Arial" w:cs="Arial"/>
          <w:color w:val="000000"/>
          <w:szCs w:val="24"/>
          <w:lang w:eastAsia="en-US"/>
        </w:rPr>
        <w:t>sure effective use and adoption.</w:t>
      </w:r>
    </w:p>
    <w:p w14:paraId="62E79068" w14:textId="18825811"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that health and safety is always an integral part of the planning and review processes at all levels</w:t>
      </w:r>
      <w:r w:rsidR="008A6683">
        <w:rPr>
          <w:rFonts w:ascii="Arial" w:eastAsiaTheme="minorHAnsi" w:hAnsi="Arial" w:cs="Arial"/>
          <w:color w:val="000000"/>
          <w:szCs w:val="24"/>
          <w:lang w:eastAsia="en-US"/>
        </w:rPr>
        <w:t xml:space="preserve"> within the charity.</w:t>
      </w:r>
    </w:p>
    <w:p w14:paraId="689BC71C" w14:textId="0C4FECEB"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Ensure the effective implementation of the fire safety management systems </w:t>
      </w:r>
      <w:r w:rsidR="008A6683">
        <w:rPr>
          <w:rFonts w:ascii="Arial" w:eastAsiaTheme="minorHAnsi" w:hAnsi="Arial" w:cs="Arial"/>
          <w:color w:val="000000"/>
          <w:szCs w:val="24"/>
          <w:lang w:eastAsia="en-US"/>
        </w:rPr>
        <w:t>and associated safety standards.</w:t>
      </w:r>
    </w:p>
    <w:p w14:paraId="3B327B80" w14:textId="77777777" w:rsidR="00885F82" w:rsidRP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Link operating procedures to the relevant risk assessments to show that procedures adequately control identified risks.</w:t>
      </w:r>
    </w:p>
    <w:p w14:paraId="1AB8C0C8" w14:textId="77777777" w:rsidR="00885F82" w:rsidRDefault="00885F82" w:rsidP="009C1524">
      <w:pPr>
        <w:numPr>
          <w:ilvl w:val="0"/>
          <w:numId w:val="20"/>
        </w:num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Minimise the potential for accidents that could lead to claims by:</w:t>
      </w:r>
    </w:p>
    <w:p w14:paraId="7140B0BC" w14:textId="77777777" w:rsidR="008A6683" w:rsidRPr="00885F82" w:rsidRDefault="008A6683" w:rsidP="008A6683">
      <w:pPr>
        <w:autoSpaceDE w:val="0"/>
        <w:autoSpaceDN w:val="0"/>
        <w:adjustRightInd w:val="0"/>
        <w:spacing w:after="200" w:line="276" w:lineRule="auto"/>
        <w:ind w:left="426"/>
        <w:contextualSpacing/>
        <w:jc w:val="both"/>
        <w:rPr>
          <w:rFonts w:ascii="Arial" w:eastAsiaTheme="minorHAnsi" w:hAnsi="Arial" w:cs="Arial"/>
          <w:color w:val="000000"/>
          <w:szCs w:val="24"/>
          <w:lang w:eastAsia="en-US"/>
        </w:rPr>
      </w:pPr>
    </w:p>
    <w:p w14:paraId="3CC885FC" w14:textId="7FF1583B" w:rsidR="00885F82" w:rsidRPr="00885F82" w:rsidRDefault="00885F82" w:rsidP="008A6683">
      <w:pPr>
        <w:numPr>
          <w:ilvl w:val="0"/>
          <w:numId w:val="25"/>
        </w:numPr>
        <w:autoSpaceDE w:val="0"/>
        <w:autoSpaceDN w:val="0"/>
        <w:adjustRightInd w:val="0"/>
        <w:spacing w:after="200" w:line="276" w:lineRule="auto"/>
        <w:ind w:left="851" w:hanging="425"/>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that all safety testing and inspections and requirements identified within these are completed in a timely manner to confirm premises safety</w:t>
      </w:r>
      <w:r w:rsidR="008A6683">
        <w:rPr>
          <w:rFonts w:ascii="Arial" w:eastAsiaTheme="minorHAnsi" w:hAnsi="Arial" w:cs="Arial"/>
          <w:color w:val="000000"/>
          <w:szCs w:val="24"/>
          <w:lang w:eastAsia="en-US"/>
        </w:rPr>
        <w:t>.</w:t>
      </w:r>
    </w:p>
    <w:p w14:paraId="73C8D967" w14:textId="68D2C9B7" w:rsidR="00885F82" w:rsidRPr="00885F82" w:rsidRDefault="00885F82" w:rsidP="008A6683">
      <w:pPr>
        <w:numPr>
          <w:ilvl w:val="0"/>
          <w:numId w:val="25"/>
        </w:numPr>
        <w:autoSpaceDE w:val="0"/>
        <w:autoSpaceDN w:val="0"/>
        <w:adjustRightInd w:val="0"/>
        <w:spacing w:after="120" w:line="276" w:lineRule="auto"/>
        <w:ind w:left="851" w:hanging="425"/>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that pre-activity area and equipment inspections are completed at all facilities</w:t>
      </w:r>
      <w:r w:rsidR="008A6683">
        <w:rPr>
          <w:rFonts w:ascii="Arial" w:eastAsiaTheme="minorHAnsi" w:hAnsi="Arial" w:cs="Arial"/>
          <w:color w:val="000000"/>
          <w:szCs w:val="24"/>
          <w:lang w:eastAsia="en-US"/>
        </w:rPr>
        <w:t>.</w:t>
      </w:r>
    </w:p>
    <w:p w14:paraId="7B4941D8" w14:textId="79915C1A" w:rsidR="00885F82" w:rsidRPr="00885F82" w:rsidRDefault="00885F82" w:rsidP="008A6683">
      <w:pPr>
        <w:numPr>
          <w:ilvl w:val="0"/>
          <w:numId w:val="25"/>
        </w:numPr>
        <w:autoSpaceDE w:val="0"/>
        <w:autoSpaceDN w:val="0"/>
        <w:adjustRightInd w:val="0"/>
        <w:spacing w:after="120" w:line="276" w:lineRule="auto"/>
        <w:ind w:left="851" w:hanging="425"/>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Ensuring that all staff leading and/or supervising activities are appropriately qualified</w:t>
      </w:r>
      <w:r w:rsidR="008A6683">
        <w:rPr>
          <w:rFonts w:ascii="Arial" w:eastAsiaTheme="minorHAnsi" w:hAnsi="Arial" w:cs="Arial"/>
          <w:color w:val="000000"/>
          <w:szCs w:val="24"/>
          <w:lang w:eastAsia="en-US"/>
        </w:rPr>
        <w:t>.</w:t>
      </w:r>
    </w:p>
    <w:p w14:paraId="446FFE5E" w14:textId="77777777" w:rsidR="00885F82" w:rsidRPr="00885F82" w:rsidRDefault="00885F82" w:rsidP="00885F82">
      <w:pPr>
        <w:autoSpaceDE w:val="0"/>
        <w:autoSpaceDN w:val="0"/>
        <w:adjustRightInd w:val="0"/>
        <w:spacing w:after="120"/>
        <w:ind w:left="709"/>
        <w:contextualSpacing/>
        <w:rPr>
          <w:rFonts w:ascii="Arial" w:eastAsiaTheme="minorHAnsi" w:hAnsi="Arial" w:cs="Arial"/>
          <w:color w:val="000000"/>
          <w:szCs w:val="24"/>
          <w:lang w:eastAsia="en-US"/>
        </w:rPr>
      </w:pPr>
    </w:p>
    <w:p w14:paraId="177E4294" w14:textId="77777777" w:rsidR="00885F82" w:rsidRDefault="00885F82" w:rsidP="009C1524">
      <w:pPr>
        <w:numPr>
          <w:ilvl w:val="1"/>
          <w:numId w:val="13"/>
        </w:numPr>
        <w:autoSpaceDE w:val="0"/>
        <w:autoSpaceDN w:val="0"/>
        <w:adjustRightInd w:val="0"/>
        <w:spacing w:after="120" w:line="276" w:lineRule="auto"/>
        <w:ind w:left="709"/>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t xml:space="preserve">Health and Wellbeing </w:t>
      </w:r>
    </w:p>
    <w:p w14:paraId="58873D7E" w14:textId="77777777" w:rsidR="008A6683" w:rsidRPr="00885F82" w:rsidRDefault="008A6683" w:rsidP="008A6683">
      <w:pPr>
        <w:autoSpaceDE w:val="0"/>
        <w:autoSpaceDN w:val="0"/>
        <w:adjustRightInd w:val="0"/>
        <w:spacing w:after="120" w:line="276" w:lineRule="auto"/>
        <w:ind w:left="709"/>
        <w:contextualSpacing/>
        <w:rPr>
          <w:rFonts w:ascii="Arial" w:eastAsiaTheme="minorHAnsi" w:hAnsi="Arial" w:cs="Arial"/>
          <w:b/>
          <w:color w:val="000000"/>
          <w:szCs w:val="24"/>
          <w:lang w:eastAsia="en-US"/>
        </w:rPr>
      </w:pPr>
    </w:p>
    <w:p w14:paraId="61CCE6DA"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A healthy workforce is crucial to HLH, as a healthy workforce is far more likely to:</w:t>
      </w:r>
    </w:p>
    <w:p w14:paraId="0CC13727" w14:textId="574EE1EA" w:rsidR="00885F82" w:rsidRPr="00885F82" w:rsidRDefault="00885F82" w:rsidP="009C1524">
      <w:pPr>
        <w:numPr>
          <w:ilvl w:val="0"/>
          <w:numId w:val="23"/>
        </w:numPr>
        <w:autoSpaceDE w:val="0"/>
        <w:autoSpaceDN w:val="0"/>
        <w:adjustRightInd w:val="0"/>
        <w:spacing w:after="200" w:line="276" w:lineRule="auto"/>
        <w:ind w:left="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deliver improved quality and efficiency</w:t>
      </w:r>
      <w:r w:rsidR="008A6683">
        <w:rPr>
          <w:rFonts w:ascii="Arial" w:eastAsiaTheme="minorHAnsi" w:hAnsi="Arial" w:cs="Arial"/>
          <w:color w:val="000000"/>
          <w:szCs w:val="24"/>
          <w:lang w:eastAsia="en-US"/>
        </w:rPr>
        <w:t>.</w:t>
      </w:r>
    </w:p>
    <w:p w14:paraId="6B6D939B" w14:textId="41CA1114" w:rsidR="00885F82" w:rsidRPr="00885F82" w:rsidRDefault="00885F82" w:rsidP="009C1524">
      <w:pPr>
        <w:numPr>
          <w:ilvl w:val="0"/>
          <w:numId w:val="23"/>
        </w:numPr>
        <w:autoSpaceDE w:val="0"/>
        <w:autoSpaceDN w:val="0"/>
        <w:adjustRightInd w:val="0"/>
        <w:spacing w:after="200" w:line="276" w:lineRule="auto"/>
        <w:ind w:left="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have reduced absence rates</w:t>
      </w:r>
      <w:r w:rsidR="008A6683">
        <w:rPr>
          <w:rFonts w:ascii="Arial" w:eastAsiaTheme="minorHAnsi" w:hAnsi="Arial" w:cs="Arial"/>
          <w:color w:val="000000"/>
          <w:szCs w:val="24"/>
          <w:lang w:eastAsia="en-US"/>
        </w:rPr>
        <w:t>.</w:t>
      </w:r>
    </w:p>
    <w:p w14:paraId="65C4833D" w14:textId="7FFE135D" w:rsidR="00885F82" w:rsidRPr="00885F82" w:rsidRDefault="00885F82" w:rsidP="009C1524">
      <w:pPr>
        <w:numPr>
          <w:ilvl w:val="0"/>
          <w:numId w:val="23"/>
        </w:numPr>
        <w:autoSpaceDE w:val="0"/>
        <w:autoSpaceDN w:val="0"/>
        <w:adjustRightInd w:val="0"/>
        <w:spacing w:after="200" w:line="276" w:lineRule="auto"/>
        <w:ind w:left="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have less accidents</w:t>
      </w:r>
      <w:r w:rsidR="008A6683">
        <w:rPr>
          <w:rFonts w:ascii="Arial" w:eastAsiaTheme="minorHAnsi" w:hAnsi="Arial" w:cs="Arial"/>
          <w:color w:val="000000"/>
          <w:szCs w:val="24"/>
          <w:lang w:eastAsia="en-US"/>
        </w:rPr>
        <w:t>.</w:t>
      </w:r>
    </w:p>
    <w:p w14:paraId="3EEBA496" w14:textId="5139D497" w:rsidR="00885F82" w:rsidRPr="00885F82" w:rsidRDefault="00885F82" w:rsidP="009C1524">
      <w:pPr>
        <w:numPr>
          <w:ilvl w:val="0"/>
          <w:numId w:val="23"/>
        </w:numPr>
        <w:autoSpaceDE w:val="0"/>
        <w:autoSpaceDN w:val="0"/>
        <w:adjustRightInd w:val="0"/>
        <w:spacing w:after="200" w:line="276" w:lineRule="auto"/>
        <w:ind w:left="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enhance the Charity’s reputation and increase its profile</w:t>
      </w:r>
      <w:r w:rsidR="008A6683">
        <w:rPr>
          <w:rFonts w:ascii="Arial" w:eastAsiaTheme="minorHAnsi" w:hAnsi="Arial" w:cs="Arial"/>
          <w:color w:val="000000"/>
          <w:szCs w:val="24"/>
          <w:lang w:eastAsia="en-US"/>
        </w:rPr>
        <w:t>.</w:t>
      </w:r>
    </w:p>
    <w:p w14:paraId="7115D7C5" w14:textId="5EEFC5E3" w:rsidR="00885F82" w:rsidRDefault="00885F82" w:rsidP="009C1524">
      <w:pPr>
        <w:numPr>
          <w:ilvl w:val="0"/>
          <w:numId w:val="23"/>
        </w:numPr>
        <w:autoSpaceDE w:val="0"/>
        <w:autoSpaceDN w:val="0"/>
        <w:adjustRightInd w:val="0"/>
        <w:spacing w:after="200" w:line="276" w:lineRule="auto"/>
        <w:ind w:left="426"/>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contribute to the health and of the wider community</w:t>
      </w:r>
      <w:r w:rsidR="008A6683">
        <w:rPr>
          <w:rFonts w:ascii="Arial" w:eastAsiaTheme="minorHAnsi" w:hAnsi="Arial" w:cs="Arial"/>
          <w:color w:val="000000"/>
          <w:szCs w:val="24"/>
          <w:lang w:eastAsia="en-US"/>
        </w:rPr>
        <w:t>.</w:t>
      </w:r>
    </w:p>
    <w:p w14:paraId="329D7DCC" w14:textId="77777777" w:rsidR="008A6683" w:rsidRPr="00885F82" w:rsidRDefault="008A6683" w:rsidP="008A6683">
      <w:pPr>
        <w:autoSpaceDE w:val="0"/>
        <w:autoSpaceDN w:val="0"/>
        <w:adjustRightInd w:val="0"/>
        <w:spacing w:after="200" w:line="276" w:lineRule="auto"/>
        <w:ind w:left="426"/>
        <w:contextualSpacing/>
        <w:rPr>
          <w:rFonts w:ascii="Arial" w:eastAsiaTheme="minorHAnsi" w:hAnsi="Arial" w:cs="Arial"/>
          <w:color w:val="000000"/>
          <w:szCs w:val="24"/>
          <w:lang w:eastAsia="en-US"/>
        </w:rPr>
      </w:pPr>
    </w:p>
    <w:p w14:paraId="6E039321" w14:textId="77777777"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activities/key performance indicators necessary to promote this theme are: </w:t>
      </w:r>
    </w:p>
    <w:p w14:paraId="1A304EDA" w14:textId="77777777" w:rsidR="00885F82" w:rsidRPr="00885F82" w:rsidRDefault="00885F82" w:rsidP="009C1524">
      <w:pPr>
        <w:numPr>
          <w:ilvl w:val="0"/>
          <w:numId w:val="24"/>
        </w:numPr>
        <w:autoSpaceDE w:val="0"/>
        <w:autoSpaceDN w:val="0"/>
        <w:adjustRightInd w:val="0"/>
        <w:spacing w:after="200" w:line="276" w:lineRule="auto"/>
        <w:ind w:left="426" w:hanging="425"/>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Promote, encourage participation and support initiatives that enhance occupational health and wellbeing for staff. </w:t>
      </w:r>
    </w:p>
    <w:p w14:paraId="4A4DD065" w14:textId="4C65D4FE" w:rsidR="00885F82" w:rsidRPr="00885F82" w:rsidRDefault="00885F82" w:rsidP="009C1524">
      <w:pPr>
        <w:numPr>
          <w:ilvl w:val="0"/>
          <w:numId w:val="24"/>
        </w:numPr>
        <w:autoSpaceDE w:val="0"/>
        <w:autoSpaceDN w:val="0"/>
        <w:adjustRightInd w:val="0"/>
        <w:spacing w:after="200" w:line="276" w:lineRule="auto"/>
        <w:ind w:left="426" w:hanging="425"/>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Registration and completion of the Healthy Working Lives award, level Bronze and</w:t>
      </w:r>
      <w:r w:rsidRPr="00885F82">
        <w:rPr>
          <w:rFonts w:asciiTheme="minorHAnsi" w:eastAsiaTheme="minorHAnsi" w:hAnsiTheme="minorHAnsi" w:cstheme="minorBidi"/>
          <w:sz w:val="22"/>
          <w:szCs w:val="22"/>
          <w:lang w:eastAsia="en-US"/>
        </w:rPr>
        <w:t xml:space="preserve"> </w:t>
      </w:r>
      <w:r w:rsidRPr="00885F82">
        <w:rPr>
          <w:rFonts w:ascii="Arial" w:eastAsiaTheme="minorHAnsi" w:hAnsi="Arial" w:cs="Arial"/>
          <w:color w:val="000000"/>
          <w:szCs w:val="24"/>
          <w:lang w:eastAsia="en-US"/>
        </w:rPr>
        <w:t>Silver are to be achieved during the life of this plan and must be maintain</w:t>
      </w:r>
      <w:r w:rsidR="008A6683">
        <w:rPr>
          <w:rFonts w:ascii="Arial" w:eastAsiaTheme="minorHAnsi" w:hAnsi="Arial" w:cs="Arial"/>
          <w:color w:val="000000"/>
          <w:szCs w:val="24"/>
          <w:lang w:eastAsia="en-US"/>
        </w:rPr>
        <w:t>ed</w:t>
      </w:r>
      <w:r w:rsidRPr="00885F82">
        <w:rPr>
          <w:rFonts w:ascii="Arial" w:eastAsiaTheme="minorHAnsi" w:hAnsi="Arial" w:cs="Arial"/>
          <w:color w:val="000000"/>
          <w:szCs w:val="24"/>
          <w:lang w:eastAsia="en-US"/>
        </w:rPr>
        <w:t xml:space="preserve"> with </w:t>
      </w:r>
      <w:r w:rsidR="008A6683">
        <w:rPr>
          <w:rFonts w:ascii="Arial" w:eastAsiaTheme="minorHAnsi" w:hAnsi="Arial" w:cs="Arial"/>
          <w:color w:val="000000"/>
          <w:szCs w:val="24"/>
          <w:lang w:eastAsia="en-US"/>
        </w:rPr>
        <w:t xml:space="preserve">a </w:t>
      </w:r>
      <w:r w:rsidRPr="00885F82">
        <w:rPr>
          <w:rFonts w:ascii="Arial" w:eastAsiaTheme="minorHAnsi" w:hAnsi="Arial" w:cs="Arial"/>
          <w:color w:val="000000"/>
          <w:szCs w:val="24"/>
          <w:lang w:eastAsia="en-US"/>
        </w:rPr>
        <w:t>view to achieve</w:t>
      </w:r>
      <w:r w:rsidR="008A6683">
        <w:rPr>
          <w:rFonts w:ascii="Arial" w:eastAsiaTheme="minorHAnsi" w:hAnsi="Arial" w:cs="Arial"/>
          <w:color w:val="000000"/>
          <w:szCs w:val="24"/>
          <w:lang w:eastAsia="en-US"/>
        </w:rPr>
        <w:t xml:space="preserve"> the Gold standard</w:t>
      </w:r>
      <w:r w:rsidRPr="00885F82">
        <w:rPr>
          <w:rFonts w:ascii="Arial" w:eastAsiaTheme="minorHAnsi" w:hAnsi="Arial" w:cs="Arial"/>
          <w:color w:val="000000"/>
          <w:szCs w:val="24"/>
          <w:lang w:eastAsia="en-US"/>
        </w:rPr>
        <w:t xml:space="preserve"> award in future H&amp;S Plans.</w:t>
      </w:r>
    </w:p>
    <w:p w14:paraId="26408C4F" w14:textId="77777777" w:rsidR="00885F82" w:rsidRDefault="00885F82" w:rsidP="00885F82">
      <w:pPr>
        <w:autoSpaceDE w:val="0"/>
        <w:autoSpaceDN w:val="0"/>
        <w:adjustRightInd w:val="0"/>
        <w:spacing w:after="200"/>
        <w:ind w:left="792"/>
        <w:contextualSpacing/>
        <w:rPr>
          <w:rFonts w:ascii="Arial" w:eastAsiaTheme="minorHAnsi" w:hAnsi="Arial" w:cs="Arial"/>
          <w:color w:val="000000"/>
          <w:szCs w:val="24"/>
          <w:lang w:eastAsia="en-US"/>
        </w:rPr>
      </w:pPr>
    </w:p>
    <w:p w14:paraId="5F7ECED2" w14:textId="77777777" w:rsidR="008A6683" w:rsidRDefault="008A6683" w:rsidP="00885F82">
      <w:pPr>
        <w:autoSpaceDE w:val="0"/>
        <w:autoSpaceDN w:val="0"/>
        <w:adjustRightInd w:val="0"/>
        <w:spacing w:after="200"/>
        <w:ind w:left="792"/>
        <w:contextualSpacing/>
        <w:rPr>
          <w:rFonts w:ascii="Arial" w:eastAsiaTheme="minorHAnsi" w:hAnsi="Arial" w:cs="Arial"/>
          <w:color w:val="000000"/>
          <w:szCs w:val="24"/>
          <w:lang w:eastAsia="en-US"/>
        </w:rPr>
      </w:pPr>
    </w:p>
    <w:p w14:paraId="1ED12D13" w14:textId="77777777" w:rsidR="008A6683" w:rsidRDefault="008A6683" w:rsidP="00885F82">
      <w:pPr>
        <w:autoSpaceDE w:val="0"/>
        <w:autoSpaceDN w:val="0"/>
        <w:adjustRightInd w:val="0"/>
        <w:spacing w:after="200"/>
        <w:ind w:left="792"/>
        <w:contextualSpacing/>
        <w:rPr>
          <w:rFonts w:ascii="Arial" w:eastAsiaTheme="minorHAnsi" w:hAnsi="Arial" w:cs="Arial"/>
          <w:color w:val="000000"/>
          <w:szCs w:val="24"/>
          <w:lang w:eastAsia="en-US"/>
        </w:rPr>
      </w:pPr>
    </w:p>
    <w:p w14:paraId="59BB0320" w14:textId="77777777" w:rsidR="008A6683" w:rsidRPr="00885F82" w:rsidRDefault="008A6683" w:rsidP="00885F82">
      <w:pPr>
        <w:autoSpaceDE w:val="0"/>
        <w:autoSpaceDN w:val="0"/>
        <w:adjustRightInd w:val="0"/>
        <w:spacing w:after="200"/>
        <w:ind w:left="792"/>
        <w:contextualSpacing/>
        <w:rPr>
          <w:rFonts w:ascii="Arial" w:eastAsiaTheme="minorHAnsi" w:hAnsi="Arial" w:cs="Arial"/>
          <w:color w:val="000000"/>
          <w:szCs w:val="24"/>
          <w:lang w:eastAsia="en-US"/>
        </w:rPr>
      </w:pPr>
    </w:p>
    <w:p w14:paraId="15536F78" w14:textId="77777777" w:rsidR="00885F82" w:rsidRDefault="00885F82" w:rsidP="009C1524">
      <w:pPr>
        <w:numPr>
          <w:ilvl w:val="1"/>
          <w:numId w:val="13"/>
        </w:numPr>
        <w:autoSpaceDE w:val="0"/>
        <w:autoSpaceDN w:val="0"/>
        <w:adjustRightInd w:val="0"/>
        <w:spacing w:after="200" w:line="276" w:lineRule="auto"/>
        <w:ind w:left="709"/>
        <w:contextualSpacing/>
        <w:rPr>
          <w:rFonts w:ascii="Arial" w:eastAsiaTheme="minorHAnsi" w:hAnsi="Arial" w:cs="Arial"/>
          <w:b/>
          <w:color w:val="000000"/>
          <w:szCs w:val="24"/>
          <w:lang w:eastAsia="en-US"/>
        </w:rPr>
      </w:pPr>
      <w:r w:rsidRPr="00885F82">
        <w:rPr>
          <w:rFonts w:ascii="Arial" w:eastAsiaTheme="minorHAnsi" w:hAnsi="Arial" w:cs="Arial"/>
          <w:b/>
          <w:color w:val="000000"/>
          <w:szCs w:val="24"/>
          <w:lang w:eastAsia="en-US"/>
        </w:rPr>
        <w:lastRenderedPageBreak/>
        <w:t>Asset Management</w:t>
      </w:r>
    </w:p>
    <w:p w14:paraId="79A8E5A4" w14:textId="77777777" w:rsidR="008A6683" w:rsidRPr="00885F82" w:rsidRDefault="008A6683" w:rsidP="008A6683">
      <w:pPr>
        <w:autoSpaceDE w:val="0"/>
        <w:autoSpaceDN w:val="0"/>
        <w:adjustRightInd w:val="0"/>
        <w:spacing w:after="200" w:line="276" w:lineRule="auto"/>
        <w:ind w:left="709"/>
        <w:contextualSpacing/>
        <w:rPr>
          <w:rFonts w:ascii="Arial" w:eastAsiaTheme="minorHAnsi" w:hAnsi="Arial" w:cs="Arial"/>
          <w:b/>
          <w:color w:val="000000"/>
          <w:szCs w:val="24"/>
          <w:lang w:eastAsia="en-US"/>
        </w:rPr>
      </w:pPr>
    </w:p>
    <w:p w14:paraId="3CE80DFC"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Successful health and safety management for the HLH estate requires a collaborative approach with The Highland Council (THC). The Property Agreement has set out the respective responsibilities of THC as landlord those of HLH. A collaborative approach is required because as occupier HLH could be held responsible under the occupier’s liability should THC fail to undertake its duties.</w:t>
      </w:r>
    </w:p>
    <w:p w14:paraId="2D6D49A6"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HLH must maintain accurate estate records for THC activities and work including statutory inspections and maintenance carried out on our estate.  This should include any communication with THC for any issues arising or relating to the compliance with our statutory responsibilities in line with legislation, recognising that many maintenance responsibilities and statutory inspections rest with THC, as detailed within the property agreement. </w:t>
      </w:r>
    </w:p>
    <w:p w14:paraId="54AF3B9F" w14:textId="77777777" w:rsidR="00885F82" w:rsidRPr="00885F82" w:rsidRDefault="00885F82" w:rsidP="009C1524">
      <w:pPr>
        <w:numPr>
          <w:ilvl w:val="0"/>
          <w:numId w:val="22"/>
        </w:numPr>
        <w:autoSpaceDE w:val="0"/>
        <w:autoSpaceDN w:val="0"/>
        <w:adjustRightInd w:val="0"/>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color w:val="000000"/>
          <w:szCs w:val="24"/>
          <w:lang w:eastAsia="en-US"/>
        </w:rPr>
        <w:t xml:space="preserve">Ensure that there is a comprehensive and regularly updated inventory of all </w:t>
      </w:r>
      <w:r w:rsidRPr="00885F82">
        <w:rPr>
          <w:rFonts w:ascii="Arial" w:eastAsiaTheme="minorHAnsi" w:hAnsi="Arial" w:cs="Arial"/>
          <w:szCs w:val="24"/>
          <w:lang w:eastAsia="en-US"/>
        </w:rPr>
        <w:t>maintenance requirements.</w:t>
      </w:r>
    </w:p>
    <w:p w14:paraId="618F2631" w14:textId="77777777" w:rsidR="00885F82" w:rsidRPr="00885F82" w:rsidRDefault="00885F82" w:rsidP="009C1524">
      <w:pPr>
        <w:numPr>
          <w:ilvl w:val="0"/>
          <w:numId w:val="22"/>
        </w:numPr>
        <w:autoSpaceDE w:val="0"/>
        <w:autoSpaceDN w:val="0"/>
        <w:adjustRightInd w:val="0"/>
        <w:spacing w:after="200" w:line="276" w:lineRule="auto"/>
        <w:ind w:left="426" w:hanging="426"/>
        <w:contextualSpacing/>
        <w:jc w:val="both"/>
        <w:rPr>
          <w:rFonts w:ascii="Arial" w:eastAsiaTheme="minorHAnsi" w:hAnsi="Arial" w:cs="Arial"/>
          <w:szCs w:val="24"/>
          <w:lang w:eastAsia="en-US"/>
        </w:rPr>
      </w:pPr>
      <w:r w:rsidRPr="00885F82">
        <w:rPr>
          <w:rFonts w:ascii="Arial" w:eastAsiaTheme="minorHAnsi" w:hAnsi="Arial" w:cs="Arial"/>
          <w:szCs w:val="24"/>
          <w:lang w:eastAsia="en-US"/>
        </w:rPr>
        <w:t>Seek finance for maintenance resources for urgent work when THC are unable, financially or otherwise, to undertake this responsibility.</w:t>
      </w:r>
    </w:p>
    <w:p w14:paraId="4BB90110" w14:textId="77777777" w:rsidR="00885F82" w:rsidRPr="00885F82" w:rsidRDefault="00885F82" w:rsidP="009C1524">
      <w:pPr>
        <w:numPr>
          <w:ilvl w:val="0"/>
          <w:numId w:val="22"/>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Ensure that management staff at operational level understand that the Charity is the Occupier and that ensuring the maintenance, especially where a statutory requirement, rests with the Charity irrespective of any contractual obligations with THC.</w:t>
      </w:r>
    </w:p>
    <w:p w14:paraId="136AA5CC" w14:textId="77777777" w:rsidR="00885F82" w:rsidRPr="00885F82" w:rsidRDefault="00885F82" w:rsidP="009C1524">
      <w:pPr>
        <w:numPr>
          <w:ilvl w:val="0"/>
          <w:numId w:val="22"/>
        </w:numPr>
        <w:autoSpaceDE w:val="0"/>
        <w:autoSpaceDN w:val="0"/>
        <w:adjustRightInd w:val="0"/>
        <w:spacing w:after="200" w:line="276" w:lineRule="auto"/>
        <w:ind w:left="426" w:hanging="426"/>
        <w:contextualSpacing/>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Require all facility managers to provide an update to the Principal Estates Manager on maintenance requirements by October each year on both Planned and Cyclical maintenance.</w:t>
      </w:r>
    </w:p>
    <w:p w14:paraId="7673B891" w14:textId="77777777" w:rsidR="008A6683" w:rsidRDefault="00885F82" w:rsidP="009C1524">
      <w:pPr>
        <w:numPr>
          <w:ilvl w:val="0"/>
          <w:numId w:val="22"/>
        </w:numPr>
        <w:autoSpaceDE w:val="0"/>
        <w:autoSpaceDN w:val="0"/>
        <w:adjustRightInd w:val="0"/>
        <w:spacing w:after="200" w:line="276" w:lineRule="auto"/>
        <w:ind w:left="426" w:hanging="426"/>
        <w:contextualSpacing/>
        <w:jc w:val="both"/>
        <w:rPr>
          <w:rFonts w:ascii="Arial" w:eastAsiaTheme="minorHAnsi" w:hAnsi="Arial" w:cs="Arial"/>
          <w:b/>
          <w:bCs/>
          <w:color w:val="000000"/>
          <w:szCs w:val="24"/>
          <w:lang w:eastAsia="en-US"/>
        </w:rPr>
      </w:pPr>
      <w:r w:rsidRPr="00885F82">
        <w:rPr>
          <w:rFonts w:ascii="Arial" w:eastAsiaTheme="minorHAnsi" w:hAnsi="Arial" w:cs="Arial"/>
          <w:color w:val="000000"/>
          <w:szCs w:val="24"/>
          <w:lang w:eastAsia="en-US"/>
        </w:rPr>
        <w:t>Empower managers to take equipment or facilities out of service where there is concern that safe operation may be compromised by lack of appropriate maintenance.</w:t>
      </w:r>
      <w:r w:rsidRPr="00885F82">
        <w:rPr>
          <w:rFonts w:ascii="Arial" w:eastAsiaTheme="minorHAnsi" w:hAnsi="Arial" w:cs="Arial"/>
          <w:b/>
          <w:bCs/>
          <w:color w:val="000000"/>
          <w:szCs w:val="24"/>
          <w:lang w:eastAsia="en-US"/>
        </w:rPr>
        <w:t xml:space="preserve"> </w:t>
      </w:r>
    </w:p>
    <w:p w14:paraId="7D67348F" w14:textId="507C79A0" w:rsidR="00885F82" w:rsidRPr="00885F82" w:rsidRDefault="00885F82" w:rsidP="008A6683">
      <w:pPr>
        <w:autoSpaceDE w:val="0"/>
        <w:autoSpaceDN w:val="0"/>
        <w:adjustRightInd w:val="0"/>
        <w:spacing w:after="200" w:line="276" w:lineRule="auto"/>
        <w:contextualSpacing/>
        <w:jc w:val="both"/>
        <w:rPr>
          <w:rFonts w:ascii="Arial" w:eastAsiaTheme="minorHAnsi" w:hAnsi="Arial" w:cs="Arial"/>
          <w:b/>
          <w:bCs/>
          <w:color w:val="000000"/>
          <w:szCs w:val="24"/>
          <w:lang w:eastAsia="en-US"/>
        </w:rPr>
      </w:pPr>
      <w:r w:rsidRPr="00885F82">
        <w:rPr>
          <w:rFonts w:ascii="Arial" w:eastAsiaTheme="minorHAnsi" w:hAnsi="Arial" w:cs="Arial"/>
          <w:b/>
          <w:bCs/>
          <w:color w:val="000000"/>
          <w:szCs w:val="24"/>
          <w:lang w:eastAsia="en-US"/>
        </w:rPr>
        <w:t xml:space="preserve"> </w:t>
      </w:r>
    </w:p>
    <w:p w14:paraId="7B584DA7" w14:textId="7B5ED3E7" w:rsidR="00885F82" w:rsidRPr="00885F82" w:rsidRDefault="00885F82" w:rsidP="008A6683">
      <w:pPr>
        <w:autoSpaceDE w:val="0"/>
        <w:autoSpaceDN w:val="0"/>
        <w:adjustRightInd w:val="0"/>
        <w:spacing w:after="200"/>
        <w:rPr>
          <w:rFonts w:ascii="Arial" w:eastAsiaTheme="minorHAnsi" w:hAnsi="Arial" w:cs="Arial"/>
          <w:b/>
          <w:bCs/>
          <w:color w:val="000000"/>
          <w:szCs w:val="24"/>
          <w:lang w:eastAsia="en-US"/>
        </w:rPr>
      </w:pPr>
      <w:r w:rsidRPr="00885F82">
        <w:rPr>
          <w:rFonts w:ascii="Arial" w:eastAsiaTheme="minorHAnsi" w:hAnsi="Arial" w:cs="Arial"/>
          <w:b/>
          <w:bCs/>
          <w:color w:val="000000"/>
          <w:szCs w:val="24"/>
          <w:lang w:eastAsia="en-US"/>
        </w:rPr>
        <w:t xml:space="preserve">7   Making it Happen </w:t>
      </w:r>
    </w:p>
    <w:p w14:paraId="05A7FBAE"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main responsibility for health and safety of staff, customers and contractors rests with the CEO of HLH and his Executive Team, with key deliverables from THC. </w:t>
      </w:r>
    </w:p>
    <w:p w14:paraId="186EE701"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operational management of health and safety is delegated to Principal Managers, line managers and supervisors at the various locations throughout the highlands.</w:t>
      </w:r>
    </w:p>
    <w:p w14:paraId="71A0CBF4"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Calibri" w:hAnsi="Arial" w:cs="Arial"/>
          <w:szCs w:val="24"/>
          <w:lang w:eastAsia="en-US"/>
        </w:rPr>
        <w:t xml:space="preserve">The Head of Performance, Principal Estates Manager and the Health and Safety and Property Officer </w:t>
      </w:r>
      <w:r w:rsidRPr="00885F82">
        <w:rPr>
          <w:rFonts w:ascii="Arial" w:eastAsiaTheme="minorHAnsi" w:hAnsi="Arial" w:cs="Arial"/>
          <w:color w:val="000000"/>
          <w:szCs w:val="24"/>
          <w:lang w:eastAsia="en-US"/>
        </w:rPr>
        <w:t xml:space="preserve">have a pivotal role to play in the development, monitoring and quality assurance of the implementation of the Health and Safety Plan. </w:t>
      </w:r>
    </w:p>
    <w:p w14:paraId="40BD517E"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The day-to-day management of health and safety is the responsibility of the Principal Managers but the line managers, in partnership with all staff and others, will work to enable and empower managers and others to actively manage health and safety with the same degree of expertise to the standards of other core business activities. </w:t>
      </w:r>
    </w:p>
    <w:p w14:paraId="39EC205F"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szCs w:val="24"/>
          <w:lang w:eastAsia="en-US"/>
        </w:rPr>
        <w:t xml:space="preserve">The Health and Safety and Environmental Compliance Committee </w:t>
      </w:r>
      <w:r w:rsidRPr="00885F82">
        <w:rPr>
          <w:rFonts w:ascii="Arial" w:eastAsiaTheme="minorHAnsi" w:hAnsi="Arial" w:cs="Arial"/>
          <w:color w:val="000000"/>
          <w:szCs w:val="24"/>
          <w:lang w:eastAsia="en-US"/>
        </w:rPr>
        <w:t xml:space="preserve">will work closely with all Principal Managers, Services, Trades Unions, and other stakeholders to promote </w:t>
      </w:r>
      <w:r w:rsidRPr="00885F82">
        <w:rPr>
          <w:rFonts w:ascii="Arial" w:eastAsiaTheme="minorHAnsi" w:hAnsi="Arial" w:cs="Arial"/>
          <w:color w:val="000000"/>
          <w:szCs w:val="24"/>
          <w:lang w:eastAsia="en-US"/>
        </w:rPr>
        <w:lastRenderedPageBreak/>
        <w:t>ownership of health and safety across the organisation and will support, develop and monitor the Charity’s health and safety action plan supporting this strategy.</w:t>
      </w:r>
    </w:p>
    <w:p w14:paraId="32A2AEEF"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success of the health and safety Plan will be measured by indicators which consider the strategic aims, the meeting of statutory responsibilities and implementation of good management practices.</w:t>
      </w:r>
    </w:p>
    <w:p w14:paraId="261DD92C" w14:textId="30448FC0" w:rsidR="00885F82" w:rsidRPr="00885F82" w:rsidRDefault="00885F82" w:rsidP="00885F82">
      <w:pPr>
        <w:autoSpaceDE w:val="0"/>
        <w:autoSpaceDN w:val="0"/>
        <w:adjustRightInd w:val="0"/>
        <w:spacing w:after="200"/>
        <w:rPr>
          <w:rFonts w:ascii="Arial" w:eastAsiaTheme="minorHAnsi" w:hAnsi="Arial" w:cs="Arial"/>
          <w:color w:val="000000"/>
          <w:szCs w:val="24"/>
          <w:lang w:eastAsia="en-US"/>
        </w:rPr>
      </w:pPr>
      <w:r w:rsidRPr="00885F82">
        <w:rPr>
          <w:rFonts w:ascii="Arial" w:eastAsiaTheme="minorHAnsi" w:hAnsi="Arial" w:cs="Arial"/>
          <w:b/>
          <w:color w:val="000000"/>
          <w:szCs w:val="24"/>
          <w:lang w:eastAsia="en-US"/>
        </w:rPr>
        <w:t>7.1   Framework for Delivery</w:t>
      </w:r>
    </w:p>
    <w:p w14:paraId="6221385C"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As there is already a well-established foundation of good health and safety management within HLH, the success of this plan is not heavily reliant on extensive investment; however, we will need to consider how to best plan, resource, organise, monitor and review activities to guarantee consistent levels of legal compliance across all work activities.</w:t>
      </w:r>
    </w:p>
    <w:p w14:paraId="2F7C1749"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To monitor the delivery of the five year health and safety plan, an action plan has been created.  This can be found at </w:t>
      </w:r>
      <w:r w:rsidRPr="00885F82">
        <w:rPr>
          <w:rFonts w:ascii="Arial" w:eastAsiaTheme="minorHAnsi" w:hAnsi="Arial" w:cs="Arial"/>
          <w:b/>
          <w:color w:val="000000"/>
          <w:szCs w:val="24"/>
          <w:lang w:eastAsia="en-US"/>
        </w:rPr>
        <w:t>Annex 1</w:t>
      </w:r>
      <w:r w:rsidRPr="00885F82">
        <w:rPr>
          <w:rFonts w:ascii="Arial" w:eastAsiaTheme="minorHAnsi" w:hAnsi="Arial" w:cs="Arial"/>
          <w:color w:val="000000"/>
          <w:szCs w:val="24"/>
          <w:lang w:eastAsia="en-US"/>
        </w:rPr>
        <w:t xml:space="preserve">.  </w:t>
      </w:r>
    </w:p>
    <w:p w14:paraId="46961AA5"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This action plan will be the key reporting document indicating the progress of each of the actions with a traditional RAG rating and comments.  </w:t>
      </w:r>
    </w:p>
    <w:p w14:paraId="0788FE97"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Underpinning this reporting document there are various service specific operational workstream documents that provide the greater detail of how the actions are to be developed and delivered.  </w:t>
      </w:r>
    </w:p>
    <w:p w14:paraId="2D9BA7BF"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 xml:space="preserve">Each action will have an ‘owner’ and a ‘lead’ person.  The owner will be the respective </w:t>
      </w:r>
      <w:proofErr w:type="spellStart"/>
      <w:r w:rsidRPr="00885F82">
        <w:rPr>
          <w:rFonts w:ascii="Arial" w:eastAsiaTheme="minorHAnsi" w:hAnsi="Arial" w:cs="Arial"/>
          <w:color w:val="000000"/>
          <w:szCs w:val="24"/>
          <w:lang w:eastAsia="en-US"/>
        </w:rPr>
        <w:t>HoS</w:t>
      </w:r>
      <w:proofErr w:type="spellEnd"/>
      <w:r w:rsidRPr="00885F82">
        <w:rPr>
          <w:rFonts w:ascii="Arial" w:eastAsiaTheme="minorHAnsi" w:hAnsi="Arial" w:cs="Arial"/>
          <w:color w:val="000000"/>
          <w:szCs w:val="24"/>
          <w:lang w:eastAsia="en-US"/>
        </w:rPr>
        <w:t xml:space="preserve"> and therefore be able to report, if necessary, to the Health and Safety and Environmental Compliance Committee.  The task leads will provide monthly updates against each theme and associated activities/key performance indicators.  </w:t>
      </w:r>
    </w:p>
    <w:p w14:paraId="477F0967" w14:textId="77777777" w:rsidR="00885F82" w:rsidRPr="00885F82" w:rsidRDefault="00885F82" w:rsidP="00A224F4">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The time frame for completion of work has been set out in five progress / reporting periods.</w:t>
      </w:r>
    </w:p>
    <w:p w14:paraId="6F98850A" w14:textId="77777777" w:rsidR="00885F82" w:rsidRPr="00885F82" w:rsidRDefault="00885F82" w:rsidP="009C1524">
      <w:pPr>
        <w:numPr>
          <w:ilvl w:val="0"/>
          <w:numId w:val="10"/>
        </w:numPr>
        <w:autoSpaceDE w:val="0"/>
        <w:autoSpaceDN w:val="0"/>
        <w:adjustRightInd w:val="0"/>
        <w:spacing w:after="200" w:line="276" w:lineRule="auto"/>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Progress period 1 – Year one (1 Apr 2020 to 31 March 2021)</w:t>
      </w:r>
    </w:p>
    <w:p w14:paraId="4934BB8E" w14:textId="77777777" w:rsidR="00885F82" w:rsidRPr="00885F82" w:rsidRDefault="00885F82" w:rsidP="009C1524">
      <w:pPr>
        <w:numPr>
          <w:ilvl w:val="0"/>
          <w:numId w:val="10"/>
        </w:numPr>
        <w:autoSpaceDE w:val="0"/>
        <w:autoSpaceDN w:val="0"/>
        <w:adjustRightInd w:val="0"/>
        <w:spacing w:after="200" w:line="276" w:lineRule="auto"/>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Progress period 2 – Year two (1 April 2021 to 31 March 2022)</w:t>
      </w:r>
    </w:p>
    <w:p w14:paraId="070C1839" w14:textId="77777777" w:rsidR="00885F82" w:rsidRPr="00885F82" w:rsidRDefault="00885F82" w:rsidP="009C1524">
      <w:pPr>
        <w:numPr>
          <w:ilvl w:val="0"/>
          <w:numId w:val="10"/>
        </w:numPr>
        <w:autoSpaceDE w:val="0"/>
        <w:autoSpaceDN w:val="0"/>
        <w:adjustRightInd w:val="0"/>
        <w:spacing w:after="200" w:line="276" w:lineRule="auto"/>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Progress period 3 – Year three (1 April 2022 to 31 March 2023)</w:t>
      </w:r>
    </w:p>
    <w:p w14:paraId="7609E9D1" w14:textId="77777777" w:rsidR="00885F82" w:rsidRPr="00885F82" w:rsidRDefault="00885F82" w:rsidP="009C1524">
      <w:pPr>
        <w:numPr>
          <w:ilvl w:val="0"/>
          <w:numId w:val="10"/>
        </w:numPr>
        <w:autoSpaceDE w:val="0"/>
        <w:autoSpaceDN w:val="0"/>
        <w:adjustRightInd w:val="0"/>
        <w:spacing w:after="200" w:line="276" w:lineRule="auto"/>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Progress period 4 – Year four (1 April 2023 to 31March 2024)</w:t>
      </w:r>
    </w:p>
    <w:p w14:paraId="63164AE4" w14:textId="45552F69" w:rsidR="00885F82" w:rsidRDefault="00885F82" w:rsidP="00885F82">
      <w:pPr>
        <w:numPr>
          <w:ilvl w:val="0"/>
          <w:numId w:val="10"/>
        </w:numPr>
        <w:autoSpaceDE w:val="0"/>
        <w:autoSpaceDN w:val="0"/>
        <w:adjustRightInd w:val="0"/>
        <w:spacing w:after="200" w:line="276" w:lineRule="auto"/>
        <w:contextualSpacing/>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Progress period 5 – Year five (1 April 2024 to 31March 2025)</w:t>
      </w:r>
    </w:p>
    <w:p w14:paraId="7008A54F" w14:textId="77777777" w:rsidR="00A224F4" w:rsidRPr="00885F82" w:rsidRDefault="00A224F4" w:rsidP="00A224F4">
      <w:pPr>
        <w:autoSpaceDE w:val="0"/>
        <w:autoSpaceDN w:val="0"/>
        <w:adjustRightInd w:val="0"/>
        <w:spacing w:after="200" w:line="276" w:lineRule="auto"/>
        <w:ind w:left="720"/>
        <w:contextualSpacing/>
        <w:rPr>
          <w:rFonts w:ascii="Arial" w:eastAsiaTheme="minorHAnsi" w:hAnsi="Arial" w:cs="Arial"/>
          <w:color w:val="000000"/>
          <w:szCs w:val="24"/>
          <w:lang w:eastAsia="en-US"/>
        </w:rPr>
      </w:pPr>
    </w:p>
    <w:p w14:paraId="6943F101" w14:textId="77777777" w:rsidR="00885F82" w:rsidRPr="00885F82" w:rsidRDefault="00885F82" w:rsidP="00885F82">
      <w:pPr>
        <w:autoSpaceDE w:val="0"/>
        <w:autoSpaceDN w:val="0"/>
        <w:adjustRightInd w:val="0"/>
        <w:spacing w:after="200"/>
        <w:jc w:val="both"/>
        <w:rPr>
          <w:rFonts w:ascii="Arial" w:eastAsiaTheme="minorHAnsi" w:hAnsi="Arial" w:cs="Arial"/>
          <w:color w:val="000000"/>
          <w:szCs w:val="24"/>
          <w:lang w:eastAsia="en-US"/>
        </w:rPr>
      </w:pPr>
      <w:r w:rsidRPr="00885F82">
        <w:rPr>
          <w:rFonts w:ascii="Arial" w:eastAsiaTheme="minorHAnsi" w:hAnsi="Arial" w:cs="Arial"/>
          <w:color w:val="000000"/>
          <w:szCs w:val="24"/>
          <w:lang w:eastAsia="en-US"/>
        </w:rPr>
        <w:t>As HLH progresses towards a more proactive health and safety management approach, it is anticipated that greater use of information technology will facilitate improved integration between the HLH management teams, staff and staff representatives and other professional services. By engaging the right people, with the necessary level of expertise and competency, to actively manage health and safety and challenge poor practices, we will enable greater consideration of work activities thereby reducing risks and maintaining a vibrant, secure and healthy environment.</w:t>
      </w:r>
    </w:p>
    <w:p w14:paraId="2829662C" w14:textId="77777777" w:rsidR="00885F82" w:rsidRDefault="00885F82">
      <w:pPr>
        <w:spacing w:after="200"/>
        <w:rPr>
          <w:rFonts w:ascii="Arial" w:hAnsi="Arial" w:cs="Arial"/>
          <w:szCs w:val="24"/>
        </w:rPr>
        <w:sectPr w:rsidR="00885F82" w:rsidSect="008A6683">
          <w:pgSz w:w="11906" w:h="16838"/>
          <w:pgMar w:top="1134" w:right="991" w:bottom="1440" w:left="1440" w:header="708" w:footer="708" w:gutter="0"/>
          <w:cols w:space="708"/>
          <w:docGrid w:linePitch="360"/>
        </w:sectPr>
      </w:pPr>
    </w:p>
    <w:p w14:paraId="5BDBAA53" w14:textId="43ED1858" w:rsidR="00885F82" w:rsidRDefault="00885F82">
      <w:pPr>
        <w:spacing w:after="200"/>
        <w:rPr>
          <w:rFonts w:ascii="Arial" w:hAnsi="Arial" w:cs="Arial"/>
          <w:szCs w:val="24"/>
        </w:rPr>
      </w:pPr>
      <w:r w:rsidRPr="004C33E9">
        <w:rPr>
          <w:noProof/>
        </w:rPr>
        <w:lastRenderedPageBreak/>
        <w:drawing>
          <wp:inline distT="0" distB="0" distL="0" distR="0" wp14:anchorId="79CBBAD6" wp14:editId="412A678C">
            <wp:extent cx="9057640" cy="575138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7640" cy="5751386"/>
                    </a:xfrm>
                    <a:prstGeom prst="rect">
                      <a:avLst/>
                    </a:prstGeom>
                    <a:noFill/>
                    <a:ln>
                      <a:noFill/>
                    </a:ln>
                  </pic:spPr>
                </pic:pic>
              </a:graphicData>
            </a:graphic>
          </wp:inline>
        </w:drawing>
      </w:r>
      <w:r>
        <w:rPr>
          <w:rFonts w:ascii="Arial" w:hAnsi="Arial" w:cs="Arial"/>
          <w:szCs w:val="24"/>
        </w:rPr>
        <w:br w:type="page"/>
      </w:r>
    </w:p>
    <w:p w14:paraId="7FFAFD0B" w14:textId="20CAD5F8" w:rsidR="00885F82" w:rsidRDefault="00885F82" w:rsidP="00621307">
      <w:pPr>
        <w:tabs>
          <w:tab w:val="left" w:pos="1843"/>
        </w:tabs>
        <w:rPr>
          <w:rFonts w:ascii="Arial" w:hAnsi="Arial" w:cs="Arial"/>
          <w:szCs w:val="24"/>
        </w:rPr>
      </w:pPr>
      <w:r w:rsidRPr="004C33E9">
        <w:rPr>
          <w:noProof/>
        </w:rPr>
        <w:lastRenderedPageBreak/>
        <w:drawing>
          <wp:inline distT="0" distB="0" distL="0" distR="0" wp14:anchorId="207F453E" wp14:editId="29E55CD8">
            <wp:extent cx="9057640" cy="205077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57640" cy="2050775"/>
                    </a:xfrm>
                    <a:prstGeom prst="rect">
                      <a:avLst/>
                    </a:prstGeom>
                    <a:noFill/>
                    <a:ln>
                      <a:noFill/>
                    </a:ln>
                  </pic:spPr>
                </pic:pic>
              </a:graphicData>
            </a:graphic>
          </wp:inline>
        </w:drawing>
      </w:r>
    </w:p>
    <w:p w14:paraId="45A77BD1" w14:textId="77777777" w:rsidR="009C1524" w:rsidRDefault="009C1524" w:rsidP="00621307">
      <w:pPr>
        <w:tabs>
          <w:tab w:val="left" w:pos="1843"/>
        </w:tabs>
        <w:rPr>
          <w:rFonts w:ascii="Arial" w:hAnsi="Arial" w:cs="Arial"/>
          <w:szCs w:val="24"/>
        </w:rPr>
      </w:pPr>
    </w:p>
    <w:p w14:paraId="4545D8D1" w14:textId="77777777" w:rsidR="009C1524" w:rsidRDefault="009C1524" w:rsidP="00621307">
      <w:pPr>
        <w:tabs>
          <w:tab w:val="left" w:pos="1843"/>
        </w:tabs>
        <w:rPr>
          <w:rFonts w:ascii="Arial" w:hAnsi="Arial" w:cs="Arial"/>
          <w:szCs w:val="24"/>
        </w:rPr>
      </w:pPr>
    </w:p>
    <w:p w14:paraId="239BA63D" w14:textId="77777777" w:rsidR="009C1524" w:rsidRPr="00A152CD" w:rsidRDefault="009C1524" w:rsidP="00621307">
      <w:pPr>
        <w:tabs>
          <w:tab w:val="left" w:pos="1843"/>
        </w:tabs>
        <w:rPr>
          <w:rFonts w:ascii="Arial" w:hAnsi="Arial" w:cs="Arial"/>
          <w:szCs w:val="24"/>
        </w:rPr>
      </w:pPr>
    </w:p>
    <w:sectPr w:rsidR="009C1524" w:rsidRPr="00A152CD" w:rsidSect="009C1524">
      <w:pgSz w:w="16838" w:h="11906" w:orient="landscape"/>
      <w:pgMar w:top="1276"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FCCB2" w14:textId="77777777" w:rsidR="00A71068" w:rsidRDefault="00A71068" w:rsidP="006000E5">
      <w:r>
        <w:separator/>
      </w:r>
    </w:p>
  </w:endnote>
  <w:endnote w:type="continuationSeparator" w:id="0">
    <w:p w14:paraId="5F053EAB" w14:textId="77777777" w:rsidR="00A71068" w:rsidRDefault="00A71068"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7D33" w14:textId="77777777" w:rsidR="00A71068" w:rsidRDefault="00A71068" w:rsidP="006000E5">
      <w:r>
        <w:separator/>
      </w:r>
    </w:p>
  </w:footnote>
  <w:footnote w:type="continuationSeparator" w:id="0">
    <w:p w14:paraId="7D15A83A" w14:textId="77777777" w:rsidR="00A71068" w:rsidRDefault="00A71068" w:rsidP="00600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3EB"/>
    <w:multiLevelType w:val="hybridMultilevel"/>
    <w:tmpl w:val="E946D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E3337C"/>
    <w:multiLevelType w:val="hybridMultilevel"/>
    <w:tmpl w:val="B7F488F0"/>
    <w:lvl w:ilvl="0" w:tplc="E0247214">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257437D"/>
    <w:multiLevelType w:val="hybridMultilevel"/>
    <w:tmpl w:val="B5089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974F7B"/>
    <w:multiLevelType w:val="hybridMultilevel"/>
    <w:tmpl w:val="FDC660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F7693"/>
    <w:multiLevelType w:val="multilevel"/>
    <w:tmpl w:val="95C89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8E2461"/>
    <w:multiLevelType w:val="hybridMultilevel"/>
    <w:tmpl w:val="ACEEB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23E63"/>
    <w:multiLevelType w:val="hybridMultilevel"/>
    <w:tmpl w:val="86E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612436"/>
    <w:multiLevelType w:val="hybridMultilevel"/>
    <w:tmpl w:val="EC345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142D93"/>
    <w:multiLevelType w:val="hybridMultilevel"/>
    <w:tmpl w:val="08E48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24C1F"/>
    <w:multiLevelType w:val="hybridMultilevel"/>
    <w:tmpl w:val="F1561F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95581"/>
    <w:multiLevelType w:val="multilevel"/>
    <w:tmpl w:val="95C89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09D21E4"/>
    <w:multiLevelType w:val="hybridMultilevel"/>
    <w:tmpl w:val="117C3E72"/>
    <w:lvl w:ilvl="0" w:tplc="1AB264E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00FB9"/>
    <w:multiLevelType w:val="hybridMultilevel"/>
    <w:tmpl w:val="DAD837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A115C42"/>
    <w:multiLevelType w:val="hybridMultilevel"/>
    <w:tmpl w:val="3AD45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FD225F1"/>
    <w:multiLevelType w:val="hybridMultilevel"/>
    <w:tmpl w:val="B38ECE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1D5E07"/>
    <w:multiLevelType w:val="hybridMultilevel"/>
    <w:tmpl w:val="E2ECF4F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F6CC3"/>
    <w:multiLevelType w:val="hybridMultilevel"/>
    <w:tmpl w:val="8DA6A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886120"/>
    <w:multiLevelType w:val="hybridMultilevel"/>
    <w:tmpl w:val="B2BED866"/>
    <w:lvl w:ilvl="0" w:tplc="24567B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D739D"/>
    <w:multiLevelType w:val="hybridMultilevel"/>
    <w:tmpl w:val="35DA6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221CC"/>
    <w:multiLevelType w:val="hybridMultilevel"/>
    <w:tmpl w:val="ADAC4750"/>
    <w:lvl w:ilvl="0" w:tplc="0809001B">
      <w:start w:val="1"/>
      <w:numFmt w:val="lowerRoman"/>
      <w:lvlText w:val="%1."/>
      <w:lvlJc w:val="righ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36C8D"/>
    <w:multiLevelType w:val="hybridMultilevel"/>
    <w:tmpl w:val="4F48ECB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D3427D"/>
    <w:multiLevelType w:val="hybridMultilevel"/>
    <w:tmpl w:val="DA64C1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3" w15:restartNumberingAfterBreak="0">
    <w:nsid w:val="7CB7405E"/>
    <w:multiLevelType w:val="hybridMultilevel"/>
    <w:tmpl w:val="065E964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B056E2"/>
    <w:multiLevelType w:val="hybridMultilevel"/>
    <w:tmpl w:val="A5B0E69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22"/>
  </w:num>
  <w:num w:numId="2">
    <w:abstractNumId w:val="17"/>
  </w:num>
  <w:num w:numId="3">
    <w:abstractNumId w:val="11"/>
  </w:num>
  <w:num w:numId="4">
    <w:abstractNumId w:val="3"/>
  </w:num>
  <w:num w:numId="5">
    <w:abstractNumId w:val="23"/>
  </w:num>
  <w:num w:numId="6">
    <w:abstractNumId w:val="19"/>
  </w:num>
  <w:num w:numId="7">
    <w:abstractNumId w:val="6"/>
  </w:num>
  <w:num w:numId="8">
    <w:abstractNumId w:val="15"/>
  </w:num>
  <w:num w:numId="9">
    <w:abstractNumId w:val="9"/>
  </w:num>
  <w:num w:numId="10">
    <w:abstractNumId w:val="5"/>
  </w:num>
  <w:num w:numId="11">
    <w:abstractNumId w:val="10"/>
  </w:num>
  <w:num w:numId="12">
    <w:abstractNumId w:val="8"/>
  </w:num>
  <w:num w:numId="13">
    <w:abstractNumId w:val="4"/>
  </w:num>
  <w:num w:numId="14">
    <w:abstractNumId w:val="18"/>
  </w:num>
  <w:num w:numId="15">
    <w:abstractNumId w:val="13"/>
  </w:num>
  <w:num w:numId="16">
    <w:abstractNumId w:val="16"/>
  </w:num>
  <w:num w:numId="17">
    <w:abstractNumId w:val="12"/>
  </w:num>
  <w:num w:numId="18">
    <w:abstractNumId w:val="0"/>
  </w:num>
  <w:num w:numId="19">
    <w:abstractNumId w:val="7"/>
  </w:num>
  <w:num w:numId="20">
    <w:abstractNumId w:val="14"/>
  </w:num>
  <w:num w:numId="21">
    <w:abstractNumId w:val="20"/>
  </w:num>
  <w:num w:numId="22">
    <w:abstractNumId w:val="21"/>
  </w:num>
  <w:num w:numId="23">
    <w:abstractNumId w:val="24"/>
  </w:num>
  <w:num w:numId="24">
    <w:abstractNumId w:val="2"/>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989"/>
    <w:rsid w:val="0000190F"/>
    <w:rsid w:val="00006084"/>
    <w:rsid w:val="00022D15"/>
    <w:rsid w:val="00030F46"/>
    <w:rsid w:val="00046C39"/>
    <w:rsid w:val="00053610"/>
    <w:rsid w:val="000560DE"/>
    <w:rsid w:val="00057658"/>
    <w:rsid w:val="00070212"/>
    <w:rsid w:val="00081D1F"/>
    <w:rsid w:val="000839FF"/>
    <w:rsid w:val="000A624F"/>
    <w:rsid w:val="000D445A"/>
    <w:rsid w:val="000E270A"/>
    <w:rsid w:val="00103427"/>
    <w:rsid w:val="00113303"/>
    <w:rsid w:val="001230E6"/>
    <w:rsid w:val="0012614B"/>
    <w:rsid w:val="00126707"/>
    <w:rsid w:val="00141DC0"/>
    <w:rsid w:val="00147DCA"/>
    <w:rsid w:val="0015055C"/>
    <w:rsid w:val="001546E1"/>
    <w:rsid w:val="0018573F"/>
    <w:rsid w:val="00195805"/>
    <w:rsid w:val="0019691E"/>
    <w:rsid w:val="001A4E14"/>
    <w:rsid w:val="001C0727"/>
    <w:rsid w:val="001C1D6B"/>
    <w:rsid w:val="00211DB5"/>
    <w:rsid w:val="0023565A"/>
    <w:rsid w:val="00246BDF"/>
    <w:rsid w:val="00271B7D"/>
    <w:rsid w:val="00281B5D"/>
    <w:rsid w:val="0028451F"/>
    <w:rsid w:val="0028786E"/>
    <w:rsid w:val="002B19E5"/>
    <w:rsid w:val="002C435A"/>
    <w:rsid w:val="002F4FBA"/>
    <w:rsid w:val="003074EF"/>
    <w:rsid w:val="003123CD"/>
    <w:rsid w:val="00326123"/>
    <w:rsid w:val="003343A6"/>
    <w:rsid w:val="0033769F"/>
    <w:rsid w:val="00344782"/>
    <w:rsid w:val="003740E6"/>
    <w:rsid w:val="00380F92"/>
    <w:rsid w:val="00381FA5"/>
    <w:rsid w:val="003A0236"/>
    <w:rsid w:val="003A6B70"/>
    <w:rsid w:val="003B3F58"/>
    <w:rsid w:val="003B586C"/>
    <w:rsid w:val="003B69F6"/>
    <w:rsid w:val="003C7209"/>
    <w:rsid w:val="003D40BF"/>
    <w:rsid w:val="003E0C10"/>
    <w:rsid w:val="003E29DF"/>
    <w:rsid w:val="003F13AB"/>
    <w:rsid w:val="003F1AB8"/>
    <w:rsid w:val="00401E8F"/>
    <w:rsid w:val="00406C31"/>
    <w:rsid w:val="00410D7D"/>
    <w:rsid w:val="004167AB"/>
    <w:rsid w:val="00426193"/>
    <w:rsid w:val="00436BD4"/>
    <w:rsid w:val="004411B9"/>
    <w:rsid w:val="00442F73"/>
    <w:rsid w:val="00451F55"/>
    <w:rsid w:val="0045517B"/>
    <w:rsid w:val="0045673D"/>
    <w:rsid w:val="004569EE"/>
    <w:rsid w:val="004765BF"/>
    <w:rsid w:val="004A77C8"/>
    <w:rsid w:val="004C0FDF"/>
    <w:rsid w:val="004C2E12"/>
    <w:rsid w:val="004F7045"/>
    <w:rsid w:val="00502473"/>
    <w:rsid w:val="005126C5"/>
    <w:rsid w:val="00527B2F"/>
    <w:rsid w:val="00530AA1"/>
    <w:rsid w:val="00532018"/>
    <w:rsid w:val="00550499"/>
    <w:rsid w:val="005668F9"/>
    <w:rsid w:val="00580DDD"/>
    <w:rsid w:val="0058210B"/>
    <w:rsid w:val="00582530"/>
    <w:rsid w:val="005B0C68"/>
    <w:rsid w:val="005C3E28"/>
    <w:rsid w:val="005D3BA6"/>
    <w:rsid w:val="005E295E"/>
    <w:rsid w:val="006000E5"/>
    <w:rsid w:val="00601D3D"/>
    <w:rsid w:val="00613172"/>
    <w:rsid w:val="00621307"/>
    <w:rsid w:val="00623751"/>
    <w:rsid w:val="00627E37"/>
    <w:rsid w:val="00633653"/>
    <w:rsid w:val="00633AF7"/>
    <w:rsid w:val="00647B00"/>
    <w:rsid w:val="00673FAA"/>
    <w:rsid w:val="006A2B86"/>
    <w:rsid w:val="006A324B"/>
    <w:rsid w:val="006C3CA9"/>
    <w:rsid w:val="006D3897"/>
    <w:rsid w:val="006E6C7D"/>
    <w:rsid w:val="00702514"/>
    <w:rsid w:val="0071239D"/>
    <w:rsid w:val="00712FAB"/>
    <w:rsid w:val="00756BC2"/>
    <w:rsid w:val="00776BAB"/>
    <w:rsid w:val="007C2F67"/>
    <w:rsid w:val="007C33C5"/>
    <w:rsid w:val="007C46DE"/>
    <w:rsid w:val="007D01EC"/>
    <w:rsid w:val="007E0AC0"/>
    <w:rsid w:val="007E1E04"/>
    <w:rsid w:val="007E5311"/>
    <w:rsid w:val="007E621B"/>
    <w:rsid w:val="008212ED"/>
    <w:rsid w:val="00846AF3"/>
    <w:rsid w:val="0085111B"/>
    <w:rsid w:val="00862822"/>
    <w:rsid w:val="008725E6"/>
    <w:rsid w:val="00874458"/>
    <w:rsid w:val="00885F82"/>
    <w:rsid w:val="008A6683"/>
    <w:rsid w:val="008A767F"/>
    <w:rsid w:val="008C1BDD"/>
    <w:rsid w:val="008D5532"/>
    <w:rsid w:val="008E4F02"/>
    <w:rsid w:val="00916FC6"/>
    <w:rsid w:val="009172BA"/>
    <w:rsid w:val="00917B1F"/>
    <w:rsid w:val="00935B21"/>
    <w:rsid w:val="009374DA"/>
    <w:rsid w:val="00964F8B"/>
    <w:rsid w:val="00970B3E"/>
    <w:rsid w:val="00982DCE"/>
    <w:rsid w:val="009923FC"/>
    <w:rsid w:val="00993B21"/>
    <w:rsid w:val="00995DAD"/>
    <w:rsid w:val="009A2EB8"/>
    <w:rsid w:val="009B1E6A"/>
    <w:rsid w:val="009C1524"/>
    <w:rsid w:val="009D78CC"/>
    <w:rsid w:val="009E134A"/>
    <w:rsid w:val="009E16F6"/>
    <w:rsid w:val="009E3F83"/>
    <w:rsid w:val="00A11217"/>
    <w:rsid w:val="00A11547"/>
    <w:rsid w:val="00A13B30"/>
    <w:rsid w:val="00A14DF6"/>
    <w:rsid w:val="00A152CD"/>
    <w:rsid w:val="00A224F4"/>
    <w:rsid w:val="00A3499B"/>
    <w:rsid w:val="00A43AC5"/>
    <w:rsid w:val="00A5032A"/>
    <w:rsid w:val="00A6092D"/>
    <w:rsid w:val="00A64B24"/>
    <w:rsid w:val="00A7025C"/>
    <w:rsid w:val="00A71068"/>
    <w:rsid w:val="00AB00E2"/>
    <w:rsid w:val="00AB0A9D"/>
    <w:rsid w:val="00AC04D0"/>
    <w:rsid w:val="00AC44C0"/>
    <w:rsid w:val="00AD63DD"/>
    <w:rsid w:val="00AE19E4"/>
    <w:rsid w:val="00AE558D"/>
    <w:rsid w:val="00B14C1A"/>
    <w:rsid w:val="00B2129C"/>
    <w:rsid w:val="00B42B8D"/>
    <w:rsid w:val="00B46BC8"/>
    <w:rsid w:val="00B5395E"/>
    <w:rsid w:val="00B5694F"/>
    <w:rsid w:val="00B60690"/>
    <w:rsid w:val="00B85146"/>
    <w:rsid w:val="00BA4D28"/>
    <w:rsid w:val="00BD0989"/>
    <w:rsid w:val="00BD0C8B"/>
    <w:rsid w:val="00BD0D65"/>
    <w:rsid w:val="00C17544"/>
    <w:rsid w:val="00C279F7"/>
    <w:rsid w:val="00C463F7"/>
    <w:rsid w:val="00C50944"/>
    <w:rsid w:val="00C51363"/>
    <w:rsid w:val="00C5677E"/>
    <w:rsid w:val="00C56F90"/>
    <w:rsid w:val="00C6209A"/>
    <w:rsid w:val="00C669F3"/>
    <w:rsid w:val="00C94854"/>
    <w:rsid w:val="00C9509F"/>
    <w:rsid w:val="00C9575A"/>
    <w:rsid w:val="00CA15A9"/>
    <w:rsid w:val="00CA3412"/>
    <w:rsid w:val="00CB22BE"/>
    <w:rsid w:val="00CD3701"/>
    <w:rsid w:val="00CD4CBC"/>
    <w:rsid w:val="00D02F51"/>
    <w:rsid w:val="00D030B4"/>
    <w:rsid w:val="00D03E5C"/>
    <w:rsid w:val="00D1562C"/>
    <w:rsid w:val="00D24C4B"/>
    <w:rsid w:val="00D302DA"/>
    <w:rsid w:val="00D30A72"/>
    <w:rsid w:val="00D35751"/>
    <w:rsid w:val="00D570DC"/>
    <w:rsid w:val="00D62AF5"/>
    <w:rsid w:val="00D771E1"/>
    <w:rsid w:val="00DD736C"/>
    <w:rsid w:val="00DE04CA"/>
    <w:rsid w:val="00DE6225"/>
    <w:rsid w:val="00DF3CB5"/>
    <w:rsid w:val="00DF753F"/>
    <w:rsid w:val="00E34F0D"/>
    <w:rsid w:val="00E36315"/>
    <w:rsid w:val="00E4078B"/>
    <w:rsid w:val="00E42F78"/>
    <w:rsid w:val="00E84818"/>
    <w:rsid w:val="00EB15C9"/>
    <w:rsid w:val="00EB720A"/>
    <w:rsid w:val="00EC56A5"/>
    <w:rsid w:val="00ED686A"/>
    <w:rsid w:val="00EE64C9"/>
    <w:rsid w:val="00EF5629"/>
    <w:rsid w:val="00F13C7D"/>
    <w:rsid w:val="00F16BE2"/>
    <w:rsid w:val="00F266AD"/>
    <w:rsid w:val="00F30832"/>
    <w:rsid w:val="00F33750"/>
    <w:rsid w:val="00F3411B"/>
    <w:rsid w:val="00F4251D"/>
    <w:rsid w:val="00F50C69"/>
    <w:rsid w:val="00F60EB6"/>
    <w:rsid w:val="00F92B4F"/>
    <w:rsid w:val="00F95CF5"/>
    <w:rsid w:val="00FA7A4F"/>
    <w:rsid w:val="00FB7FDD"/>
    <w:rsid w:val="00FD4F3E"/>
    <w:rsid w:val="00FE0CF9"/>
    <w:rsid w:val="00FF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70BA724"/>
  <w15:docId w15:val="{1345D4A6-077B-4419-A893-EB2545F2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09A"/>
    <w:pPr>
      <w:spacing w:after="0"/>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BD0989"/>
    <w:pPr>
      <w:keepNext/>
      <w:jc w:val="center"/>
      <w:outlineLvl w:val="0"/>
    </w:pPr>
    <w:rPr>
      <w:b/>
    </w:rPr>
  </w:style>
  <w:style w:type="paragraph" w:styleId="Heading2">
    <w:name w:val="heading 2"/>
    <w:basedOn w:val="Normal"/>
    <w:next w:val="Normal"/>
    <w:link w:val="Heading2Char"/>
    <w:qFormat/>
    <w:rsid w:val="00BD0989"/>
    <w:pPr>
      <w:keepNext/>
      <w:outlineLvl w:val="1"/>
    </w:pPr>
    <w:rPr>
      <w:u w:val="single"/>
    </w:rPr>
  </w:style>
  <w:style w:type="paragraph" w:styleId="Heading3">
    <w:name w:val="heading 3"/>
    <w:basedOn w:val="Normal"/>
    <w:next w:val="Normal"/>
    <w:link w:val="Heading3Char"/>
    <w:uiPriority w:val="9"/>
    <w:semiHidden/>
    <w:unhideWhenUsed/>
    <w:qFormat/>
    <w:rsid w:val="00BD098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0989"/>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D0989"/>
    <w:rPr>
      <w:rFonts w:ascii="Times New Roman" w:eastAsia="Times New Roman" w:hAnsi="Times New Roman" w:cs="Times New Roman"/>
      <w:sz w:val="24"/>
      <w:szCs w:val="20"/>
      <w:u w:val="single"/>
      <w:lang w:eastAsia="en-GB"/>
    </w:rPr>
  </w:style>
  <w:style w:type="paragraph" w:styleId="BodyText">
    <w:name w:val="Body Text"/>
    <w:basedOn w:val="Normal"/>
    <w:link w:val="BodyTextChar"/>
    <w:rsid w:val="00BD0989"/>
    <w:pPr>
      <w:jc w:val="center"/>
    </w:pPr>
    <w:rPr>
      <w:b/>
    </w:rPr>
  </w:style>
  <w:style w:type="character" w:customStyle="1" w:styleId="BodyTextChar">
    <w:name w:val="Body Text Char"/>
    <w:basedOn w:val="DefaultParagraphFont"/>
    <w:link w:val="BodyText"/>
    <w:rsid w:val="00BD0989"/>
    <w:rPr>
      <w:rFonts w:ascii="Times New Roman" w:eastAsia="Times New Roman" w:hAnsi="Times New Roman" w:cs="Times New Roman"/>
      <w:b/>
      <w:sz w:val="24"/>
      <w:szCs w:val="20"/>
      <w:lang w:eastAsia="en-GB"/>
    </w:rPr>
  </w:style>
  <w:style w:type="table" w:styleId="TableGrid">
    <w:name w:val="Table Grid"/>
    <w:basedOn w:val="TableNormal"/>
    <w:uiPriority w:val="59"/>
    <w:rsid w:val="00BD09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D0989"/>
    <w:rPr>
      <w:rFonts w:asciiTheme="majorHAnsi" w:eastAsiaTheme="majorEastAsia" w:hAnsiTheme="majorHAnsi" w:cstheme="majorBidi"/>
      <w:b/>
      <w:bCs/>
      <w:color w:val="4F81BD" w:themeColor="accent1"/>
      <w:sz w:val="24"/>
      <w:szCs w:val="20"/>
      <w:lang w:eastAsia="en-GB"/>
    </w:rPr>
  </w:style>
  <w:style w:type="paragraph" w:styleId="ListParagraph">
    <w:name w:val="List Paragraph"/>
    <w:basedOn w:val="Normal"/>
    <w:uiPriority w:val="34"/>
    <w:qFormat/>
    <w:rsid w:val="007D01EC"/>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9374DA"/>
    <w:pPr>
      <w:spacing w:before="100" w:beforeAutospacing="1" w:after="100" w:afterAutospacing="1"/>
    </w:pPr>
    <w:rPr>
      <w:szCs w:val="24"/>
    </w:rPr>
  </w:style>
  <w:style w:type="paragraph" w:styleId="BalloonText">
    <w:name w:val="Balloon Text"/>
    <w:basedOn w:val="Normal"/>
    <w:link w:val="BalloonTextChar"/>
    <w:uiPriority w:val="99"/>
    <w:semiHidden/>
    <w:unhideWhenUsed/>
    <w:rsid w:val="00EB720A"/>
    <w:rPr>
      <w:rFonts w:ascii="Tahoma" w:hAnsi="Tahoma" w:cs="Tahoma"/>
      <w:sz w:val="16"/>
      <w:szCs w:val="16"/>
    </w:rPr>
  </w:style>
  <w:style w:type="character" w:customStyle="1" w:styleId="BalloonTextChar">
    <w:name w:val="Balloon Text Char"/>
    <w:basedOn w:val="DefaultParagraphFont"/>
    <w:link w:val="BalloonText"/>
    <w:uiPriority w:val="99"/>
    <w:semiHidden/>
    <w:rsid w:val="00EB720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B720A"/>
    <w:rPr>
      <w:sz w:val="16"/>
      <w:szCs w:val="16"/>
    </w:rPr>
  </w:style>
  <w:style w:type="paragraph" w:styleId="CommentText">
    <w:name w:val="annotation text"/>
    <w:basedOn w:val="Normal"/>
    <w:link w:val="CommentTextChar"/>
    <w:uiPriority w:val="99"/>
    <w:semiHidden/>
    <w:unhideWhenUsed/>
    <w:rsid w:val="00EB720A"/>
    <w:rPr>
      <w:sz w:val="20"/>
    </w:rPr>
  </w:style>
  <w:style w:type="character" w:customStyle="1" w:styleId="CommentTextChar">
    <w:name w:val="Comment Text Char"/>
    <w:basedOn w:val="DefaultParagraphFont"/>
    <w:link w:val="CommentText"/>
    <w:uiPriority w:val="99"/>
    <w:semiHidden/>
    <w:rsid w:val="00EB720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B720A"/>
    <w:rPr>
      <w:b/>
      <w:bCs/>
    </w:rPr>
  </w:style>
  <w:style w:type="character" w:customStyle="1" w:styleId="CommentSubjectChar">
    <w:name w:val="Comment Subject Char"/>
    <w:basedOn w:val="CommentTextChar"/>
    <w:link w:val="CommentSubject"/>
    <w:uiPriority w:val="99"/>
    <w:semiHidden/>
    <w:rsid w:val="00EB720A"/>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6000E5"/>
    <w:pPr>
      <w:tabs>
        <w:tab w:val="center" w:pos="4513"/>
        <w:tab w:val="right" w:pos="9026"/>
      </w:tabs>
    </w:pPr>
  </w:style>
  <w:style w:type="character" w:customStyle="1" w:styleId="HeaderChar">
    <w:name w:val="Header Char"/>
    <w:basedOn w:val="DefaultParagraphFont"/>
    <w:link w:val="Header"/>
    <w:uiPriority w:val="99"/>
    <w:rsid w:val="006000E5"/>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6000E5"/>
    <w:pPr>
      <w:tabs>
        <w:tab w:val="center" w:pos="4513"/>
        <w:tab w:val="right" w:pos="9026"/>
      </w:tabs>
    </w:pPr>
  </w:style>
  <w:style w:type="character" w:customStyle="1" w:styleId="FooterChar">
    <w:name w:val="Footer Char"/>
    <w:basedOn w:val="DefaultParagraphFont"/>
    <w:link w:val="Footer"/>
    <w:uiPriority w:val="99"/>
    <w:rsid w:val="006000E5"/>
    <w:rPr>
      <w:rFonts w:ascii="Times New Roman" w:eastAsia="Times New Roman" w:hAnsi="Times New Roman" w:cs="Times New Roman"/>
      <w:sz w:val="24"/>
      <w:szCs w:val="20"/>
      <w:lang w:eastAsia="en-GB"/>
    </w:rPr>
  </w:style>
  <w:style w:type="paragraph" w:styleId="Revision">
    <w:name w:val="Revision"/>
    <w:hidden/>
    <w:uiPriority w:val="99"/>
    <w:semiHidden/>
    <w:rsid w:val="00C6209A"/>
    <w:pPr>
      <w:spacing w:after="0"/>
    </w:pPr>
    <w:rPr>
      <w:rFonts w:ascii="Times New Roman" w:eastAsia="Times New Roman" w:hAnsi="Times New Roman" w:cs="Times New Roman"/>
      <w:sz w:val="24"/>
      <w:szCs w:val="20"/>
      <w:lang w:eastAsia="en-GB"/>
    </w:rPr>
  </w:style>
  <w:style w:type="paragraph" w:customStyle="1" w:styleId="Default">
    <w:name w:val="Default"/>
    <w:rsid w:val="00885F82"/>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2635">
      <w:bodyDiv w:val="1"/>
      <w:marLeft w:val="0"/>
      <w:marRight w:val="0"/>
      <w:marTop w:val="0"/>
      <w:marBottom w:val="0"/>
      <w:divBdr>
        <w:top w:val="none" w:sz="0" w:space="0" w:color="auto"/>
        <w:left w:val="none" w:sz="0" w:space="0" w:color="auto"/>
        <w:bottom w:val="none" w:sz="0" w:space="0" w:color="auto"/>
        <w:right w:val="none" w:sz="0" w:space="0" w:color="auto"/>
      </w:divBdr>
    </w:div>
    <w:div w:id="1733385177">
      <w:bodyDiv w:val="1"/>
      <w:marLeft w:val="0"/>
      <w:marRight w:val="0"/>
      <w:marTop w:val="0"/>
      <w:marBottom w:val="0"/>
      <w:divBdr>
        <w:top w:val="none" w:sz="0" w:space="0" w:color="auto"/>
        <w:left w:val="none" w:sz="0" w:space="0" w:color="auto"/>
        <w:bottom w:val="none" w:sz="0" w:space="0" w:color="auto"/>
        <w:right w:val="none" w:sz="0" w:space="0" w:color="auto"/>
      </w:divBdr>
    </w:div>
    <w:div w:id="185036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3909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Burgess</dc:creator>
  <cp:lastModifiedBy>Lorraine Hendry</cp:lastModifiedBy>
  <cp:revision>5</cp:revision>
  <cp:lastPrinted>2019-11-05T16:13:00Z</cp:lastPrinted>
  <dcterms:created xsi:type="dcterms:W3CDTF">2019-11-26T11:40:00Z</dcterms:created>
  <dcterms:modified xsi:type="dcterms:W3CDTF">2019-12-02T12:35:00Z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1345136192</vt:i4>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1345136192</vt:i4>
  </property>
</Properties>
</file>