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Layout w:type="fixed"/>
        <w:tblLook w:val="0000" w:firstRow="0" w:lastRow="0" w:firstColumn="0" w:lastColumn="0" w:noHBand="0" w:noVBand="0"/>
      </w:tblPr>
      <w:tblGrid>
        <w:gridCol w:w="6062"/>
        <w:gridCol w:w="3402"/>
      </w:tblGrid>
      <w:tr w:rsidR="007D5128" w:rsidRPr="00266AC3" w:rsidTr="00B444B0">
        <w:trPr>
          <w:cantSplit/>
          <w:trHeight w:val="993"/>
        </w:trPr>
        <w:tc>
          <w:tcPr>
            <w:tcW w:w="6062" w:type="dxa"/>
          </w:tcPr>
          <w:p w:rsidR="007D5128" w:rsidRPr="00266AC3" w:rsidRDefault="007D5128" w:rsidP="00922169">
            <w:pPr>
              <w:spacing w:after="0" w:line="240" w:lineRule="auto"/>
              <w:contextualSpacing/>
              <w:rPr>
                <w:rFonts w:ascii="Arial" w:hAnsi="Arial" w:cs="Arial"/>
                <w:b/>
                <w:sz w:val="24"/>
                <w:szCs w:val="24"/>
              </w:rPr>
            </w:pPr>
            <w:r w:rsidRPr="00266AC3">
              <w:rPr>
                <w:rFonts w:ascii="Arial" w:hAnsi="Arial" w:cs="Arial"/>
                <w:b/>
                <w:sz w:val="24"/>
                <w:szCs w:val="24"/>
              </w:rPr>
              <w:t xml:space="preserve">HIGH LIFE HIGHLAND </w:t>
            </w:r>
          </w:p>
          <w:p w:rsidR="007D5128" w:rsidRPr="00266AC3" w:rsidRDefault="007D5128" w:rsidP="00922169">
            <w:pPr>
              <w:spacing w:after="0" w:line="240" w:lineRule="auto"/>
              <w:contextualSpacing/>
              <w:rPr>
                <w:rFonts w:ascii="Arial" w:hAnsi="Arial" w:cs="Arial"/>
                <w:b/>
                <w:sz w:val="24"/>
                <w:szCs w:val="24"/>
              </w:rPr>
            </w:pPr>
            <w:r w:rsidRPr="00266AC3">
              <w:rPr>
                <w:rFonts w:ascii="Arial" w:hAnsi="Arial" w:cs="Arial"/>
                <w:b/>
                <w:sz w:val="24"/>
                <w:szCs w:val="24"/>
              </w:rPr>
              <w:t xml:space="preserve">REPORT TO </w:t>
            </w:r>
            <w:r w:rsidR="00502A2D">
              <w:rPr>
                <w:rFonts w:ascii="Arial" w:hAnsi="Arial" w:cs="Arial"/>
                <w:b/>
                <w:sz w:val="24"/>
                <w:szCs w:val="24"/>
              </w:rPr>
              <w:t>BOARD OF DIRECTORS</w:t>
            </w:r>
          </w:p>
          <w:p w:rsidR="007D5128" w:rsidRPr="00266AC3" w:rsidRDefault="00F26DDC" w:rsidP="00CD279F">
            <w:pPr>
              <w:spacing w:after="0" w:line="240" w:lineRule="auto"/>
              <w:contextualSpacing/>
              <w:rPr>
                <w:rFonts w:ascii="Arial" w:hAnsi="Arial" w:cs="Arial"/>
                <w:b/>
                <w:sz w:val="24"/>
                <w:szCs w:val="24"/>
              </w:rPr>
            </w:pPr>
            <w:r>
              <w:rPr>
                <w:rFonts w:ascii="Arial" w:hAnsi="Arial" w:cs="Arial"/>
                <w:b/>
                <w:sz w:val="24"/>
                <w:szCs w:val="24"/>
              </w:rPr>
              <w:t>11</w:t>
            </w:r>
            <w:r w:rsidR="00502A2D">
              <w:rPr>
                <w:rFonts w:ascii="Arial" w:hAnsi="Arial" w:cs="Arial"/>
                <w:b/>
                <w:sz w:val="24"/>
                <w:szCs w:val="24"/>
              </w:rPr>
              <w:t xml:space="preserve"> </w:t>
            </w:r>
            <w:r>
              <w:rPr>
                <w:rFonts w:ascii="Arial" w:hAnsi="Arial" w:cs="Arial"/>
                <w:b/>
                <w:sz w:val="24"/>
                <w:szCs w:val="24"/>
              </w:rPr>
              <w:t xml:space="preserve">December </w:t>
            </w:r>
            <w:r w:rsidR="00551437">
              <w:rPr>
                <w:rFonts w:ascii="Arial" w:hAnsi="Arial" w:cs="Arial"/>
                <w:b/>
                <w:sz w:val="24"/>
                <w:szCs w:val="24"/>
              </w:rPr>
              <w:t>201</w:t>
            </w:r>
            <w:r w:rsidR="005F0CC4">
              <w:rPr>
                <w:rFonts w:ascii="Arial" w:hAnsi="Arial" w:cs="Arial"/>
                <w:b/>
                <w:sz w:val="24"/>
                <w:szCs w:val="24"/>
              </w:rPr>
              <w:t>9</w:t>
            </w:r>
            <w:r w:rsidR="007D5128" w:rsidRPr="00266AC3">
              <w:rPr>
                <w:rFonts w:ascii="Arial" w:hAnsi="Arial" w:cs="Arial"/>
                <w:b/>
                <w:sz w:val="24"/>
                <w:szCs w:val="24"/>
              </w:rPr>
              <w:fldChar w:fldCharType="begin"/>
            </w:r>
            <w:r w:rsidR="007D5128" w:rsidRPr="00266AC3">
              <w:rPr>
                <w:rFonts w:ascii="Arial" w:hAnsi="Arial" w:cs="Arial"/>
                <w:b/>
                <w:sz w:val="24"/>
                <w:szCs w:val="24"/>
              </w:rPr>
              <w:instrText xml:space="preserve">  </w:instrText>
            </w:r>
            <w:r w:rsidR="007D5128" w:rsidRPr="00266AC3">
              <w:rPr>
                <w:rFonts w:ascii="Arial" w:hAnsi="Arial" w:cs="Arial"/>
                <w:sz w:val="24"/>
                <w:szCs w:val="24"/>
              </w:rPr>
              <w:fldChar w:fldCharType="end"/>
            </w:r>
          </w:p>
        </w:tc>
        <w:tc>
          <w:tcPr>
            <w:tcW w:w="3402" w:type="dxa"/>
          </w:tcPr>
          <w:p w:rsidR="00064112" w:rsidRDefault="007D5128" w:rsidP="00064112">
            <w:pPr>
              <w:spacing w:after="0" w:line="240" w:lineRule="auto"/>
              <w:contextualSpacing/>
              <w:rPr>
                <w:rFonts w:ascii="Arial" w:hAnsi="Arial" w:cs="Arial"/>
                <w:sz w:val="24"/>
                <w:szCs w:val="24"/>
              </w:rPr>
            </w:pPr>
            <w:r w:rsidRPr="00266AC3">
              <w:rPr>
                <w:rFonts w:ascii="Arial" w:hAnsi="Arial" w:cs="Arial"/>
                <w:sz w:val="24"/>
                <w:szCs w:val="24"/>
              </w:rPr>
              <w:t xml:space="preserve">AGENDA ITEM </w:t>
            </w:r>
          </w:p>
          <w:p w:rsidR="007D5128" w:rsidRPr="00266AC3" w:rsidRDefault="007D5128" w:rsidP="00064112">
            <w:pPr>
              <w:spacing w:after="0" w:line="240" w:lineRule="auto"/>
              <w:contextualSpacing/>
              <w:rPr>
                <w:rFonts w:ascii="Arial" w:hAnsi="Arial" w:cs="Arial"/>
                <w:sz w:val="24"/>
                <w:szCs w:val="24"/>
              </w:rPr>
            </w:pPr>
            <w:r w:rsidRPr="00266AC3">
              <w:rPr>
                <w:rFonts w:ascii="Arial" w:hAnsi="Arial" w:cs="Arial"/>
                <w:sz w:val="24"/>
                <w:szCs w:val="24"/>
              </w:rPr>
              <w:t xml:space="preserve">REPORT No </w:t>
            </w:r>
            <w:r w:rsidR="0096426A">
              <w:rPr>
                <w:rFonts w:ascii="Arial" w:hAnsi="Arial" w:cs="Arial"/>
                <w:sz w:val="24"/>
                <w:szCs w:val="24"/>
              </w:rPr>
              <w:t>HLH</w:t>
            </w:r>
            <w:r w:rsidR="00064112">
              <w:rPr>
                <w:rFonts w:ascii="Arial" w:hAnsi="Arial" w:cs="Arial"/>
                <w:sz w:val="24"/>
                <w:szCs w:val="24"/>
              </w:rPr>
              <w:t xml:space="preserve">   </w:t>
            </w:r>
            <w:r w:rsidR="00922169" w:rsidRPr="000B78EB">
              <w:rPr>
                <w:rFonts w:ascii="Arial" w:hAnsi="Arial" w:cs="Arial"/>
                <w:sz w:val="24"/>
                <w:szCs w:val="24"/>
              </w:rPr>
              <w:t>/1</w:t>
            </w:r>
            <w:r w:rsidR="005F0CC4">
              <w:rPr>
                <w:rFonts w:ascii="Arial" w:hAnsi="Arial" w:cs="Arial"/>
                <w:sz w:val="24"/>
                <w:szCs w:val="24"/>
              </w:rPr>
              <w:t>9</w:t>
            </w:r>
          </w:p>
        </w:tc>
      </w:tr>
    </w:tbl>
    <w:p w:rsidR="007D5128" w:rsidRPr="007D5128" w:rsidRDefault="007D5128" w:rsidP="007D5128">
      <w:pPr>
        <w:rPr>
          <w:rFonts w:ascii="Arial" w:hAnsi="Arial" w:cs="Arial"/>
          <w:b/>
          <w:sz w:val="24"/>
          <w:szCs w:val="24"/>
        </w:rPr>
      </w:pPr>
      <w:r w:rsidRPr="007D5128">
        <w:rPr>
          <w:rFonts w:ascii="Arial" w:hAnsi="Arial" w:cs="Arial"/>
          <w:b/>
          <w:sz w:val="24"/>
          <w:szCs w:val="24"/>
        </w:rPr>
        <w:t>FINANCE REPORT -   Report by Chief Executive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7D5128" w:rsidRPr="00266AC3" w:rsidTr="00B444B0">
        <w:trPr>
          <w:cantSplit/>
        </w:trPr>
        <w:tc>
          <w:tcPr>
            <w:tcW w:w="9464" w:type="dxa"/>
          </w:tcPr>
          <w:p w:rsidR="007D5128" w:rsidRPr="00266AC3" w:rsidRDefault="007D5128" w:rsidP="00922169">
            <w:pPr>
              <w:spacing w:after="0" w:line="240" w:lineRule="auto"/>
              <w:contextualSpacing/>
              <w:rPr>
                <w:rFonts w:ascii="Arial" w:hAnsi="Arial" w:cs="Arial"/>
                <w:b/>
                <w:sz w:val="24"/>
                <w:szCs w:val="24"/>
              </w:rPr>
            </w:pPr>
            <w:r w:rsidRPr="007D5128">
              <w:rPr>
                <w:rFonts w:ascii="Arial" w:hAnsi="Arial" w:cs="Arial"/>
                <w:b/>
                <w:sz w:val="24"/>
                <w:szCs w:val="24"/>
              </w:rPr>
              <w:fldChar w:fldCharType="begin"/>
            </w:r>
            <w:r w:rsidRPr="007D5128">
              <w:rPr>
                <w:rFonts w:ascii="Arial" w:hAnsi="Arial" w:cs="Arial"/>
                <w:b/>
                <w:sz w:val="24"/>
                <w:szCs w:val="24"/>
              </w:rPr>
              <w:instrText xml:space="preserve">  </w:instrText>
            </w:r>
            <w:r w:rsidRPr="007D5128">
              <w:rPr>
                <w:rFonts w:ascii="Arial" w:hAnsi="Arial" w:cs="Arial"/>
                <w:sz w:val="24"/>
                <w:szCs w:val="24"/>
              </w:rPr>
              <w:fldChar w:fldCharType="end"/>
            </w:r>
            <w:r w:rsidRPr="00266AC3">
              <w:rPr>
                <w:rFonts w:ascii="Arial" w:hAnsi="Arial" w:cs="Arial"/>
                <w:b/>
                <w:sz w:val="24"/>
                <w:szCs w:val="24"/>
              </w:rPr>
              <w:t>Summary</w:t>
            </w:r>
          </w:p>
          <w:p w:rsidR="007D5128" w:rsidRPr="00266AC3" w:rsidRDefault="007D5128" w:rsidP="00922169">
            <w:pPr>
              <w:spacing w:after="0" w:line="240" w:lineRule="auto"/>
              <w:contextualSpacing/>
              <w:rPr>
                <w:rFonts w:ascii="Arial" w:hAnsi="Arial" w:cs="Arial"/>
                <w:sz w:val="24"/>
                <w:szCs w:val="24"/>
              </w:rPr>
            </w:pPr>
          </w:p>
          <w:p w:rsidR="007D5128" w:rsidRPr="00266AC3" w:rsidRDefault="007D5128" w:rsidP="00D8300B">
            <w:pPr>
              <w:spacing w:after="0" w:line="240" w:lineRule="auto"/>
              <w:contextualSpacing/>
              <w:jc w:val="both"/>
              <w:rPr>
                <w:rFonts w:ascii="Arial" w:hAnsi="Arial" w:cs="Arial"/>
                <w:sz w:val="24"/>
                <w:szCs w:val="24"/>
              </w:rPr>
            </w:pPr>
            <w:r w:rsidRPr="00266AC3">
              <w:rPr>
                <w:rFonts w:ascii="Arial" w:hAnsi="Arial" w:cs="Arial"/>
                <w:sz w:val="24"/>
                <w:szCs w:val="24"/>
              </w:rPr>
              <w:t xml:space="preserve">The purpose of this report is to </w:t>
            </w:r>
            <w:bookmarkStart w:id="0" w:name="_Hlk25575490"/>
            <w:bookmarkStart w:id="1" w:name="_Hlk17102255"/>
            <w:r w:rsidRPr="00266AC3">
              <w:rPr>
                <w:rFonts w:ascii="Arial" w:hAnsi="Arial" w:cs="Arial"/>
                <w:sz w:val="24"/>
                <w:szCs w:val="24"/>
              </w:rPr>
              <w:t xml:space="preserve">update </w:t>
            </w:r>
            <w:r w:rsidR="00502A2D">
              <w:rPr>
                <w:rFonts w:ascii="Arial" w:hAnsi="Arial" w:cs="Arial"/>
                <w:sz w:val="24"/>
                <w:szCs w:val="24"/>
              </w:rPr>
              <w:t>Directors</w:t>
            </w:r>
            <w:r w:rsidRPr="00266AC3">
              <w:rPr>
                <w:rFonts w:ascii="Arial" w:hAnsi="Arial" w:cs="Arial"/>
                <w:sz w:val="24"/>
                <w:szCs w:val="24"/>
              </w:rPr>
              <w:t xml:space="preserve"> on the financial performance of High Life Highland </w:t>
            </w:r>
            <w:r w:rsidR="002D1684">
              <w:rPr>
                <w:rFonts w:ascii="Arial" w:hAnsi="Arial" w:cs="Arial"/>
                <w:sz w:val="24"/>
                <w:szCs w:val="24"/>
              </w:rPr>
              <w:t xml:space="preserve">for </w:t>
            </w:r>
            <w:r w:rsidR="00C3216F">
              <w:rPr>
                <w:rFonts w:ascii="Arial" w:hAnsi="Arial" w:cs="Arial"/>
                <w:sz w:val="24"/>
                <w:szCs w:val="24"/>
              </w:rPr>
              <w:t xml:space="preserve">Quarter 2 </w:t>
            </w:r>
            <w:r w:rsidR="00551437">
              <w:rPr>
                <w:rFonts w:ascii="Arial" w:hAnsi="Arial" w:cs="Arial"/>
                <w:sz w:val="24"/>
                <w:szCs w:val="24"/>
              </w:rPr>
              <w:t>201</w:t>
            </w:r>
            <w:r w:rsidR="00B72EF8">
              <w:rPr>
                <w:rFonts w:ascii="Arial" w:hAnsi="Arial" w:cs="Arial"/>
                <w:sz w:val="24"/>
                <w:szCs w:val="24"/>
              </w:rPr>
              <w:t>9</w:t>
            </w:r>
            <w:r w:rsidR="00551437">
              <w:rPr>
                <w:rFonts w:ascii="Arial" w:hAnsi="Arial" w:cs="Arial"/>
                <w:sz w:val="24"/>
                <w:szCs w:val="24"/>
              </w:rPr>
              <w:t>/</w:t>
            </w:r>
            <w:r w:rsidR="00B72EF8">
              <w:rPr>
                <w:rFonts w:ascii="Arial" w:hAnsi="Arial" w:cs="Arial"/>
                <w:sz w:val="24"/>
                <w:szCs w:val="24"/>
              </w:rPr>
              <w:t>20</w:t>
            </w:r>
            <w:r w:rsidR="002D1684">
              <w:rPr>
                <w:rFonts w:ascii="Arial" w:hAnsi="Arial" w:cs="Arial"/>
                <w:sz w:val="24"/>
                <w:szCs w:val="24"/>
              </w:rPr>
              <w:t xml:space="preserve"> </w:t>
            </w:r>
            <w:r w:rsidRPr="00266AC3">
              <w:rPr>
                <w:rFonts w:ascii="Arial" w:hAnsi="Arial" w:cs="Arial"/>
                <w:sz w:val="24"/>
                <w:szCs w:val="24"/>
              </w:rPr>
              <w:t xml:space="preserve">and other </w:t>
            </w:r>
            <w:r w:rsidR="00502A2D">
              <w:rPr>
                <w:rFonts w:ascii="Arial" w:hAnsi="Arial" w:cs="Arial"/>
                <w:sz w:val="24"/>
                <w:szCs w:val="24"/>
              </w:rPr>
              <w:t>relevant matters.</w:t>
            </w:r>
            <w:bookmarkEnd w:id="0"/>
          </w:p>
          <w:bookmarkEnd w:id="1"/>
          <w:p w:rsidR="007D5128" w:rsidRPr="00266AC3" w:rsidRDefault="007D5128" w:rsidP="00922169">
            <w:pPr>
              <w:spacing w:after="0" w:line="240" w:lineRule="auto"/>
              <w:contextualSpacing/>
              <w:rPr>
                <w:rFonts w:ascii="Arial" w:hAnsi="Arial" w:cs="Arial"/>
                <w:sz w:val="24"/>
                <w:szCs w:val="24"/>
              </w:rPr>
            </w:pPr>
          </w:p>
          <w:p w:rsidR="007D5128" w:rsidRDefault="007D5128" w:rsidP="00C3340D">
            <w:pPr>
              <w:spacing w:after="0" w:line="240" w:lineRule="auto"/>
              <w:contextualSpacing/>
              <w:jc w:val="both"/>
              <w:rPr>
                <w:rFonts w:ascii="Arial" w:hAnsi="Arial" w:cs="Arial"/>
                <w:sz w:val="24"/>
                <w:szCs w:val="24"/>
              </w:rPr>
            </w:pPr>
            <w:r w:rsidRPr="00266AC3">
              <w:rPr>
                <w:rFonts w:ascii="Arial" w:hAnsi="Arial" w:cs="Arial"/>
                <w:sz w:val="24"/>
                <w:szCs w:val="24"/>
              </w:rPr>
              <w:t xml:space="preserve">It is recommended that </w:t>
            </w:r>
            <w:r w:rsidR="00502A2D">
              <w:rPr>
                <w:rFonts w:ascii="Arial" w:hAnsi="Arial" w:cs="Arial"/>
                <w:sz w:val="24"/>
                <w:szCs w:val="24"/>
              </w:rPr>
              <w:t>Directors</w:t>
            </w:r>
            <w:r w:rsidR="00AF52F7">
              <w:rPr>
                <w:rFonts w:ascii="Arial" w:hAnsi="Arial" w:cs="Arial"/>
                <w:sz w:val="24"/>
                <w:szCs w:val="24"/>
              </w:rPr>
              <w:t xml:space="preserve"> note:</w:t>
            </w:r>
          </w:p>
          <w:p w:rsidR="000B78EB" w:rsidRDefault="000B78EB" w:rsidP="00C3340D">
            <w:pPr>
              <w:spacing w:after="0" w:line="240" w:lineRule="auto"/>
              <w:contextualSpacing/>
              <w:jc w:val="both"/>
              <w:rPr>
                <w:rFonts w:ascii="Arial" w:hAnsi="Arial" w:cs="Arial"/>
                <w:sz w:val="24"/>
                <w:szCs w:val="24"/>
              </w:rPr>
            </w:pPr>
          </w:p>
          <w:p w:rsidR="0090159C" w:rsidRPr="00E8058C" w:rsidRDefault="0090159C" w:rsidP="0090159C">
            <w:pPr>
              <w:numPr>
                <w:ilvl w:val="0"/>
                <w:numId w:val="2"/>
              </w:numPr>
              <w:spacing w:after="0" w:line="240" w:lineRule="auto"/>
              <w:contextualSpacing/>
              <w:jc w:val="both"/>
              <w:rPr>
                <w:rFonts w:ascii="Arial" w:hAnsi="Arial" w:cs="Arial"/>
                <w:sz w:val="24"/>
                <w:szCs w:val="24"/>
              </w:rPr>
            </w:pPr>
            <w:bookmarkStart w:id="2" w:name="_Hlk15041846"/>
            <w:bookmarkStart w:id="3" w:name="_Hlk17102319"/>
            <w:r w:rsidRPr="00E8058C">
              <w:rPr>
                <w:rFonts w:ascii="Arial" w:hAnsi="Arial" w:cs="Arial"/>
                <w:sz w:val="24"/>
                <w:szCs w:val="24"/>
              </w:rPr>
              <w:t xml:space="preserve">the results for the period April to September 2019 detailed in </w:t>
            </w:r>
            <w:r w:rsidRPr="00E8058C">
              <w:rPr>
                <w:rFonts w:ascii="Arial" w:hAnsi="Arial" w:cs="Arial"/>
                <w:b/>
                <w:sz w:val="24"/>
                <w:szCs w:val="24"/>
              </w:rPr>
              <w:t>Appendix A</w:t>
            </w:r>
            <w:r w:rsidRPr="00E8058C">
              <w:rPr>
                <w:rFonts w:ascii="Arial" w:hAnsi="Arial" w:cs="Arial"/>
                <w:sz w:val="24"/>
                <w:szCs w:val="24"/>
              </w:rPr>
              <w:t xml:space="preserve"> reports a negative variance to budget of £66K with the HLH year-end outturn forecast to be a negative variance to budget of circa £120K; </w:t>
            </w:r>
          </w:p>
          <w:p w:rsidR="0090159C" w:rsidRPr="00E8058C" w:rsidRDefault="0090159C" w:rsidP="0090159C">
            <w:pPr>
              <w:numPr>
                <w:ilvl w:val="0"/>
                <w:numId w:val="2"/>
              </w:numPr>
              <w:spacing w:after="0" w:line="240" w:lineRule="auto"/>
              <w:contextualSpacing/>
              <w:jc w:val="both"/>
              <w:rPr>
                <w:rFonts w:ascii="Arial" w:hAnsi="Arial" w:cs="Arial"/>
                <w:sz w:val="24"/>
                <w:szCs w:val="24"/>
              </w:rPr>
            </w:pPr>
            <w:r w:rsidRPr="00E8058C">
              <w:rPr>
                <w:rFonts w:ascii="Arial" w:hAnsi="Arial" w:cs="Arial"/>
                <w:sz w:val="24"/>
                <w:szCs w:val="24"/>
              </w:rPr>
              <w:t>the update on the planned management actions to mitigate the forecasted negative variance to budget;</w:t>
            </w:r>
          </w:p>
          <w:p w:rsidR="0090159C" w:rsidRPr="00E8058C" w:rsidRDefault="0090159C" w:rsidP="0090159C">
            <w:pPr>
              <w:numPr>
                <w:ilvl w:val="0"/>
                <w:numId w:val="2"/>
              </w:numPr>
              <w:spacing w:after="0" w:line="240" w:lineRule="auto"/>
              <w:contextualSpacing/>
              <w:jc w:val="both"/>
              <w:rPr>
                <w:rFonts w:ascii="Arial" w:hAnsi="Arial" w:cs="Arial"/>
                <w:sz w:val="24"/>
                <w:szCs w:val="24"/>
              </w:rPr>
            </w:pPr>
            <w:r w:rsidRPr="00E8058C">
              <w:rPr>
                <w:rFonts w:ascii="Arial" w:hAnsi="Arial" w:cs="Arial"/>
                <w:sz w:val="24"/>
                <w:szCs w:val="24"/>
              </w:rPr>
              <w:t>there has been no breach of internal controls reported in the past quarter;</w:t>
            </w:r>
          </w:p>
          <w:p w:rsidR="0090159C" w:rsidRPr="00E8058C" w:rsidRDefault="0090159C" w:rsidP="0090159C">
            <w:pPr>
              <w:numPr>
                <w:ilvl w:val="0"/>
                <w:numId w:val="2"/>
              </w:numPr>
              <w:spacing w:after="0" w:line="240" w:lineRule="auto"/>
              <w:contextualSpacing/>
              <w:jc w:val="both"/>
              <w:rPr>
                <w:rFonts w:ascii="Arial" w:hAnsi="Arial" w:cs="Arial"/>
                <w:sz w:val="24"/>
                <w:szCs w:val="24"/>
              </w:rPr>
            </w:pPr>
            <w:r w:rsidRPr="00E8058C">
              <w:rPr>
                <w:rFonts w:ascii="Arial" w:hAnsi="Arial" w:cs="Arial"/>
                <w:sz w:val="24"/>
                <w:szCs w:val="24"/>
              </w:rPr>
              <w:t xml:space="preserve">the update on the theft from Raigmore Community Centre; </w:t>
            </w:r>
          </w:p>
          <w:p w:rsidR="0090159C" w:rsidRPr="00E8058C" w:rsidRDefault="0090159C" w:rsidP="0090159C">
            <w:pPr>
              <w:numPr>
                <w:ilvl w:val="0"/>
                <w:numId w:val="2"/>
              </w:numPr>
              <w:spacing w:after="0" w:line="240" w:lineRule="auto"/>
              <w:contextualSpacing/>
              <w:jc w:val="both"/>
              <w:rPr>
                <w:rFonts w:ascii="Arial" w:hAnsi="Arial" w:cs="Arial"/>
                <w:sz w:val="24"/>
                <w:szCs w:val="24"/>
              </w:rPr>
            </w:pPr>
            <w:r w:rsidRPr="00E8058C">
              <w:rPr>
                <w:rFonts w:ascii="Arial" w:hAnsi="Arial" w:cs="Arial"/>
                <w:sz w:val="24"/>
                <w:szCs w:val="24"/>
              </w:rPr>
              <w:t xml:space="preserve">there has been one data breach reported in the last quarter;   </w:t>
            </w:r>
          </w:p>
          <w:p w:rsidR="00BB363C" w:rsidRDefault="0090159C" w:rsidP="0090159C">
            <w:pPr>
              <w:numPr>
                <w:ilvl w:val="0"/>
                <w:numId w:val="2"/>
              </w:numPr>
              <w:spacing w:after="0" w:line="240" w:lineRule="auto"/>
              <w:contextualSpacing/>
              <w:jc w:val="both"/>
              <w:rPr>
                <w:rFonts w:ascii="Arial" w:hAnsi="Arial" w:cs="Arial"/>
                <w:sz w:val="24"/>
                <w:szCs w:val="24"/>
              </w:rPr>
            </w:pPr>
            <w:r w:rsidRPr="00E8058C">
              <w:rPr>
                <w:rFonts w:ascii="Arial" w:hAnsi="Arial" w:cs="Arial"/>
                <w:sz w:val="24"/>
                <w:szCs w:val="24"/>
              </w:rPr>
              <w:t>the update on implementation of the 2018/19 financial audit recommendations</w:t>
            </w:r>
            <w:r w:rsidR="001D20E6">
              <w:rPr>
                <w:rFonts w:ascii="Arial" w:hAnsi="Arial" w:cs="Arial"/>
                <w:sz w:val="24"/>
                <w:szCs w:val="24"/>
              </w:rPr>
              <w:t>; and</w:t>
            </w:r>
            <w:r w:rsidRPr="00E8058C">
              <w:rPr>
                <w:rFonts w:ascii="Arial" w:hAnsi="Arial" w:cs="Arial"/>
                <w:sz w:val="24"/>
                <w:szCs w:val="24"/>
              </w:rPr>
              <w:t xml:space="preserve">   </w:t>
            </w:r>
            <w:bookmarkEnd w:id="2"/>
          </w:p>
          <w:p w:rsidR="00593C20" w:rsidRPr="0090159C" w:rsidRDefault="00593C20" w:rsidP="0090159C">
            <w:pPr>
              <w:numPr>
                <w:ilvl w:val="0"/>
                <w:numId w:val="2"/>
              </w:numPr>
              <w:spacing w:after="0" w:line="240" w:lineRule="auto"/>
              <w:contextualSpacing/>
              <w:jc w:val="both"/>
              <w:rPr>
                <w:rFonts w:ascii="Arial" w:hAnsi="Arial" w:cs="Arial"/>
                <w:sz w:val="24"/>
                <w:szCs w:val="24"/>
              </w:rPr>
            </w:pPr>
            <w:r w:rsidRPr="00593C20">
              <w:rPr>
                <w:rFonts w:ascii="Arial" w:hAnsi="Arial" w:cs="Arial"/>
                <w:sz w:val="24"/>
                <w:szCs w:val="24"/>
              </w:rPr>
              <w:t xml:space="preserve">the award of contracts as detailed in </w:t>
            </w:r>
            <w:r w:rsidRPr="00593C20">
              <w:rPr>
                <w:rFonts w:ascii="Arial" w:hAnsi="Arial" w:cs="Arial"/>
                <w:b/>
                <w:sz w:val="24"/>
                <w:szCs w:val="24"/>
              </w:rPr>
              <w:t xml:space="preserve">paragraph </w:t>
            </w:r>
            <w:r>
              <w:rPr>
                <w:rFonts w:ascii="Arial" w:hAnsi="Arial" w:cs="Arial"/>
                <w:b/>
                <w:sz w:val="24"/>
                <w:szCs w:val="24"/>
              </w:rPr>
              <w:t>8</w:t>
            </w:r>
            <w:r w:rsidRPr="00593C20">
              <w:rPr>
                <w:rFonts w:ascii="Arial" w:hAnsi="Arial" w:cs="Arial"/>
                <w:b/>
                <w:sz w:val="24"/>
                <w:szCs w:val="24"/>
              </w:rPr>
              <w:t>.1</w:t>
            </w:r>
            <w:r w:rsidRPr="00593C20">
              <w:rPr>
                <w:rFonts w:ascii="Arial" w:hAnsi="Arial" w:cs="Arial"/>
                <w:sz w:val="24"/>
                <w:szCs w:val="24"/>
              </w:rPr>
              <w:t>.</w:t>
            </w:r>
          </w:p>
          <w:bookmarkEnd w:id="3"/>
          <w:p w:rsidR="007D5128" w:rsidRPr="00266AC3" w:rsidRDefault="007D5128" w:rsidP="00922169">
            <w:pPr>
              <w:spacing w:after="0" w:line="240" w:lineRule="auto"/>
              <w:contextualSpacing/>
              <w:rPr>
                <w:rFonts w:ascii="Arial" w:hAnsi="Arial" w:cs="Arial"/>
                <w:sz w:val="24"/>
                <w:szCs w:val="24"/>
              </w:rPr>
            </w:pPr>
            <w:r w:rsidRPr="00266AC3">
              <w:rPr>
                <w:rFonts w:ascii="Arial" w:hAnsi="Arial" w:cs="Arial"/>
                <w:sz w:val="24"/>
                <w:szCs w:val="24"/>
              </w:rPr>
              <w:fldChar w:fldCharType="begin"/>
            </w:r>
            <w:r w:rsidRPr="00266AC3">
              <w:rPr>
                <w:rFonts w:ascii="Arial" w:hAnsi="Arial" w:cs="Arial"/>
                <w:sz w:val="24"/>
                <w:szCs w:val="24"/>
              </w:rPr>
              <w:instrText xml:space="preserve">  </w:instrText>
            </w:r>
            <w:r w:rsidRPr="00266AC3">
              <w:rPr>
                <w:rFonts w:ascii="Arial" w:hAnsi="Arial" w:cs="Arial"/>
                <w:sz w:val="24"/>
                <w:szCs w:val="24"/>
              </w:rPr>
              <w:fldChar w:fldCharType="end"/>
            </w:r>
          </w:p>
        </w:tc>
      </w:tr>
    </w:tbl>
    <w:p w:rsidR="007D5128" w:rsidRPr="007D5128" w:rsidRDefault="007D5128" w:rsidP="00922169">
      <w:pPr>
        <w:spacing w:after="0" w:line="240" w:lineRule="auto"/>
        <w:contextualSpacing/>
        <w:rPr>
          <w:rFonts w:ascii="Arial" w:hAnsi="Arial" w:cs="Arial"/>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647"/>
      </w:tblGrid>
      <w:tr w:rsidR="007D5128" w:rsidRPr="00266AC3" w:rsidTr="00BD0BD8">
        <w:tc>
          <w:tcPr>
            <w:tcW w:w="851" w:type="dxa"/>
            <w:tcBorders>
              <w:top w:val="nil"/>
              <w:left w:val="nil"/>
              <w:bottom w:val="nil"/>
              <w:right w:val="nil"/>
            </w:tcBorders>
          </w:tcPr>
          <w:p w:rsidR="007D5128" w:rsidRPr="00266AC3" w:rsidRDefault="007D5128" w:rsidP="00922169">
            <w:pPr>
              <w:spacing w:after="0" w:line="240" w:lineRule="auto"/>
              <w:contextualSpacing/>
              <w:rPr>
                <w:rFonts w:ascii="Arial" w:hAnsi="Arial" w:cs="Arial"/>
                <w:b/>
                <w:sz w:val="24"/>
                <w:szCs w:val="24"/>
              </w:rPr>
            </w:pPr>
            <w:r w:rsidRPr="00266AC3">
              <w:rPr>
                <w:rFonts w:ascii="Arial" w:hAnsi="Arial" w:cs="Arial"/>
                <w:b/>
                <w:sz w:val="24"/>
                <w:szCs w:val="24"/>
              </w:rPr>
              <w:t>1.</w:t>
            </w:r>
          </w:p>
          <w:p w:rsidR="007D5128" w:rsidRPr="00266AC3" w:rsidRDefault="007D5128" w:rsidP="00922169">
            <w:pPr>
              <w:spacing w:after="0" w:line="240" w:lineRule="auto"/>
              <w:contextualSpacing/>
              <w:rPr>
                <w:rFonts w:ascii="Arial" w:hAnsi="Arial" w:cs="Arial"/>
                <w:b/>
                <w:sz w:val="24"/>
                <w:szCs w:val="24"/>
              </w:rPr>
            </w:pPr>
          </w:p>
          <w:p w:rsidR="007D5128" w:rsidRPr="00266AC3" w:rsidRDefault="007D5128" w:rsidP="00922169">
            <w:pPr>
              <w:spacing w:after="0" w:line="240" w:lineRule="auto"/>
              <w:contextualSpacing/>
              <w:rPr>
                <w:rFonts w:ascii="Arial" w:hAnsi="Arial" w:cs="Arial"/>
                <w:sz w:val="24"/>
                <w:szCs w:val="24"/>
              </w:rPr>
            </w:pPr>
            <w:r w:rsidRPr="00266AC3">
              <w:rPr>
                <w:rFonts w:ascii="Arial" w:hAnsi="Arial" w:cs="Arial"/>
                <w:sz w:val="24"/>
                <w:szCs w:val="24"/>
              </w:rPr>
              <w:t>1.1</w:t>
            </w:r>
          </w:p>
        </w:tc>
        <w:tc>
          <w:tcPr>
            <w:tcW w:w="8647" w:type="dxa"/>
            <w:tcBorders>
              <w:top w:val="nil"/>
              <w:left w:val="nil"/>
              <w:bottom w:val="nil"/>
              <w:right w:val="nil"/>
            </w:tcBorders>
          </w:tcPr>
          <w:p w:rsidR="007D5128" w:rsidRPr="00266AC3" w:rsidRDefault="007D5128" w:rsidP="005205B0">
            <w:pPr>
              <w:spacing w:after="0" w:line="240" w:lineRule="auto"/>
              <w:contextualSpacing/>
              <w:jc w:val="both"/>
              <w:rPr>
                <w:rFonts w:ascii="Arial" w:hAnsi="Arial" w:cs="Arial"/>
                <w:b/>
                <w:sz w:val="24"/>
                <w:szCs w:val="24"/>
              </w:rPr>
            </w:pPr>
            <w:r w:rsidRPr="00266AC3">
              <w:rPr>
                <w:rFonts w:ascii="Arial" w:hAnsi="Arial" w:cs="Arial"/>
                <w:b/>
                <w:sz w:val="24"/>
                <w:szCs w:val="24"/>
              </w:rPr>
              <w:t>Business Plan Contribution</w:t>
            </w:r>
          </w:p>
          <w:p w:rsidR="007D5128" w:rsidRPr="00266AC3" w:rsidRDefault="007D5128" w:rsidP="005205B0">
            <w:pPr>
              <w:spacing w:after="0" w:line="240" w:lineRule="auto"/>
              <w:contextualSpacing/>
              <w:jc w:val="both"/>
              <w:rPr>
                <w:rFonts w:ascii="Arial" w:hAnsi="Arial" w:cs="Arial"/>
                <w:b/>
                <w:sz w:val="24"/>
                <w:szCs w:val="24"/>
              </w:rPr>
            </w:pPr>
          </w:p>
          <w:p w:rsidR="007D5128" w:rsidRPr="00266AC3" w:rsidRDefault="007D5128" w:rsidP="005205B0">
            <w:pPr>
              <w:spacing w:after="0" w:line="240" w:lineRule="auto"/>
              <w:contextualSpacing/>
              <w:jc w:val="both"/>
              <w:rPr>
                <w:rFonts w:ascii="Arial" w:hAnsi="Arial" w:cs="Arial"/>
                <w:sz w:val="24"/>
                <w:szCs w:val="24"/>
              </w:rPr>
            </w:pPr>
            <w:r w:rsidRPr="00266AC3">
              <w:rPr>
                <w:rFonts w:ascii="Arial" w:hAnsi="Arial" w:cs="Arial"/>
                <w:sz w:val="24"/>
                <w:szCs w:val="24"/>
              </w:rPr>
              <w:t>This report supports the highlighted Business Outcomes from the High Life Highland (HLH) Business Plan:</w:t>
            </w:r>
          </w:p>
          <w:p w:rsidR="007D5128" w:rsidRPr="002B542C" w:rsidRDefault="007D5128" w:rsidP="005205B0">
            <w:pPr>
              <w:spacing w:after="0" w:line="240" w:lineRule="auto"/>
              <w:contextualSpacing/>
              <w:jc w:val="both"/>
              <w:rPr>
                <w:rFonts w:ascii="Arial" w:hAnsi="Arial" w:cs="Arial"/>
                <w:b/>
                <w:sz w:val="24"/>
                <w:szCs w:val="24"/>
              </w:rPr>
            </w:pPr>
          </w:p>
          <w:p w:rsidR="00F15473" w:rsidRPr="00F15473" w:rsidRDefault="00F15473" w:rsidP="00F15473">
            <w:pPr>
              <w:numPr>
                <w:ilvl w:val="0"/>
                <w:numId w:val="1"/>
              </w:numPr>
              <w:spacing w:after="0" w:line="240" w:lineRule="auto"/>
              <w:contextualSpacing/>
              <w:jc w:val="both"/>
              <w:rPr>
                <w:rFonts w:ascii="Arial" w:hAnsi="Arial" w:cs="Arial"/>
                <w:bCs/>
                <w:sz w:val="24"/>
                <w:szCs w:val="24"/>
              </w:rPr>
            </w:pPr>
            <w:r w:rsidRPr="00F15473">
              <w:rPr>
                <w:rFonts w:ascii="Arial" w:hAnsi="Arial" w:cs="Arial"/>
                <w:bCs/>
                <w:sz w:val="24"/>
                <w:szCs w:val="24"/>
              </w:rPr>
              <w:t>Sustain a high standard of health and safety, and environmental performance</w:t>
            </w:r>
          </w:p>
          <w:p w:rsidR="00F15473" w:rsidRPr="00F15473" w:rsidRDefault="00F15473" w:rsidP="00F15473">
            <w:pPr>
              <w:numPr>
                <w:ilvl w:val="0"/>
                <w:numId w:val="1"/>
              </w:numPr>
              <w:spacing w:after="0" w:line="240" w:lineRule="auto"/>
              <w:contextualSpacing/>
              <w:jc w:val="both"/>
              <w:rPr>
                <w:rFonts w:ascii="Arial" w:hAnsi="Arial" w:cs="Arial"/>
                <w:b/>
                <w:bCs/>
                <w:sz w:val="24"/>
                <w:szCs w:val="24"/>
              </w:rPr>
            </w:pPr>
            <w:r w:rsidRPr="00F15473">
              <w:rPr>
                <w:rFonts w:ascii="Arial" w:hAnsi="Arial" w:cs="Arial"/>
                <w:b/>
                <w:bCs/>
                <w:sz w:val="24"/>
                <w:szCs w:val="24"/>
              </w:rPr>
              <w:t>Implement the Service Delivery Contract with THC</w:t>
            </w:r>
          </w:p>
          <w:p w:rsidR="00F15473" w:rsidRPr="00F15473" w:rsidRDefault="00F15473" w:rsidP="00F15473">
            <w:pPr>
              <w:numPr>
                <w:ilvl w:val="0"/>
                <w:numId w:val="1"/>
              </w:numPr>
              <w:spacing w:after="0" w:line="240" w:lineRule="auto"/>
              <w:contextualSpacing/>
              <w:jc w:val="both"/>
              <w:rPr>
                <w:rFonts w:ascii="Arial" w:hAnsi="Arial" w:cs="Arial"/>
                <w:bCs/>
                <w:sz w:val="24"/>
                <w:szCs w:val="24"/>
              </w:rPr>
            </w:pPr>
            <w:r w:rsidRPr="00F15473">
              <w:rPr>
                <w:rFonts w:ascii="Arial" w:hAnsi="Arial" w:cs="Arial"/>
                <w:bCs/>
                <w:sz w:val="24"/>
                <w:szCs w:val="24"/>
              </w:rPr>
              <w:t>Improving customer engagement and satisfaction</w:t>
            </w:r>
          </w:p>
          <w:p w:rsidR="00F15473" w:rsidRPr="00F15473" w:rsidRDefault="00F15473" w:rsidP="00F15473">
            <w:pPr>
              <w:numPr>
                <w:ilvl w:val="0"/>
                <w:numId w:val="1"/>
              </w:numPr>
              <w:spacing w:after="0" w:line="240" w:lineRule="auto"/>
              <w:contextualSpacing/>
              <w:jc w:val="both"/>
              <w:rPr>
                <w:rFonts w:ascii="Arial" w:hAnsi="Arial" w:cs="Arial"/>
                <w:bCs/>
                <w:sz w:val="24"/>
                <w:szCs w:val="24"/>
              </w:rPr>
            </w:pPr>
            <w:r w:rsidRPr="00F15473">
              <w:rPr>
                <w:rFonts w:ascii="Arial" w:hAnsi="Arial" w:cs="Arial"/>
                <w:bCs/>
                <w:sz w:val="24"/>
                <w:szCs w:val="24"/>
              </w:rPr>
              <w:t>Improving staff engagement and satisfaction</w:t>
            </w:r>
          </w:p>
          <w:p w:rsidR="00F15473" w:rsidRPr="00F15473" w:rsidRDefault="00F15473" w:rsidP="00F15473">
            <w:pPr>
              <w:numPr>
                <w:ilvl w:val="0"/>
                <w:numId w:val="1"/>
              </w:numPr>
              <w:spacing w:after="0" w:line="240" w:lineRule="auto"/>
              <w:contextualSpacing/>
              <w:jc w:val="both"/>
              <w:rPr>
                <w:rFonts w:ascii="Arial" w:hAnsi="Arial" w:cs="Arial"/>
                <w:bCs/>
                <w:sz w:val="24"/>
                <w:szCs w:val="24"/>
              </w:rPr>
            </w:pPr>
            <w:r w:rsidRPr="00F15473">
              <w:rPr>
                <w:rFonts w:ascii="Arial" w:hAnsi="Arial" w:cs="Arial"/>
                <w:bCs/>
                <w:sz w:val="24"/>
                <w:szCs w:val="24"/>
              </w:rPr>
              <w:t>Enhance the positive charity image</w:t>
            </w:r>
          </w:p>
          <w:p w:rsidR="00F15473" w:rsidRPr="00F15473" w:rsidRDefault="00F15473" w:rsidP="00F15473">
            <w:pPr>
              <w:numPr>
                <w:ilvl w:val="0"/>
                <w:numId w:val="1"/>
              </w:numPr>
              <w:spacing w:after="0" w:line="240" w:lineRule="auto"/>
              <w:contextualSpacing/>
              <w:jc w:val="both"/>
              <w:rPr>
                <w:rFonts w:ascii="Arial" w:hAnsi="Arial" w:cs="Arial"/>
                <w:b/>
                <w:bCs/>
                <w:sz w:val="24"/>
                <w:szCs w:val="24"/>
              </w:rPr>
            </w:pPr>
            <w:r w:rsidRPr="00F15473">
              <w:rPr>
                <w:rFonts w:ascii="Arial" w:hAnsi="Arial" w:cs="Arial"/>
                <w:b/>
                <w:bCs/>
                <w:sz w:val="24"/>
                <w:szCs w:val="24"/>
              </w:rPr>
              <w:t>Be a trusted and effective partner</w:t>
            </w:r>
          </w:p>
          <w:p w:rsidR="00F15473" w:rsidRPr="00F15473" w:rsidRDefault="00F15473" w:rsidP="00F15473">
            <w:pPr>
              <w:numPr>
                <w:ilvl w:val="0"/>
                <w:numId w:val="1"/>
              </w:numPr>
              <w:spacing w:after="0" w:line="240" w:lineRule="auto"/>
              <w:contextualSpacing/>
              <w:jc w:val="both"/>
              <w:rPr>
                <w:rFonts w:ascii="Arial" w:hAnsi="Arial" w:cs="Arial"/>
                <w:b/>
                <w:bCs/>
                <w:sz w:val="24"/>
                <w:szCs w:val="24"/>
              </w:rPr>
            </w:pPr>
            <w:r w:rsidRPr="00F15473">
              <w:rPr>
                <w:rFonts w:ascii="Arial" w:hAnsi="Arial" w:cs="Arial"/>
                <w:b/>
                <w:bCs/>
                <w:sz w:val="24"/>
                <w:szCs w:val="24"/>
              </w:rPr>
              <w:t>Achieve sustainable growth across the organisation</w:t>
            </w:r>
          </w:p>
          <w:p w:rsidR="00F15473" w:rsidRPr="00F15473" w:rsidRDefault="00F15473" w:rsidP="00F15473">
            <w:pPr>
              <w:numPr>
                <w:ilvl w:val="0"/>
                <w:numId w:val="1"/>
              </w:numPr>
              <w:spacing w:after="0" w:line="240" w:lineRule="auto"/>
              <w:contextualSpacing/>
              <w:jc w:val="both"/>
              <w:rPr>
                <w:rFonts w:ascii="Arial" w:hAnsi="Arial" w:cs="Arial"/>
                <w:bCs/>
                <w:sz w:val="24"/>
                <w:szCs w:val="24"/>
              </w:rPr>
            </w:pPr>
            <w:r w:rsidRPr="00F15473">
              <w:rPr>
                <w:rFonts w:ascii="Arial" w:hAnsi="Arial" w:cs="Arial"/>
                <w:bCs/>
                <w:sz w:val="24"/>
                <w:szCs w:val="24"/>
              </w:rPr>
              <w:t>Develop health and wellbeing across Highland communities</w:t>
            </w:r>
          </w:p>
          <w:p w:rsidR="00F15473" w:rsidRPr="00F15473" w:rsidRDefault="00F15473" w:rsidP="00F15473">
            <w:pPr>
              <w:numPr>
                <w:ilvl w:val="0"/>
                <w:numId w:val="1"/>
              </w:numPr>
              <w:spacing w:after="0" w:line="240" w:lineRule="auto"/>
              <w:contextualSpacing/>
              <w:jc w:val="both"/>
              <w:rPr>
                <w:rFonts w:ascii="Arial" w:hAnsi="Arial" w:cs="Arial"/>
                <w:bCs/>
                <w:sz w:val="24"/>
                <w:szCs w:val="24"/>
              </w:rPr>
            </w:pPr>
            <w:r w:rsidRPr="00F15473">
              <w:rPr>
                <w:rFonts w:ascii="Arial" w:hAnsi="Arial" w:cs="Arial"/>
                <w:bCs/>
                <w:sz w:val="24"/>
                <w:szCs w:val="24"/>
              </w:rPr>
              <w:t>Develop and promote the High Life brand</w:t>
            </w:r>
          </w:p>
          <w:p w:rsidR="007D5128" w:rsidRPr="00266AC3" w:rsidRDefault="007D5128" w:rsidP="005205B0">
            <w:pPr>
              <w:spacing w:after="0" w:line="240" w:lineRule="auto"/>
              <w:ind w:left="720"/>
              <w:contextualSpacing/>
              <w:jc w:val="both"/>
              <w:rPr>
                <w:rFonts w:ascii="Arial" w:hAnsi="Arial" w:cs="Arial"/>
                <w:bCs/>
                <w:sz w:val="24"/>
                <w:szCs w:val="24"/>
              </w:rPr>
            </w:pPr>
          </w:p>
        </w:tc>
      </w:tr>
      <w:tr w:rsidR="007D5128" w:rsidRPr="00266AC3" w:rsidTr="00BD0BD8">
        <w:tc>
          <w:tcPr>
            <w:tcW w:w="851" w:type="dxa"/>
            <w:tcBorders>
              <w:top w:val="nil"/>
              <w:left w:val="nil"/>
              <w:bottom w:val="nil"/>
              <w:right w:val="nil"/>
            </w:tcBorders>
          </w:tcPr>
          <w:p w:rsidR="007D5128" w:rsidRPr="00266AC3" w:rsidRDefault="007D5128" w:rsidP="00922169">
            <w:pPr>
              <w:spacing w:after="0" w:line="240" w:lineRule="auto"/>
              <w:contextualSpacing/>
              <w:rPr>
                <w:rFonts w:ascii="Arial" w:hAnsi="Arial" w:cs="Arial"/>
                <w:b/>
                <w:sz w:val="24"/>
                <w:szCs w:val="24"/>
              </w:rPr>
            </w:pPr>
            <w:r w:rsidRPr="00266AC3">
              <w:rPr>
                <w:rFonts w:ascii="Arial" w:hAnsi="Arial" w:cs="Arial"/>
                <w:b/>
                <w:sz w:val="24"/>
                <w:szCs w:val="24"/>
              </w:rPr>
              <w:t>2.</w:t>
            </w:r>
          </w:p>
        </w:tc>
        <w:tc>
          <w:tcPr>
            <w:tcW w:w="8647" w:type="dxa"/>
            <w:tcBorders>
              <w:top w:val="nil"/>
              <w:left w:val="nil"/>
              <w:bottom w:val="nil"/>
              <w:right w:val="nil"/>
            </w:tcBorders>
          </w:tcPr>
          <w:p w:rsidR="007D5128" w:rsidRPr="00266AC3" w:rsidRDefault="007D5128" w:rsidP="005205B0">
            <w:pPr>
              <w:spacing w:after="0" w:line="240" w:lineRule="auto"/>
              <w:contextualSpacing/>
              <w:jc w:val="both"/>
              <w:rPr>
                <w:rFonts w:ascii="Arial" w:hAnsi="Arial" w:cs="Arial"/>
                <w:b/>
                <w:sz w:val="24"/>
                <w:szCs w:val="24"/>
              </w:rPr>
            </w:pPr>
            <w:r w:rsidRPr="00266AC3">
              <w:rPr>
                <w:rFonts w:ascii="Arial" w:hAnsi="Arial" w:cs="Arial"/>
                <w:b/>
                <w:sz w:val="24"/>
                <w:szCs w:val="24"/>
              </w:rPr>
              <w:t>Background</w:t>
            </w:r>
          </w:p>
          <w:p w:rsidR="007D5128" w:rsidRPr="00266AC3" w:rsidRDefault="007D5128" w:rsidP="005205B0">
            <w:pPr>
              <w:spacing w:after="0" w:line="240" w:lineRule="auto"/>
              <w:contextualSpacing/>
              <w:jc w:val="both"/>
              <w:rPr>
                <w:rFonts w:ascii="Arial" w:hAnsi="Arial" w:cs="Arial"/>
                <w:b/>
                <w:sz w:val="24"/>
                <w:szCs w:val="24"/>
              </w:rPr>
            </w:pPr>
          </w:p>
        </w:tc>
      </w:tr>
      <w:tr w:rsidR="007D5128" w:rsidRPr="00266AC3" w:rsidTr="00BD0BD8">
        <w:tc>
          <w:tcPr>
            <w:tcW w:w="851" w:type="dxa"/>
            <w:tcBorders>
              <w:top w:val="nil"/>
              <w:left w:val="nil"/>
              <w:bottom w:val="nil"/>
              <w:right w:val="nil"/>
            </w:tcBorders>
          </w:tcPr>
          <w:p w:rsidR="007D5128" w:rsidRDefault="007D5128" w:rsidP="00922169">
            <w:pPr>
              <w:spacing w:after="0" w:line="240" w:lineRule="auto"/>
              <w:contextualSpacing/>
              <w:rPr>
                <w:rFonts w:ascii="Arial" w:hAnsi="Arial" w:cs="Arial"/>
                <w:sz w:val="24"/>
                <w:szCs w:val="24"/>
              </w:rPr>
            </w:pPr>
            <w:r w:rsidRPr="00266AC3">
              <w:rPr>
                <w:rFonts w:ascii="Arial" w:hAnsi="Arial" w:cs="Arial"/>
                <w:sz w:val="24"/>
                <w:szCs w:val="24"/>
              </w:rPr>
              <w:t>2.1</w:t>
            </w:r>
          </w:p>
          <w:p w:rsidR="008F46B3" w:rsidRDefault="008F46B3" w:rsidP="00922169">
            <w:pPr>
              <w:spacing w:after="0" w:line="240" w:lineRule="auto"/>
              <w:contextualSpacing/>
              <w:rPr>
                <w:rFonts w:ascii="Arial" w:hAnsi="Arial" w:cs="Arial"/>
                <w:sz w:val="24"/>
                <w:szCs w:val="24"/>
              </w:rPr>
            </w:pPr>
          </w:p>
          <w:p w:rsidR="00034002" w:rsidRDefault="00034002" w:rsidP="00922169">
            <w:pPr>
              <w:spacing w:after="0" w:line="240" w:lineRule="auto"/>
              <w:contextualSpacing/>
              <w:rPr>
                <w:rFonts w:ascii="Arial" w:hAnsi="Arial" w:cs="Arial"/>
                <w:sz w:val="24"/>
                <w:szCs w:val="24"/>
              </w:rPr>
            </w:pPr>
          </w:p>
          <w:p w:rsidR="00064112" w:rsidRDefault="00064112" w:rsidP="00922169">
            <w:pPr>
              <w:spacing w:after="0" w:line="240" w:lineRule="auto"/>
              <w:contextualSpacing/>
              <w:rPr>
                <w:rFonts w:ascii="Arial" w:hAnsi="Arial" w:cs="Arial"/>
                <w:sz w:val="24"/>
                <w:szCs w:val="24"/>
              </w:rPr>
            </w:pPr>
          </w:p>
          <w:p w:rsidR="008F46B3" w:rsidRPr="00266AC3" w:rsidRDefault="008F46B3" w:rsidP="00922169">
            <w:pPr>
              <w:spacing w:after="0" w:line="240" w:lineRule="auto"/>
              <w:contextualSpacing/>
              <w:rPr>
                <w:rFonts w:ascii="Arial" w:hAnsi="Arial" w:cs="Arial"/>
                <w:sz w:val="24"/>
                <w:szCs w:val="24"/>
              </w:rPr>
            </w:pPr>
            <w:r>
              <w:rPr>
                <w:rFonts w:ascii="Arial" w:hAnsi="Arial" w:cs="Arial"/>
                <w:sz w:val="24"/>
                <w:szCs w:val="24"/>
              </w:rPr>
              <w:t>2.2</w:t>
            </w:r>
          </w:p>
        </w:tc>
        <w:tc>
          <w:tcPr>
            <w:tcW w:w="8647" w:type="dxa"/>
            <w:tcBorders>
              <w:top w:val="nil"/>
              <w:left w:val="nil"/>
              <w:bottom w:val="nil"/>
              <w:right w:val="nil"/>
            </w:tcBorders>
          </w:tcPr>
          <w:p w:rsidR="007D5128" w:rsidRDefault="00502A2D" w:rsidP="005205B0">
            <w:pPr>
              <w:spacing w:after="0" w:line="240" w:lineRule="auto"/>
              <w:contextualSpacing/>
              <w:jc w:val="both"/>
              <w:rPr>
                <w:rFonts w:ascii="Arial" w:hAnsi="Arial" w:cs="Arial"/>
                <w:sz w:val="24"/>
                <w:szCs w:val="24"/>
              </w:rPr>
            </w:pPr>
            <w:r>
              <w:rPr>
                <w:rFonts w:ascii="Arial" w:hAnsi="Arial" w:cs="Arial"/>
                <w:sz w:val="24"/>
                <w:szCs w:val="24"/>
              </w:rPr>
              <w:t>Directors of HLH receive a Finance Report on a quarterly basis. The primary purpose of the report is to summarise the financial performance of the charity and its subsidiaries.</w:t>
            </w:r>
          </w:p>
          <w:p w:rsidR="00064112" w:rsidRDefault="00064112" w:rsidP="005205B0">
            <w:pPr>
              <w:spacing w:after="0" w:line="240" w:lineRule="auto"/>
              <w:contextualSpacing/>
              <w:jc w:val="both"/>
              <w:rPr>
                <w:rFonts w:ascii="Arial" w:hAnsi="Arial" w:cs="Arial"/>
                <w:sz w:val="24"/>
                <w:szCs w:val="24"/>
              </w:rPr>
            </w:pPr>
          </w:p>
          <w:p w:rsidR="00F15473" w:rsidRPr="00266AC3" w:rsidRDefault="00034002" w:rsidP="00B72EF8">
            <w:pPr>
              <w:spacing w:after="0" w:line="240" w:lineRule="auto"/>
              <w:contextualSpacing/>
              <w:jc w:val="both"/>
              <w:rPr>
                <w:rFonts w:ascii="Arial" w:hAnsi="Arial" w:cs="Arial"/>
                <w:sz w:val="24"/>
                <w:szCs w:val="24"/>
              </w:rPr>
            </w:pPr>
            <w:r>
              <w:rPr>
                <w:rFonts w:ascii="Arial" w:hAnsi="Arial" w:cs="Arial"/>
                <w:sz w:val="24"/>
                <w:szCs w:val="24"/>
              </w:rPr>
              <w:t>T</w:t>
            </w:r>
            <w:r w:rsidR="008F46B3">
              <w:rPr>
                <w:rFonts w:ascii="Arial" w:hAnsi="Arial" w:cs="Arial"/>
                <w:sz w:val="24"/>
                <w:szCs w:val="24"/>
              </w:rPr>
              <w:t xml:space="preserve">he financial content of this report has previously been scrutinised by the </w:t>
            </w:r>
            <w:r>
              <w:rPr>
                <w:rFonts w:ascii="Arial" w:hAnsi="Arial" w:cs="Arial"/>
                <w:sz w:val="24"/>
                <w:szCs w:val="24"/>
              </w:rPr>
              <w:t>18</w:t>
            </w:r>
            <w:r w:rsidR="00B72EF8">
              <w:rPr>
                <w:rFonts w:ascii="Arial" w:hAnsi="Arial" w:cs="Arial"/>
                <w:sz w:val="24"/>
                <w:szCs w:val="24"/>
              </w:rPr>
              <w:t xml:space="preserve"> </w:t>
            </w:r>
            <w:r>
              <w:rPr>
                <w:rFonts w:ascii="Arial" w:hAnsi="Arial" w:cs="Arial"/>
                <w:sz w:val="24"/>
                <w:szCs w:val="24"/>
              </w:rPr>
              <w:t xml:space="preserve">November </w:t>
            </w:r>
            <w:r w:rsidR="008F46B3">
              <w:rPr>
                <w:rFonts w:ascii="Arial" w:hAnsi="Arial" w:cs="Arial"/>
                <w:sz w:val="24"/>
                <w:szCs w:val="24"/>
              </w:rPr>
              <w:t xml:space="preserve">2019 Finance and Audit </w:t>
            </w:r>
            <w:r w:rsidR="00064112">
              <w:rPr>
                <w:rFonts w:ascii="Arial" w:hAnsi="Arial" w:cs="Arial"/>
                <w:sz w:val="24"/>
                <w:szCs w:val="24"/>
              </w:rPr>
              <w:t xml:space="preserve">Committee </w:t>
            </w:r>
            <w:r w:rsidR="008F46B3">
              <w:rPr>
                <w:rFonts w:ascii="Arial" w:hAnsi="Arial" w:cs="Arial"/>
                <w:sz w:val="24"/>
                <w:szCs w:val="24"/>
              </w:rPr>
              <w:t>meeting.</w:t>
            </w:r>
          </w:p>
        </w:tc>
      </w:tr>
      <w:tr w:rsidR="007D5128" w:rsidRPr="00266AC3" w:rsidTr="00BD0BD8">
        <w:tc>
          <w:tcPr>
            <w:tcW w:w="851" w:type="dxa"/>
            <w:tcBorders>
              <w:top w:val="nil"/>
              <w:left w:val="nil"/>
              <w:bottom w:val="nil"/>
              <w:right w:val="nil"/>
            </w:tcBorders>
          </w:tcPr>
          <w:p w:rsidR="006B5D13" w:rsidRPr="002A05AF" w:rsidRDefault="006B5D13" w:rsidP="002A05AF">
            <w:pPr>
              <w:spacing w:after="0" w:line="240" w:lineRule="auto"/>
              <w:contextualSpacing/>
              <w:jc w:val="both"/>
              <w:rPr>
                <w:rFonts w:ascii="Arial" w:hAnsi="Arial" w:cs="Arial"/>
                <w:b/>
                <w:sz w:val="24"/>
                <w:szCs w:val="24"/>
              </w:rPr>
            </w:pPr>
          </w:p>
          <w:p w:rsidR="007D5128" w:rsidRPr="002A05AF" w:rsidRDefault="00207799" w:rsidP="002A05AF">
            <w:pPr>
              <w:spacing w:after="0" w:line="240" w:lineRule="auto"/>
              <w:contextualSpacing/>
              <w:jc w:val="both"/>
              <w:rPr>
                <w:rFonts w:ascii="Arial" w:hAnsi="Arial" w:cs="Arial"/>
                <w:b/>
                <w:sz w:val="24"/>
                <w:szCs w:val="24"/>
              </w:rPr>
            </w:pPr>
            <w:r w:rsidRPr="002A05AF">
              <w:rPr>
                <w:rFonts w:ascii="Arial" w:hAnsi="Arial" w:cs="Arial"/>
                <w:b/>
                <w:sz w:val="24"/>
                <w:szCs w:val="24"/>
              </w:rPr>
              <w:lastRenderedPageBreak/>
              <w:t>3</w:t>
            </w:r>
            <w:r w:rsidR="007D5128" w:rsidRPr="002A05AF">
              <w:rPr>
                <w:rFonts w:ascii="Arial" w:hAnsi="Arial" w:cs="Arial"/>
                <w:b/>
                <w:sz w:val="24"/>
                <w:szCs w:val="24"/>
              </w:rPr>
              <w:t>.</w:t>
            </w:r>
          </w:p>
          <w:p w:rsidR="0051003C" w:rsidRPr="002A05AF" w:rsidRDefault="0051003C" w:rsidP="002A05AF">
            <w:pPr>
              <w:spacing w:after="0" w:line="240" w:lineRule="auto"/>
              <w:contextualSpacing/>
              <w:jc w:val="both"/>
              <w:rPr>
                <w:rFonts w:ascii="Arial" w:hAnsi="Arial" w:cs="Arial"/>
                <w:b/>
                <w:sz w:val="24"/>
                <w:szCs w:val="24"/>
              </w:rPr>
            </w:pPr>
          </w:p>
          <w:p w:rsidR="0051003C" w:rsidRPr="002A05AF" w:rsidRDefault="00207799" w:rsidP="002A05AF">
            <w:pPr>
              <w:spacing w:after="0" w:line="240" w:lineRule="auto"/>
              <w:contextualSpacing/>
              <w:jc w:val="both"/>
              <w:rPr>
                <w:rFonts w:ascii="Arial" w:hAnsi="Arial" w:cs="Arial"/>
                <w:sz w:val="24"/>
                <w:szCs w:val="24"/>
              </w:rPr>
            </w:pPr>
            <w:r w:rsidRPr="002A05AF">
              <w:rPr>
                <w:rFonts w:ascii="Arial" w:hAnsi="Arial" w:cs="Arial"/>
                <w:sz w:val="24"/>
                <w:szCs w:val="24"/>
              </w:rPr>
              <w:t>3</w:t>
            </w:r>
            <w:r w:rsidR="0051003C" w:rsidRPr="002A05AF">
              <w:rPr>
                <w:rFonts w:ascii="Arial" w:hAnsi="Arial" w:cs="Arial"/>
                <w:sz w:val="24"/>
                <w:szCs w:val="24"/>
              </w:rPr>
              <w:t>.1</w:t>
            </w:r>
          </w:p>
          <w:p w:rsidR="002B2E0F" w:rsidRPr="002A05AF" w:rsidRDefault="002B2E0F" w:rsidP="002A05AF">
            <w:pPr>
              <w:spacing w:after="0" w:line="240" w:lineRule="auto"/>
              <w:contextualSpacing/>
              <w:jc w:val="both"/>
              <w:rPr>
                <w:rFonts w:ascii="Arial" w:hAnsi="Arial" w:cs="Arial"/>
                <w:sz w:val="24"/>
                <w:szCs w:val="24"/>
              </w:rPr>
            </w:pPr>
          </w:p>
          <w:p w:rsidR="000F0C7F" w:rsidRPr="002A05AF" w:rsidRDefault="000F0C7F" w:rsidP="002A05AF">
            <w:pPr>
              <w:spacing w:after="0" w:line="240" w:lineRule="auto"/>
              <w:contextualSpacing/>
              <w:jc w:val="both"/>
              <w:rPr>
                <w:rFonts w:ascii="Arial" w:hAnsi="Arial" w:cs="Arial"/>
                <w:sz w:val="24"/>
                <w:szCs w:val="24"/>
              </w:rPr>
            </w:pPr>
          </w:p>
          <w:p w:rsidR="000F0C7F" w:rsidRPr="002A05AF" w:rsidRDefault="000F0C7F" w:rsidP="002A05AF">
            <w:pPr>
              <w:spacing w:after="0" w:line="240" w:lineRule="auto"/>
              <w:contextualSpacing/>
              <w:jc w:val="both"/>
              <w:rPr>
                <w:rFonts w:ascii="Arial" w:hAnsi="Arial" w:cs="Arial"/>
                <w:sz w:val="24"/>
                <w:szCs w:val="24"/>
              </w:rPr>
            </w:pPr>
          </w:p>
          <w:p w:rsidR="000F0C7F" w:rsidRPr="002A05AF" w:rsidRDefault="000F0C7F" w:rsidP="002A05AF">
            <w:pPr>
              <w:spacing w:after="0" w:line="240" w:lineRule="auto"/>
              <w:contextualSpacing/>
              <w:jc w:val="both"/>
              <w:rPr>
                <w:rFonts w:ascii="Arial" w:hAnsi="Arial" w:cs="Arial"/>
                <w:sz w:val="24"/>
                <w:szCs w:val="24"/>
              </w:rPr>
            </w:pPr>
          </w:p>
          <w:p w:rsidR="000F0C7F" w:rsidRPr="002A05AF" w:rsidRDefault="000F0C7F" w:rsidP="002A05AF">
            <w:pPr>
              <w:spacing w:after="0" w:line="240" w:lineRule="auto"/>
              <w:contextualSpacing/>
              <w:jc w:val="both"/>
              <w:rPr>
                <w:rFonts w:ascii="Arial" w:hAnsi="Arial" w:cs="Arial"/>
                <w:sz w:val="24"/>
                <w:szCs w:val="24"/>
              </w:rPr>
            </w:pPr>
          </w:p>
          <w:p w:rsidR="002B2E0F" w:rsidRPr="002A05AF" w:rsidRDefault="002B2E0F" w:rsidP="002A05AF">
            <w:pPr>
              <w:spacing w:after="0" w:line="240" w:lineRule="auto"/>
              <w:contextualSpacing/>
              <w:jc w:val="both"/>
              <w:rPr>
                <w:rFonts w:ascii="Arial" w:hAnsi="Arial" w:cs="Arial"/>
                <w:sz w:val="24"/>
                <w:szCs w:val="24"/>
              </w:rPr>
            </w:pPr>
            <w:r w:rsidRPr="002A05AF">
              <w:rPr>
                <w:rFonts w:ascii="Arial" w:hAnsi="Arial" w:cs="Arial"/>
                <w:sz w:val="24"/>
                <w:szCs w:val="24"/>
              </w:rPr>
              <w:t>3.2</w:t>
            </w:r>
          </w:p>
          <w:p w:rsidR="008732F0" w:rsidRPr="002A05AF" w:rsidRDefault="008732F0" w:rsidP="002A05AF">
            <w:pPr>
              <w:spacing w:after="0" w:line="240" w:lineRule="auto"/>
              <w:contextualSpacing/>
              <w:jc w:val="both"/>
              <w:rPr>
                <w:rFonts w:ascii="Arial" w:hAnsi="Arial" w:cs="Arial"/>
                <w:sz w:val="24"/>
                <w:szCs w:val="24"/>
              </w:rPr>
            </w:pPr>
          </w:p>
          <w:p w:rsidR="00522030" w:rsidRPr="002A05AF" w:rsidRDefault="00522030" w:rsidP="002A05AF">
            <w:pPr>
              <w:spacing w:after="0" w:line="240" w:lineRule="auto"/>
              <w:contextualSpacing/>
              <w:jc w:val="both"/>
              <w:rPr>
                <w:rFonts w:ascii="Arial" w:hAnsi="Arial" w:cs="Arial"/>
                <w:sz w:val="24"/>
                <w:szCs w:val="24"/>
              </w:rPr>
            </w:pPr>
          </w:p>
          <w:p w:rsidR="00750807" w:rsidRPr="002A05AF" w:rsidRDefault="00750807" w:rsidP="002A05AF">
            <w:pPr>
              <w:spacing w:after="0" w:line="240" w:lineRule="auto"/>
              <w:contextualSpacing/>
              <w:jc w:val="both"/>
              <w:rPr>
                <w:rFonts w:ascii="Arial" w:hAnsi="Arial" w:cs="Arial"/>
                <w:sz w:val="24"/>
                <w:szCs w:val="24"/>
              </w:rPr>
            </w:pPr>
          </w:p>
          <w:p w:rsidR="000F0C7F" w:rsidRPr="002A05AF" w:rsidRDefault="000F0C7F" w:rsidP="002A05AF">
            <w:pPr>
              <w:spacing w:after="0" w:line="240" w:lineRule="auto"/>
              <w:contextualSpacing/>
              <w:jc w:val="both"/>
              <w:rPr>
                <w:rFonts w:ascii="Arial" w:hAnsi="Arial" w:cs="Arial"/>
                <w:sz w:val="24"/>
                <w:szCs w:val="24"/>
              </w:rPr>
            </w:pPr>
            <w:r w:rsidRPr="002A05AF">
              <w:rPr>
                <w:rFonts w:ascii="Arial" w:hAnsi="Arial" w:cs="Arial"/>
                <w:sz w:val="24"/>
                <w:szCs w:val="24"/>
              </w:rPr>
              <w:t>3.3</w:t>
            </w:r>
          </w:p>
        </w:tc>
        <w:tc>
          <w:tcPr>
            <w:tcW w:w="8647" w:type="dxa"/>
            <w:tcBorders>
              <w:top w:val="nil"/>
              <w:left w:val="nil"/>
              <w:bottom w:val="nil"/>
              <w:right w:val="nil"/>
            </w:tcBorders>
          </w:tcPr>
          <w:p w:rsidR="00E01B88" w:rsidRPr="002A05AF" w:rsidRDefault="00E01B88" w:rsidP="002A05AF">
            <w:pPr>
              <w:spacing w:after="0" w:line="240" w:lineRule="auto"/>
              <w:contextualSpacing/>
              <w:jc w:val="both"/>
              <w:rPr>
                <w:rFonts w:ascii="Arial" w:hAnsi="Arial" w:cs="Arial"/>
                <w:b/>
                <w:sz w:val="24"/>
                <w:szCs w:val="24"/>
              </w:rPr>
            </w:pPr>
          </w:p>
          <w:p w:rsidR="005205B0" w:rsidRPr="002A05AF" w:rsidRDefault="007E2A9C" w:rsidP="002A05AF">
            <w:pPr>
              <w:spacing w:after="0" w:line="240" w:lineRule="auto"/>
              <w:contextualSpacing/>
              <w:jc w:val="both"/>
              <w:rPr>
                <w:rFonts w:ascii="Arial" w:hAnsi="Arial" w:cs="Arial"/>
                <w:b/>
                <w:sz w:val="24"/>
                <w:szCs w:val="24"/>
              </w:rPr>
            </w:pPr>
            <w:r w:rsidRPr="002A05AF">
              <w:rPr>
                <w:rFonts w:ascii="Arial" w:hAnsi="Arial" w:cs="Arial"/>
                <w:b/>
                <w:sz w:val="24"/>
                <w:szCs w:val="24"/>
              </w:rPr>
              <w:lastRenderedPageBreak/>
              <w:t xml:space="preserve">Financial Performance for </w:t>
            </w:r>
            <w:r w:rsidR="00B72EF8" w:rsidRPr="002A05AF">
              <w:rPr>
                <w:rFonts w:ascii="Arial" w:hAnsi="Arial" w:cs="Arial"/>
                <w:b/>
                <w:sz w:val="24"/>
                <w:szCs w:val="24"/>
              </w:rPr>
              <w:t xml:space="preserve">Quarter </w:t>
            </w:r>
            <w:r w:rsidR="000F0C7F" w:rsidRPr="002A05AF">
              <w:rPr>
                <w:rFonts w:ascii="Arial" w:hAnsi="Arial" w:cs="Arial"/>
                <w:b/>
                <w:sz w:val="24"/>
                <w:szCs w:val="24"/>
              </w:rPr>
              <w:t>2</w:t>
            </w:r>
            <w:r w:rsidR="00B72EF8" w:rsidRPr="002A05AF">
              <w:rPr>
                <w:rFonts w:ascii="Arial" w:hAnsi="Arial" w:cs="Arial"/>
                <w:b/>
                <w:sz w:val="24"/>
                <w:szCs w:val="24"/>
              </w:rPr>
              <w:t xml:space="preserve"> </w:t>
            </w:r>
            <w:r w:rsidR="00F437DD" w:rsidRPr="002A05AF">
              <w:rPr>
                <w:rFonts w:ascii="Arial" w:hAnsi="Arial" w:cs="Arial"/>
                <w:b/>
                <w:sz w:val="24"/>
                <w:szCs w:val="24"/>
              </w:rPr>
              <w:t>201</w:t>
            </w:r>
            <w:r w:rsidR="00B72EF8" w:rsidRPr="002A05AF">
              <w:rPr>
                <w:rFonts w:ascii="Arial" w:hAnsi="Arial" w:cs="Arial"/>
                <w:b/>
                <w:sz w:val="24"/>
                <w:szCs w:val="24"/>
              </w:rPr>
              <w:t>9</w:t>
            </w:r>
            <w:r w:rsidR="00551437" w:rsidRPr="002A05AF">
              <w:rPr>
                <w:rFonts w:ascii="Arial" w:hAnsi="Arial" w:cs="Arial"/>
                <w:b/>
                <w:sz w:val="24"/>
                <w:szCs w:val="24"/>
              </w:rPr>
              <w:t>/</w:t>
            </w:r>
            <w:r w:rsidR="00B72EF8" w:rsidRPr="002A05AF">
              <w:rPr>
                <w:rFonts w:ascii="Arial" w:hAnsi="Arial" w:cs="Arial"/>
                <w:b/>
                <w:sz w:val="24"/>
                <w:szCs w:val="24"/>
              </w:rPr>
              <w:t>20</w:t>
            </w:r>
            <w:r w:rsidRPr="002A05AF">
              <w:rPr>
                <w:rFonts w:ascii="Arial" w:hAnsi="Arial" w:cs="Arial"/>
                <w:b/>
                <w:sz w:val="24"/>
                <w:szCs w:val="24"/>
              </w:rPr>
              <w:t xml:space="preserve"> </w:t>
            </w:r>
          </w:p>
          <w:p w:rsidR="00A425F6" w:rsidRPr="002A05AF" w:rsidRDefault="00A425F6" w:rsidP="002A05AF">
            <w:pPr>
              <w:spacing w:after="0" w:line="240" w:lineRule="auto"/>
              <w:contextualSpacing/>
              <w:jc w:val="both"/>
              <w:rPr>
                <w:rFonts w:ascii="Arial" w:hAnsi="Arial" w:cs="Arial"/>
                <w:b/>
                <w:sz w:val="24"/>
                <w:szCs w:val="24"/>
              </w:rPr>
            </w:pPr>
          </w:p>
          <w:p w:rsidR="000F0C7F" w:rsidRPr="002A05AF" w:rsidRDefault="000F0C7F" w:rsidP="002A05AF">
            <w:pPr>
              <w:spacing w:after="0" w:line="240" w:lineRule="auto"/>
              <w:contextualSpacing/>
              <w:jc w:val="both"/>
              <w:rPr>
                <w:rFonts w:ascii="Arial" w:hAnsi="Arial" w:cs="Arial"/>
                <w:sz w:val="24"/>
                <w:szCs w:val="24"/>
              </w:rPr>
            </w:pPr>
            <w:r w:rsidRPr="002A05AF">
              <w:rPr>
                <w:rFonts w:ascii="Arial" w:hAnsi="Arial" w:cs="Arial"/>
                <w:sz w:val="24"/>
                <w:szCs w:val="24"/>
              </w:rPr>
              <w:t xml:space="preserve">Financial Performance for Quarter 2 2019/20.  The results for the period to September 2019 have been prepared.  HLH’s consolidated financial performance for the period is summarised in </w:t>
            </w:r>
            <w:r w:rsidRPr="002A05AF">
              <w:rPr>
                <w:rFonts w:ascii="Arial" w:hAnsi="Arial" w:cs="Arial"/>
                <w:b/>
                <w:sz w:val="24"/>
                <w:szCs w:val="24"/>
              </w:rPr>
              <w:t>Appendix A</w:t>
            </w:r>
            <w:r w:rsidRPr="002A05AF">
              <w:rPr>
                <w:rFonts w:ascii="Arial" w:hAnsi="Arial" w:cs="Arial"/>
                <w:sz w:val="24"/>
                <w:szCs w:val="24"/>
              </w:rPr>
              <w:t xml:space="preserve">.  The results for the period are further split by the nine business categories in </w:t>
            </w:r>
            <w:r w:rsidRPr="002A05AF">
              <w:rPr>
                <w:rFonts w:ascii="Arial" w:hAnsi="Arial" w:cs="Arial"/>
                <w:b/>
                <w:sz w:val="24"/>
                <w:szCs w:val="24"/>
              </w:rPr>
              <w:t>Appendix B</w:t>
            </w:r>
            <w:r w:rsidRPr="002A05AF">
              <w:rPr>
                <w:rFonts w:ascii="Arial" w:hAnsi="Arial" w:cs="Arial"/>
                <w:sz w:val="24"/>
                <w:szCs w:val="24"/>
              </w:rPr>
              <w:t xml:space="preserve"> and by cost category (income, staff costs and other costs) at </w:t>
            </w:r>
            <w:r w:rsidRPr="002A05AF">
              <w:rPr>
                <w:rFonts w:ascii="Arial" w:hAnsi="Arial" w:cs="Arial"/>
                <w:b/>
                <w:sz w:val="24"/>
                <w:szCs w:val="24"/>
              </w:rPr>
              <w:t>Appendix C</w:t>
            </w:r>
            <w:r w:rsidRPr="002A05AF">
              <w:rPr>
                <w:rFonts w:ascii="Arial" w:hAnsi="Arial" w:cs="Arial"/>
                <w:sz w:val="24"/>
                <w:szCs w:val="24"/>
              </w:rPr>
              <w:t xml:space="preserve">.  </w:t>
            </w:r>
          </w:p>
          <w:p w:rsidR="000F0C7F" w:rsidRPr="002A05AF" w:rsidRDefault="000F0C7F" w:rsidP="002A05AF">
            <w:pPr>
              <w:spacing w:after="0" w:line="240" w:lineRule="auto"/>
              <w:contextualSpacing/>
              <w:jc w:val="both"/>
              <w:rPr>
                <w:rFonts w:ascii="Arial" w:hAnsi="Arial" w:cs="Arial"/>
                <w:sz w:val="24"/>
                <w:szCs w:val="24"/>
              </w:rPr>
            </w:pPr>
          </w:p>
          <w:p w:rsidR="000F0C7F" w:rsidRPr="002A05AF" w:rsidRDefault="000F0C7F" w:rsidP="002A05AF">
            <w:pPr>
              <w:spacing w:after="0" w:line="240" w:lineRule="auto"/>
              <w:contextualSpacing/>
              <w:jc w:val="both"/>
              <w:rPr>
                <w:rFonts w:ascii="Arial" w:hAnsi="Arial" w:cs="Arial"/>
                <w:sz w:val="24"/>
                <w:szCs w:val="24"/>
              </w:rPr>
            </w:pPr>
            <w:r w:rsidRPr="002A05AF">
              <w:rPr>
                <w:rFonts w:ascii="Arial" w:hAnsi="Arial" w:cs="Arial"/>
                <w:sz w:val="24"/>
                <w:szCs w:val="24"/>
              </w:rPr>
              <w:t xml:space="preserve">The net position is a negative variance to budget of £66,002 with a commentary on the major variances (over £5K) provided in </w:t>
            </w:r>
            <w:r w:rsidRPr="002A05AF">
              <w:rPr>
                <w:rFonts w:ascii="Arial" w:hAnsi="Arial" w:cs="Arial"/>
                <w:b/>
                <w:sz w:val="24"/>
                <w:szCs w:val="24"/>
              </w:rPr>
              <w:t>Appendix D</w:t>
            </w:r>
            <w:r w:rsidRPr="002A05AF">
              <w:rPr>
                <w:rFonts w:ascii="Arial" w:hAnsi="Arial" w:cs="Arial"/>
                <w:sz w:val="24"/>
                <w:szCs w:val="24"/>
              </w:rPr>
              <w:t>.  The year-end forecast is negative variance to budget of circa £120K.</w:t>
            </w:r>
          </w:p>
          <w:p w:rsidR="000F0C7F" w:rsidRPr="002A05AF" w:rsidRDefault="000F0C7F" w:rsidP="002A05AF">
            <w:pPr>
              <w:spacing w:after="0" w:line="240" w:lineRule="auto"/>
              <w:contextualSpacing/>
              <w:jc w:val="both"/>
              <w:rPr>
                <w:rFonts w:ascii="Arial" w:hAnsi="Arial" w:cs="Arial"/>
                <w:sz w:val="24"/>
                <w:szCs w:val="24"/>
              </w:rPr>
            </w:pPr>
          </w:p>
          <w:p w:rsidR="000F0C7F" w:rsidRPr="002A05AF" w:rsidRDefault="000F0C7F" w:rsidP="002A05AF">
            <w:pPr>
              <w:pStyle w:val="NoSpacing"/>
              <w:jc w:val="both"/>
              <w:rPr>
                <w:rFonts w:ascii="Arial" w:hAnsi="Arial" w:cs="Arial"/>
                <w:sz w:val="24"/>
                <w:szCs w:val="24"/>
              </w:rPr>
            </w:pPr>
            <w:r w:rsidRPr="002A05AF">
              <w:rPr>
                <w:rFonts w:ascii="Arial" w:hAnsi="Arial" w:cs="Arial"/>
                <w:sz w:val="24"/>
                <w:szCs w:val="24"/>
              </w:rPr>
              <w:t xml:space="preserve">Senior Management </w:t>
            </w:r>
            <w:r w:rsidR="00A601F8" w:rsidRPr="002A05AF">
              <w:rPr>
                <w:rFonts w:ascii="Arial" w:hAnsi="Arial" w:cs="Arial"/>
                <w:sz w:val="24"/>
                <w:szCs w:val="24"/>
              </w:rPr>
              <w:t>is working to reduce the projected deficit and has implemented management actions including vacancy management and reducing discretionary spend.</w:t>
            </w:r>
            <w:r w:rsidRPr="002A05AF">
              <w:rPr>
                <w:rFonts w:ascii="Arial" w:hAnsi="Arial" w:cs="Arial"/>
                <w:sz w:val="24"/>
                <w:szCs w:val="24"/>
              </w:rPr>
              <w:t xml:space="preserve">  </w:t>
            </w:r>
          </w:p>
          <w:p w:rsidR="00750807" w:rsidRPr="002A05AF" w:rsidRDefault="000F0C7F" w:rsidP="002A05AF">
            <w:pPr>
              <w:spacing w:after="0" w:line="240" w:lineRule="auto"/>
              <w:contextualSpacing/>
              <w:jc w:val="both"/>
              <w:rPr>
                <w:rFonts w:ascii="Arial" w:hAnsi="Arial" w:cs="Arial"/>
                <w:sz w:val="24"/>
                <w:szCs w:val="24"/>
              </w:rPr>
            </w:pPr>
            <w:r w:rsidRPr="002A05AF">
              <w:rPr>
                <w:rFonts w:ascii="Arial" w:hAnsi="Arial" w:cs="Arial"/>
                <w:sz w:val="24"/>
                <w:szCs w:val="24"/>
              </w:rPr>
              <w:t xml:space="preserve">                             </w:t>
            </w:r>
          </w:p>
        </w:tc>
      </w:tr>
      <w:tr w:rsidR="00E01B88" w:rsidRPr="00266AC3" w:rsidTr="00615439">
        <w:trPr>
          <w:trHeight w:val="436"/>
        </w:trPr>
        <w:tc>
          <w:tcPr>
            <w:tcW w:w="851" w:type="dxa"/>
            <w:tcBorders>
              <w:top w:val="nil"/>
              <w:left w:val="nil"/>
              <w:bottom w:val="nil"/>
              <w:right w:val="nil"/>
            </w:tcBorders>
          </w:tcPr>
          <w:p w:rsidR="00E01B88" w:rsidRPr="003C5A19" w:rsidRDefault="00E01B88" w:rsidP="00C05616">
            <w:pPr>
              <w:spacing w:after="0" w:line="240" w:lineRule="auto"/>
              <w:contextualSpacing/>
              <w:rPr>
                <w:rFonts w:ascii="Arial" w:hAnsi="Arial" w:cs="Arial"/>
                <w:sz w:val="24"/>
                <w:szCs w:val="24"/>
              </w:rPr>
            </w:pPr>
            <w:r w:rsidRPr="003C5A19">
              <w:rPr>
                <w:rFonts w:ascii="Arial" w:hAnsi="Arial" w:cs="Arial"/>
                <w:b/>
                <w:sz w:val="24"/>
                <w:szCs w:val="24"/>
              </w:rPr>
              <w:lastRenderedPageBreak/>
              <w:t>4</w:t>
            </w:r>
            <w:r w:rsidRPr="003C5A19">
              <w:rPr>
                <w:rFonts w:ascii="Arial" w:hAnsi="Arial" w:cs="Arial"/>
                <w:sz w:val="24"/>
                <w:szCs w:val="24"/>
              </w:rPr>
              <w:t>.</w:t>
            </w:r>
          </w:p>
          <w:p w:rsidR="00E01B88" w:rsidRPr="003C5A19" w:rsidRDefault="00E01B88" w:rsidP="00C05616">
            <w:pPr>
              <w:spacing w:after="0" w:line="240" w:lineRule="auto"/>
              <w:contextualSpacing/>
              <w:rPr>
                <w:rFonts w:ascii="Arial" w:hAnsi="Arial" w:cs="Arial"/>
                <w:sz w:val="24"/>
                <w:szCs w:val="24"/>
              </w:rPr>
            </w:pPr>
          </w:p>
          <w:p w:rsidR="00E01B88" w:rsidRPr="003C5A19" w:rsidRDefault="00E01B88" w:rsidP="00C05616">
            <w:pPr>
              <w:spacing w:after="0" w:line="240" w:lineRule="auto"/>
              <w:contextualSpacing/>
              <w:rPr>
                <w:rFonts w:ascii="Arial" w:hAnsi="Arial" w:cs="Arial"/>
                <w:sz w:val="24"/>
                <w:szCs w:val="24"/>
              </w:rPr>
            </w:pPr>
            <w:r w:rsidRPr="003C5A19">
              <w:rPr>
                <w:rFonts w:ascii="Arial" w:hAnsi="Arial" w:cs="Arial"/>
                <w:sz w:val="24"/>
                <w:szCs w:val="24"/>
              </w:rPr>
              <w:t>4.1</w:t>
            </w:r>
          </w:p>
          <w:p w:rsidR="00E01B88" w:rsidRDefault="00E01B88" w:rsidP="00C05616">
            <w:pPr>
              <w:spacing w:after="0" w:line="240" w:lineRule="auto"/>
              <w:contextualSpacing/>
              <w:rPr>
                <w:rFonts w:ascii="Arial" w:hAnsi="Arial" w:cs="Arial"/>
                <w:sz w:val="24"/>
                <w:szCs w:val="24"/>
              </w:rPr>
            </w:pPr>
          </w:p>
          <w:p w:rsidR="00E01B88" w:rsidRDefault="00E01B88" w:rsidP="00C05616">
            <w:pPr>
              <w:spacing w:after="0" w:line="240" w:lineRule="auto"/>
              <w:contextualSpacing/>
              <w:rPr>
                <w:rFonts w:ascii="Arial" w:hAnsi="Arial" w:cs="Arial"/>
                <w:sz w:val="24"/>
                <w:szCs w:val="24"/>
              </w:rPr>
            </w:pPr>
            <w:r>
              <w:rPr>
                <w:rFonts w:ascii="Arial" w:hAnsi="Arial" w:cs="Arial"/>
                <w:sz w:val="24"/>
                <w:szCs w:val="24"/>
              </w:rPr>
              <w:t>4.2</w:t>
            </w:r>
          </w:p>
          <w:p w:rsidR="00E01B88" w:rsidRDefault="00E01B88" w:rsidP="00C05616">
            <w:pPr>
              <w:spacing w:after="0" w:line="240" w:lineRule="auto"/>
              <w:contextualSpacing/>
              <w:rPr>
                <w:rFonts w:ascii="Arial" w:hAnsi="Arial" w:cs="Arial"/>
                <w:sz w:val="24"/>
                <w:szCs w:val="24"/>
              </w:rPr>
            </w:pPr>
          </w:p>
          <w:p w:rsidR="00E01B88" w:rsidRPr="003C5A19" w:rsidRDefault="00E01B88" w:rsidP="00C05616">
            <w:pPr>
              <w:spacing w:after="0" w:line="240" w:lineRule="auto"/>
              <w:contextualSpacing/>
              <w:rPr>
                <w:rFonts w:ascii="Arial" w:hAnsi="Arial" w:cs="Arial"/>
                <w:sz w:val="24"/>
                <w:szCs w:val="24"/>
              </w:rPr>
            </w:pPr>
          </w:p>
        </w:tc>
        <w:tc>
          <w:tcPr>
            <w:tcW w:w="8647" w:type="dxa"/>
            <w:tcBorders>
              <w:top w:val="nil"/>
              <w:left w:val="nil"/>
              <w:bottom w:val="nil"/>
              <w:right w:val="nil"/>
            </w:tcBorders>
          </w:tcPr>
          <w:p w:rsidR="00E01B88" w:rsidRPr="003C5A19" w:rsidRDefault="00E01B88" w:rsidP="00C05616">
            <w:pPr>
              <w:spacing w:after="0" w:line="240" w:lineRule="auto"/>
              <w:jc w:val="both"/>
              <w:rPr>
                <w:rFonts w:ascii="Arial" w:eastAsia="Times New Roman" w:hAnsi="Arial" w:cs="Arial"/>
                <w:b/>
                <w:sz w:val="24"/>
                <w:szCs w:val="24"/>
                <w:lang w:eastAsia="en-GB"/>
              </w:rPr>
            </w:pPr>
            <w:r w:rsidRPr="003C5A19">
              <w:rPr>
                <w:rFonts w:ascii="Arial" w:eastAsia="Times New Roman" w:hAnsi="Arial" w:cs="Arial"/>
                <w:b/>
                <w:sz w:val="24"/>
                <w:szCs w:val="24"/>
                <w:lang w:eastAsia="en-GB"/>
              </w:rPr>
              <w:t>Internal Controls</w:t>
            </w:r>
          </w:p>
          <w:p w:rsidR="00E01B88" w:rsidRPr="003C5A19" w:rsidRDefault="00E01B88" w:rsidP="00C05616">
            <w:pPr>
              <w:spacing w:after="0" w:line="240" w:lineRule="auto"/>
              <w:rPr>
                <w:rFonts w:ascii="Arial" w:eastAsia="Times New Roman" w:hAnsi="Arial" w:cs="Arial"/>
                <w:sz w:val="24"/>
                <w:szCs w:val="24"/>
                <w:lang w:eastAsia="en-GB"/>
              </w:rPr>
            </w:pPr>
          </w:p>
          <w:p w:rsidR="00E01B88" w:rsidRDefault="009C0C0F" w:rsidP="00C05616">
            <w:pPr>
              <w:spacing w:after="0" w:line="240" w:lineRule="auto"/>
              <w:jc w:val="both"/>
              <w:rPr>
                <w:rFonts w:ascii="Arial" w:eastAsia="Times New Roman" w:hAnsi="Arial" w:cs="Arial"/>
                <w:sz w:val="24"/>
                <w:szCs w:val="24"/>
                <w:lang w:eastAsia="en-GB"/>
              </w:rPr>
            </w:pPr>
            <w:r w:rsidRPr="003C5A19">
              <w:rPr>
                <w:rFonts w:ascii="Arial" w:eastAsia="Times New Roman" w:hAnsi="Arial" w:cs="Arial"/>
                <w:sz w:val="24"/>
                <w:szCs w:val="24"/>
                <w:lang w:eastAsia="en-GB"/>
              </w:rPr>
              <w:t>There ha</w:t>
            </w:r>
            <w:r>
              <w:rPr>
                <w:rFonts w:ascii="Arial" w:eastAsia="Times New Roman" w:hAnsi="Arial" w:cs="Arial"/>
                <w:sz w:val="24"/>
                <w:szCs w:val="24"/>
                <w:lang w:eastAsia="en-GB"/>
              </w:rPr>
              <w:t>s been no breach of internal co</w:t>
            </w:r>
            <w:r w:rsidRPr="003C5A19">
              <w:rPr>
                <w:rFonts w:ascii="Arial" w:eastAsia="Times New Roman" w:hAnsi="Arial" w:cs="Arial"/>
                <w:sz w:val="24"/>
                <w:szCs w:val="24"/>
                <w:lang w:eastAsia="en-GB"/>
              </w:rPr>
              <w:t xml:space="preserve">ntrols reported in quarter </w:t>
            </w:r>
            <w:r>
              <w:rPr>
                <w:rFonts w:ascii="Arial" w:eastAsia="Times New Roman" w:hAnsi="Arial" w:cs="Arial"/>
                <w:sz w:val="24"/>
                <w:szCs w:val="24"/>
                <w:lang w:eastAsia="en-GB"/>
              </w:rPr>
              <w:t>two 2019/20</w:t>
            </w:r>
            <w:r w:rsidRPr="003C5A19">
              <w:rPr>
                <w:rFonts w:ascii="Arial" w:eastAsia="Times New Roman" w:hAnsi="Arial" w:cs="Arial"/>
                <w:sz w:val="24"/>
                <w:szCs w:val="24"/>
                <w:lang w:eastAsia="en-GB"/>
              </w:rPr>
              <w:t>.</w:t>
            </w:r>
            <w:r w:rsidR="00E01B88" w:rsidRPr="003C5A19">
              <w:rPr>
                <w:rFonts w:ascii="Arial" w:eastAsia="Times New Roman" w:hAnsi="Arial" w:cs="Arial"/>
                <w:sz w:val="24"/>
                <w:szCs w:val="24"/>
                <w:lang w:eastAsia="en-GB"/>
              </w:rPr>
              <w:t xml:space="preserve"> </w:t>
            </w:r>
          </w:p>
          <w:p w:rsidR="00E01B88" w:rsidRDefault="00E01B88" w:rsidP="00C05616">
            <w:pPr>
              <w:spacing w:after="0" w:line="240" w:lineRule="auto"/>
              <w:jc w:val="both"/>
              <w:rPr>
                <w:rFonts w:ascii="Arial" w:eastAsia="Times New Roman" w:hAnsi="Arial" w:cs="Arial"/>
                <w:sz w:val="24"/>
                <w:szCs w:val="24"/>
                <w:lang w:eastAsia="en-GB"/>
              </w:rPr>
            </w:pPr>
          </w:p>
          <w:p w:rsidR="00E01B88" w:rsidRPr="003C5A19" w:rsidRDefault="009C0C0F" w:rsidP="00AF52F7">
            <w:pPr>
              <w:spacing w:line="240" w:lineRule="auto"/>
              <w:jc w:val="both"/>
              <w:rPr>
                <w:rFonts w:ascii="Arial" w:eastAsia="Times New Roman" w:hAnsi="Arial" w:cs="Arial"/>
                <w:sz w:val="24"/>
                <w:szCs w:val="24"/>
                <w:lang w:eastAsia="en-GB"/>
              </w:rPr>
            </w:pPr>
            <w:r w:rsidRPr="009C0C0F">
              <w:rPr>
                <w:rFonts w:ascii="Arial" w:eastAsia="Times New Roman" w:hAnsi="Arial" w:cs="Arial"/>
                <w:sz w:val="24"/>
                <w:szCs w:val="24"/>
                <w:lang w:eastAsia="en-GB"/>
              </w:rPr>
              <w:t xml:space="preserve">As previously reported, £300 belonging to a community group was stolen from the safe at Raigmore Community Centre in May of this year.  </w:t>
            </w:r>
          </w:p>
        </w:tc>
      </w:tr>
      <w:tr w:rsidR="00E01B88" w:rsidRPr="00266AC3" w:rsidTr="00615439">
        <w:trPr>
          <w:trHeight w:val="711"/>
        </w:trPr>
        <w:tc>
          <w:tcPr>
            <w:tcW w:w="851" w:type="dxa"/>
            <w:tcBorders>
              <w:top w:val="nil"/>
              <w:left w:val="nil"/>
              <w:bottom w:val="nil"/>
              <w:right w:val="nil"/>
            </w:tcBorders>
          </w:tcPr>
          <w:p w:rsidR="00E01B88" w:rsidRPr="00E83836" w:rsidRDefault="00E01B88" w:rsidP="00C05616">
            <w:pPr>
              <w:spacing w:after="0" w:line="240" w:lineRule="auto"/>
              <w:contextualSpacing/>
              <w:rPr>
                <w:rFonts w:ascii="Arial" w:hAnsi="Arial" w:cs="Arial"/>
                <w:sz w:val="24"/>
                <w:szCs w:val="24"/>
              </w:rPr>
            </w:pPr>
            <w:r w:rsidRPr="00E83836">
              <w:rPr>
                <w:rFonts w:ascii="Arial" w:hAnsi="Arial" w:cs="Arial"/>
                <w:sz w:val="24"/>
                <w:szCs w:val="24"/>
              </w:rPr>
              <w:t>4.3</w:t>
            </w:r>
          </w:p>
        </w:tc>
        <w:tc>
          <w:tcPr>
            <w:tcW w:w="8647" w:type="dxa"/>
            <w:tcBorders>
              <w:top w:val="nil"/>
              <w:left w:val="nil"/>
              <w:bottom w:val="nil"/>
              <w:right w:val="nil"/>
            </w:tcBorders>
          </w:tcPr>
          <w:p w:rsidR="00E01B88" w:rsidRPr="00E83836" w:rsidRDefault="009C0C0F" w:rsidP="00C05616">
            <w:pPr>
              <w:spacing w:line="240" w:lineRule="auto"/>
              <w:jc w:val="both"/>
              <w:rPr>
                <w:rFonts w:ascii="Arial" w:eastAsia="Times New Roman" w:hAnsi="Arial" w:cs="Arial"/>
                <w:sz w:val="24"/>
                <w:szCs w:val="24"/>
                <w:lang w:eastAsia="en-GB"/>
              </w:rPr>
            </w:pPr>
            <w:r w:rsidRPr="009C0C0F">
              <w:rPr>
                <w:rFonts w:ascii="Arial" w:eastAsia="Times New Roman" w:hAnsi="Arial" w:cs="Arial"/>
                <w:sz w:val="24"/>
                <w:szCs w:val="24"/>
                <w:lang w:eastAsia="en-GB"/>
              </w:rPr>
              <w:t xml:space="preserve">Following the theft, improved internal controls were put in place resulting in no further incidences.  However, while the matter was the subject of a police investigation, there has been no response from Police Scotland and it now seems unlikely that the matter will be </w:t>
            </w:r>
            <w:proofErr w:type="gramStart"/>
            <w:r w:rsidRPr="009C0C0F">
              <w:rPr>
                <w:rFonts w:ascii="Arial" w:eastAsia="Times New Roman" w:hAnsi="Arial" w:cs="Arial"/>
                <w:sz w:val="24"/>
                <w:szCs w:val="24"/>
                <w:lang w:eastAsia="en-GB"/>
              </w:rPr>
              <w:t>resolved</w:t>
            </w:r>
            <w:proofErr w:type="gramEnd"/>
            <w:r w:rsidRPr="009C0C0F">
              <w:rPr>
                <w:rFonts w:ascii="Arial" w:eastAsia="Times New Roman" w:hAnsi="Arial" w:cs="Arial"/>
                <w:sz w:val="24"/>
                <w:szCs w:val="24"/>
                <w:lang w:eastAsia="en-GB"/>
              </w:rPr>
              <w:t xml:space="preserve"> or the culprit(s) identified.                 </w:t>
            </w:r>
          </w:p>
        </w:tc>
      </w:tr>
      <w:tr w:rsidR="00E01B88" w:rsidRPr="00266AC3" w:rsidTr="00BD0BD8">
        <w:tc>
          <w:tcPr>
            <w:tcW w:w="851" w:type="dxa"/>
            <w:tcBorders>
              <w:top w:val="nil"/>
              <w:left w:val="nil"/>
              <w:bottom w:val="nil"/>
              <w:right w:val="nil"/>
            </w:tcBorders>
          </w:tcPr>
          <w:p w:rsidR="00E01B88" w:rsidRPr="00542F39" w:rsidRDefault="00E01B88" w:rsidP="00C05616">
            <w:pPr>
              <w:spacing w:after="0" w:line="240" w:lineRule="auto"/>
              <w:contextualSpacing/>
              <w:rPr>
                <w:rFonts w:ascii="Arial" w:hAnsi="Arial" w:cs="Arial"/>
                <w:b/>
                <w:sz w:val="24"/>
                <w:szCs w:val="24"/>
              </w:rPr>
            </w:pPr>
            <w:r>
              <w:rPr>
                <w:rFonts w:ascii="Arial" w:hAnsi="Arial" w:cs="Arial"/>
                <w:b/>
                <w:sz w:val="24"/>
                <w:szCs w:val="24"/>
              </w:rPr>
              <w:t>5.</w:t>
            </w:r>
          </w:p>
          <w:p w:rsidR="00E01B88" w:rsidRPr="00274F98" w:rsidRDefault="00E01B88" w:rsidP="00C05616">
            <w:pPr>
              <w:spacing w:after="0" w:line="240" w:lineRule="auto"/>
              <w:contextualSpacing/>
              <w:rPr>
                <w:rFonts w:ascii="Arial" w:hAnsi="Arial" w:cs="Arial"/>
                <w:b/>
                <w:sz w:val="24"/>
                <w:szCs w:val="24"/>
              </w:rPr>
            </w:pPr>
          </w:p>
        </w:tc>
        <w:tc>
          <w:tcPr>
            <w:tcW w:w="8647" w:type="dxa"/>
            <w:tcBorders>
              <w:top w:val="nil"/>
              <w:left w:val="nil"/>
              <w:bottom w:val="nil"/>
              <w:right w:val="nil"/>
            </w:tcBorders>
          </w:tcPr>
          <w:p w:rsidR="00E01B88" w:rsidRDefault="009C0C0F" w:rsidP="00C05616">
            <w:pPr>
              <w:spacing w:after="0"/>
              <w:rPr>
                <w:rFonts w:ascii="Arial" w:hAnsi="Arial" w:cs="Arial"/>
                <w:b/>
                <w:sz w:val="24"/>
                <w:szCs w:val="24"/>
              </w:rPr>
            </w:pPr>
            <w:r w:rsidRPr="009C0C0F">
              <w:rPr>
                <w:rFonts w:ascii="Arial" w:eastAsia="Times New Roman" w:hAnsi="Arial" w:cs="Arial"/>
                <w:b/>
                <w:sz w:val="24"/>
                <w:szCs w:val="24"/>
                <w:lang w:eastAsia="en-GB"/>
              </w:rPr>
              <w:t xml:space="preserve">Data Breaches </w:t>
            </w:r>
          </w:p>
        </w:tc>
      </w:tr>
      <w:tr w:rsidR="00E01B88" w:rsidRPr="00266AC3" w:rsidTr="00BD0BD8">
        <w:tc>
          <w:tcPr>
            <w:tcW w:w="851" w:type="dxa"/>
            <w:tcBorders>
              <w:top w:val="nil"/>
              <w:left w:val="nil"/>
              <w:bottom w:val="nil"/>
              <w:right w:val="nil"/>
            </w:tcBorders>
          </w:tcPr>
          <w:p w:rsidR="00E01B88" w:rsidRDefault="00E01B88" w:rsidP="00C05616">
            <w:pPr>
              <w:spacing w:after="0" w:line="240" w:lineRule="auto"/>
              <w:contextualSpacing/>
              <w:jc w:val="both"/>
              <w:rPr>
                <w:rFonts w:ascii="Arial" w:hAnsi="Arial" w:cs="Arial"/>
                <w:sz w:val="24"/>
                <w:szCs w:val="24"/>
              </w:rPr>
            </w:pPr>
            <w:r>
              <w:rPr>
                <w:rFonts w:ascii="Arial" w:hAnsi="Arial" w:cs="Arial"/>
                <w:sz w:val="24"/>
                <w:szCs w:val="24"/>
              </w:rPr>
              <w:t>5.1</w:t>
            </w:r>
          </w:p>
          <w:p w:rsidR="00CC5A8A" w:rsidRDefault="00CC5A8A" w:rsidP="00C05616">
            <w:pPr>
              <w:spacing w:after="0" w:line="240" w:lineRule="auto"/>
              <w:contextualSpacing/>
              <w:jc w:val="both"/>
              <w:rPr>
                <w:rFonts w:ascii="Arial" w:hAnsi="Arial" w:cs="Arial"/>
                <w:sz w:val="24"/>
                <w:szCs w:val="24"/>
              </w:rPr>
            </w:pPr>
          </w:p>
          <w:p w:rsidR="00CC5A8A" w:rsidRDefault="009C0C0F" w:rsidP="00C05616">
            <w:pPr>
              <w:spacing w:after="0" w:line="240" w:lineRule="auto"/>
              <w:contextualSpacing/>
              <w:jc w:val="both"/>
              <w:rPr>
                <w:rFonts w:ascii="Arial" w:hAnsi="Arial" w:cs="Arial"/>
                <w:sz w:val="24"/>
                <w:szCs w:val="24"/>
              </w:rPr>
            </w:pPr>
            <w:r>
              <w:rPr>
                <w:rFonts w:ascii="Arial" w:hAnsi="Arial" w:cs="Arial"/>
                <w:sz w:val="24"/>
                <w:szCs w:val="24"/>
              </w:rPr>
              <w:t>5.2</w:t>
            </w:r>
          </w:p>
          <w:p w:rsidR="009C0C0F" w:rsidRDefault="009C0C0F" w:rsidP="00C05616">
            <w:pPr>
              <w:spacing w:after="0" w:line="240" w:lineRule="auto"/>
              <w:contextualSpacing/>
              <w:jc w:val="both"/>
              <w:rPr>
                <w:rFonts w:ascii="Arial" w:hAnsi="Arial" w:cs="Arial"/>
                <w:sz w:val="24"/>
                <w:szCs w:val="24"/>
              </w:rPr>
            </w:pPr>
          </w:p>
          <w:p w:rsidR="009C0C0F" w:rsidRDefault="009C0C0F" w:rsidP="00C05616">
            <w:pPr>
              <w:spacing w:after="0" w:line="240" w:lineRule="auto"/>
              <w:contextualSpacing/>
              <w:jc w:val="both"/>
              <w:rPr>
                <w:rFonts w:ascii="Arial" w:hAnsi="Arial" w:cs="Arial"/>
                <w:sz w:val="24"/>
                <w:szCs w:val="24"/>
              </w:rPr>
            </w:pPr>
          </w:p>
          <w:p w:rsidR="009C0C0F" w:rsidRDefault="009C0C0F" w:rsidP="00C05616">
            <w:pPr>
              <w:spacing w:after="0" w:line="240" w:lineRule="auto"/>
              <w:contextualSpacing/>
              <w:jc w:val="both"/>
              <w:rPr>
                <w:rFonts w:ascii="Arial" w:hAnsi="Arial" w:cs="Arial"/>
                <w:sz w:val="24"/>
                <w:szCs w:val="24"/>
              </w:rPr>
            </w:pPr>
          </w:p>
          <w:p w:rsidR="009C0C0F" w:rsidRDefault="009C0C0F" w:rsidP="00C05616">
            <w:pPr>
              <w:spacing w:after="0" w:line="240" w:lineRule="auto"/>
              <w:contextualSpacing/>
              <w:jc w:val="both"/>
              <w:rPr>
                <w:rFonts w:ascii="Arial" w:hAnsi="Arial" w:cs="Arial"/>
                <w:sz w:val="24"/>
                <w:szCs w:val="24"/>
              </w:rPr>
            </w:pPr>
          </w:p>
          <w:p w:rsidR="009C0C0F" w:rsidRDefault="009C0C0F" w:rsidP="00C05616">
            <w:pPr>
              <w:spacing w:after="0" w:line="240" w:lineRule="auto"/>
              <w:contextualSpacing/>
              <w:jc w:val="both"/>
              <w:rPr>
                <w:rFonts w:ascii="Arial" w:hAnsi="Arial" w:cs="Arial"/>
                <w:sz w:val="24"/>
                <w:szCs w:val="24"/>
              </w:rPr>
            </w:pPr>
          </w:p>
          <w:p w:rsidR="009C0C0F" w:rsidRDefault="009C0C0F" w:rsidP="00C05616">
            <w:pPr>
              <w:spacing w:after="0" w:line="240" w:lineRule="auto"/>
              <w:contextualSpacing/>
              <w:jc w:val="both"/>
              <w:rPr>
                <w:rFonts w:ascii="Arial" w:hAnsi="Arial" w:cs="Arial"/>
                <w:sz w:val="24"/>
                <w:szCs w:val="24"/>
              </w:rPr>
            </w:pPr>
          </w:p>
          <w:p w:rsidR="009C0C0F" w:rsidRDefault="009C0C0F" w:rsidP="00C05616">
            <w:pPr>
              <w:spacing w:after="0" w:line="240" w:lineRule="auto"/>
              <w:contextualSpacing/>
              <w:jc w:val="both"/>
              <w:rPr>
                <w:rFonts w:ascii="Arial" w:hAnsi="Arial" w:cs="Arial"/>
                <w:sz w:val="24"/>
                <w:szCs w:val="24"/>
              </w:rPr>
            </w:pPr>
          </w:p>
          <w:p w:rsidR="009C0C0F" w:rsidRDefault="009C0C0F" w:rsidP="00C05616">
            <w:pPr>
              <w:spacing w:after="0" w:line="240" w:lineRule="auto"/>
              <w:contextualSpacing/>
              <w:jc w:val="both"/>
              <w:rPr>
                <w:rFonts w:ascii="Arial" w:hAnsi="Arial" w:cs="Arial"/>
                <w:sz w:val="24"/>
                <w:szCs w:val="24"/>
              </w:rPr>
            </w:pPr>
          </w:p>
          <w:p w:rsidR="009C0C0F" w:rsidRDefault="009C0C0F" w:rsidP="00C05616">
            <w:pPr>
              <w:spacing w:after="0" w:line="240" w:lineRule="auto"/>
              <w:contextualSpacing/>
              <w:jc w:val="both"/>
              <w:rPr>
                <w:rFonts w:ascii="Arial" w:hAnsi="Arial" w:cs="Arial"/>
                <w:sz w:val="24"/>
                <w:szCs w:val="24"/>
              </w:rPr>
            </w:pPr>
            <w:r>
              <w:rPr>
                <w:rFonts w:ascii="Arial" w:hAnsi="Arial" w:cs="Arial"/>
                <w:sz w:val="24"/>
                <w:szCs w:val="24"/>
              </w:rPr>
              <w:t>5.3</w:t>
            </w:r>
          </w:p>
          <w:p w:rsidR="009C0C0F" w:rsidRDefault="009C0C0F" w:rsidP="00C05616">
            <w:pPr>
              <w:spacing w:after="0" w:line="240" w:lineRule="auto"/>
              <w:contextualSpacing/>
              <w:jc w:val="both"/>
              <w:rPr>
                <w:rFonts w:ascii="Arial" w:hAnsi="Arial" w:cs="Arial"/>
                <w:sz w:val="24"/>
                <w:szCs w:val="24"/>
              </w:rPr>
            </w:pPr>
          </w:p>
          <w:p w:rsidR="009C0C0F" w:rsidRDefault="009C0C0F" w:rsidP="00C05616">
            <w:pPr>
              <w:spacing w:after="0" w:line="240" w:lineRule="auto"/>
              <w:contextualSpacing/>
              <w:jc w:val="both"/>
              <w:rPr>
                <w:rFonts w:ascii="Arial" w:hAnsi="Arial" w:cs="Arial"/>
                <w:sz w:val="24"/>
                <w:szCs w:val="24"/>
              </w:rPr>
            </w:pPr>
          </w:p>
          <w:p w:rsidR="009C0C0F" w:rsidRDefault="009C0C0F" w:rsidP="00C05616">
            <w:pPr>
              <w:spacing w:after="0" w:line="240" w:lineRule="auto"/>
              <w:contextualSpacing/>
              <w:jc w:val="both"/>
              <w:rPr>
                <w:rFonts w:ascii="Arial" w:hAnsi="Arial" w:cs="Arial"/>
                <w:sz w:val="24"/>
                <w:szCs w:val="24"/>
              </w:rPr>
            </w:pPr>
          </w:p>
          <w:p w:rsidR="009C0C0F" w:rsidRDefault="009C0C0F" w:rsidP="00C05616">
            <w:pPr>
              <w:spacing w:after="0" w:line="240" w:lineRule="auto"/>
              <w:contextualSpacing/>
              <w:jc w:val="both"/>
              <w:rPr>
                <w:rFonts w:ascii="Arial" w:hAnsi="Arial" w:cs="Arial"/>
                <w:sz w:val="24"/>
                <w:szCs w:val="24"/>
              </w:rPr>
            </w:pPr>
          </w:p>
          <w:p w:rsidR="009C0C0F" w:rsidRDefault="009C0C0F" w:rsidP="00C05616">
            <w:pPr>
              <w:spacing w:after="0" w:line="240" w:lineRule="auto"/>
              <w:contextualSpacing/>
              <w:jc w:val="both"/>
              <w:rPr>
                <w:rFonts w:ascii="Arial" w:hAnsi="Arial" w:cs="Arial"/>
                <w:sz w:val="24"/>
                <w:szCs w:val="24"/>
              </w:rPr>
            </w:pPr>
          </w:p>
          <w:p w:rsidR="00064112" w:rsidRDefault="00064112" w:rsidP="00C05616">
            <w:pPr>
              <w:spacing w:after="0" w:line="240" w:lineRule="auto"/>
              <w:contextualSpacing/>
              <w:jc w:val="both"/>
              <w:rPr>
                <w:rFonts w:ascii="Arial" w:hAnsi="Arial" w:cs="Arial"/>
                <w:sz w:val="24"/>
                <w:szCs w:val="24"/>
              </w:rPr>
            </w:pPr>
          </w:p>
          <w:p w:rsidR="009C0C0F" w:rsidRDefault="009C0C0F" w:rsidP="00C05616">
            <w:pPr>
              <w:spacing w:after="0" w:line="240" w:lineRule="auto"/>
              <w:contextualSpacing/>
              <w:jc w:val="both"/>
              <w:rPr>
                <w:rFonts w:ascii="Arial" w:hAnsi="Arial" w:cs="Arial"/>
                <w:sz w:val="24"/>
                <w:szCs w:val="24"/>
              </w:rPr>
            </w:pPr>
          </w:p>
          <w:p w:rsidR="009C0C0F" w:rsidRDefault="009C0C0F" w:rsidP="00C05616">
            <w:pPr>
              <w:spacing w:after="0" w:line="240" w:lineRule="auto"/>
              <w:contextualSpacing/>
              <w:jc w:val="both"/>
              <w:rPr>
                <w:rFonts w:ascii="Arial" w:hAnsi="Arial" w:cs="Arial"/>
                <w:sz w:val="24"/>
                <w:szCs w:val="24"/>
              </w:rPr>
            </w:pPr>
            <w:r>
              <w:rPr>
                <w:rFonts w:ascii="Arial" w:hAnsi="Arial" w:cs="Arial"/>
                <w:sz w:val="24"/>
                <w:szCs w:val="24"/>
              </w:rPr>
              <w:t>5.4</w:t>
            </w:r>
          </w:p>
          <w:p w:rsidR="005C4C5E" w:rsidRDefault="005C4C5E" w:rsidP="00C05616">
            <w:pPr>
              <w:spacing w:after="0" w:line="240" w:lineRule="auto"/>
              <w:contextualSpacing/>
              <w:jc w:val="both"/>
              <w:rPr>
                <w:rFonts w:ascii="Arial" w:hAnsi="Arial" w:cs="Arial"/>
                <w:sz w:val="24"/>
                <w:szCs w:val="24"/>
              </w:rPr>
            </w:pPr>
          </w:p>
          <w:p w:rsidR="005C4C5E" w:rsidRDefault="005C4C5E" w:rsidP="00C05616">
            <w:pPr>
              <w:spacing w:after="0" w:line="240" w:lineRule="auto"/>
              <w:contextualSpacing/>
              <w:jc w:val="both"/>
              <w:rPr>
                <w:rFonts w:ascii="Arial" w:hAnsi="Arial" w:cs="Arial"/>
                <w:sz w:val="24"/>
                <w:szCs w:val="24"/>
              </w:rPr>
            </w:pPr>
          </w:p>
          <w:p w:rsidR="005C4C5E" w:rsidRDefault="005C4C5E" w:rsidP="00C05616">
            <w:pPr>
              <w:spacing w:after="0" w:line="240" w:lineRule="auto"/>
              <w:contextualSpacing/>
              <w:jc w:val="both"/>
              <w:rPr>
                <w:rFonts w:ascii="Arial" w:hAnsi="Arial" w:cs="Arial"/>
                <w:b/>
                <w:sz w:val="24"/>
                <w:szCs w:val="24"/>
              </w:rPr>
            </w:pPr>
            <w:r>
              <w:rPr>
                <w:rFonts w:ascii="Arial" w:hAnsi="Arial" w:cs="Arial"/>
                <w:b/>
                <w:sz w:val="24"/>
                <w:szCs w:val="24"/>
              </w:rPr>
              <w:t>6.</w:t>
            </w:r>
          </w:p>
          <w:p w:rsidR="005C4C5E" w:rsidRDefault="005C4C5E" w:rsidP="00C05616">
            <w:pPr>
              <w:spacing w:after="0" w:line="240" w:lineRule="auto"/>
              <w:contextualSpacing/>
              <w:jc w:val="both"/>
              <w:rPr>
                <w:rFonts w:ascii="Arial" w:hAnsi="Arial" w:cs="Arial"/>
                <w:b/>
                <w:sz w:val="24"/>
                <w:szCs w:val="24"/>
              </w:rPr>
            </w:pPr>
          </w:p>
          <w:p w:rsidR="005C4C5E" w:rsidRDefault="005C4C5E" w:rsidP="00C05616">
            <w:pPr>
              <w:spacing w:after="0" w:line="240" w:lineRule="auto"/>
              <w:contextualSpacing/>
              <w:jc w:val="both"/>
              <w:rPr>
                <w:rFonts w:ascii="Arial" w:hAnsi="Arial" w:cs="Arial"/>
                <w:sz w:val="24"/>
                <w:szCs w:val="24"/>
              </w:rPr>
            </w:pPr>
            <w:r>
              <w:rPr>
                <w:rFonts w:ascii="Arial" w:hAnsi="Arial" w:cs="Arial"/>
                <w:sz w:val="24"/>
                <w:szCs w:val="24"/>
              </w:rPr>
              <w:t>6.1</w:t>
            </w:r>
          </w:p>
          <w:p w:rsidR="005C4C5E" w:rsidRDefault="005C4C5E" w:rsidP="00C05616">
            <w:pPr>
              <w:spacing w:after="0" w:line="240" w:lineRule="auto"/>
              <w:contextualSpacing/>
              <w:jc w:val="both"/>
              <w:rPr>
                <w:rFonts w:ascii="Arial" w:hAnsi="Arial" w:cs="Arial"/>
                <w:sz w:val="24"/>
                <w:szCs w:val="24"/>
              </w:rPr>
            </w:pPr>
          </w:p>
          <w:p w:rsidR="005C4C5E" w:rsidRDefault="005C4C5E" w:rsidP="00C05616">
            <w:pPr>
              <w:spacing w:after="0" w:line="240" w:lineRule="auto"/>
              <w:contextualSpacing/>
              <w:jc w:val="both"/>
              <w:rPr>
                <w:rFonts w:ascii="Arial" w:hAnsi="Arial" w:cs="Arial"/>
                <w:sz w:val="24"/>
                <w:szCs w:val="24"/>
              </w:rPr>
            </w:pPr>
          </w:p>
          <w:p w:rsidR="005C4C5E" w:rsidRDefault="005C4C5E" w:rsidP="00C05616">
            <w:pPr>
              <w:spacing w:after="0" w:line="240" w:lineRule="auto"/>
              <w:contextualSpacing/>
              <w:jc w:val="both"/>
              <w:rPr>
                <w:rFonts w:ascii="Arial" w:hAnsi="Arial" w:cs="Arial"/>
                <w:sz w:val="24"/>
                <w:szCs w:val="24"/>
              </w:rPr>
            </w:pPr>
          </w:p>
          <w:p w:rsidR="005C4C5E" w:rsidRDefault="005C4C5E" w:rsidP="00C05616">
            <w:pPr>
              <w:spacing w:after="0" w:line="240" w:lineRule="auto"/>
              <w:contextualSpacing/>
              <w:jc w:val="both"/>
              <w:rPr>
                <w:rFonts w:ascii="Arial" w:hAnsi="Arial" w:cs="Arial"/>
                <w:b/>
                <w:sz w:val="24"/>
                <w:szCs w:val="24"/>
              </w:rPr>
            </w:pPr>
            <w:r>
              <w:rPr>
                <w:rFonts w:ascii="Arial" w:hAnsi="Arial" w:cs="Arial"/>
                <w:b/>
                <w:sz w:val="24"/>
                <w:szCs w:val="24"/>
              </w:rPr>
              <w:t>7.</w:t>
            </w:r>
          </w:p>
          <w:p w:rsidR="005C4C5E" w:rsidRDefault="005C4C5E" w:rsidP="00C05616">
            <w:pPr>
              <w:spacing w:after="0" w:line="240" w:lineRule="auto"/>
              <w:contextualSpacing/>
              <w:jc w:val="both"/>
              <w:rPr>
                <w:rFonts w:ascii="Arial" w:hAnsi="Arial" w:cs="Arial"/>
                <w:b/>
                <w:sz w:val="24"/>
                <w:szCs w:val="24"/>
              </w:rPr>
            </w:pPr>
          </w:p>
          <w:p w:rsidR="00CC5A8A" w:rsidRDefault="00CC5A8A" w:rsidP="00005475">
            <w:pPr>
              <w:spacing w:after="0" w:line="240" w:lineRule="auto"/>
              <w:contextualSpacing/>
              <w:jc w:val="both"/>
              <w:rPr>
                <w:rFonts w:ascii="Arial" w:hAnsi="Arial" w:cs="Arial"/>
                <w:sz w:val="24"/>
                <w:szCs w:val="24"/>
              </w:rPr>
            </w:pPr>
          </w:p>
          <w:p w:rsidR="00005475" w:rsidRDefault="00005475" w:rsidP="00005475">
            <w:pPr>
              <w:spacing w:after="0" w:line="240" w:lineRule="auto"/>
              <w:contextualSpacing/>
              <w:jc w:val="both"/>
              <w:rPr>
                <w:rFonts w:ascii="Arial" w:hAnsi="Arial" w:cs="Arial"/>
                <w:sz w:val="24"/>
                <w:szCs w:val="24"/>
              </w:rPr>
            </w:pPr>
          </w:p>
          <w:p w:rsidR="00005475" w:rsidRDefault="00005475" w:rsidP="00005475">
            <w:pPr>
              <w:spacing w:after="0" w:line="240" w:lineRule="auto"/>
              <w:contextualSpacing/>
              <w:jc w:val="both"/>
              <w:rPr>
                <w:rFonts w:ascii="Arial" w:hAnsi="Arial" w:cs="Arial"/>
                <w:sz w:val="24"/>
                <w:szCs w:val="24"/>
              </w:rPr>
            </w:pPr>
          </w:p>
          <w:p w:rsidR="00005475" w:rsidRPr="00597575" w:rsidRDefault="00005475" w:rsidP="00005475">
            <w:pPr>
              <w:spacing w:after="0" w:line="240" w:lineRule="auto"/>
              <w:contextualSpacing/>
              <w:jc w:val="both"/>
              <w:rPr>
                <w:rFonts w:ascii="Arial" w:hAnsi="Arial" w:cs="Arial"/>
                <w:sz w:val="24"/>
                <w:szCs w:val="24"/>
              </w:rPr>
            </w:pPr>
          </w:p>
        </w:tc>
        <w:tc>
          <w:tcPr>
            <w:tcW w:w="8647" w:type="dxa"/>
            <w:tcBorders>
              <w:top w:val="nil"/>
              <w:left w:val="nil"/>
              <w:bottom w:val="nil"/>
              <w:right w:val="nil"/>
            </w:tcBorders>
          </w:tcPr>
          <w:p w:rsidR="009C0C0F" w:rsidRPr="009C0C0F" w:rsidRDefault="009C0C0F" w:rsidP="009C0C0F">
            <w:pPr>
              <w:spacing w:after="0" w:line="240" w:lineRule="auto"/>
              <w:jc w:val="both"/>
              <w:rPr>
                <w:rFonts w:ascii="Arial" w:eastAsia="Times New Roman" w:hAnsi="Arial" w:cs="Arial"/>
                <w:sz w:val="24"/>
                <w:szCs w:val="24"/>
                <w:lang w:eastAsia="en-GB"/>
              </w:rPr>
            </w:pPr>
            <w:r w:rsidRPr="009C0C0F">
              <w:rPr>
                <w:rFonts w:ascii="Arial" w:eastAsia="Times New Roman" w:hAnsi="Arial" w:cs="Arial"/>
                <w:sz w:val="24"/>
                <w:szCs w:val="24"/>
                <w:lang w:eastAsia="en-GB"/>
              </w:rPr>
              <w:lastRenderedPageBreak/>
              <w:t xml:space="preserve">There has been one data breach reported in the last quarter.  </w:t>
            </w:r>
          </w:p>
          <w:p w:rsidR="009C0C0F" w:rsidRPr="009C0C0F" w:rsidRDefault="009C0C0F" w:rsidP="009C0C0F">
            <w:pPr>
              <w:spacing w:after="0" w:line="240" w:lineRule="auto"/>
              <w:jc w:val="both"/>
              <w:rPr>
                <w:rFonts w:ascii="Arial" w:eastAsia="Times New Roman" w:hAnsi="Arial" w:cs="Arial"/>
                <w:sz w:val="24"/>
                <w:szCs w:val="24"/>
                <w:lang w:eastAsia="en-GB"/>
              </w:rPr>
            </w:pPr>
          </w:p>
          <w:p w:rsidR="009C0C0F" w:rsidRPr="009C0C0F" w:rsidRDefault="009C0C0F" w:rsidP="009C0C0F">
            <w:pPr>
              <w:spacing w:after="0" w:line="240" w:lineRule="auto"/>
              <w:jc w:val="both"/>
              <w:rPr>
                <w:rFonts w:ascii="Arial" w:eastAsia="Times New Roman" w:hAnsi="Arial" w:cs="Arial"/>
                <w:sz w:val="24"/>
                <w:szCs w:val="24"/>
                <w:lang w:eastAsia="en-GB"/>
              </w:rPr>
            </w:pPr>
            <w:r w:rsidRPr="009C0C0F">
              <w:rPr>
                <w:rFonts w:ascii="Arial" w:eastAsia="Times New Roman" w:hAnsi="Arial" w:cs="Arial"/>
                <w:sz w:val="24"/>
                <w:szCs w:val="24"/>
                <w:lang w:eastAsia="en-GB"/>
              </w:rPr>
              <w:t xml:space="preserve">A member of staff was sending an email to </w:t>
            </w:r>
            <w:proofErr w:type="gramStart"/>
            <w:r w:rsidRPr="009C0C0F">
              <w:rPr>
                <w:rFonts w:ascii="Arial" w:eastAsia="Times New Roman" w:hAnsi="Arial" w:cs="Arial"/>
                <w:sz w:val="24"/>
                <w:szCs w:val="24"/>
                <w:lang w:eastAsia="en-GB"/>
              </w:rPr>
              <w:t>a number of</w:t>
            </w:r>
            <w:proofErr w:type="gramEnd"/>
            <w:r w:rsidRPr="009C0C0F">
              <w:rPr>
                <w:rFonts w:ascii="Arial" w:eastAsia="Times New Roman" w:hAnsi="Arial" w:cs="Arial"/>
                <w:sz w:val="24"/>
                <w:szCs w:val="24"/>
                <w:lang w:eastAsia="en-GB"/>
              </w:rPr>
              <w:t xml:space="preserve"> parents whose children were booked to attend an event taking place during the school holidays.  They had a list of email addresses in a spreadsheet which they used to populate the “bcc” field in the email </w:t>
            </w:r>
            <w:proofErr w:type="gramStart"/>
            <w:r w:rsidRPr="009C0C0F">
              <w:rPr>
                <w:rFonts w:ascii="Arial" w:eastAsia="Times New Roman" w:hAnsi="Arial" w:cs="Arial"/>
                <w:sz w:val="24"/>
                <w:szCs w:val="24"/>
                <w:lang w:eastAsia="en-GB"/>
              </w:rPr>
              <w:t>in order to</w:t>
            </w:r>
            <w:proofErr w:type="gramEnd"/>
            <w:r w:rsidRPr="009C0C0F">
              <w:rPr>
                <w:rFonts w:ascii="Arial" w:eastAsia="Times New Roman" w:hAnsi="Arial" w:cs="Arial"/>
                <w:sz w:val="24"/>
                <w:szCs w:val="24"/>
                <w:lang w:eastAsia="en-GB"/>
              </w:rPr>
              <w:t xml:space="preserve"> send the email.  Unfortunately, they accidentally attached the spreadsheet to the email and sent it to each of the parents.  This enabled each parent to see the email addresses </w:t>
            </w:r>
            <w:proofErr w:type="gramStart"/>
            <w:r w:rsidRPr="009C0C0F">
              <w:rPr>
                <w:rFonts w:ascii="Arial" w:eastAsia="Times New Roman" w:hAnsi="Arial" w:cs="Arial"/>
                <w:sz w:val="24"/>
                <w:szCs w:val="24"/>
                <w:lang w:eastAsia="en-GB"/>
              </w:rPr>
              <w:t>despite the fact that</w:t>
            </w:r>
            <w:proofErr w:type="gramEnd"/>
            <w:r w:rsidRPr="009C0C0F">
              <w:rPr>
                <w:rFonts w:ascii="Arial" w:eastAsia="Times New Roman" w:hAnsi="Arial" w:cs="Arial"/>
                <w:sz w:val="24"/>
                <w:szCs w:val="24"/>
                <w:lang w:eastAsia="en-GB"/>
              </w:rPr>
              <w:t xml:space="preserve"> the staff member had used the “bcc” field.  There was no other information in the spreadsheet other than the list of email addresses.</w:t>
            </w:r>
          </w:p>
          <w:p w:rsidR="009C0C0F" w:rsidRPr="009C0C0F" w:rsidRDefault="009C0C0F" w:rsidP="009C0C0F">
            <w:pPr>
              <w:spacing w:after="0" w:line="240" w:lineRule="auto"/>
              <w:jc w:val="both"/>
              <w:rPr>
                <w:rFonts w:ascii="Arial" w:eastAsia="Times New Roman" w:hAnsi="Arial" w:cs="Arial"/>
                <w:sz w:val="24"/>
                <w:szCs w:val="24"/>
                <w:lang w:eastAsia="en-GB"/>
              </w:rPr>
            </w:pPr>
          </w:p>
          <w:p w:rsidR="009C0C0F" w:rsidRDefault="009C0C0F" w:rsidP="009C0C0F">
            <w:pPr>
              <w:spacing w:after="0" w:line="240" w:lineRule="auto"/>
              <w:jc w:val="both"/>
              <w:rPr>
                <w:rFonts w:ascii="Arial" w:eastAsia="Times New Roman" w:hAnsi="Arial" w:cs="Arial"/>
                <w:sz w:val="24"/>
                <w:szCs w:val="24"/>
                <w:lang w:eastAsia="en-GB"/>
              </w:rPr>
            </w:pPr>
            <w:r w:rsidRPr="009C0C0F">
              <w:rPr>
                <w:rFonts w:ascii="Arial" w:eastAsia="Times New Roman" w:hAnsi="Arial" w:cs="Arial"/>
                <w:sz w:val="24"/>
                <w:szCs w:val="24"/>
                <w:lang w:eastAsia="en-GB"/>
              </w:rPr>
              <w:t xml:space="preserve">Immediately after issuing the email, the member of staff noticed the error they made and attempted to recall the message and sent a further message without the spreadsheet attached. It is very unlikely anyone receiving would suffer significant consequences </w:t>
            </w:r>
            <w:proofErr w:type="gramStart"/>
            <w:r w:rsidRPr="009C0C0F">
              <w:rPr>
                <w:rFonts w:ascii="Arial" w:eastAsia="Times New Roman" w:hAnsi="Arial" w:cs="Arial"/>
                <w:sz w:val="24"/>
                <w:szCs w:val="24"/>
                <w:lang w:eastAsia="en-GB"/>
              </w:rPr>
              <w:t>as a result of</w:t>
            </w:r>
            <w:proofErr w:type="gramEnd"/>
            <w:r w:rsidRPr="009C0C0F">
              <w:rPr>
                <w:rFonts w:ascii="Arial" w:eastAsia="Times New Roman" w:hAnsi="Arial" w:cs="Arial"/>
                <w:sz w:val="24"/>
                <w:szCs w:val="24"/>
                <w:lang w:eastAsia="en-GB"/>
              </w:rPr>
              <w:t xml:space="preserve"> the breach and there have been no complaints as a result of this.  A report has been sent to the ICO, no response has been received at the time of writing, and there may not be any further communication if the ICO determine the breach as minor.</w:t>
            </w:r>
          </w:p>
          <w:p w:rsidR="00064112" w:rsidRDefault="00064112" w:rsidP="009C0C0F">
            <w:pPr>
              <w:spacing w:after="0" w:line="240" w:lineRule="auto"/>
              <w:jc w:val="both"/>
              <w:rPr>
                <w:rFonts w:ascii="Arial" w:eastAsia="Times New Roman" w:hAnsi="Arial" w:cs="Arial"/>
                <w:sz w:val="24"/>
                <w:szCs w:val="24"/>
                <w:lang w:eastAsia="en-GB"/>
              </w:rPr>
            </w:pPr>
          </w:p>
          <w:p w:rsidR="00E01B88" w:rsidRDefault="009C0C0F" w:rsidP="009C0C0F">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A</w:t>
            </w:r>
            <w:r w:rsidRPr="009C0C0F">
              <w:rPr>
                <w:rFonts w:ascii="Arial" w:eastAsia="Times New Roman" w:hAnsi="Arial" w:cs="Arial"/>
                <w:sz w:val="24"/>
                <w:szCs w:val="24"/>
                <w:lang w:eastAsia="en-GB"/>
              </w:rPr>
              <w:t>n email was issued to staff reminding them of the process and compliance requirements.</w:t>
            </w:r>
          </w:p>
          <w:p w:rsidR="005C4C5E" w:rsidRDefault="005C4C5E" w:rsidP="009C0C0F">
            <w:pPr>
              <w:spacing w:after="0" w:line="240" w:lineRule="auto"/>
              <w:jc w:val="both"/>
              <w:rPr>
                <w:rFonts w:ascii="Arial" w:eastAsia="Times New Roman" w:hAnsi="Arial" w:cs="Arial"/>
                <w:sz w:val="24"/>
                <w:szCs w:val="24"/>
                <w:lang w:eastAsia="en-GB"/>
              </w:rPr>
            </w:pPr>
          </w:p>
          <w:p w:rsidR="005C4C5E" w:rsidRDefault="005C4C5E" w:rsidP="009C0C0F">
            <w:pPr>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Financial Audit Recommendations 2018/19</w:t>
            </w:r>
          </w:p>
          <w:p w:rsidR="005C4C5E" w:rsidRDefault="005C4C5E" w:rsidP="009C0C0F">
            <w:pPr>
              <w:spacing w:after="0" w:line="240" w:lineRule="auto"/>
              <w:jc w:val="both"/>
              <w:rPr>
                <w:rFonts w:ascii="Arial" w:eastAsia="Times New Roman" w:hAnsi="Arial" w:cs="Arial"/>
                <w:b/>
                <w:sz w:val="24"/>
                <w:szCs w:val="24"/>
                <w:lang w:eastAsia="en-GB"/>
              </w:rPr>
            </w:pPr>
          </w:p>
          <w:p w:rsidR="005C4C5E" w:rsidRDefault="005C4C5E" w:rsidP="009C0C0F">
            <w:pPr>
              <w:spacing w:after="0" w:line="240" w:lineRule="auto"/>
              <w:jc w:val="both"/>
              <w:rPr>
                <w:rFonts w:ascii="Arial" w:eastAsia="Times New Roman" w:hAnsi="Arial" w:cs="Arial"/>
                <w:b/>
                <w:sz w:val="24"/>
                <w:szCs w:val="24"/>
                <w:lang w:eastAsia="en-GB"/>
              </w:rPr>
            </w:pPr>
            <w:r>
              <w:rPr>
                <w:rFonts w:ascii="Arial" w:eastAsia="Times New Roman" w:hAnsi="Arial" w:cs="Arial"/>
                <w:sz w:val="24"/>
                <w:szCs w:val="24"/>
                <w:lang w:eastAsia="en-GB"/>
              </w:rPr>
              <w:t xml:space="preserve">An update on the management response to the 2018/19 financial audit recommendations requested at the 5 August 2019 meeting is detailed in </w:t>
            </w:r>
            <w:r>
              <w:rPr>
                <w:rFonts w:ascii="Arial" w:eastAsia="Times New Roman" w:hAnsi="Arial" w:cs="Arial"/>
                <w:b/>
                <w:sz w:val="24"/>
                <w:szCs w:val="24"/>
                <w:lang w:eastAsia="en-GB"/>
              </w:rPr>
              <w:t>Appendix E.</w:t>
            </w:r>
          </w:p>
          <w:p w:rsidR="005C4C5E" w:rsidRDefault="005C4C5E" w:rsidP="009C0C0F">
            <w:pPr>
              <w:spacing w:after="0" w:line="240" w:lineRule="auto"/>
              <w:jc w:val="both"/>
              <w:rPr>
                <w:rFonts w:ascii="Arial" w:eastAsia="Times New Roman" w:hAnsi="Arial" w:cs="Arial"/>
                <w:b/>
                <w:sz w:val="24"/>
                <w:szCs w:val="24"/>
                <w:lang w:eastAsia="en-GB"/>
              </w:rPr>
            </w:pPr>
          </w:p>
          <w:p w:rsidR="005C4C5E" w:rsidRDefault="005C4C5E" w:rsidP="009C0C0F">
            <w:pPr>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Tenders Approved/Contracts Awarded</w:t>
            </w:r>
          </w:p>
          <w:p w:rsidR="005C4C5E" w:rsidRDefault="005C4C5E" w:rsidP="009C0C0F">
            <w:pPr>
              <w:spacing w:after="0" w:line="240" w:lineRule="auto"/>
              <w:jc w:val="both"/>
              <w:rPr>
                <w:rFonts w:ascii="Arial" w:eastAsia="Times New Roman" w:hAnsi="Arial" w:cs="Arial"/>
                <w:b/>
                <w:sz w:val="24"/>
                <w:szCs w:val="24"/>
                <w:lang w:eastAsia="en-GB"/>
              </w:rPr>
            </w:pPr>
          </w:p>
          <w:tbl>
            <w:tblPr>
              <w:tblStyle w:val="TableGrid1"/>
              <w:tblW w:w="8365" w:type="dxa"/>
              <w:tblLayout w:type="fixed"/>
              <w:tblLook w:val="04A0" w:firstRow="1" w:lastRow="0" w:firstColumn="1" w:lastColumn="0" w:noHBand="0" w:noVBand="1"/>
            </w:tblPr>
            <w:tblGrid>
              <w:gridCol w:w="2013"/>
              <w:gridCol w:w="4111"/>
              <w:gridCol w:w="2241"/>
            </w:tblGrid>
            <w:tr w:rsidR="00005475" w:rsidRPr="00AC7F09" w:rsidTr="008F2666">
              <w:trPr>
                <w:trHeight w:val="594"/>
              </w:trPr>
              <w:tc>
                <w:tcPr>
                  <w:tcW w:w="2013" w:type="dxa"/>
                </w:tcPr>
                <w:p w:rsidR="00005475" w:rsidRPr="00AC7F09" w:rsidRDefault="00005475" w:rsidP="00005475">
                  <w:pPr>
                    <w:rPr>
                      <w:rFonts w:ascii="Arial" w:hAnsi="Arial" w:cs="Arial"/>
                      <w:szCs w:val="24"/>
                    </w:rPr>
                  </w:pPr>
                  <w:r>
                    <w:rPr>
                      <w:rFonts w:ascii="Arial" w:hAnsi="Arial" w:cs="Arial"/>
                      <w:szCs w:val="24"/>
                    </w:rPr>
                    <w:t>QLM Ltd</w:t>
                  </w:r>
                </w:p>
              </w:tc>
              <w:tc>
                <w:tcPr>
                  <w:tcW w:w="4111" w:type="dxa"/>
                </w:tcPr>
                <w:p w:rsidR="00005475" w:rsidRPr="00AC7F09" w:rsidRDefault="00005475" w:rsidP="00005475">
                  <w:pPr>
                    <w:jc w:val="left"/>
                    <w:rPr>
                      <w:rFonts w:ascii="Arial" w:hAnsi="Arial" w:cs="Arial"/>
                      <w:szCs w:val="24"/>
                    </w:rPr>
                  </w:pPr>
                  <w:r>
                    <w:rPr>
                      <w:rFonts w:ascii="Arial" w:hAnsi="Arial" w:cs="Arial"/>
                      <w:szCs w:val="24"/>
                    </w:rPr>
                    <w:t>Health and Safety Consultancy Services</w:t>
                  </w:r>
                </w:p>
              </w:tc>
              <w:tc>
                <w:tcPr>
                  <w:tcW w:w="2241" w:type="dxa"/>
                </w:tcPr>
                <w:p w:rsidR="00005475" w:rsidRPr="00AC7F09" w:rsidRDefault="00005475" w:rsidP="00005475">
                  <w:pPr>
                    <w:jc w:val="left"/>
                    <w:rPr>
                      <w:rFonts w:ascii="Arial" w:hAnsi="Arial" w:cs="Arial"/>
                      <w:szCs w:val="24"/>
                    </w:rPr>
                  </w:pPr>
                  <w:r>
                    <w:rPr>
                      <w:rFonts w:ascii="Arial" w:hAnsi="Arial" w:cs="Arial"/>
                      <w:szCs w:val="24"/>
                    </w:rPr>
                    <w:t>Oct 19-Oct 23</w:t>
                  </w:r>
                </w:p>
              </w:tc>
            </w:tr>
          </w:tbl>
          <w:p w:rsidR="005C4C5E" w:rsidRPr="005C4C5E" w:rsidRDefault="005C4C5E" w:rsidP="00005475">
            <w:pPr>
              <w:tabs>
                <w:tab w:val="left" w:pos="2047"/>
              </w:tabs>
              <w:spacing w:after="0" w:line="240" w:lineRule="auto"/>
              <w:jc w:val="both"/>
              <w:rPr>
                <w:rFonts w:ascii="Arial" w:eastAsia="Times New Roman" w:hAnsi="Arial" w:cs="Arial"/>
                <w:sz w:val="24"/>
                <w:szCs w:val="24"/>
                <w:lang w:eastAsia="en-GB"/>
              </w:rPr>
            </w:pPr>
          </w:p>
        </w:tc>
      </w:tr>
      <w:tr w:rsidR="00752DF4" w:rsidRPr="00266AC3" w:rsidTr="00BD0BD8">
        <w:tc>
          <w:tcPr>
            <w:tcW w:w="851" w:type="dxa"/>
            <w:tcBorders>
              <w:top w:val="nil"/>
              <w:left w:val="nil"/>
              <w:bottom w:val="nil"/>
              <w:right w:val="nil"/>
            </w:tcBorders>
          </w:tcPr>
          <w:p w:rsidR="00752DF4" w:rsidRPr="00266AC3" w:rsidRDefault="005C4C5E" w:rsidP="009134C8">
            <w:pPr>
              <w:spacing w:after="0"/>
              <w:rPr>
                <w:rFonts w:ascii="Arial" w:hAnsi="Arial" w:cs="Arial"/>
                <w:b/>
                <w:sz w:val="24"/>
                <w:szCs w:val="24"/>
              </w:rPr>
            </w:pPr>
            <w:r>
              <w:rPr>
                <w:rFonts w:ascii="Arial" w:hAnsi="Arial" w:cs="Arial"/>
                <w:b/>
                <w:sz w:val="24"/>
                <w:szCs w:val="24"/>
              </w:rPr>
              <w:lastRenderedPageBreak/>
              <w:t>8</w:t>
            </w:r>
            <w:r w:rsidR="00752DF4" w:rsidRPr="00266AC3">
              <w:rPr>
                <w:rFonts w:ascii="Arial" w:hAnsi="Arial" w:cs="Arial"/>
                <w:b/>
                <w:sz w:val="24"/>
                <w:szCs w:val="24"/>
              </w:rPr>
              <w:t>.</w:t>
            </w:r>
          </w:p>
          <w:p w:rsidR="00752DF4" w:rsidRDefault="00752DF4" w:rsidP="00922169">
            <w:pPr>
              <w:spacing w:after="0" w:line="240" w:lineRule="auto"/>
              <w:contextualSpacing/>
              <w:rPr>
                <w:rFonts w:ascii="Arial" w:hAnsi="Arial" w:cs="Arial"/>
                <w:sz w:val="24"/>
                <w:szCs w:val="24"/>
              </w:rPr>
            </w:pPr>
          </w:p>
        </w:tc>
        <w:tc>
          <w:tcPr>
            <w:tcW w:w="8647" w:type="dxa"/>
            <w:tcBorders>
              <w:top w:val="nil"/>
              <w:left w:val="nil"/>
              <w:bottom w:val="nil"/>
              <w:right w:val="nil"/>
            </w:tcBorders>
          </w:tcPr>
          <w:p w:rsidR="00752DF4" w:rsidRPr="00266AC3" w:rsidRDefault="00752DF4" w:rsidP="00C94F6B">
            <w:pPr>
              <w:spacing w:after="0" w:line="240" w:lineRule="auto"/>
              <w:jc w:val="both"/>
              <w:rPr>
                <w:rFonts w:ascii="Arial" w:hAnsi="Arial" w:cs="Arial"/>
                <w:sz w:val="24"/>
                <w:szCs w:val="24"/>
              </w:rPr>
            </w:pPr>
            <w:r w:rsidRPr="00266AC3">
              <w:rPr>
                <w:rFonts w:ascii="Arial" w:hAnsi="Arial" w:cs="Arial"/>
                <w:b/>
                <w:sz w:val="24"/>
                <w:szCs w:val="24"/>
              </w:rPr>
              <w:t>Implications</w:t>
            </w:r>
          </w:p>
        </w:tc>
      </w:tr>
      <w:tr w:rsidR="00752DF4" w:rsidRPr="00266AC3" w:rsidTr="00BD0BD8">
        <w:tc>
          <w:tcPr>
            <w:tcW w:w="851" w:type="dxa"/>
            <w:tcBorders>
              <w:top w:val="nil"/>
              <w:left w:val="nil"/>
              <w:bottom w:val="nil"/>
              <w:right w:val="nil"/>
            </w:tcBorders>
          </w:tcPr>
          <w:p w:rsidR="00752DF4" w:rsidRPr="00266AC3" w:rsidRDefault="005C4C5E" w:rsidP="00922169">
            <w:pPr>
              <w:spacing w:after="0" w:line="240" w:lineRule="auto"/>
              <w:contextualSpacing/>
              <w:rPr>
                <w:rFonts w:ascii="Arial" w:hAnsi="Arial" w:cs="Arial"/>
                <w:sz w:val="24"/>
                <w:szCs w:val="24"/>
              </w:rPr>
            </w:pPr>
            <w:r>
              <w:rPr>
                <w:rFonts w:ascii="Arial" w:hAnsi="Arial" w:cs="Arial"/>
                <w:sz w:val="24"/>
                <w:szCs w:val="24"/>
              </w:rPr>
              <w:t>8</w:t>
            </w:r>
            <w:r w:rsidR="00752DF4">
              <w:rPr>
                <w:rFonts w:ascii="Arial" w:hAnsi="Arial" w:cs="Arial"/>
                <w:sz w:val="24"/>
                <w:szCs w:val="24"/>
              </w:rPr>
              <w:t>.1</w:t>
            </w:r>
          </w:p>
          <w:p w:rsidR="00752DF4" w:rsidRPr="0041318E" w:rsidRDefault="00752DF4" w:rsidP="00CB5CE4">
            <w:pPr>
              <w:spacing w:after="0" w:line="240" w:lineRule="auto"/>
              <w:contextualSpacing/>
              <w:rPr>
                <w:rFonts w:ascii="Arial" w:hAnsi="Arial" w:cs="Arial"/>
                <w:sz w:val="24"/>
                <w:szCs w:val="24"/>
              </w:rPr>
            </w:pPr>
          </w:p>
        </w:tc>
        <w:tc>
          <w:tcPr>
            <w:tcW w:w="8647" w:type="dxa"/>
            <w:tcBorders>
              <w:top w:val="nil"/>
              <w:left w:val="nil"/>
              <w:bottom w:val="nil"/>
              <w:right w:val="nil"/>
            </w:tcBorders>
          </w:tcPr>
          <w:p w:rsidR="00752DF4" w:rsidRDefault="00752DF4" w:rsidP="00C94F6B">
            <w:pPr>
              <w:spacing w:after="0" w:line="240" w:lineRule="auto"/>
              <w:jc w:val="both"/>
              <w:rPr>
                <w:rFonts w:ascii="Arial" w:hAnsi="Arial" w:cs="Arial"/>
                <w:sz w:val="24"/>
                <w:szCs w:val="24"/>
              </w:rPr>
            </w:pPr>
            <w:r w:rsidRPr="00266AC3">
              <w:rPr>
                <w:rFonts w:ascii="Arial" w:hAnsi="Arial" w:cs="Arial"/>
                <w:sz w:val="24"/>
                <w:szCs w:val="24"/>
              </w:rPr>
              <w:t>Resource Implications – there are no</w:t>
            </w:r>
            <w:r>
              <w:rPr>
                <w:rFonts w:ascii="Arial" w:hAnsi="Arial" w:cs="Arial"/>
                <w:sz w:val="24"/>
                <w:szCs w:val="24"/>
              </w:rPr>
              <w:t xml:space="preserve"> new</w:t>
            </w:r>
            <w:r w:rsidRPr="00266AC3">
              <w:rPr>
                <w:rFonts w:ascii="Arial" w:hAnsi="Arial" w:cs="Arial"/>
                <w:sz w:val="24"/>
                <w:szCs w:val="24"/>
              </w:rPr>
              <w:t xml:space="preserve"> resource implications associated with the </w:t>
            </w:r>
            <w:r>
              <w:rPr>
                <w:rFonts w:ascii="Arial" w:hAnsi="Arial" w:cs="Arial"/>
                <w:sz w:val="24"/>
                <w:szCs w:val="24"/>
              </w:rPr>
              <w:t xml:space="preserve">recommendations of this report.  </w:t>
            </w:r>
          </w:p>
          <w:p w:rsidR="00752DF4" w:rsidRPr="0041318E" w:rsidRDefault="00752DF4" w:rsidP="00C94F6B">
            <w:pPr>
              <w:spacing w:after="0" w:line="240" w:lineRule="auto"/>
              <w:jc w:val="both"/>
              <w:rPr>
                <w:rFonts w:ascii="Arial" w:hAnsi="Arial" w:cs="Arial"/>
                <w:sz w:val="24"/>
                <w:szCs w:val="24"/>
              </w:rPr>
            </w:pPr>
          </w:p>
        </w:tc>
      </w:tr>
      <w:tr w:rsidR="00752DF4" w:rsidRPr="00266AC3" w:rsidTr="00B80B99">
        <w:tc>
          <w:tcPr>
            <w:tcW w:w="851" w:type="dxa"/>
            <w:tcBorders>
              <w:top w:val="nil"/>
              <w:left w:val="nil"/>
              <w:bottom w:val="nil"/>
              <w:right w:val="nil"/>
            </w:tcBorders>
          </w:tcPr>
          <w:p w:rsidR="00752DF4" w:rsidRPr="00266AC3" w:rsidRDefault="005C4C5E" w:rsidP="0092376B">
            <w:pPr>
              <w:spacing w:after="0"/>
              <w:rPr>
                <w:rFonts w:ascii="Arial" w:hAnsi="Arial" w:cs="Arial"/>
                <w:sz w:val="24"/>
                <w:szCs w:val="24"/>
              </w:rPr>
            </w:pPr>
            <w:r>
              <w:rPr>
                <w:rFonts w:ascii="Arial" w:hAnsi="Arial" w:cs="Arial"/>
                <w:sz w:val="24"/>
                <w:szCs w:val="24"/>
              </w:rPr>
              <w:t>8</w:t>
            </w:r>
            <w:r w:rsidR="0092376B">
              <w:rPr>
                <w:rFonts w:ascii="Arial" w:hAnsi="Arial" w:cs="Arial"/>
                <w:sz w:val="24"/>
                <w:szCs w:val="24"/>
              </w:rPr>
              <w:t>.</w:t>
            </w:r>
            <w:r w:rsidR="00752DF4">
              <w:rPr>
                <w:rFonts w:ascii="Arial" w:hAnsi="Arial" w:cs="Arial"/>
                <w:sz w:val="24"/>
                <w:szCs w:val="24"/>
              </w:rPr>
              <w:t>2</w:t>
            </w:r>
          </w:p>
        </w:tc>
        <w:tc>
          <w:tcPr>
            <w:tcW w:w="8647" w:type="dxa"/>
            <w:tcBorders>
              <w:top w:val="nil"/>
              <w:left w:val="nil"/>
              <w:bottom w:val="nil"/>
              <w:right w:val="nil"/>
            </w:tcBorders>
          </w:tcPr>
          <w:p w:rsidR="00752DF4" w:rsidRPr="00266AC3" w:rsidRDefault="00752DF4" w:rsidP="00C94F6B">
            <w:pPr>
              <w:spacing w:after="0" w:line="240" w:lineRule="auto"/>
              <w:jc w:val="both"/>
              <w:rPr>
                <w:rFonts w:ascii="Arial" w:hAnsi="Arial" w:cs="Arial"/>
                <w:sz w:val="24"/>
                <w:szCs w:val="24"/>
              </w:rPr>
            </w:pPr>
            <w:r w:rsidRPr="00266AC3">
              <w:rPr>
                <w:rFonts w:ascii="Arial" w:hAnsi="Arial" w:cs="Arial"/>
                <w:sz w:val="24"/>
                <w:szCs w:val="24"/>
              </w:rPr>
              <w:t xml:space="preserve">Legal Implications – there are no </w:t>
            </w:r>
            <w:r>
              <w:rPr>
                <w:rFonts w:ascii="Arial" w:hAnsi="Arial" w:cs="Arial"/>
                <w:sz w:val="24"/>
                <w:szCs w:val="24"/>
              </w:rPr>
              <w:t xml:space="preserve">new </w:t>
            </w:r>
            <w:r w:rsidRPr="00266AC3">
              <w:rPr>
                <w:rFonts w:ascii="Arial" w:hAnsi="Arial" w:cs="Arial"/>
                <w:sz w:val="24"/>
                <w:szCs w:val="24"/>
              </w:rPr>
              <w:t>legal implications associated with the recommendations of this report.</w:t>
            </w:r>
          </w:p>
          <w:p w:rsidR="00752DF4" w:rsidRPr="00266AC3" w:rsidRDefault="00752DF4" w:rsidP="00C94F6B">
            <w:pPr>
              <w:spacing w:after="0" w:line="240" w:lineRule="auto"/>
              <w:rPr>
                <w:rFonts w:ascii="Arial" w:hAnsi="Arial" w:cs="Arial"/>
                <w:sz w:val="24"/>
                <w:szCs w:val="24"/>
              </w:rPr>
            </w:pPr>
          </w:p>
        </w:tc>
      </w:tr>
      <w:tr w:rsidR="00B80B99" w:rsidRPr="00266AC3" w:rsidTr="00B80B99">
        <w:tc>
          <w:tcPr>
            <w:tcW w:w="851" w:type="dxa"/>
            <w:tcBorders>
              <w:top w:val="nil"/>
              <w:left w:val="nil"/>
              <w:bottom w:val="nil"/>
              <w:right w:val="nil"/>
            </w:tcBorders>
          </w:tcPr>
          <w:p w:rsidR="00B80B99" w:rsidRDefault="005C4C5E" w:rsidP="0092376B">
            <w:pPr>
              <w:spacing w:after="0"/>
              <w:rPr>
                <w:rFonts w:ascii="Arial" w:hAnsi="Arial" w:cs="Arial"/>
                <w:sz w:val="24"/>
                <w:szCs w:val="24"/>
              </w:rPr>
            </w:pPr>
            <w:r>
              <w:rPr>
                <w:rFonts w:ascii="Arial" w:hAnsi="Arial" w:cs="Arial"/>
                <w:sz w:val="24"/>
                <w:szCs w:val="24"/>
              </w:rPr>
              <w:t>8</w:t>
            </w:r>
            <w:r w:rsidR="00B80B99">
              <w:rPr>
                <w:rFonts w:ascii="Arial" w:hAnsi="Arial" w:cs="Arial"/>
                <w:sz w:val="24"/>
                <w:szCs w:val="24"/>
              </w:rPr>
              <w:t>.3</w:t>
            </w:r>
          </w:p>
        </w:tc>
        <w:tc>
          <w:tcPr>
            <w:tcW w:w="8647" w:type="dxa"/>
            <w:tcBorders>
              <w:top w:val="nil"/>
              <w:left w:val="nil"/>
              <w:bottom w:val="nil"/>
              <w:right w:val="nil"/>
            </w:tcBorders>
          </w:tcPr>
          <w:p w:rsidR="00B80B99" w:rsidRDefault="00B80B99" w:rsidP="00C94F6B">
            <w:pPr>
              <w:spacing w:after="0" w:line="240" w:lineRule="auto"/>
              <w:jc w:val="both"/>
              <w:rPr>
                <w:rFonts w:ascii="Arial" w:hAnsi="Arial" w:cs="Arial"/>
                <w:sz w:val="24"/>
                <w:szCs w:val="24"/>
              </w:rPr>
            </w:pPr>
            <w:r>
              <w:rPr>
                <w:rFonts w:ascii="Arial" w:hAnsi="Arial" w:cs="Arial"/>
                <w:sz w:val="24"/>
                <w:szCs w:val="24"/>
              </w:rPr>
              <w:t>Equality Implications – there are no new equality implications associated with the recommendations of this report.</w:t>
            </w:r>
          </w:p>
          <w:p w:rsidR="00AF52F7" w:rsidRPr="00266AC3" w:rsidRDefault="00AF52F7" w:rsidP="00C94F6B">
            <w:pPr>
              <w:spacing w:after="0" w:line="240" w:lineRule="auto"/>
              <w:jc w:val="both"/>
              <w:rPr>
                <w:rFonts w:ascii="Arial" w:hAnsi="Arial" w:cs="Arial"/>
                <w:sz w:val="24"/>
                <w:szCs w:val="24"/>
              </w:rPr>
            </w:pPr>
          </w:p>
        </w:tc>
      </w:tr>
      <w:tr w:rsidR="00752DF4" w:rsidRPr="00266AC3" w:rsidTr="00B80B99">
        <w:tc>
          <w:tcPr>
            <w:tcW w:w="851" w:type="dxa"/>
            <w:tcBorders>
              <w:top w:val="nil"/>
              <w:left w:val="nil"/>
              <w:bottom w:val="single" w:sz="4" w:space="0" w:color="auto"/>
              <w:right w:val="nil"/>
            </w:tcBorders>
          </w:tcPr>
          <w:p w:rsidR="00752DF4" w:rsidRPr="00266AC3" w:rsidRDefault="005C4C5E" w:rsidP="0092376B">
            <w:pPr>
              <w:spacing w:after="0"/>
              <w:rPr>
                <w:rFonts w:ascii="Arial" w:hAnsi="Arial" w:cs="Arial"/>
                <w:b/>
                <w:sz w:val="24"/>
                <w:szCs w:val="24"/>
              </w:rPr>
            </w:pPr>
            <w:r>
              <w:rPr>
                <w:rFonts w:ascii="Arial" w:hAnsi="Arial" w:cs="Arial"/>
                <w:sz w:val="24"/>
                <w:szCs w:val="24"/>
              </w:rPr>
              <w:t>8</w:t>
            </w:r>
            <w:r w:rsidR="0092376B">
              <w:rPr>
                <w:rFonts w:ascii="Arial" w:hAnsi="Arial" w:cs="Arial"/>
                <w:sz w:val="24"/>
                <w:szCs w:val="24"/>
              </w:rPr>
              <w:t>.4</w:t>
            </w:r>
          </w:p>
        </w:tc>
        <w:tc>
          <w:tcPr>
            <w:tcW w:w="8647" w:type="dxa"/>
            <w:tcBorders>
              <w:top w:val="nil"/>
              <w:left w:val="nil"/>
              <w:bottom w:val="single" w:sz="4" w:space="0" w:color="auto"/>
              <w:right w:val="nil"/>
            </w:tcBorders>
          </w:tcPr>
          <w:p w:rsidR="00752DF4" w:rsidRDefault="00752DF4" w:rsidP="00C94F6B">
            <w:pPr>
              <w:spacing w:after="0" w:line="240" w:lineRule="auto"/>
              <w:jc w:val="both"/>
              <w:rPr>
                <w:rFonts w:ascii="Arial" w:hAnsi="Arial" w:cs="Arial"/>
                <w:sz w:val="24"/>
                <w:szCs w:val="24"/>
              </w:rPr>
            </w:pPr>
            <w:r w:rsidRPr="00266AC3">
              <w:rPr>
                <w:rFonts w:ascii="Arial" w:hAnsi="Arial" w:cs="Arial"/>
                <w:sz w:val="24"/>
                <w:szCs w:val="24"/>
              </w:rPr>
              <w:t xml:space="preserve">Risk Implications </w:t>
            </w:r>
            <w:r>
              <w:rPr>
                <w:rFonts w:ascii="Arial" w:hAnsi="Arial" w:cs="Arial"/>
                <w:sz w:val="24"/>
                <w:szCs w:val="24"/>
              </w:rPr>
              <w:t>–</w:t>
            </w:r>
            <w:r w:rsidRPr="00266AC3">
              <w:rPr>
                <w:rFonts w:ascii="Arial" w:hAnsi="Arial" w:cs="Arial"/>
                <w:sz w:val="24"/>
                <w:szCs w:val="24"/>
              </w:rPr>
              <w:t xml:space="preserve"> </w:t>
            </w:r>
            <w:r>
              <w:rPr>
                <w:rFonts w:ascii="Arial" w:hAnsi="Arial" w:cs="Arial"/>
                <w:sz w:val="24"/>
                <w:szCs w:val="24"/>
              </w:rPr>
              <w:t>there are no new risk implications associated with the recommendations of this report.</w:t>
            </w:r>
          </w:p>
          <w:p w:rsidR="003561F9" w:rsidRPr="00546DF5" w:rsidRDefault="003561F9" w:rsidP="00C94F6B">
            <w:pPr>
              <w:spacing w:after="0" w:line="240" w:lineRule="auto"/>
              <w:jc w:val="both"/>
              <w:rPr>
                <w:rFonts w:ascii="Arial" w:hAnsi="Arial" w:cs="Arial"/>
                <w:sz w:val="24"/>
                <w:szCs w:val="24"/>
              </w:rPr>
            </w:pPr>
          </w:p>
        </w:tc>
      </w:tr>
      <w:tr w:rsidR="00752DF4" w:rsidRPr="00266AC3" w:rsidTr="003561F9">
        <w:trPr>
          <w:cantSplit/>
        </w:trPr>
        <w:tc>
          <w:tcPr>
            <w:tcW w:w="9498" w:type="dxa"/>
            <w:gridSpan w:val="2"/>
            <w:tcBorders>
              <w:top w:val="single" w:sz="4" w:space="0" w:color="auto"/>
              <w:left w:val="single" w:sz="4" w:space="0" w:color="auto"/>
              <w:bottom w:val="single" w:sz="4" w:space="0" w:color="auto"/>
              <w:right w:val="single" w:sz="4" w:space="0" w:color="auto"/>
            </w:tcBorders>
          </w:tcPr>
          <w:p w:rsidR="00752DF4" w:rsidRPr="00F63F4B" w:rsidRDefault="00752DF4" w:rsidP="00C67F56">
            <w:pPr>
              <w:shd w:val="clear" w:color="auto" w:fill="FFFFFF"/>
              <w:spacing w:after="0"/>
              <w:rPr>
                <w:rFonts w:ascii="Arial" w:hAnsi="Arial" w:cs="Arial"/>
                <w:b/>
                <w:sz w:val="24"/>
                <w:szCs w:val="24"/>
              </w:rPr>
            </w:pPr>
            <w:r w:rsidRPr="00F63F4B">
              <w:rPr>
                <w:rFonts w:ascii="Arial" w:hAnsi="Arial" w:cs="Arial"/>
                <w:b/>
                <w:sz w:val="24"/>
                <w:szCs w:val="24"/>
              </w:rPr>
              <w:t>Recommendation</w:t>
            </w:r>
          </w:p>
          <w:p w:rsidR="00752DF4" w:rsidRPr="00F63F4B" w:rsidRDefault="00752DF4" w:rsidP="00C87BD1">
            <w:pPr>
              <w:spacing w:after="0" w:line="240" w:lineRule="auto"/>
              <w:contextualSpacing/>
              <w:jc w:val="both"/>
              <w:rPr>
                <w:rFonts w:ascii="Arial" w:hAnsi="Arial" w:cs="Arial"/>
                <w:sz w:val="24"/>
                <w:szCs w:val="24"/>
              </w:rPr>
            </w:pPr>
          </w:p>
          <w:p w:rsidR="00752DF4" w:rsidRPr="00F63F4B" w:rsidRDefault="00752DF4" w:rsidP="00484CBE">
            <w:pPr>
              <w:spacing w:after="0" w:line="240" w:lineRule="auto"/>
              <w:contextualSpacing/>
              <w:jc w:val="both"/>
              <w:rPr>
                <w:rFonts w:ascii="Arial" w:hAnsi="Arial" w:cs="Arial"/>
                <w:sz w:val="24"/>
                <w:szCs w:val="24"/>
              </w:rPr>
            </w:pPr>
            <w:r w:rsidRPr="00F63F4B">
              <w:rPr>
                <w:rFonts w:ascii="Arial" w:hAnsi="Arial" w:cs="Arial"/>
                <w:sz w:val="24"/>
                <w:szCs w:val="24"/>
              </w:rPr>
              <w:t>It is recommended that Directors</w:t>
            </w:r>
            <w:r w:rsidR="00AF52F7">
              <w:rPr>
                <w:rFonts w:ascii="Arial" w:hAnsi="Arial" w:cs="Arial"/>
                <w:sz w:val="24"/>
                <w:szCs w:val="24"/>
              </w:rPr>
              <w:t xml:space="preserve"> note</w:t>
            </w:r>
            <w:r w:rsidRPr="00F63F4B">
              <w:rPr>
                <w:rFonts w:ascii="Arial" w:hAnsi="Arial" w:cs="Arial"/>
                <w:sz w:val="24"/>
                <w:szCs w:val="24"/>
              </w:rPr>
              <w:t>:</w:t>
            </w:r>
          </w:p>
          <w:p w:rsidR="00752DF4" w:rsidRPr="00F63F4B" w:rsidRDefault="00752DF4" w:rsidP="00484CBE">
            <w:pPr>
              <w:spacing w:after="0" w:line="240" w:lineRule="auto"/>
              <w:contextualSpacing/>
              <w:jc w:val="both"/>
              <w:rPr>
                <w:rFonts w:ascii="Arial" w:hAnsi="Arial" w:cs="Arial"/>
                <w:sz w:val="24"/>
                <w:szCs w:val="24"/>
              </w:rPr>
            </w:pPr>
          </w:p>
          <w:p w:rsidR="0099568F" w:rsidRPr="0099568F" w:rsidRDefault="0099568F" w:rsidP="0099568F">
            <w:pPr>
              <w:numPr>
                <w:ilvl w:val="0"/>
                <w:numId w:val="34"/>
              </w:numPr>
              <w:spacing w:after="0" w:line="240" w:lineRule="auto"/>
              <w:contextualSpacing/>
              <w:jc w:val="both"/>
              <w:rPr>
                <w:rFonts w:ascii="Arial" w:hAnsi="Arial" w:cs="Arial"/>
                <w:sz w:val="24"/>
                <w:szCs w:val="24"/>
              </w:rPr>
            </w:pPr>
            <w:r w:rsidRPr="0099568F">
              <w:rPr>
                <w:rFonts w:ascii="Arial" w:hAnsi="Arial" w:cs="Arial"/>
                <w:sz w:val="24"/>
                <w:szCs w:val="24"/>
              </w:rPr>
              <w:t xml:space="preserve">the results for the period April to September 2019 detailed in </w:t>
            </w:r>
            <w:r w:rsidRPr="0099568F">
              <w:rPr>
                <w:rFonts w:ascii="Arial" w:hAnsi="Arial" w:cs="Arial"/>
                <w:b/>
                <w:sz w:val="24"/>
                <w:szCs w:val="24"/>
              </w:rPr>
              <w:t>Appendix A</w:t>
            </w:r>
            <w:r w:rsidRPr="0099568F">
              <w:rPr>
                <w:rFonts w:ascii="Arial" w:hAnsi="Arial" w:cs="Arial"/>
                <w:sz w:val="24"/>
                <w:szCs w:val="24"/>
              </w:rPr>
              <w:t xml:space="preserve"> reports a negative variance to budget of £66K with the HLH year-end outturn forecast to be a negative variance to budget of circa £120K; </w:t>
            </w:r>
          </w:p>
          <w:p w:rsidR="0099568F" w:rsidRPr="0099568F" w:rsidRDefault="0099568F" w:rsidP="0099568F">
            <w:pPr>
              <w:numPr>
                <w:ilvl w:val="0"/>
                <w:numId w:val="34"/>
              </w:numPr>
              <w:spacing w:after="0" w:line="240" w:lineRule="auto"/>
              <w:contextualSpacing/>
              <w:jc w:val="both"/>
              <w:rPr>
                <w:rFonts w:ascii="Arial" w:hAnsi="Arial" w:cs="Arial"/>
                <w:sz w:val="24"/>
                <w:szCs w:val="24"/>
              </w:rPr>
            </w:pPr>
            <w:r w:rsidRPr="0099568F">
              <w:rPr>
                <w:rFonts w:ascii="Arial" w:hAnsi="Arial" w:cs="Arial"/>
                <w:sz w:val="24"/>
                <w:szCs w:val="24"/>
              </w:rPr>
              <w:t>the update on the planned management actions to mitigate the forecasted negative variance to budget;</w:t>
            </w:r>
          </w:p>
          <w:p w:rsidR="0099568F" w:rsidRPr="0099568F" w:rsidRDefault="0099568F" w:rsidP="0099568F">
            <w:pPr>
              <w:numPr>
                <w:ilvl w:val="0"/>
                <w:numId w:val="34"/>
              </w:numPr>
              <w:spacing w:after="0" w:line="240" w:lineRule="auto"/>
              <w:contextualSpacing/>
              <w:jc w:val="both"/>
              <w:rPr>
                <w:rFonts w:ascii="Arial" w:hAnsi="Arial" w:cs="Arial"/>
                <w:sz w:val="24"/>
                <w:szCs w:val="24"/>
              </w:rPr>
            </w:pPr>
            <w:r w:rsidRPr="0099568F">
              <w:rPr>
                <w:rFonts w:ascii="Arial" w:hAnsi="Arial" w:cs="Arial"/>
                <w:sz w:val="24"/>
                <w:szCs w:val="24"/>
              </w:rPr>
              <w:t>there has been no breach of internal controls reported in the past quarter;</w:t>
            </w:r>
          </w:p>
          <w:p w:rsidR="0099568F" w:rsidRPr="0099568F" w:rsidRDefault="0099568F" w:rsidP="0099568F">
            <w:pPr>
              <w:numPr>
                <w:ilvl w:val="0"/>
                <w:numId w:val="34"/>
              </w:numPr>
              <w:spacing w:after="0" w:line="240" w:lineRule="auto"/>
              <w:contextualSpacing/>
              <w:jc w:val="both"/>
              <w:rPr>
                <w:rFonts w:ascii="Arial" w:hAnsi="Arial" w:cs="Arial"/>
                <w:sz w:val="24"/>
                <w:szCs w:val="24"/>
              </w:rPr>
            </w:pPr>
            <w:r w:rsidRPr="0099568F">
              <w:rPr>
                <w:rFonts w:ascii="Arial" w:hAnsi="Arial" w:cs="Arial"/>
                <w:sz w:val="24"/>
                <w:szCs w:val="24"/>
              </w:rPr>
              <w:t xml:space="preserve">the update on the theft from Raigmore Community Centre; </w:t>
            </w:r>
          </w:p>
          <w:p w:rsidR="0099568F" w:rsidRPr="0099568F" w:rsidRDefault="0099568F" w:rsidP="0099568F">
            <w:pPr>
              <w:numPr>
                <w:ilvl w:val="0"/>
                <w:numId w:val="34"/>
              </w:numPr>
              <w:spacing w:after="0" w:line="240" w:lineRule="auto"/>
              <w:contextualSpacing/>
              <w:jc w:val="both"/>
              <w:rPr>
                <w:rFonts w:ascii="Arial" w:hAnsi="Arial" w:cs="Arial"/>
                <w:sz w:val="24"/>
                <w:szCs w:val="24"/>
              </w:rPr>
            </w:pPr>
            <w:r w:rsidRPr="0099568F">
              <w:rPr>
                <w:rFonts w:ascii="Arial" w:hAnsi="Arial" w:cs="Arial"/>
                <w:sz w:val="24"/>
                <w:szCs w:val="24"/>
              </w:rPr>
              <w:t xml:space="preserve">there has been one data breach reported in the last quarter;  </w:t>
            </w:r>
          </w:p>
          <w:p w:rsidR="0099568F" w:rsidRPr="0099568F" w:rsidRDefault="0099568F" w:rsidP="0099568F">
            <w:pPr>
              <w:numPr>
                <w:ilvl w:val="0"/>
                <w:numId w:val="34"/>
              </w:numPr>
              <w:spacing w:after="0" w:line="240" w:lineRule="auto"/>
              <w:contextualSpacing/>
              <w:jc w:val="both"/>
              <w:rPr>
                <w:rFonts w:ascii="Arial" w:hAnsi="Arial" w:cs="Arial"/>
                <w:sz w:val="24"/>
                <w:szCs w:val="24"/>
              </w:rPr>
            </w:pPr>
            <w:r w:rsidRPr="0099568F">
              <w:rPr>
                <w:rFonts w:ascii="Arial" w:hAnsi="Arial" w:cs="Arial"/>
                <w:sz w:val="24"/>
                <w:szCs w:val="24"/>
              </w:rPr>
              <w:t>the update on implementation of the 2018/19 financial audit recommendations</w:t>
            </w:r>
            <w:r w:rsidR="008B4357">
              <w:rPr>
                <w:rFonts w:ascii="Arial" w:hAnsi="Arial" w:cs="Arial"/>
                <w:sz w:val="24"/>
                <w:szCs w:val="24"/>
              </w:rPr>
              <w:t>; and</w:t>
            </w:r>
            <w:r w:rsidRPr="0099568F">
              <w:rPr>
                <w:rFonts w:ascii="Arial" w:hAnsi="Arial" w:cs="Arial"/>
                <w:sz w:val="24"/>
                <w:szCs w:val="24"/>
              </w:rPr>
              <w:t xml:space="preserve">   </w:t>
            </w:r>
          </w:p>
          <w:p w:rsidR="0099568F" w:rsidRPr="0099568F" w:rsidRDefault="0099568F" w:rsidP="0099568F">
            <w:pPr>
              <w:numPr>
                <w:ilvl w:val="0"/>
                <w:numId w:val="34"/>
              </w:numPr>
              <w:spacing w:after="0" w:line="240" w:lineRule="auto"/>
              <w:contextualSpacing/>
              <w:jc w:val="both"/>
              <w:rPr>
                <w:rFonts w:ascii="Arial" w:hAnsi="Arial" w:cs="Arial"/>
                <w:sz w:val="24"/>
                <w:szCs w:val="24"/>
              </w:rPr>
            </w:pPr>
            <w:r w:rsidRPr="0099568F">
              <w:rPr>
                <w:rFonts w:ascii="Arial" w:hAnsi="Arial" w:cs="Arial"/>
                <w:sz w:val="24"/>
                <w:szCs w:val="24"/>
              </w:rPr>
              <w:t xml:space="preserve">the award of contracts as detailed in </w:t>
            </w:r>
            <w:r w:rsidRPr="0099568F">
              <w:rPr>
                <w:rFonts w:ascii="Arial" w:hAnsi="Arial" w:cs="Arial"/>
                <w:b/>
                <w:sz w:val="24"/>
                <w:szCs w:val="24"/>
              </w:rPr>
              <w:t>paragraph 8.1</w:t>
            </w:r>
            <w:r w:rsidRPr="0099568F">
              <w:rPr>
                <w:rFonts w:ascii="Arial" w:hAnsi="Arial" w:cs="Arial"/>
                <w:sz w:val="24"/>
                <w:szCs w:val="24"/>
              </w:rPr>
              <w:t>.</w:t>
            </w:r>
          </w:p>
          <w:p w:rsidR="00752DF4" w:rsidRPr="00F63F4B" w:rsidRDefault="00752DF4" w:rsidP="00BB363C">
            <w:pPr>
              <w:spacing w:after="0" w:line="240" w:lineRule="auto"/>
              <w:ind w:left="1080"/>
              <w:contextualSpacing/>
              <w:jc w:val="both"/>
              <w:rPr>
                <w:rFonts w:ascii="Arial" w:hAnsi="Arial" w:cs="Arial"/>
                <w:sz w:val="24"/>
                <w:szCs w:val="24"/>
              </w:rPr>
            </w:pPr>
          </w:p>
        </w:tc>
      </w:tr>
    </w:tbl>
    <w:p w:rsidR="007D5128" w:rsidRPr="007D5128" w:rsidRDefault="007D5128" w:rsidP="00922169">
      <w:pPr>
        <w:spacing w:after="0"/>
        <w:rPr>
          <w:rFonts w:ascii="Arial" w:hAnsi="Arial" w:cs="Arial"/>
          <w:sz w:val="24"/>
          <w:szCs w:val="24"/>
        </w:rPr>
      </w:pPr>
      <w:r w:rsidRPr="007D5128">
        <w:rPr>
          <w:rFonts w:ascii="Arial" w:hAnsi="Arial" w:cs="Arial"/>
          <w:sz w:val="24"/>
          <w:szCs w:val="24"/>
        </w:rPr>
        <w:t xml:space="preserve">    </w:t>
      </w:r>
      <w:r w:rsidRPr="007D5128">
        <w:rPr>
          <w:rFonts w:ascii="Arial" w:hAnsi="Arial" w:cs="Arial"/>
          <w:sz w:val="24"/>
          <w:szCs w:val="24"/>
        </w:rPr>
        <w:tab/>
      </w:r>
    </w:p>
    <w:p w:rsidR="007D5128" w:rsidRDefault="007D5128" w:rsidP="00922169">
      <w:pPr>
        <w:spacing w:after="0"/>
        <w:rPr>
          <w:rFonts w:ascii="Arial" w:hAnsi="Arial" w:cs="Arial"/>
          <w:sz w:val="24"/>
          <w:szCs w:val="24"/>
        </w:rPr>
      </w:pPr>
      <w:r w:rsidRPr="007D5128">
        <w:rPr>
          <w:rFonts w:ascii="Arial" w:hAnsi="Arial" w:cs="Arial"/>
          <w:sz w:val="24"/>
          <w:szCs w:val="24"/>
        </w:rPr>
        <w:t>Designation:</w:t>
      </w:r>
      <w:r w:rsidRPr="007D5128">
        <w:rPr>
          <w:rFonts w:ascii="Arial" w:hAnsi="Arial" w:cs="Arial"/>
          <w:sz w:val="24"/>
          <w:szCs w:val="24"/>
        </w:rPr>
        <w:tab/>
      </w:r>
      <w:r w:rsidRPr="007D5128">
        <w:rPr>
          <w:rFonts w:ascii="Arial" w:hAnsi="Arial" w:cs="Arial"/>
          <w:sz w:val="24"/>
          <w:szCs w:val="24"/>
        </w:rPr>
        <w:tab/>
        <w:t>Chief Executive</w:t>
      </w:r>
    </w:p>
    <w:p w:rsidR="00922169" w:rsidRPr="007D5128" w:rsidRDefault="00922169" w:rsidP="00922169">
      <w:pPr>
        <w:spacing w:after="0"/>
        <w:rPr>
          <w:rFonts w:ascii="Arial" w:hAnsi="Arial" w:cs="Arial"/>
          <w:sz w:val="24"/>
          <w:szCs w:val="24"/>
        </w:rPr>
      </w:pPr>
    </w:p>
    <w:p w:rsidR="00207799" w:rsidRDefault="00872A12" w:rsidP="00922169">
      <w:pPr>
        <w:spacing w:after="0"/>
        <w:rPr>
          <w:rFonts w:ascii="Arial" w:hAnsi="Arial" w:cs="Arial"/>
          <w:sz w:val="24"/>
          <w:szCs w:val="24"/>
        </w:rPr>
      </w:pPr>
      <w:r>
        <w:rPr>
          <w:rFonts w:ascii="Arial" w:hAnsi="Arial" w:cs="Arial"/>
          <w:sz w:val="24"/>
          <w:szCs w:val="24"/>
        </w:rPr>
        <w:t>Date:</w:t>
      </w:r>
      <w:r>
        <w:rPr>
          <w:rFonts w:ascii="Arial" w:hAnsi="Arial" w:cs="Arial"/>
          <w:sz w:val="24"/>
          <w:szCs w:val="24"/>
        </w:rPr>
        <w:tab/>
      </w:r>
      <w:r>
        <w:rPr>
          <w:rFonts w:ascii="Arial" w:hAnsi="Arial" w:cs="Arial"/>
          <w:sz w:val="24"/>
          <w:szCs w:val="24"/>
        </w:rPr>
        <w:tab/>
      </w:r>
      <w:r w:rsidR="0051709E">
        <w:rPr>
          <w:rFonts w:ascii="Arial" w:hAnsi="Arial" w:cs="Arial"/>
          <w:sz w:val="24"/>
          <w:szCs w:val="24"/>
        </w:rPr>
        <w:t xml:space="preserve">           </w:t>
      </w:r>
      <w:r w:rsidR="00064112">
        <w:rPr>
          <w:rFonts w:ascii="Arial" w:hAnsi="Arial" w:cs="Arial"/>
          <w:sz w:val="24"/>
          <w:szCs w:val="24"/>
        </w:rPr>
        <w:t>20</w:t>
      </w:r>
      <w:r w:rsidR="007D0200">
        <w:rPr>
          <w:rFonts w:ascii="Arial" w:hAnsi="Arial" w:cs="Arial"/>
          <w:sz w:val="24"/>
          <w:szCs w:val="24"/>
        </w:rPr>
        <w:t xml:space="preserve"> </w:t>
      </w:r>
      <w:r w:rsidR="008C7DB4">
        <w:rPr>
          <w:rFonts w:ascii="Arial" w:hAnsi="Arial" w:cs="Arial"/>
          <w:sz w:val="24"/>
          <w:szCs w:val="24"/>
        </w:rPr>
        <w:t>November</w:t>
      </w:r>
      <w:r w:rsidR="00F26DDC">
        <w:rPr>
          <w:rFonts w:ascii="Arial" w:hAnsi="Arial" w:cs="Arial"/>
          <w:sz w:val="24"/>
          <w:szCs w:val="24"/>
        </w:rPr>
        <w:t xml:space="preserve"> 2</w:t>
      </w:r>
      <w:r w:rsidR="007D0200">
        <w:rPr>
          <w:rFonts w:ascii="Arial" w:hAnsi="Arial" w:cs="Arial"/>
          <w:sz w:val="24"/>
          <w:szCs w:val="24"/>
        </w:rPr>
        <w:t>01</w:t>
      </w:r>
      <w:r w:rsidR="00BB363C">
        <w:rPr>
          <w:rFonts w:ascii="Arial" w:hAnsi="Arial" w:cs="Arial"/>
          <w:sz w:val="24"/>
          <w:szCs w:val="24"/>
        </w:rPr>
        <w:t>9</w:t>
      </w:r>
    </w:p>
    <w:p w:rsidR="00AF4C0F" w:rsidRPr="007D5128" w:rsidRDefault="00AF4C0F" w:rsidP="00922169">
      <w:pPr>
        <w:spacing w:after="0"/>
        <w:sectPr w:rsidR="00AF4C0F" w:rsidRPr="007D5128" w:rsidSect="002B6B09">
          <w:pgSz w:w="11906" w:h="16838" w:code="9"/>
          <w:pgMar w:top="1418" w:right="1440" w:bottom="1418" w:left="1440" w:header="720" w:footer="720" w:gutter="0"/>
          <w:cols w:space="720"/>
        </w:sectPr>
      </w:pPr>
    </w:p>
    <w:p w:rsidR="00E20FC5" w:rsidRPr="00CB53CC" w:rsidRDefault="006B5D13" w:rsidP="00E20FC5">
      <w:pPr>
        <w:ind w:left="1440" w:hanging="1298"/>
        <w:rPr>
          <w:rFonts w:ascii="Arial" w:eastAsia="Times New Roman" w:hAnsi="Arial" w:cs="Arial"/>
          <w:b/>
          <w:bCs/>
          <w:color w:val="FFFFCC"/>
          <w:sz w:val="24"/>
          <w:szCs w:val="24"/>
          <w:lang w:eastAsia="en-GB"/>
        </w:rPr>
      </w:pPr>
      <w:r w:rsidRPr="006B5D13">
        <w:rPr>
          <w:rFonts w:ascii="Arial" w:hAnsi="Arial" w:cs="Arial"/>
          <w:b/>
          <w:sz w:val="24"/>
          <w:szCs w:val="24"/>
        </w:rPr>
        <w:lastRenderedPageBreak/>
        <w:t xml:space="preserve">Consolidated 2019/20: April to </w:t>
      </w:r>
      <w:proofErr w:type="gramStart"/>
      <w:r w:rsidR="00E20FC5">
        <w:rPr>
          <w:rFonts w:ascii="Arial" w:hAnsi="Arial" w:cs="Arial"/>
          <w:b/>
          <w:sz w:val="24"/>
          <w:szCs w:val="24"/>
        </w:rPr>
        <w:t>September</w:t>
      </w:r>
      <w:r w:rsidRPr="006B5D13">
        <w:rPr>
          <w:rFonts w:ascii="Arial" w:hAnsi="Arial" w:cs="Arial"/>
          <w:b/>
          <w:sz w:val="24"/>
          <w:szCs w:val="24"/>
        </w:rPr>
        <w:t xml:space="preserve"> </w:t>
      </w:r>
      <w:r w:rsidRPr="006B5D13">
        <w:rPr>
          <w:rFonts w:ascii="Arial" w:hAnsi="Arial" w:cs="Arial"/>
          <w:sz w:val="24"/>
          <w:szCs w:val="24"/>
        </w:rPr>
        <w:t xml:space="preserve"> </w:t>
      </w:r>
      <w:r w:rsidRPr="006B5D13">
        <w:rPr>
          <w:rFonts w:ascii="Arial" w:hAnsi="Arial" w:cs="Arial"/>
          <w:sz w:val="24"/>
          <w:szCs w:val="24"/>
        </w:rPr>
        <w:tab/>
      </w:r>
      <w:proofErr w:type="gramEnd"/>
      <w:r w:rsidRPr="006B5D13">
        <w:rPr>
          <w:rFonts w:ascii="Arial" w:hAnsi="Arial" w:cs="Arial"/>
          <w:sz w:val="24"/>
          <w:szCs w:val="24"/>
        </w:rPr>
        <w:tab/>
      </w:r>
      <w:r w:rsidRPr="006B5D13">
        <w:rPr>
          <w:rFonts w:ascii="Arial" w:hAnsi="Arial" w:cs="Arial"/>
          <w:sz w:val="24"/>
          <w:szCs w:val="24"/>
        </w:rPr>
        <w:tab/>
      </w:r>
      <w:r w:rsidRPr="006B5D13">
        <w:rPr>
          <w:rFonts w:ascii="Arial" w:hAnsi="Arial" w:cs="Arial"/>
          <w:sz w:val="24"/>
          <w:szCs w:val="24"/>
        </w:rPr>
        <w:tab/>
        <w:t xml:space="preserve">                                                       </w:t>
      </w:r>
      <w:r>
        <w:rPr>
          <w:rFonts w:ascii="Arial" w:hAnsi="Arial" w:cs="Arial"/>
          <w:sz w:val="24"/>
          <w:szCs w:val="24"/>
        </w:rPr>
        <w:t xml:space="preserve">                        </w:t>
      </w:r>
      <w:r w:rsidRPr="006B5D13">
        <w:rPr>
          <w:rFonts w:ascii="Arial" w:hAnsi="Arial" w:cs="Arial"/>
          <w:b/>
          <w:sz w:val="24"/>
          <w:szCs w:val="24"/>
        </w:rPr>
        <w:t>APPENDIX A</w:t>
      </w:r>
      <w:r w:rsidRPr="006B5D13">
        <w:rPr>
          <w:rFonts w:ascii="Arial" w:hAnsi="Arial" w:cs="Arial"/>
          <w:sz w:val="24"/>
          <w:szCs w:val="24"/>
        </w:rPr>
        <w:tab/>
      </w:r>
      <w:r w:rsidRPr="006B5D13">
        <w:rPr>
          <w:rFonts w:ascii="Arial" w:hAnsi="Arial" w:cs="Arial"/>
          <w:b/>
          <w:sz w:val="24"/>
          <w:szCs w:val="24"/>
        </w:rPr>
        <w:t xml:space="preserve"> </w:t>
      </w:r>
    </w:p>
    <w:tbl>
      <w:tblPr>
        <w:tblW w:w="11560" w:type="dxa"/>
        <w:tblInd w:w="108" w:type="dxa"/>
        <w:tblLook w:val="04A0" w:firstRow="1" w:lastRow="0" w:firstColumn="1" w:lastColumn="0" w:noHBand="0" w:noVBand="1"/>
      </w:tblPr>
      <w:tblGrid>
        <w:gridCol w:w="1600"/>
        <w:gridCol w:w="2580"/>
        <w:gridCol w:w="2460"/>
        <w:gridCol w:w="2280"/>
        <w:gridCol w:w="2640"/>
      </w:tblGrid>
      <w:tr w:rsidR="00E20FC5" w:rsidRPr="00CB53CC" w:rsidTr="002A0388">
        <w:trPr>
          <w:trHeight w:val="255"/>
        </w:trPr>
        <w:tc>
          <w:tcPr>
            <w:tcW w:w="1600" w:type="dxa"/>
            <w:tcBorders>
              <w:top w:val="single" w:sz="4" w:space="0" w:color="auto"/>
              <w:left w:val="single" w:sz="4" w:space="0" w:color="auto"/>
              <w:bottom w:val="single" w:sz="4" w:space="0" w:color="auto"/>
              <w:right w:val="single" w:sz="4" w:space="0" w:color="auto"/>
            </w:tcBorders>
            <w:shd w:val="clear" w:color="000000" w:fill="006600"/>
            <w:noWrap/>
            <w:vAlign w:val="bottom"/>
            <w:hideMark/>
          </w:tcPr>
          <w:p w:rsidR="00E20FC5" w:rsidRPr="00CB53CC" w:rsidRDefault="00E20FC5" w:rsidP="002A0388">
            <w:pPr>
              <w:spacing w:after="0" w:line="240" w:lineRule="auto"/>
              <w:rPr>
                <w:rFonts w:ascii="Arial" w:eastAsia="Times New Roman" w:hAnsi="Arial" w:cs="Arial"/>
                <w:b/>
                <w:bCs/>
                <w:color w:val="FFFFCC"/>
                <w:sz w:val="24"/>
                <w:szCs w:val="24"/>
                <w:lang w:eastAsia="en-GB"/>
              </w:rPr>
            </w:pPr>
          </w:p>
        </w:tc>
        <w:tc>
          <w:tcPr>
            <w:tcW w:w="2580" w:type="dxa"/>
            <w:tcBorders>
              <w:top w:val="single" w:sz="4" w:space="0" w:color="auto"/>
              <w:left w:val="single" w:sz="4" w:space="0" w:color="auto"/>
              <w:bottom w:val="single" w:sz="4" w:space="0" w:color="auto"/>
              <w:right w:val="single" w:sz="4" w:space="0" w:color="auto"/>
            </w:tcBorders>
            <w:shd w:val="clear" w:color="000000" w:fill="006600"/>
            <w:noWrap/>
            <w:vAlign w:val="bottom"/>
            <w:hideMark/>
          </w:tcPr>
          <w:p w:rsidR="00E20FC5" w:rsidRPr="00CB53CC" w:rsidRDefault="00E20FC5" w:rsidP="002A0388">
            <w:pPr>
              <w:spacing w:after="0" w:line="240" w:lineRule="auto"/>
              <w:jc w:val="center"/>
              <w:rPr>
                <w:rFonts w:ascii="Arial" w:eastAsia="Times New Roman" w:hAnsi="Arial" w:cs="Arial"/>
                <w:b/>
                <w:bCs/>
                <w:color w:val="FFFFCC"/>
                <w:sz w:val="24"/>
                <w:szCs w:val="24"/>
                <w:lang w:eastAsia="en-GB"/>
              </w:rPr>
            </w:pPr>
            <w:r w:rsidRPr="00CB53CC">
              <w:rPr>
                <w:rFonts w:ascii="Arial" w:eastAsia="Times New Roman" w:hAnsi="Arial" w:cs="Arial"/>
                <w:b/>
                <w:bCs/>
                <w:color w:val="FFFFCC"/>
                <w:sz w:val="24"/>
                <w:szCs w:val="24"/>
                <w:lang w:eastAsia="en-GB"/>
              </w:rPr>
              <w:t>Annual Budget</w:t>
            </w:r>
          </w:p>
        </w:tc>
        <w:tc>
          <w:tcPr>
            <w:tcW w:w="2460" w:type="dxa"/>
            <w:tcBorders>
              <w:top w:val="single" w:sz="4" w:space="0" w:color="auto"/>
              <w:left w:val="single" w:sz="4" w:space="0" w:color="auto"/>
              <w:bottom w:val="single" w:sz="4" w:space="0" w:color="auto"/>
              <w:right w:val="single" w:sz="4" w:space="0" w:color="auto"/>
            </w:tcBorders>
            <w:shd w:val="clear" w:color="000000" w:fill="006600"/>
            <w:noWrap/>
            <w:vAlign w:val="bottom"/>
            <w:hideMark/>
          </w:tcPr>
          <w:p w:rsidR="00E20FC5" w:rsidRPr="00CB53CC" w:rsidRDefault="00E20FC5" w:rsidP="002A0388">
            <w:pPr>
              <w:spacing w:after="0" w:line="240" w:lineRule="auto"/>
              <w:jc w:val="center"/>
              <w:rPr>
                <w:rFonts w:ascii="Arial" w:eastAsia="Times New Roman" w:hAnsi="Arial" w:cs="Arial"/>
                <w:b/>
                <w:bCs/>
                <w:color w:val="FFFFCC"/>
                <w:sz w:val="24"/>
                <w:szCs w:val="24"/>
                <w:lang w:eastAsia="en-GB"/>
              </w:rPr>
            </w:pPr>
            <w:r w:rsidRPr="00CB53CC">
              <w:rPr>
                <w:rFonts w:ascii="Arial" w:eastAsia="Times New Roman" w:hAnsi="Arial" w:cs="Arial"/>
                <w:b/>
                <w:bCs/>
                <w:color w:val="FFFFCC"/>
                <w:sz w:val="24"/>
                <w:szCs w:val="24"/>
                <w:lang w:eastAsia="en-GB"/>
              </w:rPr>
              <w:t>Budget (YTD)</w:t>
            </w:r>
          </w:p>
        </w:tc>
        <w:tc>
          <w:tcPr>
            <w:tcW w:w="2280" w:type="dxa"/>
            <w:tcBorders>
              <w:top w:val="single" w:sz="4" w:space="0" w:color="auto"/>
              <w:left w:val="single" w:sz="4" w:space="0" w:color="auto"/>
              <w:bottom w:val="single" w:sz="4" w:space="0" w:color="auto"/>
              <w:right w:val="single" w:sz="4" w:space="0" w:color="auto"/>
            </w:tcBorders>
            <w:shd w:val="clear" w:color="000000" w:fill="006600"/>
            <w:noWrap/>
            <w:vAlign w:val="bottom"/>
            <w:hideMark/>
          </w:tcPr>
          <w:p w:rsidR="00E20FC5" w:rsidRPr="00CB53CC" w:rsidRDefault="00E20FC5" w:rsidP="002A0388">
            <w:pPr>
              <w:spacing w:after="0" w:line="240" w:lineRule="auto"/>
              <w:jc w:val="center"/>
              <w:rPr>
                <w:rFonts w:ascii="Arial" w:eastAsia="Times New Roman" w:hAnsi="Arial" w:cs="Arial"/>
                <w:b/>
                <w:bCs/>
                <w:color w:val="FFFFCC"/>
                <w:sz w:val="24"/>
                <w:szCs w:val="24"/>
                <w:lang w:eastAsia="en-GB"/>
              </w:rPr>
            </w:pPr>
            <w:r w:rsidRPr="00CB53CC">
              <w:rPr>
                <w:rFonts w:ascii="Arial" w:eastAsia="Times New Roman" w:hAnsi="Arial" w:cs="Arial"/>
                <w:b/>
                <w:bCs/>
                <w:color w:val="FFFFCC"/>
                <w:sz w:val="24"/>
                <w:szCs w:val="24"/>
                <w:lang w:eastAsia="en-GB"/>
              </w:rPr>
              <w:t xml:space="preserve">Actual </w:t>
            </w:r>
            <w:r w:rsidRPr="00812A08">
              <w:rPr>
                <w:rFonts w:ascii="Arial" w:eastAsia="Times New Roman" w:hAnsi="Arial" w:cs="Arial"/>
                <w:b/>
                <w:bCs/>
                <w:color w:val="FFFFCC"/>
                <w:sz w:val="24"/>
                <w:szCs w:val="24"/>
                <w:lang w:eastAsia="en-GB"/>
              </w:rPr>
              <w:t>(</w:t>
            </w:r>
            <w:r w:rsidRPr="00CB53CC">
              <w:rPr>
                <w:rFonts w:ascii="Arial" w:eastAsia="Times New Roman" w:hAnsi="Arial" w:cs="Arial"/>
                <w:b/>
                <w:bCs/>
                <w:color w:val="FFFFCC"/>
                <w:sz w:val="24"/>
                <w:szCs w:val="24"/>
                <w:lang w:eastAsia="en-GB"/>
              </w:rPr>
              <w:t>YTD</w:t>
            </w:r>
            <w:r w:rsidRPr="00812A08">
              <w:rPr>
                <w:rFonts w:ascii="Arial" w:eastAsia="Times New Roman" w:hAnsi="Arial" w:cs="Arial"/>
                <w:b/>
                <w:bCs/>
                <w:color w:val="FFFFCC"/>
                <w:sz w:val="24"/>
                <w:szCs w:val="24"/>
                <w:lang w:eastAsia="en-GB"/>
              </w:rPr>
              <w:t>)</w:t>
            </w:r>
          </w:p>
        </w:tc>
        <w:tc>
          <w:tcPr>
            <w:tcW w:w="2640" w:type="dxa"/>
            <w:tcBorders>
              <w:top w:val="single" w:sz="4" w:space="0" w:color="auto"/>
              <w:left w:val="single" w:sz="4" w:space="0" w:color="auto"/>
              <w:bottom w:val="single" w:sz="4" w:space="0" w:color="auto"/>
              <w:right w:val="single" w:sz="4" w:space="0" w:color="auto"/>
            </w:tcBorders>
            <w:shd w:val="clear" w:color="000000" w:fill="006600"/>
            <w:noWrap/>
            <w:vAlign w:val="bottom"/>
            <w:hideMark/>
          </w:tcPr>
          <w:p w:rsidR="00E20FC5" w:rsidRPr="00CB53CC" w:rsidRDefault="00E20FC5" w:rsidP="002A0388">
            <w:pPr>
              <w:spacing w:after="0" w:line="240" w:lineRule="auto"/>
              <w:jc w:val="center"/>
              <w:rPr>
                <w:rFonts w:ascii="Arial" w:eastAsia="Times New Roman" w:hAnsi="Arial" w:cs="Arial"/>
                <w:b/>
                <w:bCs/>
                <w:color w:val="FFFFCC"/>
                <w:sz w:val="24"/>
                <w:szCs w:val="24"/>
                <w:lang w:eastAsia="en-GB"/>
              </w:rPr>
            </w:pPr>
            <w:r w:rsidRPr="00CB53CC">
              <w:rPr>
                <w:rFonts w:ascii="Arial" w:eastAsia="Times New Roman" w:hAnsi="Arial" w:cs="Arial"/>
                <w:b/>
                <w:bCs/>
                <w:color w:val="FFFFCC"/>
                <w:sz w:val="24"/>
                <w:szCs w:val="24"/>
                <w:lang w:eastAsia="en-GB"/>
              </w:rPr>
              <w:t>Variance (YTD)</w:t>
            </w:r>
          </w:p>
        </w:tc>
      </w:tr>
      <w:tr w:rsidR="00E20FC5" w:rsidRPr="00CB53CC" w:rsidTr="002A0388">
        <w:trPr>
          <w:trHeight w:val="25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20FC5" w:rsidRPr="00CB53CC" w:rsidRDefault="00E20FC5" w:rsidP="002A0388">
            <w:pPr>
              <w:spacing w:after="0" w:line="240" w:lineRule="auto"/>
              <w:rPr>
                <w:rFonts w:ascii="Arial" w:eastAsia="Times New Roman" w:hAnsi="Arial" w:cs="Arial"/>
                <w:sz w:val="24"/>
                <w:szCs w:val="24"/>
                <w:lang w:eastAsia="en-GB"/>
              </w:rPr>
            </w:pPr>
            <w:r w:rsidRPr="00CB53CC">
              <w:rPr>
                <w:rFonts w:ascii="Arial" w:eastAsia="Times New Roman" w:hAnsi="Arial" w:cs="Arial"/>
                <w:sz w:val="24"/>
                <w:szCs w:val="24"/>
                <w:lang w:eastAsia="en-GB"/>
              </w:rPr>
              <w:t>Income</w:t>
            </w:r>
          </w:p>
        </w:tc>
        <w:tc>
          <w:tcPr>
            <w:tcW w:w="2580" w:type="dxa"/>
            <w:tcBorders>
              <w:top w:val="nil"/>
              <w:left w:val="nil"/>
              <w:bottom w:val="single" w:sz="4" w:space="0" w:color="auto"/>
              <w:right w:val="single" w:sz="4" w:space="0" w:color="auto"/>
            </w:tcBorders>
            <w:shd w:val="clear" w:color="auto" w:fill="auto"/>
            <w:noWrap/>
            <w:vAlign w:val="bottom"/>
            <w:hideMark/>
          </w:tcPr>
          <w:p w:rsidR="00E20FC5" w:rsidRPr="00CB53CC" w:rsidRDefault="00E20FC5"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sz w:val="24"/>
                <w:szCs w:val="24"/>
                <w:lang w:eastAsia="en-GB"/>
              </w:rPr>
              <w:t xml:space="preserve">32,566,097 </w:t>
            </w:r>
          </w:p>
        </w:tc>
        <w:tc>
          <w:tcPr>
            <w:tcW w:w="2460" w:type="dxa"/>
            <w:tcBorders>
              <w:top w:val="nil"/>
              <w:left w:val="nil"/>
              <w:bottom w:val="single" w:sz="4" w:space="0" w:color="auto"/>
              <w:right w:val="single" w:sz="4" w:space="0" w:color="auto"/>
            </w:tcBorders>
            <w:shd w:val="clear" w:color="auto" w:fill="auto"/>
            <w:noWrap/>
            <w:vAlign w:val="bottom"/>
            <w:hideMark/>
          </w:tcPr>
          <w:p w:rsidR="00E20FC5" w:rsidRPr="00CB53CC" w:rsidRDefault="00E20FC5"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sz w:val="24"/>
                <w:szCs w:val="24"/>
                <w:lang w:eastAsia="en-GB"/>
              </w:rPr>
              <w:t xml:space="preserve">11,305,347 </w:t>
            </w:r>
          </w:p>
        </w:tc>
        <w:tc>
          <w:tcPr>
            <w:tcW w:w="2280" w:type="dxa"/>
            <w:tcBorders>
              <w:top w:val="nil"/>
              <w:left w:val="nil"/>
              <w:bottom w:val="single" w:sz="4" w:space="0" w:color="auto"/>
              <w:right w:val="single" w:sz="4" w:space="0" w:color="auto"/>
            </w:tcBorders>
            <w:shd w:val="clear" w:color="auto" w:fill="auto"/>
            <w:noWrap/>
            <w:vAlign w:val="bottom"/>
            <w:hideMark/>
          </w:tcPr>
          <w:p w:rsidR="00E20FC5" w:rsidRPr="00CB53CC" w:rsidRDefault="00E20FC5"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sz w:val="24"/>
                <w:szCs w:val="24"/>
                <w:lang w:eastAsia="en-GB"/>
              </w:rPr>
              <w:t xml:space="preserve">11,231,822 </w:t>
            </w:r>
          </w:p>
        </w:tc>
        <w:tc>
          <w:tcPr>
            <w:tcW w:w="2640" w:type="dxa"/>
            <w:tcBorders>
              <w:top w:val="nil"/>
              <w:left w:val="nil"/>
              <w:bottom w:val="single" w:sz="4" w:space="0" w:color="auto"/>
              <w:right w:val="single" w:sz="4" w:space="0" w:color="auto"/>
            </w:tcBorders>
            <w:shd w:val="clear" w:color="auto" w:fill="auto"/>
            <w:noWrap/>
            <w:vAlign w:val="bottom"/>
            <w:hideMark/>
          </w:tcPr>
          <w:p w:rsidR="00E20FC5" w:rsidRPr="00CB53CC" w:rsidRDefault="00E20FC5"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(73,525)</w:t>
            </w:r>
          </w:p>
        </w:tc>
      </w:tr>
      <w:tr w:rsidR="00E20FC5" w:rsidRPr="00CB53CC" w:rsidTr="002A0388">
        <w:trPr>
          <w:trHeight w:val="25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20FC5" w:rsidRPr="00CB53CC" w:rsidRDefault="00E20FC5" w:rsidP="002A0388">
            <w:pPr>
              <w:spacing w:after="0" w:line="240" w:lineRule="auto"/>
              <w:rPr>
                <w:rFonts w:ascii="Arial" w:eastAsia="Times New Roman" w:hAnsi="Arial" w:cs="Arial"/>
                <w:sz w:val="24"/>
                <w:szCs w:val="24"/>
                <w:lang w:eastAsia="en-GB"/>
              </w:rPr>
            </w:pPr>
            <w:r w:rsidRPr="00CB53CC">
              <w:rPr>
                <w:rFonts w:ascii="Arial" w:eastAsia="Times New Roman" w:hAnsi="Arial" w:cs="Arial"/>
                <w:sz w:val="24"/>
                <w:szCs w:val="24"/>
                <w:lang w:eastAsia="en-GB"/>
              </w:rPr>
              <w:t>Other Costs</w:t>
            </w:r>
          </w:p>
        </w:tc>
        <w:tc>
          <w:tcPr>
            <w:tcW w:w="2580" w:type="dxa"/>
            <w:tcBorders>
              <w:top w:val="nil"/>
              <w:left w:val="nil"/>
              <w:bottom w:val="single" w:sz="4" w:space="0" w:color="auto"/>
              <w:right w:val="single" w:sz="4" w:space="0" w:color="auto"/>
            </w:tcBorders>
            <w:shd w:val="clear" w:color="auto" w:fill="auto"/>
            <w:noWrap/>
            <w:vAlign w:val="bottom"/>
            <w:hideMark/>
          </w:tcPr>
          <w:p w:rsidR="00E20FC5" w:rsidRPr="00CB53CC" w:rsidRDefault="00E20FC5"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(8,001,442)</w:t>
            </w:r>
          </w:p>
        </w:tc>
        <w:tc>
          <w:tcPr>
            <w:tcW w:w="2460" w:type="dxa"/>
            <w:tcBorders>
              <w:top w:val="nil"/>
              <w:left w:val="nil"/>
              <w:bottom w:val="single" w:sz="4" w:space="0" w:color="auto"/>
              <w:right w:val="single" w:sz="4" w:space="0" w:color="auto"/>
            </w:tcBorders>
            <w:shd w:val="clear" w:color="auto" w:fill="auto"/>
            <w:noWrap/>
            <w:vAlign w:val="bottom"/>
            <w:hideMark/>
          </w:tcPr>
          <w:p w:rsidR="00E20FC5" w:rsidRPr="00CB53CC" w:rsidRDefault="00E20FC5"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(3,219,073)</w:t>
            </w:r>
          </w:p>
        </w:tc>
        <w:tc>
          <w:tcPr>
            <w:tcW w:w="2280" w:type="dxa"/>
            <w:tcBorders>
              <w:top w:val="nil"/>
              <w:left w:val="nil"/>
              <w:bottom w:val="single" w:sz="4" w:space="0" w:color="auto"/>
              <w:right w:val="single" w:sz="4" w:space="0" w:color="auto"/>
            </w:tcBorders>
            <w:shd w:val="clear" w:color="auto" w:fill="auto"/>
            <w:noWrap/>
            <w:vAlign w:val="bottom"/>
            <w:hideMark/>
          </w:tcPr>
          <w:p w:rsidR="00E20FC5" w:rsidRPr="00CB53CC" w:rsidRDefault="00E20FC5"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(3,236,279)</w:t>
            </w:r>
          </w:p>
        </w:tc>
        <w:tc>
          <w:tcPr>
            <w:tcW w:w="2640" w:type="dxa"/>
            <w:tcBorders>
              <w:top w:val="nil"/>
              <w:left w:val="nil"/>
              <w:bottom w:val="single" w:sz="4" w:space="0" w:color="auto"/>
              <w:right w:val="single" w:sz="4" w:space="0" w:color="auto"/>
            </w:tcBorders>
            <w:shd w:val="clear" w:color="auto" w:fill="auto"/>
            <w:noWrap/>
            <w:vAlign w:val="bottom"/>
            <w:hideMark/>
          </w:tcPr>
          <w:p w:rsidR="00E20FC5" w:rsidRPr="00CB53CC" w:rsidRDefault="00E20FC5"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(17,206)</w:t>
            </w:r>
          </w:p>
        </w:tc>
      </w:tr>
      <w:tr w:rsidR="00E20FC5" w:rsidRPr="00CB53CC" w:rsidTr="002A0388">
        <w:trPr>
          <w:trHeight w:val="255"/>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20FC5" w:rsidRPr="00CB53CC" w:rsidRDefault="00E20FC5" w:rsidP="002A0388">
            <w:pPr>
              <w:spacing w:after="0" w:line="240" w:lineRule="auto"/>
              <w:rPr>
                <w:rFonts w:ascii="Arial" w:eastAsia="Times New Roman" w:hAnsi="Arial" w:cs="Arial"/>
                <w:sz w:val="24"/>
                <w:szCs w:val="24"/>
                <w:lang w:eastAsia="en-GB"/>
              </w:rPr>
            </w:pPr>
            <w:r w:rsidRPr="00CB53CC">
              <w:rPr>
                <w:rFonts w:ascii="Arial" w:eastAsia="Times New Roman" w:hAnsi="Arial" w:cs="Arial"/>
                <w:sz w:val="24"/>
                <w:szCs w:val="24"/>
                <w:lang w:eastAsia="en-GB"/>
              </w:rPr>
              <w:t>Staff Costs</w:t>
            </w:r>
          </w:p>
        </w:tc>
        <w:tc>
          <w:tcPr>
            <w:tcW w:w="2580" w:type="dxa"/>
            <w:tcBorders>
              <w:top w:val="nil"/>
              <w:left w:val="nil"/>
              <w:bottom w:val="single" w:sz="4" w:space="0" w:color="auto"/>
              <w:right w:val="single" w:sz="4" w:space="0" w:color="auto"/>
            </w:tcBorders>
            <w:shd w:val="clear" w:color="auto" w:fill="auto"/>
            <w:noWrap/>
            <w:vAlign w:val="bottom"/>
            <w:hideMark/>
          </w:tcPr>
          <w:p w:rsidR="00E20FC5" w:rsidRPr="00CB53CC" w:rsidRDefault="00E20FC5"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(24,564,655)</w:t>
            </w:r>
          </w:p>
        </w:tc>
        <w:tc>
          <w:tcPr>
            <w:tcW w:w="2460" w:type="dxa"/>
            <w:tcBorders>
              <w:top w:val="nil"/>
              <w:left w:val="nil"/>
              <w:bottom w:val="single" w:sz="4" w:space="0" w:color="auto"/>
              <w:right w:val="single" w:sz="4" w:space="0" w:color="auto"/>
            </w:tcBorders>
            <w:shd w:val="clear" w:color="auto" w:fill="auto"/>
            <w:noWrap/>
            <w:vAlign w:val="bottom"/>
            <w:hideMark/>
          </w:tcPr>
          <w:p w:rsidR="00E20FC5" w:rsidRPr="00CB53CC" w:rsidRDefault="00E20FC5"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(12,528,920)</w:t>
            </w:r>
          </w:p>
        </w:tc>
        <w:tc>
          <w:tcPr>
            <w:tcW w:w="2280" w:type="dxa"/>
            <w:tcBorders>
              <w:top w:val="nil"/>
              <w:left w:val="nil"/>
              <w:bottom w:val="single" w:sz="4" w:space="0" w:color="auto"/>
              <w:right w:val="single" w:sz="4" w:space="0" w:color="auto"/>
            </w:tcBorders>
            <w:shd w:val="clear" w:color="auto" w:fill="auto"/>
            <w:noWrap/>
            <w:vAlign w:val="bottom"/>
            <w:hideMark/>
          </w:tcPr>
          <w:p w:rsidR="00E20FC5" w:rsidRPr="00CB53CC" w:rsidRDefault="00E20FC5"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(12,504,191)</w:t>
            </w:r>
          </w:p>
        </w:tc>
        <w:tc>
          <w:tcPr>
            <w:tcW w:w="2640" w:type="dxa"/>
            <w:tcBorders>
              <w:top w:val="nil"/>
              <w:left w:val="nil"/>
              <w:bottom w:val="single" w:sz="4" w:space="0" w:color="auto"/>
              <w:right w:val="single" w:sz="4" w:space="0" w:color="auto"/>
            </w:tcBorders>
            <w:shd w:val="clear" w:color="auto" w:fill="auto"/>
            <w:noWrap/>
            <w:vAlign w:val="bottom"/>
            <w:hideMark/>
          </w:tcPr>
          <w:p w:rsidR="00E20FC5" w:rsidRPr="00CB53CC" w:rsidRDefault="00E20FC5"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sz w:val="24"/>
                <w:szCs w:val="24"/>
                <w:lang w:eastAsia="en-GB"/>
              </w:rPr>
              <w:t xml:space="preserve">24,729 </w:t>
            </w:r>
          </w:p>
        </w:tc>
      </w:tr>
      <w:tr w:rsidR="00E20FC5" w:rsidRPr="00CB53CC" w:rsidTr="002A0388">
        <w:trPr>
          <w:trHeight w:val="255"/>
        </w:trPr>
        <w:tc>
          <w:tcPr>
            <w:tcW w:w="160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20FC5" w:rsidRPr="00CB53CC" w:rsidRDefault="00E20FC5" w:rsidP="002A0388">
            <w:pPr>
              <w:spacing w:after="0" w:line="240" w:lineRule="auto"/>
              <w:rPr>
                <w:rFonts w:ascii="Arial" w:eastAsia="Times New Roman" w:hAnsi="Arial" w:cs="Arial"/>
                <w:b/>
                <w:bCs/>
                <w:color w:val="000000"/>
                <w:sz w:val="24"/>
                <w:szCs w:val="24"/>
                <w:lang w:eastAsia="en-GB"/>
              </w:rPr>
            </w:pPr>
            <w:r w:rsidRPr="00CB53CC">
              <w:rPr>
                <w:rFonts w:ascii="Arial" w:eastAsia="Times New Roman" w:hAnsi="Arial" w:cs="Arial"/>
                <w:b/>
                <w:bCs/>
                <w:color w:val="000000"/>
                <w:sz w:val="24"/>
                <w:szCs w:val="24"/>
                <w:lang w:eastAsia="en-GB"/>
              </w:rPr>
              <w:t>Grand Total</w:t>
            </w:r>
          </w:p>
        </w:tc>
        <w:tc>
          <w:tcPr>
            <w:tcW w:w="258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20FC5" w:rsidRPr="00CB53CC" w:rsidRDefault="00E20FC5" w:rsidP="002A0388">
            <w:pPr>
              <w:spacing w:after="0" w:line="240" w:lineRule="auto"/>
              <w:jc w:val="right"/>
              <w:rPr>
                <w:rFonts w:ascii="Arial" w:eastAsia="Times New Roman" w:hAnsi="Arial" w:cs="Arial"/>
                <w:b/>
                <w:bCs/>
                <w:color w:val="000000"/>
                <w:sz w:val="24"/>
                <w:szCs w:val="24"/>
                <w:lang w:eastAsia="en-GB"/>
              </w:rPr>
            </w:pPr>
            <w:r w:rsidRPr="00CB53CC">
              <w:rPr>
                <w:rFonts w:ascii="Arial" w:eastAsia="Times New Roman" w:hAnsi="Arial" w:cs="Arial"/>
                <w:b/>
                <w:bCs/>
                <w:color w:val="000000"/>
                <w:sz w:val="24"/>
                <w:szCs w:val="24"/>
                <w:lang w:eastAsia="en-GB"/>
              </w:rPr>
              <w:t xml:space="preserve">0 </w:t>
            </w:r>
          </w:p>
        </w:tc>
        <w:tc>
          <w:tcPr>
            <w:tcW w:w="246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20FC5" w:rsidRPr="00CB53CC" w:rsidRDefault="00E20FC5" w:rsidP="002A0388">
            <w:pPr>
              <w:spacing w:after="0" w:line="240" w:lineRule="auto"/>
              <w:jc w:val="right"/>
              <w:rPr>
                <w:rFonts w:ascii="Arial" w:eastAsia="Times New Roman" w:hAnsi="Arial" w:cs="Arial"/>
                <w:b/>
                <w:bCs/>
                <w:color w:val="000000"/>
                <w:sz w:val="24"/>
                <w:szCs w:val="24"/>
                <w:lang w:eastAsia="en-GB"/>
              </w:rPr>
            </w:pPr>
            <w:r w:rsidRPr="00CB53CC">
              <w:rPr>
                <w:rFonts w:ascii="Arial" w:eastAsia="Times New Roman" w:hAnsi="Arial" w:cs="Arial"/>
                <w:b/>
                <w:bCs/>
                <w:color w:val="000000"/>
                <w:sz w:val="24"/>
                <w:szCs w:val="24"/>
                <w:lang w:eastAsia="en-GB"/>
              </w:rPr>
              <w:t>(4,442,646)</w:t>
            </w:r>
          </w:p>
        </w:tc>
        <w:tc>
          <w:tcPr>
            <w:tcW w:w="228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20FC5" w:rsidRPr="00CB53CC" w:rsidRDefault="00E20FC5" w:rsidP="002A0388">
            <w:pPr>
              <w:spacing w:after="0" w:line="240" w:lineRule="auto"/>
              <w:jc w:val="right"/>
              <w:rPr>
                <w:rFonts w:ascii="Arial" w:eastAsia="Times New Roman" w:hAnsi="Arial" w:cs="Arial"/>
                <w:b/>
                <w:bCs/>
                <w:color w:val="000000"/>
                <w:sz w:val="24"/>
                <w:szCs w:val="24"/>
                <w:lang w:eastAsia="en-GB"/>
              </w:rPr>
            </w:pPr>
            <w:r w:rsidRPr="00CB53CC">
              <w:rPr>
                <w:rFonts w:ascii="Arial" w:eastAsia="Times New Roman" w:hAnsi="Arial" w:cs="Arial"/>
                <w:b/>
                <w:bCs/>
                <w:color w:val="000000"/>
                <w:sz w:val="24"/>
                <w:szCs w:val="24"/>
                <w:lang w:eastAsia="en-GB"/>
              </w:rPr>
              <w:t>(4,508,648)</w:t>
            </w:r>
          </w:p>
        </w:tc>
        <w:tc>
          <w:tcPr>
            <w:tcW w:w="26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E20FC5" w:rsidRPr="00CB53CC" w:rsidRDefault="00E20FC5" w:rsidP="002A0388">
            <w:pPr>
              <w:spacing w:after="0" w:line="240" w:lineRule="auto"/>
              <w:jc w:val="right"/>
              <w:rPr>
                <w:rFonts w:ascii="Arial" w:eastAsia="Times New Roman" w:hAnsi="Arial" w:cs="Arial"/>
                <w:b/>
                <w:bCs/>
                <w:color w:val="000000"/>
                <w:sz w:val="24"/>
                <w:szCs w:val="24"/>
                <w:lang w:eastAsia="en-GB"/>
              </w:rPr>
            </w:pPr>
            <w:r w:rsidRPr="00CB53CC">
              <w:rPr>
                <w:rFonts w:ascii="Arial" w:eastAsia="Times New Roman" w:hAnsi="Arial" w:cs="Arial"/>
                <w:b/>
                <w:bCs/>
                <w:color w:val="000000"/>
                <w:sz w:val="24"/>
                <w:szCs w:val="24"/>
                <w:lang w:eastAsia="en-GB"/>
              </w:rPr>
              <w:t>(66,002)</w:t>
            </w:r>
          </w:p>
        </w:tc>
      </w:tr>
    </w:tbl>
    <w:p w:rsidR="006B5D13" w:rsidRPr="006B5D13" w:rsidRDefault="006B5D13" w:rsidP="006B5D13">
      <w:pPr>
        <w:rPr>
          <w:rFonts w:ascii="Arial" w:hAnsi="Arial" w:cs="Arial"/>
          <w:b/>
          <w:sz w:val="24"/>
          <w:szCs w:val="24"/>
        </w:rPr>
      </w:pPr>
    </w:p>
    <w:p w:rsidR="006B5D13" w:rsidRPr="006B5D13" w:rsidRDefault="006B5D13" w:rsidP="006B5D13">
      <w:pPr>
        <w:rPr>
          <w:rFonts w:ascii="Arial" w:hAnsi="Arial" w:cs="Arial"/>
          <w:b/>
          <w:sz w:val="24"/>
          <w:szCs w:val="24"/>
        </w:rPr>
      </w:pPr>
    </w:p>
    <w:p w:rsidR="005F535B" w:rsidRPr="007D5128" w:rsidRDefault="005F535B" w:rsidP="007D5128">
      <w:pPr>
        <w:rPr>
          <w:rFonts w:ascii="Arial" w:hAnsi="Arial" w:cs="Arial"/>
          <w:b/>
          <w:sz w:val="24"/>
          <w:szCs w:val="24"/>
        </w:rPr>
      </w:pPr>
    </w:p>
    <w:p w:rsidR="007D5128" w:rsidRPr="007D5128" w:rsidRDefault="007D5128" w:rsidP="007D5128">
      <w:pPr>
        <w:rPr>
          <w:rFonts w:ascii="Arial" w:hAnsi="Arial" w:cs="Arial"/>
          <w:b/>
          <w:sz w:val="24"/>
          <w:szCs w:val="24"/>
        </w:rPr>
      </w:pPr>
    </w:p>
    <w:p w:rsidR="007D5128" w:rsidRPr="007D5128" w:rsidRDefault="007D5128" w:rsidP="007D5128">
      <w:pPr>
        <w:rPr>
          <w:b/>
        </w:rPr>
      </w:pPr>
    </w:p>
    <w:p w:rsidR="007D5128" w:rsidRPr="007D5128" w:rsidRDefault="007D5128" w:rsidP="007D5128">
      <w:pPr>
        <w:rPr>
          <w:b/>
        </w:rPr>
      </w:pPr>
    </w:p>
    <w:p w:rsidR="006B5D13" w:rsidRDefault="007D5128" w:rsidP="006B5D13">
      <w:pPr>
        <w:rPr>
          <w:b/>
        </w:rPr>
      </w:pPr>
      <w:r>
        <w:rPr>
          <w:b/>
        </w:rPr>
        <w:br w:type="page"/>
      </w:r>
    </w:p>
    <w:p w:rsidR="006B5D13" w:rsidRPr="006B5D13" w:rsidRDefault="006B5D13" w:rsidP="006B5D13">
      <w:pPr>
        <w:rPr>
          <w:rFonts w:ascii="Arial" w:hAnsi="Arial" w:cs="Arial"/>
          <w:b/>
          <w:sz w:val="24"/>
          <w:szCs w:val="24"/>
        </w:rPr>
      </w:pPr>
      <w:r w:rsidRPr="006B5D13">
        <w:rPr>
          <w:rFonts w:ascii="Arial" w:hAnsi="Arial" w:cs="Arial"/>
          <w:b/>
          <w:sz w:val="24"/>
          <w:szCs w:val="24"/>
        </w:rPr>
        <w:lastRenderedPageBreak/>
        <w:t xml:space="preserve">Variance by Sector  </w:t>
      </w:r>
      <w:r>
        <w:rPr>
          <w:b/>
        </w:rPr>
        <w:t xml:space="preserve">                                                                                                                                                                                                       </w:t>
      </w:r>
      <w:r w:rsidRPr="006B5D13">
        <w:rPr>
          <w:rFonts w:ascii="Arial" w:hAnsi="Arial" w:cs="Arial"/>
          <w:b/>
          <w:sz w:val="24"/>
          <w:szCs w:val="24"/>
        </w:rPr>
        <w:t xml:space="preserve">   APPENDIX B</w:t>
      </w:r>
    </w:p>
    <w:tbl>
      <w:tblPr>
        <w:tblW w:w="11724" w:type="dxa"/>
        <w:tblInd w:w="108" w:type="dxa"/>
        <w:tblLook w:val="04A0" w:firstRow="1" w:lastRow="0" w:firstColumn="1" w:lastColumn="0" w:noHBand="0" w:noVBand="1"/>
      </w:tblPr>
      <w:tblGrid>
        <w:gridCol w:w="1764"/>
        <w:gridCol w:w="2580"/>
        <w:gridCol w:w="2460"/>
        <w:gridCol w:w="2280"/>
        <w:gridCol w:w="2640"/>
      </w:tblGrid>
      <w:tr w:rsidR="00D456D0" w:rsidRPr="00CB53CC" w:rsidTr="002A0388">
        <w:trPr>
          <w:trHeight w:val="255"/>
        </w:trPr>
        <w:tc>
          <w:tcPr>
            <w:tcW w:w="1764" w:type="dxa"/>
            <w:tcBorders>
              <w:top w:val="single" w:sz="4" w:space="0" w:color="auto"/>
              <w:left w:val="single" w:sz="4" w:space="0" w:color="auto"/>
              <w:bottom w:val="single" w:sz="4" w:space="0" w:color="auto"/>
              <w:right w:val="single" w:sz="4" w:space="0" w:color="auto"/>
            </w:tcBorders>
            <w:shd w:val="clear" w:color="000000" w:fill="006600"/>
            <w:noWrap/>
            <w:vAlign w:val="bottom"/>
            <w:hideMark/>
          </w:tcPr>
          <w:p w:rsidR="00D456D0" w:rsidRPr="00CB53CC" w:rsidRDefault="00D456D0" w:rsidP="002A0388">
            <w:pPr>
              <w:spacing w:after="0" w:line="240" w:lineRule="auto"/>
              <w:rPr>
                <w:rFonts w:ascii="Arial" w:eastAsia="Times New Roman" w:hAnsi="Arial" w:cs="Arial"/>
                <w:b/>
                <w:bCs/>
                <w:color w:val="FFFFCC"/>
                <w:sz w:val="24"/>
                <w:szCs w:val="24"/>
                <w:lang w:eastAsia="en-GB"/>
              </w:rPr>
            </w:pPr>
          </w:p>
        </w:tc>
        <w:tc>
          <w:tcPr>
            <w:tcW w:w="2580" w:type="dxa"/>
            <w:tcBorders>
              <w:top w:val="single" w:sz="4" w:space="0" w:color="auto"/>
              <w:left w:val="single" w:sz="4" w:space="0" w:color="auto"/>
              <w:bottom w:val="single" w:sz="4" w:space="0" w:color="auto"/>
              <w:right w:val="single" w:sz="4" w:space="0" w:color="auto"/>
            </w:tcBorders>
            <w:shd w:val="clear" w:color="000000" w:fill="006600"/>
            <w:noWrap/>
            <w:vAlign w:val="bottom"/>
            <w:hideMark/>
          </w:tcPr>
          <w:p w:rsidR="00D456D0" w:rsidRPr="00CB53CC" w:rsidRDefault="00D456D0" w:rsidP="002A0388">
            <w:pPr>
              <w:spacing w:after="0" w:line="240" w:lineRule="auto"/>
              <w:jc w:val="center"/>
              <w:rPr>
                <w:rFonts w:ascii="Arial" w:eastAsia="Times New Roman" w:hAnsi="Arial" w:cs="Arial"/>
                <w:b/>
                <w:bCs/>
                <w:color w:val="FFFFCC"/>
                <w:sz w:val="24"/>
                <w:szCs w:val="24"/>
                <w:lang w:eastAsia="en-GB"/>
              </w:rPr>
            </w:pPr>
            <w:r w:rsidRPr="00CB53CC">
              <w:rPr>
                <w:rFonts w:ascii="Arial" w:eastAsia="Times New Roman" w:hAnsi="Arial" w:cs="Arial"/>
                <w:b/>
                <w:bCs/>
                <w:color w:val="FFFFCC"/>
                <w:sz w:val="24"/>
                <w:szCs w:val="24"/>
                <w:lang w:eastAsia="en-GB"/>
              </w:rPr>
              <w:t>Annual Budget</w:t>
            </w:r>
          </w:p>
        </w:tc>
        <w:tc>
          <w:tcPr>
            <w:tcW w:w="2460" w:type="dxa"/>
            <w:tcBorders>
              <w:top w:val="single" w:sz="4" w:space="0" w:color="auto"/>
              <w:left w:val="single" w:sz="4" w:space="0" w:color="auto"/>
              <w:bottom w:val="single" w:sz="4" w:space="0" w:color="auto"/>
              <w:right w:val="single" w:sz="4" w:space="0" w:color="auto"/>
            </w:tcBorders>
            <w:shd w:val="clear" w:color="000000" w:fill="006600"/>
            <w:noWrap/>
            <w:vAlign w:val="bottom"/>
            <w:hideMark/>
          </w:tcPr>
          <w:p w:rsidR="00D456D0" w:rsidRPr="00CB53CC" w:rsidRDefault="00D456D0" w:rsidP="002A0388">
            <w:pPr>
              <w:spacing w:after="0" w:line="240" w:lineRule="auto"/>
              <w:jc w:val="center"/>
              <w:rPr>
                <w:rFonts w:ascii="Arial" w:eastAsia="Times New Roman" w:hAnsi="Arial" w:cs="Arial"/>
                <w:b/>
                <w:bCs/>
                <w:color w:val="FFFFCC"/>
                <w:sz w:val="24"/>
                <w:szCs w:val="24"/>
                <w:lang w:eastAsia="en-GB"/>
              </w:rPr>
            </w:pPr>
            <w:r w:rsidRPr="00CB53CC">
              <w:rPr>
                <w:rFonts w:ascii="Arial" w:eastAsia="Times New Roman" w:hAnsi="Arial" w:cs="Arial"/>
                <w:b/>
                <w:bCs/>
                <w:color w:val="FFFFCC"/>
                <w:sz w:val="24"/>
                <w:szCs w:val="24"/>
                <w:lang w:eastAsia="en-GB"/>
              </w:rPr>
              <w:t>Budget (YTD)</w:t>
            </w:r>
          </w:p>
        </w:tc>
        <w:tc>
          <w:tcPr>
            <w:tcW w:w="2280" w:type="dxa"/>
            <w:tcBorders>
              <w:top w:val="single" w:sz="4" w:space="0" w:color="auto"/>
              <w:left w:val="single" w:sz="4" w:space="0" w:color="auto"/>
              <w:bottom w:val="single" w:sz="4" w:space="0" w:color="auto"/>
              <w:right w:val="single" w:sz="4" w:space="0" w:color="auto"/>
            </w:tcBorders>
            <w:shd w:val="clear" w:color="000000" w:fill="006600"/>
            <w:noWrap/>
            <w:vAlign w:val="bottom"/>
            <w:hideMark/>
          </w:tcPr>
          <w:p w:rsidR="00D456D0" w:rsidRPr="00CB53CC" w:rsidRDefault="00D456D0" w:rsidP="002A0388">
            <w:pPr>
              <w:spacing w:after="0" w:line="240" w:lineRule="auto"/>
              <w:jc w:val="center"/>
              <w:rPr>
                <w:rFonts w:ascii="Arial" w:eastAsia="Times New Roman" w:hAnsi="Arial" w:cs="Arial"/>
                <w:b/>
                <w:bCs/>
                <w:color w:val="FFFFCC"/>
                <w:sz w:val="24"/>
                <w:szCs w:val="24"/>
                <w:lang w:eastAsia="en-GB"/>
              </w:rPr>
            </w:pPr>
            <w:r w:rsidRPr="00CB53CC">
              <w:rPr>
                <w:rFonts w:ascii="Arial" w:eastAsia="Times New Roman" w:hAnsi="Arial" w:cs="Arial"/>
                <w:b/>
                <w:bCs/>
                <w:color w:val="FFFFCC"/>
                <w:sz w:val="24"/>
                <w:szCs w:val="24"/>
                <w:lang w:eastAsia="en-GB"/>
              </w:rPr>
              <w:t xml:space="preserve">Actual </w:t>
            </w:r>
            <w:r w:rsidRPr="00812A08">
              <w:rPr>
                <w:rFonts w:ascii="Arial" w:eastAsia="Times New Roman" w:hAnsi="Arial" w:cs="Arial"/>
                <w:b/>
                <w:bCs/>
                <w:color w:val="FFFFCC"/>
                <w:sz w:val="24"/>
                <w:szCs w:val="24"/>
                <w:lang w:eastAsia="en-GB"/>
              </w:rPr>
              <w:t>(</w:t>
            </w:r>
            <w:r w:rsidRPr="00CB53CC">
              <w:rPr>
                <w:rFonts w:ascii="Arial" w:eastAsia="Times New Roman" w:hAnsi="Arial" w:cs="Arial"/>
                <w:b/>
                <w:bCs/>
                <w:color w:val="FFFFCC"/>
                <w:sz w:val="24"/>
                <w:szCs w:val="24"/>
                <w:lang w:eastAsia="en-GB"/>
              </w:rPr>
              <w:t>YTD</w:t>
            </w:r>
            <w:r w:rsidRPr="00812A08">
              <w:rPr>
                <w:rFonts w:ascii="Arial" w:eastAsia="Times New Roman" w:hAnsi="Arial" w:cs="Arial"/>
                <w:b/>
                <w:bCs/>
                <w:color w:val="FFFFCC"/>
                <w:sz w:val="24"/>
                <w:szCs w:val="24"/>
                <w:lang w:eastAsia="en-GB"/>
              </w:rPr>
              <w:t>)</w:t>
            </w:r>
          </w:p>
        </w:tc>
        <w:tc>
          <w:tcPr>
            <w:tcW w:w="2640" w:type="dxa"/>
            <w:tcBorders>
              <w:top w:val="single" w:sz="4" w:space="0" w:color="auto"/>
              <w:left w:val="single" w:sz="4" w:space="0" w:color="auto"/>
              <w:bottom w:val="single" w:sz="4" w:space="0" w:color="auto"/>
              <w:right w:val="single" w:sz="4" w:space="0" w:color="auto"/>
            </w:tcBorders>
            <w:shd w:val="clear" w:color="000000" w:fill="006600"/>
            <w:noWrap/>
            <w:vAlign w:val="bottom"/>
            <w:hideMark/>
          </w:tcPr>
          <w:p w:rsidR="00D456D0" w:rsidRPr="00CB53CC" w:rsidRDefault="00D456D0" w:rsidP="002A0388">
            <w:pPr>
              <w:spacing w:after="0" w:line="240" w:lineRule="auto"/>
              <w:jc w:val="center"/>
              <w:rPr>
                <w:rFonts w:ascii="Arial" w:eastAsia="Times New Roman" w:hAnsi="Arial" w:cs="Arial"/>
                <w:b/>
                <w:bCs/>
                <w:color w:val="FFFFCC"/>
                <w:sz w:val="24"/>
                <w:szCs w:val="24"/>
                <w:lang w:eastAsia="en-GB"/>
              </w:rPr>
            </w:pPr>
            <w:r w:rsidRPr="00CB53CC">
              <w:rPr>
                <w:rFonts w:ascii="Arial" w:eastAsia="Times New Roman" w:hAnsi="Arial" w:cs="Arial"/>
                <w:b/>
                <w:bCs/>
                <w:color w:val="FFFFCC"/>
                <w:sz w:val="24"/>
                <w:szCs w:val="24"/>
                <w:lang w:eastAsia="en-GB"/>
              </w:rPr>
              <w:t>Variance (YTD)</w:t>
            </w:r>
          </w:p>
        </w:tc>
      </w:tr>
      <w:tr w:rsidR="00D456D0" w:rsidRPr="00CB53CC" w:rsidTr="002A0388">
        <w:trPr>
          <w:trHeight w:val="255"/>
        </w:trPr>
        <w:tc>
          <w:tcPr>
            <w:tcW w:w="1764" w:type="dxa"/>
            <w:tcBorders>
              <w:top w:val="nil"/>
              <w:left w:val="single" w:sz="4" w:space="0" w:color="auto"/>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rPr>
                <w:rFonts w:ascii="Arial" w:eastAsia="Times New Roman" w:hAnsi="Arial" w:cs="Arial"/>
                <w:sz w:val="24"/>
                <w:szCs w:val="24"/>
                <w:lang w:eastAsia="en-GB"/>
              </w:rPr>
            </w:pPr>
            <w:r w:rsidRPr="00CB53CC">
              <w:rPr>
                <w:rFonts w:ascii="Arial" w:eastAsia="Times New Roman" w:hAnsi="Arial" w:cs="Arial"/>
                <w:sz w:val="24"/>
                <w:szCs w:val="24"/>
                <w:lang w:eastAsia="en-GB"/>
              </w:rPr>
              <w:t>Adult</w:t>
            </w:r>
          </w:p>
        </w:tc>
        <w:tc>
          <w:tcPr>
            <w:tcW w:w="258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(655,339)</w:t>
            </w:r>
          </w:p>
        </w:tc>
        <w:tc>
          <w:tcPr>
            <w:tcW w:w="246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(331,415)</w:t>
            </w:r>
          </w:p>
        </w:tc>
        <w:tc>
          <w:tcPr>
            <w:tcW w:w="228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(323,678)</w:t>
            </w:r>
          </w:p>
        </w:tc>
        <w:tc>
          <w:tcPr>
            <w:tcW w:w="264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sz w:val="24"/>
                <w:szCs w:val="24"/>
                <w:lang w:eastAsia="en-GB"/>
              </w:rPr>
              <w:t xml:space="preserve">7,737 </w:t>
            </w:r>
          </w:p>
        </w:tc>
      </w:tr>
      <w:tr w:rsidR="00D456D0" w:rsidRPr="00CB53CC" w:rsidTr="002A0388">
        <w:trPr>
          <w:trHeight w:val="255"/>
        </w:trPr>
        <w:tc>
          <w:tcPr>
            <w:tcW w:w="1764" w:type="dxa"/>
            <w:tcBorders>
              <w:top w:val="nil"/>
              <w:left w:val="single" w:sz="4" w:space="0" w:color="auto"/>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rPr>
                <w:rFonts w:ascii="Arial" w:eastAsia="Times New Roman" w:hAnsi="Arial" w:cs="Arial"/>
                <w:sz w:val="24"/>
                <w:szCs w:val="24"/>
                <w:lang w:eastAsia="en-GB"/>
              </w:rPr>
            </w:pPr>
            <w:r w:rsidRPr="00CB53CC">
              <w:rPr>
                <w:rFonts w:ascii="Arial" w:eastAsia="Times New Roman" w:hAnsi="Arial" w:cs="Arial"/>
                <w:sz w:val="24"/>
                <w:szCs w:val="24"/>
                <w:lang w:eastAsia="en-GB"/>
              </w:rPr>
              <w:t>Archives</w:t>
            </w:r>
          </w:p>
        </w:tc>
        <w:tc>
          <w:tcPr>
            <w:tcW w:w="258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(592,837)</w:t>
            </w:r>
          </w:p>
        </w:tc>
        <w:tc>
          <w:tcPr>
            <w:tcW w:w="246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(281,216)</w:t>
            </w:r>
          </w:p>
        </w:tc>
        <w:tc>
          <w:tcPr>
            <w:tcW w:w="228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(277,623)</w:t>
            </w:r>
          </w:p>
        </w:tc>
        <w:tc>
          <w:tcPr>
            <w:tcW w:w="264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sz w:val="24"/>
                <w:szCs w:val="24"/>
                <w:lang w:eastAsia="en-GB"/>
              </w:rPr>
              <w:t xml:space="preserve">3,593 </w:t>
            </w:r>
          </w:p>
        </w:tc>
      </w:tr>
      <w:tr w:rsidR="00D456D0" w:rsidRPr="00CB53CC" w:rsidTr="002A0388">
        <w:trPr>
          <w:trHeight w:val="255"/>
        </w:trPr>
        <w:tc>
          <w:tcPr>
            <w:tcW w:w="1764" w:type="dxa"/>
            <w:tcBorders>
              <w:top w:val="nil"/>
              <w:left w:val="single" w:sz="4" w:space="0" w:color="auto"/>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rPr>
                <w:rFonts w:ascii="Arial" w:eastAsia="Times New Roman" w:hAnsi="Arial" w:cs="Arial"/>
                <w:sz w:val="24"/>
                <w:szCs w:val="24"/>
                <w:lang w:eastAsia="en-GB"/>
              </w:rPr>
            </w:pPr>
            <w:r w:rsidRPr="00CB53CC">
              <w:rPr>
                <w:rFonts w:ascii="Arial" w:eastAsia="Times New Roman" w:hAnsi="Arial" w:cs="Arial"/>
                <w:sz w:val="24"/>
                <w:szCs w:val="24"/>
                <w:lang w:eastAsia="en-GB"/>
              </w:rPr>
              <w:t>Arts</w:t>
            </w:r>
          </w:p>
        </w:tc>
        <w:tc>
          <w:tcPr>
            <w:tcW w:w="258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(289,762)</w:t>
            </w:r>
          </w:p>
        </w:tc>
        <w:tc>
          <w:tcPr>
            <w:tcW w:w="246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(148,446)</w:t>
            </w:r>
          </w:p>
        </w:tc>
        <w:tc>
          <w:tcPr>
            <w:tcW w:w="228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(152,148)</w:t>
            </w:r>
          </w:p>
        </w:tc>
        <w:tc>
          <w:tcPr>
            <w:tcW w:w="264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(3,702)</w:t>
            </w:r>
          </w:p>
        </w:tc>
      </w:tr>
      <w:tr w:rsidR="00D456D0" w:rsidRPr="00CB53CC" w:rsidTr="002A0388">
        <w:trPr>
          <w:trHeight w:val="255"/>
        </w:trPr>
        <w:tc>
          <w:tcPr>
            <w:tcW w:w="1764" w:type="dxa"/>
            <w:tcBorders>
              <w:top w:val="nil"/>
              <w:left w:val="single" w:sz="4" w:space="0" w:color="auto"/>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rPr>
                <w:rFonts w:ascii="Arial" w:eastAsia="Times New Roman" w:hAnsi="Arial" w:cs="Arial"/>
                <w:sz w:val="24"/>
                <w:szCs w:val="24"/>
                <w:lang w:eastAsia="en-GB"/>
              </w:rPr>
            </w:pPr>
            <w:r w:rsidRPr="00CB53CC">
              <w:rPr>
                <w:rFonts w:ascii="Arial" w:eastAsia="Times New Roman" w:hAnsi="Arial" w:cs="Arial"/>
                <w:sz w:val="24"/>
                <w:szCs w:val="24"/>
                <w:lang w:eastAsia="en-GB"/>
              </w:rPr>
              <w:t>Facilities</w:t>
            </w:r>
          </w:p>
        </w:tc>
        <w:tc>
          <w:tcPr>
            <w:tcW w:w="258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(1,625,561)</w:t>
            </w:r>
          </w:p>
        </w:tc>
        <w:tc>
          <w:tcPr>
            <w:tcW w:w="246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(1,126,499)</w:t>
            </w:r>
          </w:p>
        </w:tc>
        <w:tc>
          <w:tcPr>
            <w:tcW w:w="228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(1,196,843)</w:t>
            </w:r>
          </w:p>
        </w:tc>
        <w:tc>
          <w:tcPr>
            <w:tcW w:w="264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(70,344)</w:t>
            </w:r>
          </w:p>
        </w:tc>
      </w:tr>
      <w:tr w:rsidR="00D456D0" w:rsidRPr="00CB53CC" w:rsidTr="002A0388">
        <w:trPr>
          <w:trHeight w:val="255"/>
        </w:trPr>
        <w:tc>
          <w:tcPr>
            <w:tcW w:w="1764" w:type="dxa"/>
            <w:tcBorders>
              <w:top w:val="nil"/>
              <w:left w:val="single" w:sz="4" w:space="0" w:color="auto"/>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rPr>
                <w:rFonts w:ascii="Arial" w:eastAsia="Times New Roman" w:hAnsi="Arial" w:cs="Arial"/>
                <w:sz w:val="24"/>
                <w:szCs w:val="24"/>
                <w:lang w:eastAsia="en-GB"/>
              </w:rPr>
            </w:pPr>
            <w:r w:rsidRPr="00CB53CC">
              <w:rPr>
                <w:rFonts w:ascii="Arial" w:eastAsia="Times New Roman" w:hAnsi="Arial" w:cs="Arial"/>
                <w:sz w:val="24"/>
                <w:szCs w:val="24"/>
                <w:lang w:eastAsia="en-GB"/>
              </w:rPr>
              <w:t>Libraries</w:t>
            </w:r>
          </w:p>
        </w:tc>
        <w:tc>
          <w:tcPr>
            <w:tcW w:w="258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(3,508,236)</w:t>
            </w:r>
          </w:p>
        </w:tc>
        <w:tc>
          <w:tcPr>
            <w:tcW w:w="246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(1,777,148)</w:t>
            </w:r>
          </w:p>
        </w:tc>
        <w:tc>
          <w:tcPr>
            <w:tcW w:w="228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(1,767,557)</w:t>
            </w:r>
          </w:p>
        </w:tc>
        <w:tc>
          <w:tcPr>
            <w:tcW w:w="264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sz w:val="24"/>
                <w:szCs w:val="24"/>
                <w:lang w:eastAsia="en-GB"/>
              </w:rPr>
              <w:t xml:space="preserve">9,591 </w:t>
            </w:r>
          </w:p>
        </w:tc>
      </w:tr>
      <w:tr w:rsidR="00D456D0" w:rsidRPr="00CB53CC" w:rsidTr="002A0388">
        <w:trPr>
          <w:trHeight w:val="255"/>
        </w:trPr>
        <w:tc>
          <w:tcPr>
            <w:tcW w:w="1764" w:type="dxa"/>
            <w:tcBorders>
              <w:top w:val="nil"/>
              <w:left w:val="single" w:sz="4" w:space="0" w:color="auto"/>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rPr>
                <w:rFonts w:ascii="Arial" w:eastAsia="Times New Roman" w:hAnsi="Arial" w:cs="Arial"/>
                <w:sz w:val="24"/>
                <w:szCs w:val="24"/>
                <w:lang w:eastAsia="en-GB"/>
              </w:rPr>
            </w:pPr>
            <w:r w:rsidRPr="00CB53CC">
              <w:rPr>
                <w:rFonts w:ascii="Arial" w:eastAsia="Times New Roman" w:hAnsi="Arial" w:cs="Arial"/>
                <w:sz w:val="24"/>
                <w:szCs w:val="24"/>
                <w:lang w:eastAsia="en-GB"/>
              </w:rPr>
              <w:t>Management</w:t>
            </w:r>
          </w:p>
        </w:tc>
        <w:tc>
          <w:tcPr>
            <w:tcW w:w="258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(2,716,640)</w:t>
            </w:r>
          </w:p>
        </w:tc>
        <w:tc>
          <w:tcPr>
            <w:tcW w:w="246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(1,474,755)</w:t>
            </w:r>
          </w:p>
        </w:tc>
        <w:tc>
          <w:tcPr>
            <w:tcW w:w="228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(1,472,133)</w:t>
            </w:r>
          </w:p>
        </w:tc>
        <w:tc>
          <w:tcPr>
            <w:tcW w:w="264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sz w:val="24"/>
                <w:szCs w:val="24"/>
                <w:lang w:eastAsia="en-GB"/>
              </w:rPr>
              <w:t xml:space="preserve">2,622 </w:t>
            </w:r>
          </w:p>
        </w:tc>
      </w:tr>
      <w:tr w:rsidR="00D456D0" w:rsidRPr="00CB53CC" w:rsidTr="002A0388">
        <w:trPr>
          <w:trHeight w:val="255"/>
        </w:trPr>
        <w:tc>
          <w:tcPr>
            <w:tcW w:w="1764" w:type="dxa"/>
            <w:tcBorders>
              <w:top w:val="nil"/>
              <w:left w:val="single" w:sz="4" w:space="0" w:color="auto"/>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rPr>
                <w:rFonts w:ascii="Arial" w:eastAsia="Times New Roman" w:hAnsi="Arial" w:cs="Arial"/>
                <w:sz w:val="24"/>
                <w:szCs w:val="24"/>
                <w:lang w:eastAsia="en-GB"/>
              </w:rPr>
            </w:pPr>
            <w:r w:rsidRPr="00CB53CC">
              <w:rPr>
                <w:rFonts w:ascii="Arial" w:eastAsia="Times New Roman" w:hAnsi="Arial" w:cs="Arial"/>
                <w:sz w:val="24"/>
                <w:szCs w:val="24"/>
                <w:lang w:eastAsia="en-GB"/>
              </w:rPr>
              <w:t>Museums</w:t>
            </w:r>
          </w:p>
        </w:tc>
        <w:tc>
          <w:tcPr>
            <w:tcW w:w="258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(629,150)</w:t>
            </w:r>
          </w:p>
        </w:tc>
        <w:tc>
          <w:tcPr>
            <w:tcW w:w="246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(240,110)</w:t>
            </w:r>
          </w:p>
        </w:tc>
        <w:tc>
          <w:tcPr>
            <w:tcW w:w="228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(232,541)</w:t>
            </w:r>
          </w:p>
        </w:tc>
        <w:tc>
          <w:tcPr>
            <w:tcW w:w="264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sz w:val="24"/>
                <w:szCs w:val="24"/>
                <w:lang w:eastAsia="en-GB"/>
              </w:rPr>
              <w:t xml:space="preserve">7,569 </w:t>
            </w:r>
          </w:p>
        </w:tc>
      </w:tr>
      <w:tr w:rsidR="00D456D0" w:rsidRPr="00CB53CC" w:rsidTr="002A0388">
        <w:trPr>
          <w:trHeight w:val="255"/>
        </w:trPr>
        <w:tc>
          <w:tcPr>
            <w:tcW w:w="1764" w:type="dxa"/>
            <w:tcBorders>
              <w:top w:val="nil"/>
              <w:left w:val="single" w:sz="4" w:space="0" w:color="auto"/>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rPr>
                <w:rFonts w:ascii="Arial" w:eastAsia="Times New Roman" w:hAnsi="Arial" w:cs="Arial"/>
                <w:sz w:val="24"/>
                <w:szCs w:val="24"/>
                <w:lang w:eastAsia="en-GB"/>
              </w:rPr>
            </w:pPr>
            <w:r w:rsidRPr="00CB53CC">
              <w:rPr>
                <w:rFonts w:ascii="Arial" w:eastAsia="Times New Roman" w:hAnsi="Arial" w:cs="Arial"/>
                <w:sz w:val="24"/>
                <w:szCs w:val="24"/>
                <w:lang w:eastAsia="en-GB"/>
              </w:rPr>
              <w:t>Music Tuition</w:t>
            </w:r>
          </w:p>
        </w:tc>
        <w:tc>
          <w:tcPr>
            <w:tcW w:w="258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(1,361,930)</w:t>
            </w:r>
          </w:p>
        </w:tc>
        <w:tc>
          <w:tcPr>
            <w:tcW w:w="246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(1,090,764)</w:t>
            </w:r>
          </w:p>
        </w:tc>
        <w:tc>
          <w:tcPr>
            <w:tcW w:w="228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(1,113,519)</w:t>
            </w:r>
          </w:p>
        </w:tc>
        <w:tc>
          <w:tcPr>
            <w:tcW w:w="264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(22,755)</w:t>
            </w:r>
          </w:p>
        </w:tc>
      </w:tr>
      <w:tr w:rsidR="00D456D0" w:rsidRPr="00CB53CC" w:rsidTr="002A0388">
        <w:trPr>
          <w:trHeight w:val="255"/>
        </w:trPr>
        <w:tc>
          <w:tcPr>
            <w:tcW w:w="1764" w:type="dxa"/>
            <w:tcBorders>
              <w:top w:val="nil"/>
              <w:left w:val="single" w:sz="4" w:space="0" w:color="auto"/>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rPr>
                <w:rFonts w:ascii="Arial" w:eastAsia="Times New Roman" w:hAnsi="Arial" w:cs="Arial"/>
                <w:sz w:val="24"/>
                <w:szCs w:val="24"/>
                <w:lang w:eastAsia="en-GB"/>
              </w:rPr>
            </w:pPr>
            <w:r w:rsidRPr="00CB53CC">
              <w:rPr>
                <w:rFonts w:ascii="Arial" w:eastAsia="Times New Roman" w:hAnsi="Arial" w:cs="Arial"/>
                <w:sz w:val="24"/>
                <w:szCs w:val="24"/>
                <w:lang w:eastAsia="en-GB"/>
              </w:rPr>
              <w:t>Outdoor</w:t>
            </w:r>
          </w:p>
        </w:tc>
        <w:tc>
          <w:tcPr>
            <w:tcW w:w="258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(532,234)</w:t>
            </w:r>
          </w:p>
        </w:tc>
        <w:tc>
          <w:tcPr>
            <w:tcW w:w="246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(213,856)</w:t>
            </w:r>
          </w:p>
        </w:tc>
        <w:tc>
          <w:tcPr>
            <w:tcW w:w="228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(211,503)</w:t>
            </w:r>
          </w:p>
        </w:tc>
        <w:tc>
          <w:tcPr>
            <w:tcW w:w="264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sz w:val="24"/>
                <w:szCs w:val="24"/>
                <w:lang w:eastAsia="en-GB"/>
              </w:rPr>
              <w:t xml:space="preserve">2,353 </w:t>
            </w:r>
          </w:p>
        </w:tc>
      </w:tr>
      <w:tr w:rsidR="00D456D0" w:rsidRPr="00CB53CC" w:rsidTr="002A0388">
        <w:trPr>
          <w:trHeight w:val="255"/>
        </w:trPr>
        <w:tc>
          <w:tcPr>
            <w:tcW w:w="1764" w:type="dxa"/>
            <w:tcBorders>
              <w:top w:val="nil"/>
              <w:left w:val="single" w:sz="4" w:space="0" w:color="auto"/>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rPr>
                <w:rFonts w:ascii="Arial" w:eastAsia="Times New Roman" w:hAnsi="Arial" w:cs="Arial"/>
                <w:sz w:val="24"/>
                <w:szCs w:val="24"/>
                <w:lang w:eastAsia="en-GB"/>
              </w:rPr>
            </w:pPr>
            <w:r w:rsidRPr="00CB53CC">
              <w:rPr>
                <w:rFonts w:ascii="Arial" w:eastAsia="Times New Roman" w:hAnsi="Arial" w:cs="Arial"/>
                <w:sz w:val="24"/>
                <w:szCs w:val="24"/>
                <w:lang w:eastAsia="en-GB"/>
              </w:rPr>
              <w:t>SLA</w:t>
            </w:r>
          </w:p>
        </w:tc>
        <w:tc>
          <w:tcPr>
            <w:tcW w:w="258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sz w:val="24"/>
                <w:szCs w:val="24"/>
                <w:lang w:eastAsia="en-GB"/>
              </w:rPr>
              <w:t xml:space="preserve">14,046,813 </w:t>
            </w:r>
          </w:p>
        </w:tc>
        <w:tc>
          <w:tcPr>
            <w:tcW w:w="246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sz w:val="24"/>
                <w:szCs w:val="24"/>
                <w:lang w:eastAsia="en-GB"/>
              </w:rPr>
              <w:t xml:space="preserve">3,383,571 </w:t>
            </w:r>
          </w:p>
        </w:tc>
        <w:tc>
          <w:tcPr>
            <w:tcW w:w="228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sz w:val="24"/>
                <w:szCs w:val="24"/>
                <w:lang w:eastAsia="en-GB"/>
              </w:rPr>
              <w:t xml:space="preserve">3,383,571 </w:t>
            </w:r>
          </w:p>
        </w:tc>
        <w:tc>
          <w:tcPr>
            <w:tcW w:w="264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sz w:val="24"/>
                <w:szCs w:val="24"/>
                <w:lang w:eastAsia="en-GB"/>
              </w:rPr>
              <w:t xml:space="preserve">0 </w:t>
            </w:r>
          </w:p>
        </w:tc>
      </w:tr>
      <w:tr w:rsidR="00D456D0" w:rsidRPr="00CB53CC" w:rsidTr="002A0388">
        <w:trPr>
          <w:trHeight w:val="255"/>
        </w:trPr>
        <w:tc>
          <w:tcPr>
            <w:tcW w:w="1764" w:type="dxa"/>
            <w:tcBorders>
              <w:top w:val="nil"/>
              <w:left w:val="single" w:sz="4" w:space="0" w:color="auto"/>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rPr>
                <w:rFonts w:ascii="Arial" w:eastAsia="Times New Roman" w:hAnsi="Arial" w:cs="Arial"/>
                <w:sz w:val="24"/>
                <w:szCs w:val="24"/>
                <w:lang w:eastAsia="en-GB"/>
              </w:rPr>
            </w:pPr>
            <w:r w:rsidRPr="00CB53CC">
              <w:rPr>
                <w:rFonts w:ascii="Arial" w:eastAsia="Times New Roman" w:hAnsi="Arial" w:cs="Arial"/>
                <w:sz w:val="24"/>
                <w:szCs w:val="24"/>
                <w:lang w:eastAsia="en-GB"/>
              </w:rPr>
              <w:t>Sports</w:t>
            </w:r>
          </w:p>
        </w:tc>
        <w:tc>
          <w:tcPr>
            <w:tcW w:w="258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(594,862)</w:t>
            </w:r>
          </w:p>
        </w:tc>
        <w:tc>
          <w:tcPr>
            <w:tcW w:w="246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(280,348)</w:t>
            </w:r>
          </w:p>
        </w:tc>
        <w:tc>
          <w:tcPr>
            <w:tcW w:w="228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(278,985)</w:t>
            </w:r>
          </w:p>
        </w:tc>
        <w:tc>
          <w:tcPr>
            <w:tcW w:w="264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sz w:val="24"/>
                <w:szCs w:val="24"/>
                <w:lang w:eastAsia="en-GB"/>
              </w:rPr>
              <w:t xml:space="preserve">1,363 </w:t>
            </w:r>
          </w:p>
        </w:tc>
      </w:tr>
      <w:tr w:rsidR="00D456D0" w:rsidRPr="00CB53CC" w:rsidTr="002A0388">
        <w:trPr>
          <w:trHeight w:val="255"/>
        </w:trPr>
        <w:tc>
          <w:tcPr>
            <w:tcW w:w="1764" w:type="dxa"/>
            <w:tcBorders>
              <w:top w:val="nil"/>
              <w:left w:val="single" w:sz="4" w:space="0" w:color="auto"/>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rPr>
                <w:rFonts w:ascii="Arial" w:eastAsia="Times New Roman" w:hAnsi="Arial" w:cs="Arial"/>
                <w:sz w:val="24"/>
                <w:szCs w:val="24"/>
                <w:lang w:eastAsia="en-GB"/>
              </w:rPr>
            </w:pPr>
            <w:r w:rsidRPr="00CB53CC">
              <w:rPr>
                <w:rFonts w:ascii="Arial" w:eastAsia="Times New Roman" w:hAnsi="Arial" w:cs="Arial"/>
                <w:sz w:val="24"/>
                <w:szCs w:val="24"/>
                <w:lang w:eastAsia="en-GB"/>
              </w:rPr>
              <w:t>Youthwork</w:t>
            </w:r>
          </w:p>
        </w:tc>
        <w:tc>
          <w:tcPr>
            <w:tcW w:w="258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(1,540,262)</w:t>
            </w:r>
          </w:p>
        </w:tc>
        <w:tc>
          <w:tcPr>
            <w:tcW w:w="246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(861,660)</w:t>
            </w:r>
          </w:p>
        </w:tc>
        <w:tc>
          <w:tcPr>
            <w:tcW w:w="228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(865,689)</w:t>
            </w:r>
          </w:p>
        </w:tc>
        <w:tc>
          <w:tcPr>
            <w:tcW w:w="2640" w:type="dxa"/>
            <w:tcBorders>
              <w:top w:val="nil"/>
              <w:left w:val="nil"/>
              <w:bottom w:val="single" w:sz="4" w:space="0" w:color="auto"/>
              <w:right w:val="single" w:sz="4" w:space="0" w:color="auto"/>
            </w:tcBorders>
            <w:shd w:val="clear" w:color="auto" w:fill="auto"/>
            <w:noWrap/>
            <w:vAlign w:val="bottom"/>
            <w:hideMark/>
          </w:tcPr>
          <w:p w:rsidR="00D456D0" w:rsidRPr="00CB53CC" w:rsidRDefault="00D456D0" w:rsidP="002A0388">
            <w:pPr>
              <w:spacing w:after="0" w:line="240" w:lineRule="auto"/>
              <w:jc w:val="right"/>
              <w:rPr>
                <w:rFonts w:ascii="Arial" w:eastAsia="Times New Roman" w:hAnsi="Arial" w:cs="Arial"/>
                <w:sz w:val="24"/>
                <w:szCs w:val="24"/>
                <w:lang w:eastAsia="en-GB"/>
              </w:rPr>
            </w:pPr>
            <w:r w:rsidRPr="00CB53CC">
              <w:rPr>
                <w:rFonts w:ascii="Arial" w:eastAsia="Times New Roman" w:hAnsi="Arial" w:cs="Arial"/>
                <w:color w:val="FF0000"/>
                <w:sz w:val="24"/>
                <w:szCs w:val="24"/>
                <w:lang w:eastAsia="en-GB"/>
              </w:rPr>
              <w:t>(4,029)</w:t>
            </w:r>
          </w:p>
        </w:tc>
      </w:tr>
      <w:tr w:rsidR="00D456D0" w:rsidRPr="00CB53CC" w:rsidTr="002A0388">
        <w:trPr>
          <w:trHeight w:val="255"/>
        </w:trPr>
        <w:tc>
          <w:tcPr>
            <w:tcW w:w="1764"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D456D0" w:rsidRPr="00CB53CC" w:rsidRDefault="00D456D0" w:rsidP="002A0388">
            <w:pPr>
              <w:spacing w:after="0" w:line="240" w:lineRule="auto"/>
              <w:rPr>
                <w:rFonts w:ascii="Arial" w:eastAsia="Times New Roman" w:hAnsi="Arial" w:cs="Arial"/>
                <w:b/>
                <w:bCs/>
                <w:color w:val="000000"/>
                <w:sz w:val="24"/>
                <w:szCs w:val="24"/>
                <w:lang w:eastAsia="en-GB"/>
              </w:rPr>
            </w:pPr>
            <w:r w:rsidRPr="00CB53CC">
              <w:rPr>
                <w:rFonts w:ascii="Arial" w:eastAsia="Times New Roman" w:hAnsi="Arial" w:cs="Arial"/>
                <w:b/>
                <w:bCs/>
                <w:color w:val="000000"/>
                <w:sz w:val="24"/>
                <w:szCs w:val="24"/>
                <w:lang w:eastAsia="en-GB"/>
              </w:rPr>
              <w:t>Grand Total</w:t>
            </w:r>
          </w:p>
        </w:tc>
        <w:tc>
          <w:tcPr>
            <w:tcW w:w="258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D456D0" w:rsidRPr="00CB53CC" w:rsidRDefault="00D456D0" w:rsidP="002A0388">
            <w:pPr>
              <w:spacing w:after="0" w:line="240" w:lineRule="auto"/>
              <w:jc w:val="right"/>
              <w:rPr>
                <w:rFonts w:ascii="Arial" w:eastAsia="Times New Roman" w:hAnsi="Arial" w:cs="Arial"/>
                <w:b/>
                <w:bCs/>
                <w:color w:val="000000"/>
                <w:sz w:val="24"/>
                <w:szCs w:val="24"/>
                <w:lang w:eastAsia="en-GB"/>
              </w:rPr>
            </w:pPr>
            <w:r w:rsidRPr="00CB53CC">
              <w:rPr>
                <w:rFonts w:ascii="Arial" w:eastAsia="Times New Roman" w:hAnsi="Arial" w:cs="Arial"/>
                <w:b/>
                <w:bCs/>
                <w:color w:val="000000"/>
                <w:sz w:val="24"/>
                <w:szCs w:val="24"/>
                <w:lang w:eastAsia="en-GB"/>
              </w:rPr>
              <w:t xml:space="preserve">0 </w:t>
            </w:r>
          </w:p>
        </w:tc>
        <w:tc>
          <w:tcPr>
            <w:tcW w:w="246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D456D0" w:rsidRPr="00CB53CC" w:rsidRDefault="00D456D0" w:rsidP="002A0388">
            <w:pPr>
              <w:spacing w:after="0" w:line="240" w:lineRule="auto"/>
              <w:jc w:val="right"/>
              <w:rPr>
                <w:rFonts w:ascii="Arial" w:eastAsia="Times New Roman" w:hAnsi="Arial" w:cs="Arial"/>
                <w:b/>
                <w:bCs/>
                <w:color w:val="000000"/>
                <w:sz w:val="24"/>
                <w:szCs w:val="24"/>
                <w:lang w:eastAsia="en-GB"/>
              </w:rPr>
            </w:pPr>
            <w:r w:rsidRPr="00CB53CC">
              <w:rPr>
                <w:rFonts w:ascii="Arial" w:eastAsia="Times New Roman" w:hAnsi="Arial" w:cs="Arial"/>
                <w:b/>
                <w:bCs/>
                <w:color w:val="000000"/>
                <w:sz w:val="24"/>
                <w:szCs w:val="24"/>
                <w:lang w:eastAsia="en-GB"/>
              </w:rPr>
              <w:t>(4,442,646)</w:t>
            </w:r>
          </w:p>
        </w:tc>
        <w:tc>
          <w:tcPr>
            <w:tcW w:w="228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D456D0" w:rsidRPr="00CB53CC" w:rsidRDefault="00D456D0" w:rsidP="002A0388">
            <w:pPr>
              <w:spacing w:after="0" w:line="240" w:lineRule="auto"/>
              <w:jc w:val="right"/>
              <w:rPr>
                <w:rFonts w:ascii="Arial" w:eastAsia="Times New Roman" w:hAnsi="Arial" w:cs="Arial"/>
                <w:b/>
                <w:bCs/>
                <w:color w:val="000000"/>
                <w:sz w:val="24"/>
                <w:szCs w:val="24"/>
                <w:lang w:eastAsia="en-GB"/>
              </w:rPr>
            </w:pPr>
            <w:r w:rsidRPr="00CB53CC">
              <w:rPr>
                <w:rFonts w:ascii="Arial" w:eastAsia="Times New Roman" w:hAnsi="Arial" w:cs="Arial"/>
                <w:b/>
                <w:bCs/>
                <w:color w:val="000000"/>
                <w:sz w:val="24"/>
                <w:szCs w:val="24"/>
                <w:lang w:eastAsia="en-GB"/>
              </w:rPr>
              <w:t>(4,508,648)</w:t>
            </w:r>
          </w:p>
        </w:tc>
        <w:tc>
          <w:tcPr>
            <w:tcW w:w="2640" w:type="dxa"/>
            <w:tcBorders>
              <w:top w:val="single" w:sz="4" w:space="0" w:color="auto"/>
              <w:left w:val="single" w:sz="4" w:space="0" w:color="auto"/>
              <w:bottom w:val="single" w:sz="4" w:space="0" w:color="auto"/>
              <w:right w:val="single" w:sz="4" w:space="0" w:color="auto"/>
            </w:tcBorders>
            <w:shd w:val="clear" w:color="DCE6F1" w:fill="DCE6F1"/>
            <w:noWrap/>
            <w:vAlign w:val="bottom"/>
            <w:hideMark/>
          </w:tcPr>
          <w:p w:rsidR="00D456D0" w:rsidRPr="00CB53CC" w:rsidRDefault="00D456D0" w:rsidP="002A0388">
            <w:pPr>
              <w:spacing w:after="0" w:line="240" w:lineRule="auto"/>
              <w:jc w:val="right"/>
              <w:rPr>
                <w:rFonts w:ascii="Arial" w:eastAsia="Times New Roman" w:hAnsi="Arial" w:cs="Arial"/>
                <w:b/>
                <w:bCs/>
                <w:color w:val="000000"/>
                <w:sz w:val="24"/>
                <w:szCs w:val="24"/>
                <w:lang w:eastAsia="en-GB"/>
              </w:rPr>
            </w:pPr>
            <w:r w:rsidRPr="00CB53CC">
              <w:rPr>
                <w:rFonts w:ascii="Arial" w:eastAsia="Times New Roman" w:hAnsi="Arial" w:cs="Arial"/>
                <w:b/>
                <w:bCs/>
                <w:color w:val="000000"/>
                <w:sz w:val="24"/>
                <w:szCs w:val="24"/>
                <w:lang w:eastAsia="en-GB"/>
              </w:rPr>
              <w:t>(66,002)</w:t>
            </w:r>
          </w:p>
        </w:tc>
      </w:tr>
    </w:tbl>
    <w:p w:rsidR="00E20FC5" w:rsidRDefault="00E20FC5" w:rsidP="006B5D13">
      <w:pPr>
        <w:rPr>
          <w:rFonts w:ascii="Arial" w:hAnsi="Arial" w:cs="Arial"/>
          <w:b/>
        </w:rPr>
      </w:pPr>
    </w:p>
    <w:p w:rsidR="00E20FC5" w:rsidRPr="00CB53CC" w:rsidRDefault="00E20FC5" w:rsidP="00E20FC5">
      <w:pPr>
        <w:spacing w:after="0" w:line="240" w:lineRule="auto"/>
        <w:rPr>
          <w:rFonts w:ascii="Arial" w:eastAsia="Times New Roman" w:hAnsi="Arial" w:cs="Arial"/>
          <w:b/>
          <w:bCs/>
          <w:color w:val="FFFFCC"/>
          <w:sz w:val="24"/>
          <w:szCs w:val="24"/>
          <w:lang w:eastAsia="en-GB"/>
        </w:rPr>
      </w:pPr>
    </w:p>
    <w:p w:rsidR="00E20FC5" w:rsidRDefault="00E20FC5" w:rsidP="00E20FC5">
      <w:pPr>
        <w:spacing w:after="0" w:line="240" w:lineRule="auto"/>
        <w:rPr>
          <w:rFonts w:ascii="Arial" w:eastAsia="Times New Roman" w:hAnsi="Arial" w:cs="Arial"/>
          <w:b/>
          <w:bCs/>
          <w:color w:val="FFFFCC"/>
          <w:sz w:val="24"/>
          <w:szCs w:val="24"/>
          <w:lang w:eastAsia="en-GB"/>
        </w:rPr>
      </w:pPr>
    </w:p>
    <w:p w:rsidR="00D456D0" w:rsidRPr="00CB53CC" w:rsidRDefault="00D456D0" w:rsidP="00E20FC5">
      <w:pPr>
        <w:spacing w:after="0" w:line="240" w:lineRule="auto"/>
        <w:rPr>
          <w:rFonts w:ascii="Arial" w:eastAsia="Times New Roman" w:hAnsi="Arial" w:cs="Arial"/>
          <w:b/>
          <w:bCs/>
          <w:color w:val="FFFFCC"/>
          <w:sz w:val="24"/>
          <w:szCs w:val="24"/>
          <w:lang w:eastAsia="en-GB"/>
        </w:rPr>
      </w:pPr>
    </w:p>
    <w:p w:rsidR="00D456D0" w:rsidRDefault="00D456D0" w:rsidP="006B5D13">
      <w:pPr>
        <w:rPr>
          <w:rFonts w:ascii="Arial" w:hAnsi="Arial" w:cs="Arial"/>
          <w:b/>
        </w:rPr>
      </w:pPr>
    </w:p>
    <w:p w:rsidR="006B5D13" w:rsidRDefault="006B5D13" w:rsidP="006B5D13">
      <w:pPr>
        <w:rPr>
          <w:rFonts w:ascii="Arial" w:hAnsi="Arial" w:cs="Arial"/>
          <w:b/>
        </w:rPr>
      </w:pPr>
      <w:r w:rsidRPr="006B5D13">
        <w:rPr>
          <w:rFonts w:ascii="Arial" w:hAnsi="Arial" w:cs="Arial"/>
          <w:b/>
        </w:rPr>
        <w:tab/>
      </w:r>
      <w:r w:rsidRPr="006B5D13">
        <w:rPr>
          <w:rFonts w:ascii="Arial" w:hAnsi="Arial" w:cs="Arial"/>
          <w:b/>
        </w:rPr>
        <w:tab/>
      </w:r>
      <w:r w:rsidRPr="006B5D13">
        <w:rPr>
          <w:rFonts w:ascii="Arial" w:hAnsi="Arial" w:cs="Arial"/>
          <w:b/>
        </w:rPr>
        <w:tab/>
      </w:r>
      <w:r w:rsidRPr="006B5D13">
        <w:rPr>
          <w:rFonts w:ascii="Arial" w:hAnsi="Arial" w:cs="Arial"/>
          <w:b/>
        </w:rPr>
        <w:tab/>
      </w:r>
      <w:r w:rsidRPr="006B5D13">
        <w:rPr>
          <w:rFonts w:ascii="Arial" w:hAnsi="Arial" w:cs="Arial"/>
          <w:b/>
        </w:rPr>
        <w:tab/>
      </w:r>
      <w:r w:rsidRPr="006B5D13">
        <w:rPr>
          <w:rFonts w:ascii="Arial" w:hAnsi="Arial" w:cs="Arial"/>
          <w:b/>
        </w:rPr>
        <w:tab/>
      </w:r>
      <w:r w:rsidRPr="006B5D13">
        <w:rPr>
          <w:rFonts w:ascii="Arial" w:hAnsi="Arial" w:cs="Arial"/>
          <w:b/>
        </w:rPr>
        <w:tab/>
      </w:r>
      <w:r w:rsidRPr="006B5D13">
        <w:rPr>
          <w:rFonts w:ascii="Arial" w:hAnsi="Arial" w:cs="Arial"/>
          <w:b/>
        </w:rPr>
        <w:tab/>
      </w:r>
      <w:r w:rsidRPr="006B5D13">
        <w:rPr>
          <w:rFonts w:ascii="Arial" w:hAnsi="Arial" w:cs="Arial"/>
          <w:b/>
        </w:rPr>
        <w:tab/>
      </w:r>
      <w:r w:rsidRPr="006B5D13">
        <w:rPr>
          <w:rFonts w:ascii="Arial" w:hAnsi="Arial" w:cs="Arial"/>
          <w:b/>
        </w:rPr>
        <w:tab/>
      </w:r>
      <w:r w:rsidRPr="006B5D13">
        <w:rPr>
          <w:rFonts w:ascii="Arial" w:hAnsi="Arial" w:cs="Arial"/>
          <w:b/>
        </w:rPr>
        <w:tab/>
      </w:r>
      <w:r w:rsidRPr="006B5D13">
        <w:rPr>
          <w:rFonts w:ascii="Arial" w:hAnsi="Arial" w:cs="Arial"/>
          <w:b/>
        </w:rPr>
        <w:tab/>
        <w:t xml:space="preserve"> </w:t>
      </w:r>
      <w:r w:rsidRPr="006B5D13">
        <w:rPr>
          <w:rFonts w:ascii="Arial" w:hAnsi="Arial" w:cs="Arial"/>
          <w:b/>
        </w:rPr>
        <w:tab/>
      </w:r>
      <w:r>
        <w:rPr>
          <w:rFonts w:ascii="Arial" w:hAnsi="Arial" w:cs="Arial"/>
          <w:b/>
        </w:rPr>
        <w:t xml:space="preserve">                                                   </w:t>
      </w:r>
    </w:p>
    <w:p w:rsidR="006B5D13" w:rsidRPr="006B5D13" w:rsidRDefault="006B5D13" w:rsidP="006B5D13">
      <w:pPr>
        <w:rPr>
          <w:rFonts w:ascii="Arial" w:hAnsi="Arial" w:cs="Arial"/>
          <w:b/>
        </w:rPr>
      </w:pPr>
      <w:r w:rsidRPr="006B5D13">
        <w:rPr>
          <w:rFonts w:ascii="Arial" w:hAnsi="Arial" w:cs="Arial"/>
          <w:b/>
        </w:rPr>
        <w:tab/>
      </w:r>
      <w:r w:rsidRPr="006B5D13">
        <w:rPr>
          <w:rFonts w:ascii="Arial" w:hAnsi="Arial" w:cs="Arial"/>
          <w:b/>
        </w:rPr>
        <w:tab/>
        <w:t xml:space="preserve"> </w:t>
      </w:r>
    </w:p>
    <w:p w:rsidR="006B5D13" w:rsidRPr="006B5D13" w:rsidRDefault="006B5D13" w:rsidP="006B5D13">
      <w:pPr>
        <w:rPr>
          <w:rFonts w:ascii="Arial" w:hAnsi="Arial" w:cs="Arial"/>
          <w:b/>
        </w:rPr>
      </w:pPr>
    </w:p>
    <w:p w:rsidR="006B5D13" w:rsidRDefault="006B5D13" w:rsidP="006B5D13">
      <w:pPr>
        <w:rPr>
          <w:b/>
        </w:rPr>
      </w:pPr>
    </w:p>
    <w:p w:rsidR="006B5D13" w:rsidRDefault="006B5D13" w:rsidP="006B5D13">
      <w:pPr>
        <w:rPr>
          <w:b/>
        </w:rPr>
      </w:pPr>
    </w:p>
    <w:p w:rsidR="006B5D13" w:rsidRDefault="006B5D13" w:rsidP="006B5D13">
      <w:pPr>
        <w:rPr>
          <w:b/>
        </w:rPr>
      </w:pPr>
    </w:p>
    <w:p w:rsidR="006B5D13" w:rsidRDefault="006B5D13" w:rsidP="006B5D13">
      <w:pPr>
        <w:rPr>
          <w:b/>
        </w:rPr>
      </w:pPr>
    </w:p>
    <w:p w:rsidR="006B5D13" w:rsidRPr="006B5D13" w:rsidRDefault="00D456D0" w:rsidP="006B5D13">
      <w:pPr>
        <w:rPr>
          <w:rFonts w:ascii="Arial" w:hAnsi="Arial" w:cs="Arial"/>
          <w:b/>
        </w:rPr>
      </w:pPr>
      <w:r>
        <w:rPr>
          <w:rFonts w:ascii="Arial" w:hAnsi="Arial" w:cs="Arial"/>
          <w:b/>
        </w:rPr>
        <w:lastRenderedPageBreak/>
        <w:t>V</w:t>
      </w:r>
      <w:r w:rsidR="006B5D13" w:rsidRPr="006B5D13">
        <w:rPr>
          <w:rFonts w:ascii="Arial" w:hAnsi="Arial" w:cs="Arial"/>
          <w:b/>
        </w:rPr>
        <w:t xml:space="preserve">ariance by Category                                                                                                                                     </w:t>
      </w:r>
      <w:r w:rsidR="006B5D13">
        <w:rPr>
          <w:rFonts w:ascii="Arial" w:hAnsi="Arial" w:cs="Arial"/>
          <w:b/>
        </w:rPr>
        <w:t xml:space="preserve">          </w:t>
      </w:r>
      <w:r w:rsidR="006B5D13" w:rsidRPr="006B5D13">
        <w:rPr>
          <w:rFonts w:ascii="Arial" w:hAnsi="Arial" w:cs="Arial"/>
          <w:b/>
        </w:rPr>
        <w:t xml:space="preserve">                   </w:t>
      </w:r>
      <w:r w:rsidR="006B5D13">
        <w:rPr>
          <w:rFonts w:ascii="Arial" w:hAnsi="Arial" w:cs="Arial"/>
          <w:b/>
        </w:rPr>
        <w:t xml:space="preserve">  </w:t>
      </w:r>
      <w:r w:rsidR="006B5D13" w:rsidRPr="006B5D13">
        <w:rPr>
          <w:rFonts w:ascii="Arial" w:hAnsi="Arial" w:cs="Arial"/>
          <w:b/>
        </w:rPr>
        <w:t xml:space="preserve">     APPENDIX C </w:t>
      </w:r>
    </w:p>
    <w:tbl>
      <w:tblPr>
        <w:tblW w:w="0" w:type="auto"/>
        <w:tblInd w:w="108" w:type="dxa"/>
        <w:tblLook w:val="04A0" w:firstRow="1" w:lastRow="0" w:firstColumn="1" w:lastColumn="0" w:noHBand="0" w:noVBand="1"/>
      </w:tblPr>
      <w:tblGrid>
        <w:gridCol w:w="1630"/>
        <w:gridCol w:w="222"/>
        <w:gridCol w:w="1597"/>
        <w:gridCol w:w="1579"/>
        <w:gridCol w:w="830"/>
        <w:gridCol w:w="222"/>
        <w:gridCol w:w="1685"/>
        <w:gridCol w:w="1564"/>
        <w:gridCol w:w="643"/>
        <w:gridCol w:w="222"/>
        <w:gridCol w:w="1611"/>
        <w:gridCol w:w="1564"/>
        <w:gridCol w:w="697"/>
      </w:tblGrid>
      <w:tr w:rsidR="00D456D0" w:rsidRPr="00551D8F" w:rsidTr="002A0388">
        <w:trPr>
          <w:trHeight w:val="315"/>
        </w:trPr>
        <w:tc>
          <w:tcPr>
            <w:tcW w:w="0" w:type="auto"/>
            <w:tcBorders>
              <w:top w:val="nil"/>
              <w:left w:val="nil"/>
              <w:bottom w:val="nil"/>
              <w:right w:val="nil"/>
            </w:tcBorders>
            <w:shd w:val="clear" w:color="auto" w:fill="auto"/>
            <w:noWrap/>
            <w:vAlign w:val="bottom"/>
            <w:hideMark/>
          </w:tcPr>
          <w:p w:rsidR="00D456D0" w:rsidRPr="00551D8F" w:rsidRDefault="00D456D0" w:rsidP="002A0388">
            <w:pPr>
              <w:spacing w:after="0" w:line="240" w:lineRule="auto"/>
              <w:rPr>
                <w:rFonts w:ascii="Times New Roman" w:eastAsia="Times New Roman" w:hAnsi="Times New Roman"/>
                <w:sz w:val="20"/>
                <w:szCs w:val="20"/>
                <w:lang w:eastAsia="en-GB"/>
              </w:rPr>
            </w:pPr>
          </w:p>
        </w:tc>
        <w:tc>
          <w:tcPr>
            <w:tcW w:w="0" w:type="auto"/>
            <w:tcBorders>
              <w:top w:val="nil"/>
              <w:left w:val="nil"/>
              <w:bottom w:val="nil"/>
              <w:right w:val="nil"/>
            </w:tcBorders>
            <w:shd w:val="clear" w:color="auto" w:fill="auto"/>
            <w:noWrap/>
            <w:vAlign w:val="bottom"/>
            <w:hideMark/>
          </w:tcPr>
          <w:p w:rsidR="00D456D0" w:rsidRPr="00551D8F" w:rsidRDefault="00D456D0" w:rsidP="002A0388">
            <w:pPr>
              <w:spacing w:after="0" w:line="240" w:lineRule="auto"/>
              <w:rPr>
                <w:rFonts w:ascii="Times New Roman" w:eastAsia="Times New Roman" w:hAnsi="Times New Roman"/>
                <w:sz w:val="20"/>
                <w:szCs w:val="20"/>
                <w:lang w:eastAsia="en-GB"/>
              </w:rPr>
            </w:pPr>
          </w:p>
        </w:tc>
        <w:tc>
          <w:tcPr>
            <w:tcW w:w="0" w:type="auto"/>
            <w:gridSpan w:val="3"/>
            <w:tcBorders>
              <w:top w:val="nil"/>
              <w:left w:val="single" w:sz="4" w:space="0" w:color="auto"/>
              <w:bottom w:val="nil"/>
              <w:right w:val="nil"/>
            </w:tcBorders>
            <w:shd w:val="clear" w:color="000000" w:fill="006600"/>
            <w:noWrap/>
            <w:vAlign w:val="bottom"/>
            <w:hideMark/>
          </w:tcPr>
          <w:p w:rsidR="00D456D0" w:rsidRPr="00551D8F" w:rsidRDefault="00D456D0" w:rsidP="002A0388">
            <w:pPr>
              <w:spacing w:after="0" w:line="240" w:lineRule="auto"/>
              <w:jc w:val="center"/>
              <w:rPr>
                <w:rFonts w:ascii="Arial" w:eastAsia="Times New Roman" w:hAnsi="Arial" w:cs="Arial"/>
                <w:b/>
                <w:bCs/>
                <w:color w:val="FFFFCC"/>
                <w:sz w:val="24"/>
                <w:szCs w:val="24"/>
                <w:lang w:eastAsia="en-GB"/>
              </w:rPr>
            </w:pPr>
            <w:r w:rsidRPr="00551D8F">
              <w:rPr>
                <w:rFonts w:ascii="Arial" w:eastAsia="Times New Roman" w:hAnsi="Arial" w:cs="Arial"/>
                <w:b/>
                <w:bCs/>
                <w:color w:val="FFFFCC"/>
                <w:sz w:val="24"/>
                <w:szCs w:val="24"/>
                <w:lang w:eastAsia="en-GB"/>
              </w:rPr>
              <w:t>Income</w:t>
            </w:r>
          </w:p>
        </w:tc>
        <w:tc>
          <w:tcPr>
            <w:tcW w:w="0" w:type="auto"/>
            <w:tcBorders>
              <w:top w:val="nil"/>
              <w:left w:val="nil"/>
              <w:bottom w:val="nil"/>
              <w:right w:val="nil"/>
            </w:tcBorders>
            <w:shd w:val="clear" w:color="auto" w:fill="auto"/>
            <w:noWrap/>
            <w:vAlign w:val="bottom"/>
            <w:hideMark/>
          </w:tcPr>
          <w:p w:rsidR="00D456D0" w:rsidRPr="00551D8F" w:rsidRDefault="00D456D0" w:rsidP="002A0388">
            <w:pPr>
              <w:spacing w:after="0" w:line="240" w:lineRule="auto"/>
              <w:jc w:val="center"/>
              <w:rPr>
                <w:rFonts w:ascii="Arial" w:eastAsia="Times New Roman" w:hAnsi="Arial" w:cs="Arial"/>
                <w:b/>
                <w:bCs/>
                <w:color w:val="FFFFCC"/>
                <w:sz w:val="24"/>
                <w:szCs w:val="24"/>
                <w:lang w:eastAsia="en-GB"/>
              </w:rPr>
            </w:pPr>
          </w:p>
        </w:tc>
        <w:tc>
          <w:tcPr>
            <w:tcW w:w="0" w:type="auto"/>
            <w:gridSpan w:val="3"/>
            <w:tcBorders>
              <w:top w:val="nil"/>
              <w:left w:val="single" w:sz="4" w:space="0" w:color="auto"/>
              <w:bottom w:val="nil"/>
              <w:right w:val="nil"/>
            </w:tcBorders>
            <w:shd w:val="clear" w:color="000000" w:fill="006600"/>
            <w:noWrap/>
            <w:vAlign w:val="bottom"/>
            <w:hideMark/>
          </w:tcPr>
          <w:p w:rsidR="00D456D0" w:rsidRPr="00551D8F" w:rsidRDefault="00D456D0" w:rsidP="002A0388">
            <w:pPr>
              <w:spacing w:after="0" w:line="240" w:lineRule="auto"/>
              <w:jc w:val="center"/>
              <w:rPr>
                <w:rFonts w:ascii="Arial" w:eastAsia="Times New Roman" w:hAnsi="Arial" w:cs="Arial"/>
                <w:b/>
                <w:bCs/>
                <w:color w:val="FFFFCC"/>
                <w:sz w:val="24"/>
                <w:szCs w:val="24"/>
                <w:lang w:eastAsia="en-GB"/>
              </w:rPr>
            </w:pPr>
            <w:r w:rsidRPr="00551D8F">
              <w:rPr>
                <w:rFonts w:ascii="Arial" w:eastAsia="Times New Roman" w:hAnsi="Arial" w:cs="Arial"/>
                <w:b/>
                <w:bCs/>
                <w:color w:val="FFFFCC"/>
                <w:sz w:val="24"/>
                <w:szCs w:val="24"/>
                <w:lang w:eastAsia="en-GB"/>
              </w:rPr>
              <w:t>Staff Costs</w:t>
            </w:r>
          </w:p>
        </w:tc>
        <w:tc>
          <w:tcPr>
            <w:tcW w:w="0" w:type="auto"/>
            <w:tcBorders>
              <w:top w:val="nil"/>
              <w:left w:val="nil"/>
              <w:bottom w:val="nil"/>
              <w:right w:val="nil"/>
            </w:tcBorders>
            <w:shd w:val="clear" w:color="auto" w:fill="auto"/>
            <w:noWrap/>
            <w:vAlign w:val="bottom"/>
            <w:hideMark/>
          </w:tcPr>
          <w:p w:rsidR="00D456D0" w:rsidRPr="00551D8F" w:rsidRDefault="00D456D0" w:rsidP="002A0388">
            <w:pPr>
              <w:spacing w:after="0" w:line="240" w:lineRule="auto"/>
              <w:jc w:val="center"/>
              <w:rPr>
                <w:rFonts w:ascii="Arial" w:eastAsia="Times New Roman" w:hAnsi="Arial" w:cs="Arial"/>
                <w:b/>
                <w:bCs/>
                <w:color w:val="FFFFCC"/>
                <w:sz w:val="24"/>
                <w:szCs w:val="24"/>
                <w:lang w:eastAsia="en-GB"/>
              </w:rPr>
            </w:pPr>
          </w:p>
        </w:tc>
        <w:tc>
          <w:tcPr>
            <w:tcW w:w="0" w:type="auto"/>
            <w:gridSpan w:val="3"/>
            <w:tcBorders>
              <w:top w:val="nil"/>
              <w:left w:val="single" w:sz="4" w:space="0" w:color="auto"/>
              <w:bottom w:val="nil"/>
              <w:right w:val="nil"/>
            </w:tcBorders>
            <w:shd w:val="clear" w:color="000000" w:fill="006600"/>
            <w:noWrap/>
            <w:vAlign w:val="bottom"/>
            <w:hideMark/>
          </w:tcPr>
          <w:p w:rsidR="00D456D0" w:rsidRPr="00551D8F" w:rsidRDefault="00D456D0" w:rsidP="002A0388">
            <w:pPr>
              <w:spacing w:after="0" w:line="240" w:lineRule="auto"/>
              <w:jc w:val="center"/>
              <w:rPr>
                <w:rFonts w:ascii="Arial" w:eastAsia="Times New Roman" w:hAnsi="Arial" w:cs="Arial"/>
                <w:b/>
                <w:bCs/>
                <w:color w:val="FFFFCC"/>
                <w:sz w:val="24"/>
                <w:szCs w:val="24"/>
                <w:lang w:eastAsia="en-GB"/>
              </w:rPr>
            </w:pPr>
            <w:r w:rsidRPr="00551D8F">
              <w:rPr>
                <w:rFonts w:ascii="Arial" w:eastAsia="Times New Roman" w:hAnsi="Arial" w:cs="Arial"/>
                <w:b/>
                <w:bCs/>
                <w:color w:val="FFFFCC"/>
                <w:sz w:val="24"/>
                <w:szCs w:val="24"/>
                <w:lang w:eastAsia="en-GB"/>
              </w:rPr>
              <w:t>Other Costs</w:t>
            </w:r>
          </w:p>
        </w:tc>
      </w:tr>
      <w:tr w:rsidR="00D456D0" w:rsidRPr="00551D8F" w:rsidTr="002A0388">
        <w:trPr>
          <w:trHeight w:val="630"/>
        </w:trPr>
        <w:tc>
          <w:tcPr>
            <w:tcW w:w="0" w:type="auto"/>
            <w:tcBorders>
              <w:top w:val="single" w:sz="4" w:space="0" w:color="auto"/>
              <w:left w:val="single" w:sz="4" w:space="0" w:color="auto"/>
              <w:bottom w:val="single" w:sz="4" w:space="0" w:color="auto"/>
              <w:right w:val="single" w:sz="4" w:space="0" w:color="auto"/>
            </w:tcBorders>
            <w:shd w:val="clear" w:color="000000" w:fill="006600"/>
            <w:vAlign w:val="bottom"/>
            <w:hideMark/>
          </w:tcPr>
          <w:p w:rsidR="00D456D0" w:rsidRPr="00551D8F" w:rsidRDefault="00D456D0" w:rsidP="002A0388">
            <w:pPr>
              <w:spacing w:after="0" w:line="240" w:lineRule="auto"/>
              <w:rPr>
                <w:rFonts w:ascii="Arial" w:eastAsia="Times New Roman" w:hAnsi="Arial" w:cs="Arial"/>
                <w:b/>
                <w:bCs/>
                <w:color w:val="FFFFCC"/>
                <w:sz w:val="24"/>
                <w:szCs w:val="24"/>
                <w:lang w:eastAsia="en-GB"/>
              </w:rPr>
            </w:pPr>
            <w:r w:rsidRPr="00551D8F">
              <w:rPr>
                <w:rFonts w:ascii="Arial" w:eastAsia="Times New Roman" w:hAnsi="Arial" w:cs="Arial"/>
                <w:b/>
                <w:bCs/>
                <w:color w:val="FFFFCC"/>
                <w:sz w:val="24"/>
                <w:szCs w:val="24"/>
                <w:lang w:eastAsia="en-GB"/>
              </w:rPr>
              <w:t>Row Labels</w:t>
            </w:r>
          </w:p>
        </w:tc>
        <w:tc>
          <w:tcPr>
            <w:tcW w:w="0" w:type="auto"/>
            <w:tcBorders>
              <w:top w:val="nil"/>
              <w:left w:val="nil"/>
              <w:bottom w:val="nil"/>
              <w:right w:val="nil"/>
            </w:tcBorders>
            <w:shd w:val="clear" w:color="auto" w:fill="auto"/>
            <w:vAlign w:val="bottom"/>
            <w:hideMark/>
          </w:tcPr>
          <w:p w:rsidR="00D456D0" w:rsidRPr="00551D8F" w:rsidRDefault="00D456D0" w:rsidP="002A0388">
            <w:pPr>
              <w:spacing w:after="0" w:line="240" w:lineRule="auto"/>
              <w:rPr>
                <w:rFonts w:ascii="Arial" w:eastAsia="Times New Roman" w:hAnsi="Arial" w:cs="Arial"/>
                <w:b/>
                <w:bCs/>
                <w:color w:val="FFFFCC"/>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000000" w:fill="006600"/>
            <w:vAlign w:val="center"/>
            <w:hideMark/>
          </w:tcPr>
          <w:p w:rsidR="00D456D0" w:rsidRPr="00551D8F" w:rsidRDefault="00D456D0" w:rsidP="002A0388">
            <w:pPr>
              <w:spacing w:after="0" w:line="240" w:lineRule="auto"/>
              <w:jc w:val="center"/>
              <w:rPr>
                <w:rFonts w:ascii="Arial" w:eastAsia="Times New Roman" w:hAnsi="Arial" w:cs="Arial"/>
                <w:b/>
                <w:bCs/>
                <w:color w:val="FFFFCC"/>
                <w:sz w:val="24"/>
                <w:szCs w:val="24"/>
                <w:lang w:eastAsia="en-GB"/>
              </w:rPr>
            </w:pPr>
            <w:r w:rsidRPr="00551D8F">
              <w:rPr>
                <w:rFonts w:ascii="Arial" w:eastAsia="Times New Roman" w:hAnsi="Arial" w:cs="Arial"/>
                <w:b/>
                <w:bCs/>
                <w:color w:val="FFFFCC"/>
                <w:sz w:val="24"/>
                <w:szCs w:val="24"/>
                <w:lang w:eastAsia="en-GB"/>
              </w:rPr>
              <w:t xml:space="preserve"> Budget (YTD)</w:t>
            </w:r>
          </w:p>
        </w:tc>
        <w:tc>
          <w:tcPr>
            <w:tcW w:w="0" w:type="auto"/>
            <w:tcBorders>
              <w:top w:val="single" w:sz="4" w:space="0" w:color="auto"/>
              <w:left w:val="nil"/>
              <w:bottom w:val="single" w:sz="4" w:space="0" w:color="auto"/>
              <w:right w:val="single" w:sz="4" w:space="0" w:color="auto"/>
            </w:tcBorders>
            <w:shd w:val="clear" w:color="000000" w:fill="006600"/>
            <w:vAlign w:val="center"/>
            <w:hideMark/>
          </w:tcPr>
          <w:p w:rsidR="00D456D0" w:rsidRPr="00551D8F" w:rsidRDefault="00D456D0" w:rsidP="002A0388">
            <w:pPr>
              <w:spacing w:after="0" w:line="240" w:lineRule="auto"/>
              <w:jc w:val="center"/>
              <w:rPr>
                <w:rFonts w:ascii="Arial" w:eastAsia="Times New Roman" w:hAnsi="Arial" w:cs="Arial"/>
                <w:b/>
                <w:bCs/>
                <w:color w:val="FFFFCC"/>
                <w:sz w:val="24"/>
                <w:szCs w:val="24"/>
                <w:lang w:eastAsia="en-GB"/>
              </w:rPr>
            </w:pPr>
            <w:r w:rsidRPr="00551D8F">
              <w:rPr>
                <w:rFonts w:ascii="Arial" w:eastAsia="Times New Roman" w:hAnsi="Arial" w:cs="Arial"/>
                <w:b/>
                <w:bCs/>
                <w:color w:val="FFFFCC"/>
                <w:sz w:val="24"/>
                <w:szCs w:val="24"/>
                <w:lang w:eastAsia="en-GB"/>
              </w:rPr>
              <w:t xml:space="preserve"> Variance (YTD)</w:t>
            </w:r>
          </w:p>
        </w:tc>
        <w:tc>
          <w:tcPr>
            <w:tcW w:w="0" w:type="auto"/>
            <w:tcBorders>
              <w:top w:val="nil"/>
              <w:left w:val="nil"/>
              <w:bottom w:val="nil"/>
              <w:right w:val="nil"/>
            </w:tcBorders>
            <w:shd w:val="clear" w:color="000000" w:fill="006600"/>
            <w:vAlign w:val="center"/>
            <w:hideMark/>
          </w:tcPr>
          <w:p w:rsidR="00D456D0" w:rsidRPr="00551D8F" w:rsidRDefault="00D456D0" w:rsidP="002A0388">
            <w:pPr>
              <w:spacing w:after="0" w:line="240" w:lineRule="auto"/>
              <w:jc w:val="center"/>
              <w:rPr>
                <w:rFonts w:ascii="Arial" w:eastAsia="Times New Roman" w:hAnsi="Arial" w:cs="Arial"/>
                <w:b/>
                <w:bCs/>
                <w:color w:val="FFFFCC"/>
                <w:sz w:val="24"/>
                <w:szCs w:val="24"/>
                <w:lang w:eastAsia="en-GB"/>
              </w:rPr>
            </w:pPr>
            <w:r w:rsidRPr="00551D8F">
              <w:rPr>
                <w:rFonts w:ascii="Arial" w:eastAsia="Times New Roman" w:hAnsi="Arial" w:cs="Arial"/>
                <w:b/>
                <w:bCs/>
                <w:color w:val="FFFFCC"/>
                <w:sz w:val="24"/>
                <w:szCs w:val="24"/>
                <w:lang w:eastAsia="en-GB"/>
              </w:rPr>
              <w:t>%</w:t>
            </w:r>
          </w:p>
        </w:tc>
        <w:tc>
          <w:tcPr>
            <w:tcW w:w="0" w:type="auto"/>
            <w:tcBorders>
              <w:top w:val="nil"/>
              <w:left w:val="nil"/>
              <w:bottom w:val="nil"/>
              <w:right w:val="nil"/>
            </w:tcBorders>
            <w:shd w:val="clear" w:color="auto" w:fill="auto"/>
            <w:vAlign w:val="bottom"/>
            <w:hideMark/>
          </w:tcPr>
          <w:p w:rsidR="00D456D0" w:rsidRPr="00551D8F" w:rsidRDefault="00D456D0" w:rsidP="002A0388">
            <w:pPr>
              <w:spacing w:after="0" w:line="240" w:lineRule="auto"/>
              <w:jc w:val="center"/>
              <w:rPr>
                <w:rFonts w:ascii="Arial" w:eastAsia="Times New Roman" w:hAnsi="Arial" w:cs="Arial"/>
                <w:b/>
                <w:bCs/>
                <w:color w:val="FFFFCC"/>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000000" w:fill="006600"/>
            <w:vAlign w:val="center"/>
            <w:hideMark/>
          </w:tcPr>
          <w:p w:rsidR="00D456D0" w:rsidRPr="00551D8F" w:rsidRDefault="00D456D0" w:rsidP="002A0388">
            <w:pPr>
              <w:spacing w:after="0" w:line="240" w:lineRule="auto"/>
              <w:jc w:val="center"/>
              <w:rPr>
                <w:rFonts w:ascii="Arial" w:eastAsia="Times New Roman" w:hAnsi="Arial" w:cs="Arial"/>
                <w:b/>
                <w:bCs/>
                <w:color w:val="FFFFCC"/>
                <w:sz w:val="24"/>
                <w:szCs w:val="24"/>
                <w:lang w:eastAsia="en-GB"/>
              </w:rPr>
            </w:pPr>
            <w:r w:rsidRPr="00551D8F">
              <w:rPr>
                <w:rFonts w:ascii="Arial" w:eastAsia="Times New Roman" w:hAnsi="Arial" w:cs="Arial"/>
                <w:b/>
                <w:bCs/>
                <w:color w:val="FFFFCC"/>
                <w:sz w:val="24"/>
                <w:szCs w:val="24"/>
                <w:lang w:eastAsia="en-GB"/>
              </w:rPr>
              <w:t xml:space="preserve"> Budget (YTD)</w:t>
            </w:r>
          </w:p>
        </w:tc>
        <w:tc>
          <w:tcPr>
            <w:tcW w:w="0" w:type="auto"/>
            <w:tcBorders>
              <w:top w:val="single" w:sz="4" w:space="0" w:color="auto"/>
              <w:left w:val="nil"/>
              <w:bottom w:val="single" w:sz="4" w:space="0" w:color="auto"/>
              <w:right w:val="single" w:sz="4" w:space="0" w:color="auto"/>
            </w:tcBorders>
            <w:shd w:val="clear" w:color="000000" w:fill="006600"/>
            <w:vAlign w:val="center"/>
            <w:hideMark/>
          </w:tcPr>
          <w:p w:rsidR="00D456D0" w:rsidRPr="00551D8F" w:rsidRDefault="00D456D0" w:rsidP="002A0388">
            <w:pPr>
              <w:spacing w:after="0" w:line="240" w:lineRule="auto"/>
              <w:jc w:val="center"/>
              <w:rPr>
                <w:rFonts w:ascii="Arial" w:eastAsia="Times New Roman" w:hAnsi="Arial" w:cs="Arial"/>
                <w:b/>
                <w:bCs/>
                <w:color w:val="FFFFCC"/>
                <w:sz w:val="24"/>
                <w:szCs w:val="24"/>
                <w:lang w:eastAsia="en-GB"/>
              </w:rPr>
            </w:pPr>
            <w:r w:rsidRPr="00551D8F">
              <w:rPr>
                <w:rFonts w:ascii="Arial" w:eastAsia="Times New Roman" w:hAnsi="Arial" w:cs="Arial"/>
                <w:b/>
                <w:bCs/>
                <w:color w:val="FFFFCC"/>
                <w:sz w:val="24"/>
                <w:szCs w:val="24"/>
                <w:lang w:eastAsia="en-GB"/>
              </w:rPr>
              <w:t xml:space="preserve"> Variance (YTD)</w:t>
            </w:r>
          </w:p>
        </w:tc>
        <w:tc>
          <w:tcPr>
            <w:tcW w:w="0" w:type="auto"/>
            <w:tcBorders>
              <w:top w:val="nil"/>
              <w:left w:val="nil"/>
              <w:bottom w:val="nil"/>
              <w:right w:val="nil"/>
            </w:tcBorders>
            <w:shd w:val="clear" w:color="000000" w:fill="006600"/>
            <w:vAlign w:val="center"/>
            <w:hideMark/>
          </w:tcPr>
          <w:p w:rsidR="00D456D0" w:rsidRPr="00551D8F" w:rsidRDefault="00D456D0" w:rsidP="002A0388">
            <w:pPr>
              <w:spacing w:after="0" w:line="240" w:lineRule="auto"/>
              <w:jc w:val="center"/>
              <w:rPr>
                <w:rFonts w:ascii="Arial" w:eastAsia="Times New Roman" w:hAnsi="Arial" w:cs="Arial"/>
                <w:b/>
                <w:bCs/>
                <w:color w:val="FFFFCC"/>
                <w:sz w:val="24"/>
                <w:szCs w:val="24"/>
                <w:lang w:eastAsia="en-GB"/>
              </w:rPr>
            </w:pPr>
            <w:r w:rsidRPr="00551D8F">
              <w:rPr>
                <w:rFonts w:ascii="Arial" w:eastAsia="Times New Roman" w:hAnsi="Arial" w:cs="Arial"/>
                <w:b/>
                <w:bCs/>
                <w:color w:val="FFFFCC"/>
                <w:sz w:val="24"/>
                <w:szCs w:val="24"/>
                <w:lang w:eastAsia="en-GB"/>
              </w:rPr>
              <w:t>%</w:t>
            </w:r>
          </w:p>
        </w:tc>
        <w:tc>
          <w:tcPr>
            <w:tcW w:w="0" w:type="auto"/>
            <w:tcBorders>
              <w:top w:val="nil"/>
              <w:left w:val="nil"/>
              <w:bottom w:val="nil"/>
              <w:right w:val="nil"/>
            </w:tcBorders>
            <w:shd w:val="clear" w:color="auto" w:fill="auto"/>
            <w:vAlign w:val="bottom"/>
            <w:hideMark/>
          </w:tcPr>
          <w:p w:rsidR="00D456D0" w:rsidRPr="00551D8F" w:rsidRDefault="00D456D0" w:rsidP="002A0388">
            <w:pPr>
              <w:spacing w:after="0" w:line="240" w:lineRule="auto"/>
              <w:jc w:val="center"/>
              <w:rPr>
                <w:rFonts w:ascii="Arial" w:eastAsia="Times New Roman" w:hAnsi="Arial" w:cs="Arial"/>
                <w:b/>
                <w:bCs/>
                <w:color w:val="FFFFCC"/>
                <w:sz w:val="24"/>
                <w:szCs w:val="24"/>
                <w:lang w:eastAsia="en-GB"/>
              </w:rPr>
            </w:pPr>
          </w:p>
        </w:tc>
        <w:tc>
          <w:tcPr>
            <w:tcW w:w="0" w:type="auto"/>
            <w:tcBorders>
              <w:top w:val="single" w:sz="4" w:space="0" w:color="auto"/>
              <w:left w:val="single" w:sz="4" w:space="0" w:color="auto"/>
              <w:bottom w:val="single" w:sz="4" w:space="0" w:color="auto"/>
              <w:right w:val="single" w:sz="4" w:space="0" w:color="auto"/>
            </w:tcBorders>
            <w:shd w:val="clear" w:color="000000" w:fill="006600"/>
            <w:vAlign w:val="center"/>
            <w:hideMark/>
          </w:tcPr>
          <w:p w:rsidR="00D456D0" w:rsidRPr="00551D8F" w:rsidRDefault="00D456D0" w:rsidP="002A0388">
            <w:pPr>
              <w:spacing w:after="0" w:line="240" w:lineRule="auto"/>
              <w:jc w:val="center"/>
              <w:rPr>
                <w:rFonts w:ascii="Arial" w:eastAsia="Times New Roman" w:hAnsi="Arial" w:cs="Arial"/>
                <w:b/>
                <w:bCs/>
                <w:color w:val="FFFFCC"/>
                <w:sz w:val="24"/>
                <w:szCs w:val="24"/>
                <w:lang w:eastAsia="en-GB"/>
              </w:rPr>
            </w:pPr>
            <w:r w:rsidRPr="00551D8F">
              <w:rPr>
                <w:rFonts w:ascii="Arial" w:eastAsia="Times New Roman" w:hAnsi="Arial" w:cs="Arial"/>
                <w:b/>
                <w:bCs/>
                <w:color w:val="FFFFCC"/>
                <w:sz w:val="24"/>
                <w:szCs w:val="24"/>
                <w:lang w:eastAsia="en-GB"/>
              </w:rPr>
              <w:t xml:space="preserve"> Budget (YTD)</w:t>
            </w:r>
          </w:p>
        </w:tc>
        <w:tc>
          <w:tcPr>
            <w:tcW w:w="0" w:type="auto"/>
            <w:tcBorders>
              <w:top w:val="single" w:sz="4" w:space="0" w:color="auto"/>
              <w:left w:val="nil"/>
              <w:bottom w:val="single" w:sz="4" w:space="0" w:color="auto"/>
              <w:right w:val="single" w:sz="4" w:space="0" w:color="auto"/>
            </w:tcBorders>
            <w:shd w:val="clear" w:color="000000" w:fill="006600"/>
            <w:vAlign w:val="center"/>
            <w:hideMark/>
          </w:tcPr>
          <w:p w:rsidR="00D456D0" w:rsidRPr="00551D8F" w:rsidRDefault="00D456D0" w:rsidP="002A0388">
            <w:pPr>
              <w:spacing w:after="0" w:line="240" w:lineRule="auto"/>
              <w:jc w:val="center"/>
              <w:rPr>
                <w:rFonts w:ascii="Arial" w:eastAsia="Times New Roman" w:hAnsi="Arial" w:cs="Arial"/>
                <w:b/>
                <w:bCs/>
                <w:color w:val="FFFFCC"/>
                <w:sz w:val="24"/>
                <w:szCs w:val="24"/>
                <w:lang w:eastAsia="en-GB"/>
              </w:rPr>
            </w:pPr>
            <w:r w:rsidRPr="00551D8F">
              <w:rPr>
                <w:rFonts w:ascii="Arial" w:eastAsia="Times New Roman" w:hAnsi="Arial" w:cs="Arial"/>
                <w:b/>
                <w:bCs/>
                <w:color w:val="FFFFCC"/>
                <w:sz w:val="24"/>
                <w:szCs w:val="24"/>
                <w:lang w:eastAsia="en-GB"/>
              </w:rPr>
              <w:t xml:space="preserve"> Variance (YTD)</w:t>
            </w:r>
          </w:p>
        </w:tc>
        <w:tc>
          <w:tcPr>
            <w:tcW w:w="0" w:type="auto"/>
            <w:tcBorders>
              <w:top w:val="nil"/>
              <w:left w:val="nil"/>
              <w:bottom w:val="nil"/>
              <w:right w:val="nil"/>
            </w:tcBorders>
            <w:shd w:val="clear" w:color="000000" w:fill="006600"/>
            <w:vAlign w:val="center"/>
            <w:hideMark/>
          </w:tcPr>
          <w:p w:rsidR="00D456D0" w:rsidRPr="00551D8F" w:rsidRDefault="00D456D0" w:rsidP="002A0388">
            <w:pPr>
              <w:spacing w:after="0" w:line="240" w:lineRule="auto"/>
              <w:jc w:val="center"/>
              <w:rPr>
                <w:rFonts w:ascii="Arial" w:eastAsia="Times New Roman" w:hAnsi="Arial" w:cs="Arial"/>
                <w:b/>
                <w:bCs/>
                <w:color w:val="FFFFCC"/>
                <w:sz w:val="24"/>
                <w:szCs w:val="24"/>
                <w:lang w:eastAsia="en-GB"/>
              </w:rPr>
            </w:pPr>
            <w:r w:rsidRPr="00551D8F">
              <w:rPr>
                <w:rFonts w:ascii="Arial" w:eastAsia="Times New Roman" w:hAnsi="Arial" w:cs="Arial"/>
                <w:b/>
                <w:bCs/>
                <w:color w:val="FFFFCC"/>
                <w:sz w:val="24"/>
                <w:szCs w:val="24"/>
                <w:lang w:eastAsia="en-GB"/>
              </w:rPr>
              <w:t>%</w:t>
            </w:r>
          </w:p>
        </w:tc>
      </w:tr>
      <w:tr w:rsidR="00D456D0" w:rsidRPr="00551D8F" w:rsidTr="002A038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rPr>
                <w:rFonts w:ascii="Arial" w:eastAsia="Times New Roman" w:hAnsi="Arial" w:cs="Arial"/>
                <w:sz w:val="24"/>
                <w:szCs w:val="24"/>
                <w:lang w:eastAsia="en-GB"/>
              </w:rPr>
            </w:pPr>
            <w:r w:rsidRPr="00551D8F">
              <w:rPr>
                <w:rFonts w:ascii="Arial" w:eastAsia="Times New Roman" w:hAnsi="Arial" w:cs="Arial"/>
                <w:sz w:val="24"/>
                <w:szCs w:val="24"/>
                <w:lang w:eastAsia="en-GB"/>
              </w:rPr>
              <w:t>Adult</w:t>
            </w:r>
          </w:p>
        </w:tc>
        <w:tc>
          <w:tcPr>
            <w:tcW w:w="0" w:type="auto"/>
            <w:tcBorders>
              <w:top w:val="nil"/>
              <w:left w:val="nil"/>
              <w:bottom w:val="nil"/>
              <w:right w:val="nil"/>
            </w:tcBorders>
            <w:shd w:val="clear" w:color="auto" w:fill="auto"/>
            <w:noWrap/>
            <w:vAlign w:val="bottom"/>
            <w:hideMark/>
          </w:tcPr>
          <w:p w:rsidR="00D456D0" w:rsidRPr="00551D8F" w:rsidRDefault="00D456D0" w:rsidP="002A0388">
            <w:pPr>
              <w:spacing w:after="0" w:line="240" w:lineRule="auto"/>
              <w:rPr>
                <w:rFonts w:ascii="Arial" w:eastAsia="Times New Roman" w:hAnsi="Arial" w:cs="Arial"/>
                <w:sz w:val="24"/>
                <w:szCs w:val="24"/>
                <w:lang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 xml:space="preserve">10,291 </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 xml:space="preserve">11,189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109%</w:t>
            </w:r>
          </w:p>
        </w:tc>
        <w:tc>
          <w:tcPr>
            <w:tcW w:w="0" w:type="auto"/>
            <w:tcBorders>
              <w:top w:val="nil"/>
              <w:left w:val="nil"/>
              <w:bottom w:val="nil"/>
              <w:right w:val="nil"/>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color w:val="FF0000"/>
                <w:sz w:val="24"/>
                <w:szCs w:val="24"/>
                <w:lang w:eastAsia="en-GB"/>
              </w:rPr>
              <w:t>(305,533)</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color w:val="FF0000"/>
                <w:sz w:val="24"/>
                <w:szCs w:val="24"/>
                <w:lang w:eastAsia="en-GB"/>
              </w:rPr>
              <w:t>(1,752)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1%</w:t>
            </w:r>
          </w:p>
        </w:tc>
        <w:tc>
          <w:tcPr>
            <w:tcW w:w="0" w:type="auto"/>
            <w:tcBorders>
              <w:top w:val="nil"/>
              <w:left w:val="nil"/>
              <w:bottom w:val="nil"/>
              <w:right w:val="nil"/>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color w:val="FF0000"/>
                <w:sz w:val="24"/>
                <w:szCs w:val="24"/>
                <w:lang w:eastAsia="en-GB"/>
              </w:rPr>
              <w:t>(36,173)</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color w:val="FF0000"/>
                <w:sz w:val="24"/>
                <w:szCs w:val="24"/>
                <w:lang w:eastAsia="en-GB"/>
              </w:rPr>
              <w:t>(1,700)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5%</w:t>
            </w:r>
          </w:p>
        </w:tc>
      </w:tr>
      <w:tr w:rsidR="00D456D0" w:rsidRPr="00551D8F" w:rsidTr="002A038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rPr>
                <w:rFonts w:ascii="Arial" w:eastAsia="Times New Roman" w:hAnsi="Arial" w:cs="Arial"/>
                <w:sz w:val="24"/>
                <w:szCs w:val="24"/>
                <w:lang w:eastAsia="en-GB"/>
              </w:rPr>
            </w:pPr>
            <w:r w:rsidRPr="00551D8F">
              <w:rPr>
                <w:rFonts w:ascii="Arial" w:eastAsia="Times New Roman" w:hAnsi="Arial" w:cs="Arial"/>
                <w:sz w:val="24"/>
                <w:szCs w:val="24"/>
                <w:lang w:eastAsia="en-GB"/>
              </w:rPr>
              <w:t>Archives</w:t>
            </w:r>
          </w:p>
        </w:tc>
        <w:tc>
          <w:tcPr>
            <w:tcW w:w="0" w:type="auto"/>
            <w:tcBorders>
              <w:top w:val="nil"/>
              <w:left w:val="nil"/>
              <w:bottom w:val="nil"/>
              <w:right w:val="nil"/>
            </w:tcBorders>
            <w:shd w:val="clear" w:color="auto" w:fill="auto"/>
            <w:noWrap/>
            <w:vAlign w:val="bottom"/>
            <w:hideMark/>
          </w:tcPr>
          <w:p w:rsidR="00D456D0" w:rsidRPr="00551D8F" w:rsidRDefault="00D456D0" w:rsidP="002A0388">
            <w:pPr>
              <w:spacing w:after="0" w:line="240" w:lineRule="auto"/>
              <w:rPr>
                <w:rFonts w:ascii="Arial" w:eastAsia="Times New Roman" w:hAnsi="Arial" w:cs="Arial"/>
                <w:sz w:val="24"/>
                <w:szCs w:val="24"/>
                <w:lang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 xml:space="preserve">188,160 </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color w:val="FF0000"/>
                <w:sz w:val="24"/>
                <w:szCs w:val="24"/>
                <w:lang w:eastAsia="en-GB"/>
              </w:rPr>
              <w:t>(4,504)</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-2%</w:t>
            </w:r>
          </w:p>
        </w:tc>
        <w:tc>
          <w:tcPr>
            <w:tcW w:w="0" w:type="auto"/>
            <w:tcBorders>
              <w:top w:val="nil"/>
              <w:left w:val="nil"/>
              <w:bottom w:val="nil"/>
              <w:right w:val="nil"/>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color w:val="FF0000"/>
                <w:sz w:val="24"/>
                <w:szCs w:val="24"/>
                <w:lang w:eastAsia="en-GB"/>
              </w:rPr>
              <w:t>(438,741)</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 xml:space="preserve">13,173 </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-3%</w:t>
            </w:r>
          </w:p>
        </w:tc>
        <w:tc>
          <w:tcPr>
            <w:tcW w:w="0" w:type="auto"/>
            <w:tcBorders>
              <w:top w:val="nil"/>
              <w:left w:val="nil"/>
              <w:bottom w:val="nil"/>
              <w:right w:val="nil"/>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color w:val="FF0000"/>
                <w:sz w:val="24"/>
                <w:szCs w:val="24"/>
                <w:lang w:eastAsia="en-GB"/>
              </w:rPr>
              <w:t>(30,635)</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color w:val="FF0000"/>
                <w:sz w:val="24"/>
                <w:szCs w:val="24"/>
                <w:lang w:eastAsia="en-GB"/>
              </w:rPr>
              <w:t>(5,076)</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17%</w:t>
            </w:r>
          </w:p>
        </w:tc>
      </w:tr>
      <w:tr w:rsidR="00D456D0" w:rsidRPr="00551D8F" w:rsidTr="002A038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rPr>
                <w:rFonts w:ascii="Arial" w:eastAsia="Times New Roman" w:hAnsi="Arial" w:cs="Arial"/>
                <w:sz w:val="24"/>
                <w:szCs w:val="24"/>
                <w:lang w:eastAsia="en-GB"/>
              </w:rPr>
            </w:pPr>
            <w:r w:rsidRPr="00551D8F">
              <w:rPr>
                <w:rFonts w:ascii="Arial" w:eastAsia="Times New Roman" w:hAnsi="Arial" w:cs="Arial"/>
                <w:sz w:val="24"/>
                <w:szCs w:val="24"/>
                <w:lang w:eastAsia="en-GB"/>
              </w:rPr>
              <w:t>Arts</w:t>
            </w:r>
          </w:p>
        </w:tc>
        <w:tc>
          <w:tcPr>
            <w:tcW w:w="0" w:type="auto"/>
            <w:tcBorders>
              <w:top w:val="nil"/>
              <w:left w:val="nil"/>
              <w:bottom w:val="nil"/>
              <w:right w:val="nil"/>
            </w:tcBorders>
            <w:shd w:val="clear" w:color="auto" w:fill="auto"/>
            <w:noWrap/>
            <w:vAlign w:val="bottom"/>
            <w:hideMark/>
          </w:tcPr>
          <w:p w:rsidR="00D456D0" w:rsidRPr="00551D8F" w:rsidRDefault="00D456D0" w:rsidP="002A0388">
            <w:pPr>
              <w:spacing w:after="0" w:line="240" w:lineRule="auto"/>
              <w:rPr>
                <w:rFonts w:ascii="Arial" w:eastAsia="Times New Roman" w:hAnsi="Arial" w:cs="Arial"/>
                <w:sz w:val="24"/>
                <w:szCs w:val="24"/>
                <w:lang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 xml:space="preserve">19,022 </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 xml:space="preserve">430 </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2%</w:t>
            </w:r>
          </w:p>
        </w:tc>
        <w:tc>
          <w:tcPr>
            <w:tcW w:w="0" w:type="auto"/>
            <w:tcBorders>
              <w:top w:val="nil"/>
              <w:left w:val="nil"/>
              <w:bottom w:val="nil"/>
              <w:right w:val="nil"/>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color w:val="FF0000"/>
                <w:sz w:val="24"/>
                <w:szCs w:val="24"/>
                <w:lang w:eastAsia="en-GB"/>
              </w:rPr>
              <w:t>(122,696)</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color w:val="FF0000"/>
                <w:sz w:val="24"/>
                <w:szCs w:val="24"/>
                <w:lang w:eastAsia="en-GB"/>
              </w:rPr>
              <w:t>(1,785)</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1%</w:t>
            </w:r>
          </w:p>
        </w:tc>
        <w:tc>
          <w:tcPr>
            <w:tcW w:w="0" w:type="auto"/>
            <w:tcBorders>
              <w:top w:val="nil"/>
              <w:left w:val="nil"/>
              <w:bottom w:val="nil"/>
              <w:right w:val="nil"/>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color w:val="FF0000"/>
                <w:sz w:val="24"/>
                <w:szCs w:val="24"/>
                <w:lang w:eastAsia="en-GB"/>
              </w:rPr>
              <w:t>(44,772)</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color w:val="FF0000"/>
                <w:sz w:val="24"/>
                <w:szCs w:val="24"/>
                <w:lang w:eastAsia="en-GB"/>
              </w:rPr>
              <w:t>(2,347)</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5%</w:t>
            </w:r>
          </w:p>
        </w:tc>
      </w:tr>
      <w:tr w:rsidR="00D456D0" w:rsidRPr="00551D8F" w:rsidTr="002A038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rPr>
                <w:rFonts w:ascii="Arial" w:eastAsia="Times New Roman" w:hAnsi="Arial" w:cs="Arial"/>
                <w:sz w:val="24"/>
                <w:szCs w:val="24"/>
                <w:lang w:eastAsia="en-GB"/>
              </w:rPr>
            </w:pPr>
            <w:r w:rsidRPr="00551D8F">
              <w:rPr>
                <w:rFonts w:ascii="Arial" w:eastAsia="Times New Roman" w:hAnsi="Arial" w:cs="Arial"/>
                <w:sz w:val="24"/>
                <w:szCs w:val="24"/>
                <w:lang w:eastAsia="en-GB"/>
              </w:rPr>
              <w:t>Facilities</w:t>
            </w:r>
          </w:p>
        </w:tc>
        <w:tc>
          <w:tcPr>
            <w:tcW w:w="0" w:type="auto"/>
            <w:tcBorders>
              <w:top w:val="nil"/>
              <w:left w:val="nil"/>
              <w:bottom w:val="nil"/>
              <w:right w:val="nil"/>
            </w:tcBorders>
            <w:shd w:val="clear" w:color="auto" w:fill="auto"/>
            <w:noWrap/>
            <w:vAlign w:val="bottom"/>
            <w:hideMark/>
          </w:tcPr>
          <w:p w:rsidR="00D456D0" w:rsidRPr="00551D8F" w:rsidRDefault="00D456D0" w:rsidP="002A0388">
            <w:pPr>
              <w:spacing w:after="0" w:line="240" w:lineRule="auto"/>
              <w:rPr>
                <w:rFonts w:ascii="Arial" w:eastAsia="Times New Roman" w:hAnsi="Arial" w:cs="Arial"/>
                <w:sz w:val="24"/>
                <w:szCs w:val="24"/>
                <w:lang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 xml:space="preserve">5,775,175 </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color w:val="FF0000"/>
                <w:sz w:val="24"/>
                <w:szCs w:val="24"/>
                <w:lang w:eastAsia="en-GB"/>
              </w:rPr>
              <w:t>(112,423)</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-2%</w:t>
            </w:r>
          </w:p>
        </w:tc>
        <w:tc>
          <w:tcPr>
            <w:tcW w:w="0" w:type="auto"/>
            <w:tcBorders>
              <w:top w:val="nil"/>
              <w:left w:val="nil"/>
              <w:bottom w:val="nil"/>
              <w:right w:val="nil"/>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color w:val="FF0000"/>
                <w:sz w:val="24"/>
                <w:szCs w:val="24"/>
                <w:lang w:eastAsia="en-GB"/>
              </w:rPr>
              <w:t>(5,613,993)</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 xml:space="preserve">20,769 </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0%</w:t>
            </w:r>
          </w:p>
        </w:tc>
        <w:tc>
          <w:tcPr>
            <w:tcW w:w="0" w:type="auto"/>
            <w:tcBorders>
              <w:top w:val="nil"/>
              <w:left w:val="nil"/>
              <w:bottom w:val="nil"/>
              <w:right w:val="nil"/>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color w:val="FF0000"/>
                <w:sz w:val="24"/>
                <w:szCs w:val="24"/>
                <w:lang w:eastAsia="en-GB"/>
              </w:rPr>
              <w:t>(1,287,681)</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 xml:space="preserve">21,310 </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-2%</w:t>
            </w:r>
          </w:p>
        </w:tc>
      </w:tr>
      <w:tr w:rsidR="00D456D0" w:rsidRPr="00551D8F" w:rsidTr="002A038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rPr>
                <w:rFonts w:ascii="Arial" w:eastAsia="Times New Roman" w:hAnsi="Arial" w:cs="Arial"/>
                <w:sz w:val="24"/>
                <w:szCs w:val="24"/>
                <w:lang w:eastAsia="en-GB"/>
              </w:rPr>
            </w:pPr>
            <w:r w:rsidRPr="00551D8F">
              <w:rPr>
                <w:rFonts w:ascii="Arial" w:eastAsia="Times New Roman" w:hAnsi="Arial" w:cs="Arial"/>
                <w:sz w:val="24"/>
                <w:szCs w:val="24"/>
                <w:lang w:eastAsia="en-GB"/>
              </w:rPr>
              <w:t>Libraries</w:t>
            </w:r>
          </w:p>
        </w:tc>
        <w:tc>
          <w:tcPr>
            <w:tcW w:w="0" w:type="auto"/>
            <w:tcBorders>
              <w:top w:val="nil"/>
              <w:left w:val="nil"/>
              <w:bottom w:val="nil"/>
              <w:right w:val="nil"/>
            </w:tcBorders>
            <w:shd w:val="clear" w:color="auto" w:fill="auto"/>
            <w:noWrap/>
            <w:vAlign w:val="bottom"/>
            <w:hideMark/>
          </w:tcPr>
          <w:p w:rsidR="00D456D0" w:rsidRPr="00551D8F" w:rsidRDefault="00D456D0" w:rsidP="002A0388">
            <w:pPr>
              <w:spacing w:after="0" w:line="240" w:lineRule="auto"/>
              <w:rPr>
                <w:rFonts w:ascii="Arial" w:eastAsia="Times New Roman" w:hAnsi="Arial" w:cs="Arial"/>
                <w:sz w:val="24"/>
                <w:szCs w:val="24"/>
                <w:lang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 xml:space="preserve">52,440 </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color w:val="FF0000"/>
                <w:sz w:val="24"/>
                <w:szCs w:val="24"/>
                <w:lang w:eastAsia="en-GB"/>
              </w:rPr>
              <w:t>(1,791)</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-3%</w:t>
            </w:r>
          </w:p>
        </w:tc>
        <w:tc>
          <w:tcPr>
            <w:tcW w:w="0" w:type="auto"/>
            <w:tcBorders>
              <w:top w:val="nil"/>
              <w:left w:val="nil"/>
              <w:bottom w:val="nil"/>
              <w:right w:val="nil"/>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color w:val="FF0000"/>
                <w:sz w:val="24"/>
                <w:szCs w:val="24"/>
                <w:lang w:eastAsia="en-GB"/>
              </w:rPr>
              <w:t>(1,420,236)</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 xml:space="preserve">30,681 </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-2%</w:t>
            </w:r>
          </w:p>
        </w:tc>
        <w:tc>
          <w:tcPr>
            <w:tcW w:w="0" w:type="auto"/>
            <w:tcBorders>
              <w:top w:val="nil"/>
              <w:left w:val="nil"/>
              <w:bottom w:val="nil"/>
              <w:right w:val="nil"/>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color w:val="FF0000"/>
                <w:sz w:val="24"/>
                <w:szCs w:val="24"/>
                <w:lang w:eastAsia="en-GB"/>
              </w:rPr>
              <w:t>(409,352)</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color w:val="FF0000"/>
                <w:sz w:val="24"/>
                <w:szCs w:val="24"/>
                <w:lang w:eastAsia="en-GB"/>
              </w:rPr>
              <w:t>(19,299)</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5%</w:t>
            </w:r>
          </w:p>
        </w:tc>
      </w:tr>
      <w:tr w:rsidR="00D456D0" w:rsidRPr="00551D8F" w:rsidTr="002A038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rPr>
                <w:rFonts w:ascii="Arial" w:eastAsia="Times New Roman" w:hAnsi="Arial" w:cs="Arial"/>
                <w:sz w:val="24"/>
                <w:szCs w:val="24"/>
                <w:lang w:eastAsia="en-GB"/>
              </w:rPr>
            </w:pPr>
            <w:r w:rsidRPr="00551D8F">
              <w:rPr>
                <w:rFonts w:ascii="Arial" w:eastAsia="Times New Roman" w:hAnsi="Arial" w:cs="Arial"/>
                <w:sz w:val="24"/>
                <w:szCs w:val="24"/>
                <w:lang w:eastAsia="en-GB"/>
              </w:rPr>
              <w:t>Management</w:t>
            </w:r>
          </w:p>
        </w:tc>
        <w:tc>
          <w:tcPr>
            <w:tcW w:w="0" w:type="auto"/>
            <w:tcBorders>
              <w:top w:val="nil"/>
              <w:left w:val="nil"/>
              <w:bottom w:val="nil"/>
              <w:right w:val="nil"/>
            </w:tcBorders>
            <w:shd w:val="clear" w:color="auto" w:fill="auto"/>
            <w:noWrap/>
            <w:vAlign w:val="bottom"/>
            <w:hideMark/>
          </w:tcPr>
          <w:p w:rsidR="00D456D0" w:rsidRPr="00551D8F" w:rsidRDefault="00D456D0" w:rsidP="002A0388">
            <w:pPr>
              <w:spacing w:after="0" w:line="240" w:lineRule="auto"/>
              <w:rPr>
                <w:rFonts w:ascii="Arial" w:eastAsia="Times New Roman" w:hAnsi="Arial" w:cs="Arial"/>
                <w:sz w:val="24"/>
                <w:szCs w:val="24"/>
                <w:lang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 xml:space="preserve">58,972 </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 xml:space="preserve">5,917 </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10%</w:t>
            </w:r>
          </w:p>
        </w:tc>
        <w:tc>
          <w:tcPr>
            <w:tcW w:w="0" w:type="auto"/>
            <w:tcBorders>
              <w:top w:val="nil"/>
              <w:left w:val="nil"/>
              <w:bottom w:val="nil"/>
              <w:right w:val="nil"/>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color w:val="FF0000"/>
                <w:sz w:val="24"/>
                <w:szCs w:val="24"/>
                <w:lang w:eastAsia="en-GB"/>
              </w:rPr>
              <w:t>(946,593)</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color w:val="FF0000"/>
                <w:sz w:val="24"/>
                <w:szCs w:val="24"/>
                <w:lang w:eastAsia="en-GB"/>
              </w:rPr>
              <w:t>(12,923)</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1%</w:t>
            </w:r>
          </w:p>
        </w:tc>
        <w:tc>
          <w:tcPr>
            <w:tcW w:w="0" w:type="auto"/>
            <w:tcBorders>
              <w:top w:val="nil"/>
              <w:left w:val="nil"/>
              <w:bottom w:val="nil"/>
              <w:right w:val="nil"/>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color w:val="FF0000"/>
                <w:sz w:val="24"/>
                <w:szCs w:val="24"/>
                <w:lang w:eastAsia="en-GB"/>
              </w:rPr>
              <w:t>(587,134)</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 xml:space="preserve">9,628 </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-2%</w:t>
            </w:r>
          </w:p>
        </w:tc>
      </w:tr>
      <w:tr w:rsidR="00D456D0" w:rsidRPr="00551D8F" w:rsidTr="002A038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rPr>
                <w:rFonts w:ascii="Arial" w:eastAsia="Times New Roman" w:hAnsi="Arial" w:cs="Arial"/>
                <w:sz w:val="24"/>
                <w:szCs w:val="24"/>
                <w:lang w:eastAsia="en-GB"/>
              </w:rPr>
            </w:pPr>
            <w:r w:rsidRPr="00551D8F">
              <w:rPr>
                <w:rFonts w:ascii="Arial" w:eastAsia="Times New Roman" w:hAnsi="Arial" w:cs="Arial"/>
                <w:sz w:val="24"/>
                <w:szCs w:val="24"/>
                <w:lang w:eastAsia="en-GB"/>
              </w:rPr>
              <w:t>Museums</w:t>
            </w:r>
          </w:p>
        </w:tc>
        <w:tc>
          <w:tcPr>
            <w:tcW w:w="0" w:type="auto"/>
            <w:tcBorders>
              <w:top w:val="nil"/>
              <w:left w:val="nil"/>
              <w:bottom w:val="nil"/>
              <w:right w:val="nil"/>
            </w:tcBorders>
            <w:shd w:val="clear" w:color="auto" w:fill="auto"/>
            <w:noWrap/>
            <w:vAlign w:val="bottom"/>
            <w:hideMark/>
          </w:tcPr>
          <w:p w:rsidR="00D456D0" w:rsidRPr="00551D8F" w:rsidRDefault="00D456D0" w:rsidP="002A0388">
            <w:pPr>
              <w:spacing w:after="0" w:line="240" w:lineRule="auto"/>
              <w:rPr>
                <w:rFonts w:ascii="Arial" w:eastAsia="Times New Roman" w:hAnsi="Arial" w:cs="Arial"/>
                <w:sz w:val="24"/>
                <w:szCs w:val="24"/>
                <w:lang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 xml:space="preserve">615,986 </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 xml:space="preserve">10,950 </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2%</w:t>
            </w:r>
          </w:p>
        </w:tc>
        <w:tc>
          <w:tcPr>
            <w:tcW w:w="0" w:type="auto"/>
            <w:tcBorders>
              <w:top w:val="nil"/>
              <w:left w:val="nil"/>
              <w:bottom w:val="nil"/>
              <w:right w:val="nil"/>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color w:val="FF0000"/>
                <w:sz w:val="24"/>
                <w:szCs w:val="24"/>
                <w:lang w:eastAsia="en-GB"/>
              </w:rPr>
              <w:t>(557,949)</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color w:val="FF0000"/>
                <w:sz w:val="24"/>
                <w:szCs w:val="24"/>
                <w:lang w:eastAsia="en-GB"/>
              </w:rPr>
              <w:t>(4,742)</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1%</w:t>
            </w:r>
          </w:p>
        </w:tc>
        <w:tc>
          <w:tcPr>
            <w:tcW w:w="0" w:type="auto"/>
            <w:tcBorders>
              <w:top w:val="nil"/>
              <w:left w:val="nil"/>
              <w:bottom w:val="nil"/>
              <w:right w:val="nil"/>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color w:val="FF0000"/>
                <w:sz w:val="24"/>
                <w:szCs w:val="24"/>
                <w:lang w:eastAsia="en-GB"/>
              </w:rPr>
              <w:t>(298,147)</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 xml:space="preserve">1,361 </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0%</w:t>
            </w:r>
          </w:p>
        </w:tc>
      </w:tr>
      <w:tr w:rsidR="00D456D0" w:rsidRPr="00551D8F" w:rsidTr="002A038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rPr>
                <w:rFonts w:ascii="Arial" w:eastAsia="Times New Roman" w:hAnsi="Arial" w:cs="Arial"/>
                <w:sz w:val="24"/>
                <w:szCs w:val="24"/>
                <w:lang w:eastAsia="en-GB"/>
              </w:rPr>
            </w:pPr>
            <w:r w:rsidRPr="00551D8F">
              <w:rPr>
                <w:rFonts w:ascii="Arial" w:eastAsia="Times New Roman" w:hAnsi="Arial" w:cs="Arial"/>
                <w:sz w:val="24"/>
                <w:szCs w:val="24"/>
                <w:lang w:eastAsia="en-GB"/>
              </w:rPr>
              <w:t>Music Tuition</w:t>
            </w:r>
          </w:p>
        </w:tc>
        <w:tc>
          <w:tcPr>
            <w:tcW w:w="0" w:type="auto"/>
            <w:tcBorders>
              <w:top w:val="nil"/>
              <w:left w:val="nil"/>
              <w:bottom w:val="nil"/>
              <w:right w:val="nil"/>
            </w:tcBorders>
            <w:shd w:val="clear" w:color="auto" w:fill="auto"/>
            <w:noWrap/>
            <w:vAlign w:val="bottom"/>
            <w:hideMark/>
          </w:tcPr>
          <w:p w:rsidR="00D456D0" w:rsidRPr="00551D8F" w:rsidRDefault="00D456D0" w:rsidP="002A0388">
            <w:pPr>
              <w:spacing w:after="0" w:line="240" w:lineRule="auto"/>
              <w:rPr>
                <w:rFonts w:ascii="Arial" w:eastAsia="Times New Roman" w:hAnsi="Arial" w:cs="Arial"/>
                <w:sz w:val="24"/>
                <w:szCs w:val="24"/>
                <w:lang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 xml:space="preserve">397,844 </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color w:val="FF0000"/>
                <w:sz w:val="24"/>
                <w:szCs w:val="24"/>
                <w:lang w:eastAsia="en-GB"/>
              </w:rPr>
              <w:t>(26,854)</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-7%</w:t>
            </w:r>
          </w:p>
        </w:tc>
        <w:tc>
          <w:tcPr>
            <w:tcW w:w="0" w:type="auto"/>
            <w:tcBorders>
              <w:top w:val="nil"/>
              <w:left w:val="nil"/>
              <w:bottom w:val="nil"/>
              <w:right w:val="nil"/>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color w:val="FF0000"/>
                <w:sz w:val="24"/>
                <w:szCs w:val="24"/>
                <w:lang w:eastAsia="en-GB"/>
              </w:rPr>
              <w:t>(1,215,815)</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 xml:space="preserve">3,576 </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0%</w:t>
            </w:r>
          </w:p>
        </w:tc>
        <w:tc>
          <w:tcPr>
            <w:tcW w:w="0" w:type="auto"/>
            <w:tcBorders>
              <w:top w:val="nil"/>
              <w:left w:val="nil"/>
              <w:bottom w:val="nil"/>
              <w:right w:val="nil"/>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color w:val="FF0000"/>
                <w:sz w:val="24"/>
                <w:szCs w:val="24"/>
                <w:lang w:eastAsia="en-GB"/>
              </w:rPr>
              <w:t>(272,793)</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 xml:space="preserve">523 </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0%</w:t>
            </w:r>
          </w:p>
        </w:tc>
      </w:tr>
      <w:tr w:rsidR="00D456D0" w:rsidRPr="00551D8F" w:rsidTr="002A038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rPr>
                <w:rFonts w:ascii="Arial" w:eastAsia="Times New Roman" w:hAnsi="Arial" w:cs="Arial"/>
                <w:sz w:val="24"/>
                <w:szCs w:val="24"/>
                <w:lang w:eastAsia="en-GB"/>
              </w:rPr>
            </w:pPr>
            <w:r w:rsidRPr="00551D8F">
              <w:rPr>
                <w:rFonts w:ascii="Arial" w:eastAsia="Times New Roman" w:hAnsi="Arial" w:cs="Arial"/>
                <w:sz w:val="24"/>
                <w:szCs w:val="24"/>
                <w:lang w:eastAsia="en-GB"/>
              </w:rPr>
              <w:t>Outdoor</w:t>
            </w:r>
          </w:p>
        </w:tc>
        <w:tc>
          <w:tcPr>
            <w:tcW w:w="0" w:type="auto"/>
            <w:tcBorders>
              <w:top w:val="nil"/>
              <w:left w:val="nil"/>
              <w:bottom w:val="nil"/>
              <w:right w:val="nil"/>
            </w:tcBorders>
            <w:shd w:val="clear" w:color="auto" w:fill="auto"/>
            <w:noWrap/>
            <w:vAlign w:val="bottom"/>
            <w:hideMark/>
          </w:tcPr>
          <w:p w:rsidR="00D456D0" w:rsidRPr="00551D8F" w:rsidRDefault="00D456D0" w:rsidP="002A0388">
            <w:pPr>
              <w:spacing w:after="0" w:line="240" w:lineRule="auto"/>
              <w:rPr>
                <w:rFonts w:ascii="Arial" w:eastAsia="Times New Roman" w:hAnsi="Arial" w:cs="Arial"/>
                <w:sz w:val="24"/>
                <w:szCs w:val="24"/>
                <w:lang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 xml:space="preserve">103,526 </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 xml:space="preserve">17,424 </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17%</w:t>
            </w:r>
          </w:p>
        </w:tc>
        <w:tc>
          <w:tcPr>
            <w:tcW w:w="0" w:type="auto"/>
            <w:tcBorders>
              <w:top w:val="nil"/>
              <w:left w:val="nil"/>
              <w:bottom w:val="nil"/>
              <w:right w:val="nil"/>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color w:val="FF0000"/>
                <w:sz w:val="24"/>
                <w:szCs w:val="24"/>
                <w:lang w:eastAsia="en-GB"/>
              </w:rPr>
              <w:t>(267,764)</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color w:val="FF0000"/>
                <w:sz w:val="24"/>
                <w:szCs w:val="24"/>
                <w:lang w:eastAsia="en-GB"/>
              </w:rPr>
              <w:t>(2,161)</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1%</w:t>
            </w:r>
          </w:p>
        </w:tc>
        <w:tc>
          <w:tcPr>
            <w:tcW w:w="0" w:type="auto"/>
            <w:tcBorders>
              <w:top w:val="nil"/>
              <w:left w:val="nil"/>
              <w:bottom w:val="nil"/>
              <w:right w:val="nil"/>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color w:val="FF0000"/>
                <w:sz w:val="24"/>
                <w:szCs w:val="24"/>
                <w:lang w:eastAsia="en-GB"/>
              </w:rPr>
              <w:t>(49,618)</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color w:val="FF0000"/>
                <w:sz w:val="24"/>
                <w:szCs w:val="24"/>
                <w:lang w:eastAsia="en-GB"/>
              </w:rPr>
              <w:t>(12,910)</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26%</w:t>
            </w:r>
          </w:p>
        </w:tc>
      </w:tr>
      <w:tr w:rsidR="00D456D0" w:rsidRPr="00551D8F" w:rsidTr="002A038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rPr>
                <w:rFonts w:ascii="Arial" w:eastAsia="Times New Roman" w:hAnsi="Arial" w:cs="Arial"/>
                <w:sz w:val="24"/>
                <w:szCs w:val="24"/>
                <w:lang w:eastAsia="en-GB"/>
              </w:rPr>
            </w:pPr>
            <w:r w:rsidRPr="00551D8F">
              <w:rPr>
                <w:rFonts w:ascii="Arial" w:eastAsia="Times New Roman" w:hAnsi="Arial" w:cs="Arial"/>
                <w:sz w:val="24"/>
                <w:szCs w:val="24"/>
                <w:lang w:eastAsia="en-GB"/>
              </w:rPr>
              <w:t>SLA</w:t>
            </w:r>
          </w:p>
        </w:tc>
        <w:tc>
          <w:tcPr>
            <w:tcW w:w="0" w:type="auto"/>
            <w:tcBorders>
              <w:top w:val="nil"/>
              <w:left w:val="nil"/>
              <w:bottom w:val="nil"/>
              <w:right w:val="nil"/>
            </w:tcBorders>
            <w:shd w:val="clear" w:color="auto" w:fill="auto"/>
            <w:noWrap/>
            <w:vAlign w:val="bottom"/>
            <w:hideMark/>
          </w:tcPr>
          <w:p w:rsidR="00D456D0" w:rsidRPr="00551D8F" w:rsidRDefault="00D456D0" w:rsidP="002A0388">
            <w:pPr>
              <w:spacing w:after="0" w:line="240" w:lineRule="auto"/>
              <w:rPr>
                <w:rFonts w:ascii="Arial" w:eastAsia="Times New Roman" w:hAnsi="Arial" w:cs="Arial"/>
                <w:sz w:val="24"/>
                <w:szCs w:val="24"/>
                <w:lang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 xml:space="preserve">3,406,571 </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 xml:space="preserve">0 </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0%</w:t>
            </w:r>
          </w:p>
        </w:tc>
        <w:tc>
          <w:tcPr>
            <w:tcW w:w="0" w:type="auto"/>
            <w:tcBorders>
              <w:top w:val="nil"/>
              <w:left w:val="nil"/>
              <w:bottom w:val="nil"/>
              <w:right w:val="nil"/>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rPr>
                <w:rFonts w:ascii="Arial" w:eastAsia="Times New Roman" w:hAnsi="Arial" w:cs="Arial"/>
                <w:sz w:val="24"/>
                <w:szCs w:val="24"/>
                <w:lang w:eastAsia="en-GB"/>
              </w:rPr>
            </w:pPr>
            <w:r w:rsidRPr="00551D8F">
              <w:rPr>
                <w:rFonts w:ascii="Arial" w:eastAsia="Times New Roman" w:hAnsi="Arial" w:cs="Arial"/>
                <w:sz w:val="24"/>
                <w:szCs w:val="24"/>
                <w:lang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rPr>
                <w:rFonts w:ascii="Arial" w:eastAsia="Times New Roman" w:hAnsi="Arial" w:cs="Arial"/>
                <w:sz w:val="24"/>
                <w:szCs w:val="24"/>
                <w:lang w:eastAsia="en-GB"/>
              </w:rPr>
            </w:pPr>
            <w:r w:rsidRPr="00551D8F">
              <w:rPr>
                <w:rFonts w:ascii="Arial" w:eastAsia="Times New Roman" w:hAnsi="Arial" w:cs="Arial"/>
                <w:sz w:val="24"/>
                <w:szCs w:val="24"/>
                <w:lang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0%</w:t>
            </w:r>
          </w:p>
        </w:tc>
        <w:tc>
          <w:tcPr>
            <w:tcW w:w="0" w:type="auto"/>
            <w:tcBorders>
              <w:top w:val="nil"/>
              <w:left w:val="nil"/>
              <w:bottom w:val="nil"/>
              <w:right w:val="nil"/>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color w:val="FF0000"/>
                <w:sz w:val="24"/>
                <w:szCs w:val="24"/>
                <w:lang w:eastAsia="en-GB"/>
              </w:rPr>
              <w:t>(23,000)</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 xml:space="preserve">0 </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0%</w:t>
            </w:r>
          </w:p>
        </w:tc>
      </w:tr>
      <w:tr w:rsidR="00D456D0" w:rsidRPr="00551D8F" w:rsidTr="002A038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rPr>
                <w:rFonts w:ascii="Arial" w:eastAsia="Times New Roman" w:hAnsi="Arial" w:cs="Arial"/>
                <w:sz w:val="24"/>
                <w:szCs w:val="24"/>
                <w:lang w:eastAsia="en-GB"/>
              </w:rPr>
            </w:pPr>
            <w:r w:rsidRPr="00551D8F">
              <w:rPr>
                <w:rFonts w:ascii="Arial" w:eastAsia="Times New Roman" w:hAnsi="Arial" w:cs="Arial"/>
                <w:sz w:val="24"/>
                <w:szCs w:val="24"/>
                <w:lang w:eastAsia="en-GB"/>
              </w:rPr>
              <w:t>Sports</w:t>
            </w:r>
          </w:p>
        </w:tc>
        <w:tc>
          <w:tcPr>
            <w:tcW w:w="0" w:type="auto"/>
            <w:tcBorders>
              <w:top w:val="nil"/>
              <w:left w:val="nil"/>
              <w:bottom w:val="nil"/>
              <w:right w:val="nil"/>
            </w:tcBorders>
            <w:shd w:val="clear" w:color="auto" w:fill="auto"/>
            <w:noWrap/>
            <w:vAlign w:val="bottom"/>
            <w:hideMark/>
          </w:tcPr>
          <w:p w:rsidR="00D456D0" w:rsidRPr="00551D8F" w:rsidRDefault="00D456D0" w:rsidP="002A0388">
            <w:pPr>
              <w:spacing w:after="0" w:line="240" w:lineRule="auto"/>
              <w:rPr>
                <w:rFonts w:ascii="Arial" w:eastAsia="Times New Roman" w:hAnsi="Arial" w:cs="Arial"/>
                <w:sz w:val="24"/>
                <w:szCs w:val="24"/>
                <w:lang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 xml:space="preserve">609,004 </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 xml:space="preserve">17,015 </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3%</w:t>
            </w:r>
          </w:p>
        </w:tc>
        <w:tc>
          <w:tcPr>
            <w:tcW w:w="0" w:type="auto"/>
            <w:tcBorders>
              <w:top w:val="nil"/>
              <w:left w:val="nil"/>
              <w:bottom w:val="nil"/>
              <w:right w:val="nil"/>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color w:val="FF0000"/>
                <w:sz w:val="24"/>
                <w:szCs w:val="24"/>
                <w:lang w:eastAsia="en-GB"/>
              </w:rPr>
              <w:t>(805,823)</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color w:val="FF0000"/>
                <w:sz w:val="24"/>
                <w:szCs w:val="24"/>
                <w:lang w:eastAsia="en-GB"/>
              </w:rPr>
              <w:t>(21,681)</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3%</w:t>
            </w:r>
          </w:p>
        </w:tc>
        <w:tc>
          <w:tcPr>
            <w:tcW w:w="0" w:type="auto"/>
            <w:tcBorders>
              <w:top w:val="nil"/>
              <w:left w:val="nil"/>
              <w:bottom w:val="nil"/>
              <w:right w:val="nil"/>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color w:val="FF0000"/>
                <w:sz w:val="24"/>
                <w:szCs w:val="24"/>
                <w:lang w:eastAsia="en-GB"/>
              </w:rPr>
              <w:t>(83,529)</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 xml:space="preserve">6,029 </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-7%</w:t>
            </w:r>
          </w:p>
        </w:tc>
      </w:tr>
      <w:tr w:rsidR="00D456D0" w:rsidRPr="00551D8F" w:rsidTr="002A0388">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rPr>
                <w:rFonts w:ascii="Arial" w:eastAsia="Times New Roman" w:hAnsi="Arial" w:cs="Arial"/>
                <w:sz w:val="24"/>
                <w:szCs w:val="24"/>
                <w:lang w:eastAsia="en-GB"/>
              </w:rPr>
            </w:pPr>
            <w:r w:rsidRPr="00551D8F">
              <w:rPr>
                <w:rFonts w:ascii="Arial" w:eastAsia="Times New Roman" w:hAnsi="Arial" w:cs="Arial"/>
                <w:sz w:val="24"/>
                <w:szCs w:val="24"/>
                <w:lang w:eastAsia="en-GB"/>
              </w:rPr>
              <w:t>Youthwork</w:t>
            </w:r>
          </w:p>
        </w:tc>
        <w:tc>
          <w:tcPr>
            <w:tcW w:w="0" w:type="auto"/>
            <w:tcBorders>
              <w:top w:val="nil"/>
              <w:left w:val="nil"/>
              <w:bottom w:val="nil"/>
              <w:right w:val="nil"/>
            </w:tcBorders>
            <w:shd w:val="clear" w:color="auto" w:fill="auto"/>
            <w:noWrap/>
            <w:vAlign w:val="bottom"/>
            <w:hideMark/>
          </w:tcPr>
          <w:p w:rsidR="00D456D0" w:rsidRPr="00551D8F" w:rsidRDefault="00D456D0" w:rsidP="002A0388">
            <w:pPr>
              <w:spacing w:after="0" w:line="240" w:lineRule="auto"/>
              <w:rPr>
                <w:rFonts w:ascii="Arial" w:eastAsia="Times New Roman" w:hAnsi="Arial" w:cs="Arial"/>
                <w:sz w:val="24"/>
                <w:szCs w:val="24"/>
                <w:lang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 xml:space="preserve">68,356 </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 xml:space="preserve">9,122 </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13%</w:t>
            </w:r>
          </w:p>
        </w:tc>
        <w:tc>
          <w:tcPr>
            <w:tcW w:w="0" w:type="auto"/>
            <w:tcBorders>
              <w:top w:val="nil"/>
              <w:left w:val="nil"/>
              <w:bottom w:val="nil"/>
              <w:right w:val="nil"/>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color w:val="FF0000"/>
                <w:sz w:val="24"/>
                <w:szCs w:val="24"/>
                <w:lang w:eastAsia="en-GB"/>
              </w:rPr>
              <w:t>(833,777)</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 xml:space="preserve">1,574 </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0%</w:t>
            </w:r>
          </w:p>
        </w:tc>
        <w:tc>
          <w:tcPr>
            <w:tcW w:w="0" w:type="auto"/>
            <w:tcBorders>
              <w:top w:val="nil"/>
              <w:left w:val="nil"/>
              <w:bottom w:val="nil"/>
              <w:right w:val="nil"/>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color w:val="FF0000"/>
                <w:sz w:val="24"/>
                <w:szCs w:val="24"/>
                <w:lang w:eastAsia="en-GB"/>
              </w:rPr>
              <w:t>(96,239)</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color w:val="FF0000"/>
                <w:sz w:val="24"/>
                <w:szCs w:val="24"/>
                <w:lang w:eastAsia="en-GB"/>
              </w:rPr>
              <w:t>(14,725)</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sz w:val="24"/>
                <w:szCs w:val="24"/>
                <w:lang w:eastAsia="en-GB"/>
              </w:rPr>
            </w:pPr>
            <w:r w:rsidRPr="00551D8F">
              <w:rPr>
                <w:rFonts w:ascii="Arial" w:eastAsia="Times New Roman" w:hAnsi="Arial" w:cs="Arial"/>
                <w:sz w:val="24"/>
                <w:szCs w:val="24"/>
                <w:lang w:eastAsia="en-GB"/>
              </w:rPr>
              <w:t>15%</w:t>
            </w:r>
          </w:p>
        </w:tc>
      </w:tr>
      <w:tr w:rsidR="00D456D0" w:rsidRPr="00551D8F" w:rsidTr="002A0388">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rPr>
                <w:rFonts w:ascii="Arial" w:eastAsia="Times New Roman" w:hAnsi="Arial" w:cs="Arial"/>
                <w:b/>
                <w:bCs/>
                <w:sz w:val="24"/>
                <w:szCs w:val="24"/>
                <w:lang w:eastAsia="en-GB"/>
              </w:rPr>
            </w:pPr>
            <w:r w:rsidRPr="00551D8F">
              <w:rPr>
                <w:rFonts w:ascii="Arial" w:eastAsia="Times New Roman" w:hAnsi="Arial" w:cs="Arial"/>
                <w:b/>
                <w:bCs/>
                <w:sz w:val="24"/>
                <w:szCs w:val="24"/>
                <w:lang w:eastAsia="en-GB"/>
              </w:rPr>
              <w:t>Total</w:t>
            </w:r>
          </w:p>
        </w:tc>
        <w:tc>
          <w:tcPr>
            <w:tcW w:w="0" w:type="auto"/>
            <w:tcBorders>
              <w:top w:val="nil"/>
              <w:left w:val="nil"/>
              <w:bottom w:val="nil"/>
              <w:right w:val="nil"/>
            </w:tcBorders>
            <w:shd w:val="clear" w:color="auto" w:fill="auto"/>
            <w:noWrap/>
            <w:vAlign w:val="bottom"/>
            <w:hideMark/>
          </w:tcPr>
          <w:p w:rsidR="00D456D0" w:rsidRPr="00551D8F" w:rsidRDefault="00D456D0" w:rsidP="002A0388">
            <w:pPr>
              <w:spacing w:after="0" w:line="240" w:lineRule="auto"/>
              <w:rPr>
                <w:rFonts w:ascii="Arial" w:eastAsia="Times New Roman" w:hAnsi="Arial" w:cs="Arial"/>
                <w:b/>
                <w:bCs/>
                <w:sz w:val="24"/>
                <w:szCs w:val="24"/>
                <w:lang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b/>
                <w:bCs/>
                <w:sz w:val="24"/>
                <w:szCs w:val="24"/>
                <w:lang w:eastAsia="en-GB"/>
              </w:rPr>
            </w:pPr>
            <w:r w:rsidRPr="00551D8F">
              <w:rPr>
                <w:rFonts w:ascii="Arial" w:eastAsia="Times New Roman" w:hAnsi="Arial" w:cs="Arial"/>
                <w:b/>
                <w:bCs/>
                <w:sz w:val="24"/>
                <w:szCs w:val="24"/>
                <w:lang w:eastAsia="en-GB"/>
              </w:rPr>
              <w:t xml:space="preserve">11,305,347 </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b/>
                <w:bCs/>
                <w:sz w:val="24"/>
                <w:szCs w:val="24"/>
                <w:lang w:eastAsia="en-GB"/>
              </w:rPr>
            </w:pPr>
            <w:r w:rsidRPr="00551D8F">
              <w:rPr>
                <w:rFonts w:ascii="Arial" w:eastAsia="Times New Roman" w:hAnsi="Arial" w:cs="Arial"/>
                <w:b/>
                <w:bCs/>
                <w:color w:val="FF0000"/>
                <w:sz w:val="24"/>
                <w:szCs w:val="24"/>
                <w:lang w:eastAsia="en-GB"/>
              </w:rPr>
              <w:t>(73,525)</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b/>
                <w:bCs/>
                <w:sz w:val="24"/>
                <w:szCs w:val="24"/>
                <w:lang w:eastAsia="en-GB"/>
              </w:rPr>
            </w:pPr>
            <w:r w:rsidRPr="00551D8F">
              <w:rPr>
                <w:rFonts w:ascii="Arial" w:eastAsia="Times New Roman" w:hAnsi="Arial" w:cs="Arial"/>
                <w:b/>
                <w:bCs/>
                <w:sz w:val="24"/>
                <w:szCs w:val="24"/>
                <w:lang w:eastAsia="en-GB"/>
              </w:rPr>
              <w:t>-1%</w:t>
            </w:r>
          </w:p>
        </w:tc>
        <w:tc>
          <w:tcPr>
            <w:tcW w:w="0" w:type="auto"/>
            <w:tcBorders>
              <w:top w:val="nil"/>
              <w:left w:val="nil"/>
              <w:bottom w:val="nil"/>
              <w:right w:val="nil"/>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b/>
                <w:bCs/>
                <w:sz w:val="24"/>
                <w:szCs w:val="24"/>
                <w:lang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b/>
                <w:bCs/>
                <w:sz w:val="24"/>
                <w:szCs w:val="24"/>
                <w:lang w:eastAsia="en-GB"/>
              </w:rPr>
            </w:pPr>
            <w:r w:rsidRPr="00551D8F">
              <w:rPr>
                <w:rFonts w:ascii="Arial" w:eastAsia="Times New Roman" w:hAnsi="Arial" w:cs="Arial"/>
                <w:b/>
                <w:bCs/>
                <w:color w:val="FF0000"/>
                <w:sz w:val="24"/>
                <w:szCs w:val="24"/>
                <w:lang w:eastAsia="en-GB"/>
              </w:rPr>
              <w:t>(12,528,920)</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b/>
                <w:bCs/>
                <w:sz w:val="24"/>
                <w:szCs w:val="24"/>
                <w:lang w:eastAsia="en-GB"/>
              </w:rPr>
            </w:pPr>
            <w:r w:rsidRPr="00551D8F">
              <w:rPr>
                <w:rFonts w:ascii="Arial" w:eastAsia="Times New Roman" w:hAnsi="Arial" w:cs="Arial"/>
                <w:b/>
                <w:bCs/>
                <w:sz w:val="24"/>
                <w:szCs w:val="24"/>
                <w:lang w:eastAsia="en-GB"/>
              </w:rPr>
              <w:t xml:space="preserve">24,729 </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b/>
                <w:bCs/>
                <w:sz w:val="24"/>
                <w:szCs w:val="24"/>
                <w:lang w:eastAsia="en-GB"/>
              </w:rPr>
            </w:pPr>
            <w:r w:rsidRPr="00551D8F">
              <w:rPr>
                <w:rFonts w:ascii="Arial" w:eastAsia="Times New Roman" w:hAnsi="Arial" w:cs="Arial"/>
                <w:b/>
                <w:bCs/>
                <w:sz w:val="24"/>
                <w:szCs w:val="24"/>
                <w:lang w:eastAsia="en-GB"/>
              </w:rPr>
              <w:t>0%</w:t>
            </w:r>
          </w:p>
        </w:tc>
        <w:tc>
          <w:tcPr>
            <w:tcW w:w="0" w:type="auto"/>
            <w:tcBorders>
              <w:top w:val="nil"/>
              <w:left w:val="nil"/>
              <w:bottom w:val="nil"/>
              <w:right w:val="nil"/>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b/>
                <w:bCs/>
                <w:sz w:val="24"/>
                <w:szCs w:val="24"/>
                <w:lang w:eastAsia="en-GB"/>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b/>
                <w:bCs/>
                <w:sz w:val="24"/>
                <w:szCs w:val="24"/>
                <w:lang w:eastAsia="en-GB"/>
              </w:rPr>
            </w:pPr>
            <w:r w:rsidRPr="00551D8F">
              <w:rPr>
                <w:rFonts w:ascii="Arial" w:eastAsia="Times New Roman" w:hAnsi="Arial" w:cs="Arial"/>
                <w:b/>
                <w:bCs/>
                <w:color w:val="FF0000"/>
                <w:sz w:val="24"/>
                <w:szCs w:val="24"/>
                <w:lang w:eastAsia="en-GB"/>
              </w:rPr>
              <w:t>(3,219,073)</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b/>
                <w:bCs/>
                <w:sz w:val="24"/>
                <w:szCs w:val="24"/>
                <w:lang w:eastAsia="en-GB"/>
              </w:rPr>
            </w:pPr>
            <w:r w:rsidRPr="00551D8F">
              <w:rPr>
                <w:rFonts w:ascii="Arial" w:eastAsia="Times New Roman" w:hAnsi="Arial" w:cs="Arial"/>
                <w:b/>
                <w:bCs/>
                <w:color w:val="FF0000"/>
                <w:sz w:val="24"/>
                <w:szCs w:val="24"/>
                <w:lang w:eastAsia="en-GB"/>
              </w:rPr>
              <w:t>(17,206)</w:t>
            </w:r>
          </w:p>
        </w:tc>
        <w:tc>
          <w:tcPr>
            <w:tcW w:w="0" w:type="auto"/>
            <w:tcBorders>
              <w:top w:val="nil"/>
              <w:left w:val="nil"/>
              <w:bottom w:val="single" w:sz="4" w:space="0" w:color="auto"/>
              <w:right w:val="single" w:sz="4" w:space="0" w:color="auto"/>
            </w:tcBorders>
            <w:shd w:val="clear" w:color="auto" w:fill="auto"/>
            <w:noWrap/>
            <w:vAlign w:val="bottom"/>
            <w:hideMark/>
          </w:tcPr>
          <w:p w:rsidR="00D456D0" w:rsidRPr="00551D8F" w:rsidRDefault="00D456D0" w:rsidP="002A0388">
            <w:pPr>
              <w:spacing w:after="0" w:line="240" w:lineRule="auto"/>
              <w:jc w:val="right"/>
              <w:rPr>
                <w:rFonts w:ascii="Arial" w:eastAsia="Times New Roman" w:hAnsi="Arial" w:cs="Arial"/>
                <w:b/>
                <w:bCs/>
                <w:sz w:val="24"/>
                <w:szCs w:val="24"/>
                <w:lang w:eastAsia="en-GB"/>
              </w:rPr>
            </w:pPr>
            <w:r w:rsidRPr="00551D8F">
              <w:rPr>
                <w:rFonts w:ascii="Arial" w:eastAsia="Times New Roman" w:hAnsi="Arial" w:cs="Arial"/>
                <w:b/>
                <w:bCs/>
                <w:sz w:val="24"/>
                <w:szCs w:val="24"/>
                <w:lang w:eastAsia="en-GB"/>
              </w:rPr>
              <w:t>1%</w:t>
            </w:r>
          </w:p>
        </w:tc>
      </w:tr>
    </w:tbl>
    <w:p w:rsidR="006B5D13" w:rsidRPr="006B5D13" w:rsidRDefault="006B5D13" w:rsidP="006B5D13">
      <w:pPr>
        <w:rPr>
          <w:rFonts w:ascii="Arial" w:hAnsi="Arial" w:cs="Arial"/>
          <w:b/>
          <w:sz w:val="24"/>
          <w:szCs w:val="24"/>
        </w:rPr>
      </w:pPr>
    </w:p>
    <w:p w:rsidR="006B5D13" w:rsidRPr="006B5D13" w:rsidRDefault="006B5D13" w:rsidP="006B5D13">
      <w:pPr>
        <w:rPr>
          <w:rFonts w:ascii="Arial" w:hAnsi="Arial" w:cs="Arial"/>
          <w:b/>
          <w:sz w:val="24"/>
          <w:szCs w:val="24"/>
        </w:rPr>
      </w:pPr>
      <w:r w:rsidRPr="006B5D13">
        <w:rPr>
          <w:rFonts w:ascii="Arial" w:hAnsi="Arial" w:cs="Arial"/>
          <w:b/>
          <w:sz w:val="24"/>
          <w:szCs w:val="24"/>
        </w:rPr>
        <w:tab/>
      </w:r>
    </w:p>
    <w:p w:rsidR="006B5D13" w:rsidRPr="006B5D13" w:rsidRDefault="006B5D13" w:rsidP="006B5D13">
      <w:pPr>
        <w:rPr>
          <w:rFonts w:ascii="Arial" w:hAnsi="Arial" w:cs="Arial"/>
          <w:b/>
          <w:sz w:val="24"/>
          <w:szCs w:val="24"/>
        </w:rPr>
      </w:pPr>
      <w:r w:rsidRPr="006B5D13">
        <w:rPr>
          <w:rFonts w:ascii="Arial" w:hAnsi="Arial" w:cs="Arial"/>
          <w:b/>
          <w:sz w:val="24"/>
          <w:szCs w:val="24"/>
        </w:rPr>
        <w:tab/>
      </w:r>
      <w:r w:rsidRPr="006B5D13">
        <w:rPr>
          <w:rFonts w:ascii="Arial" w:hAnsi="Arial" w:cs="Arial"/>
          <w:b/>
          <w:sz w:val="24"/>
          <w:szCs w:val="24"/>
        </w:rPr>
        <w:tab/>
      </w:r>
      <w:r w:rsidRPr="006B5D13">
        <w:rPr>
          <w:rFonts w:ascii="Arial" w:hAnsi="Arial" w:cs="Arial"/>
          <w:b/>
          <w:sz w:val="24"/>
          <w:szCs w:val="24"/>
        </w:rPr>
        <w:tab/>
      </w:r>
      <w:r w:rsidRPr="006B5D13">
        <w:rPr>
          <w:rFonts w:ascii="Arial" w:hAnsi="Arial" w:cs="Arial"/>
          <w:b/>
          <w:sz w:val="24"/>
          <w:szCs w:val="24"/>
        </w:rPr>
        <w:tab/>
      </w:r>
      <w:r w:rsidRPr="006B5D13">
        <w:rPr>
          <w:rFonts w:ascii="Arial" w:hAnsi="Arial" w:cs="Arial"/>
          <w:b/>
          <w:sz w:val="24"/>
          <w:szCs w:val="24"/>
        </w:rPr>
        <w:tab/>
      </w:r>
      <w:r w:rsidRPr="006B5D13">
        <w:rPr>
          <w:rFonts w:ascii="Arial" w:hAnsi="Arial" w:cs="Arial"/>
          <w:b/>
          <w:sz w:val="24"/>
          <w:szCs w:val="24"/>
        </w:rPr>
        <w:tab/>
      </w:r>
      <w:r w:rsidRPr="006B5D13">
        <w:rPr>
          <w:rFonts w:ascii="Arial" w:hAnsi="Arial" w:cs="Arial"/>
          <w:b/>
          <w:sz w:val="24"/>
          <w:szCs w:val="24"/>
        </w:rPr>
        <w:tab/>
      </w:r>
      <w:r w:rsidRPr="006B5D13">
        <w:rPr>
          <w:rFonts w:ascii="Arial" w:hAnsi="Arial" w:cs="Arial"/>
          <w:b/>
          <w:sz w:val="24"/>
          <w:szCs w:val="24"/>
        </w:rPr>
        <w:tab/>
      </w:r>
      <w:r w:rsidRPr="006B5D13">
        <w:rPr>
          <w:rFonts w:ascii="Arial" w:hAnsi="Arial" w:cs="Arial"/>
          <w:b/>
          <w:sz w:val="24"/>
          <w:szCs w:val="24"/>
        </w:rPr>
        <w:tab/>
      </w:r>
      <w:r w:rsidRPr="006B5D13">
        <w:rPr>
          <w:rFonts w:ascii="Arial" w:hAnsi="Arial" w:cs="Arial"/>
          <w:b/>
          <w:sz w:val="24"/>
          <w:szCs w:val="24"/>
        </w:rPr>
        <w:tab/>
      </w:r>
      <w:r w:rsidRPr="006B5D13">
        <w:rPr>
          <w:rFonts w:ascii="Arial" w:hAnsi="Arial" w:cs="Arial"/>
          <w:b/>
          <w:sz w:val="24"/>
          <w:szCs w:val="24"/>
        </w:rPr>
        <w:tab/>
      </w:r>
      <w:r w:rsidRPr="006B5D13">
        <w:rPr>
          <w:rFonts w:ascii="Arial" w:hAnsi="Arial" w:cs="Arial"/>
          <w:b/>
          <w:sz w:val="24"/>
          <w:szCs w:val="24"/>
        </w:rPr>
        <w:tab/>
      </w:r>
    </w:p>
    <w:p w:rsidR="006B5D13" w:rsidRDefault="006B5D13" w:rsidP="006B5D13">
      <w:pPr>
        <w:rPr>
          <w:b/>
        </w:rPr>
      </w:pPr>
    </w:p>
    <w:p w:rsidR="00C05616" w:rsidRDefault="00C05616" w:rsidP="006B5D13">
      <w:pPr>
        <w:rPr>
          <w:b/>
        </w:rPr>
      </w:pPr>
    </w:p>
    <w:p w:rsidR="00C05616" w:rsidRDefault="00C05616" w:rsidP="006B5D13">
      <w:pPr>
        <w:rPr>
          <w:b/>
        </w:rPr>
      </w:pPr>
    </w:p>
    <w:p w:rsidR="00D456D0" w:rsidRDefault="00D456D0" w:rsidP="006B5D13">
      <w:pPr>
        <w:rPr>
          <w:b/>
        </w:rPr>
      </w:pPr>
    </w:p>
    <w:p w:rsidR="00D456D0" w:rsidRDefault="00D456D0" w:rsidP="006B5D13">
      <w:pPr>
        <w:rPr>
          <w:b/>
        </w:rPr>
      </w:pPr>
    </w:p>
    <w:p w:rsidR="00D456D0" w:rsidRDefault="00D456D0" w:rsidP="006B5D13">
      <w:pPr>
        <w:rPr>
          <w:b/>
        </w:rPr>
      </w:pPr>
      <w:r w:rsidRPr="00852C23">
        <w:rPr>
          <w:rFonts w:ascii="Arial" w:hAnsi="Arial" w:cs="Arial"/>
          <w:b/>
          <w:sz w:val="24"/>
          <w:szCs w:val="24"/>
        </w:rPr>
        <w:lastRenderedPageBreak/>
        <w:t>Variances over £5,000</w:t>
      </w:r>
      <w:r>
        <w:rPr>
          <w:rFonts w:ascii="Arial" w:hAnsi="Arial" w:cs="Arial"/>
          <w:b/>
          <w:sz w:val="24"/>
          <w:szCs w:val="24"/>
        </w:rPr>
        <w:t xml:space="preserve"> </w:t>
      </w:r>
      <w:r>
        <w:rPr>
          <w:rFonts w:ascii="Arial" w:hAnsi="Arial" w:cs="Arial"/>
          <w:b/>
          <w:sz w:val="28"/>
          <w:szCs w:val="28"/>
        </w:rPr>
        <w:t xml:space="preserve"> </w:t>
      </w:r>
      <w:r>
        <w:rPr>
          <w:rFonts w:ascii="Arial" w:hAnsi="Arial" w:cs="Arial"/>
          <w:b/>
          <w:sz w:val="24"/>
          <w:szCs w:val="24"/>
        </w:rPr>
        <w:t xml:space="preserve">                                                                                                                                               APPENDIX D</w:t>
      </w:r>
    </w:p>
    <w:p w:rsidR="006B5D13" w:rsidRPr="006B5D13" w:rsidRDefault="006B5D13" w:rsidP="006B5D13">
      <w:pPr>
        <w:spacing w:line="240" w:lineRule="auto"/>
        <w:contextualSpacing/>
        <w:rPr>
          <w:rFonts w:ascii="Arial" w:hAnsi="Arial" w:cs="Arial"/>
          <w:b/>
          <w:sz w:val="24"/>
          <w:szCs w:val="24"/>
        </w:rPr>
      </w:pPr>
    </w:p>
    <w:tbl>
      <w:tblPr>
        <w:tblpPr w:leftFromText="180" w:rightFromText="180" w:vertAnchor="page" w:horzAnchor="margin" w:tblpY="1631"/>
        <w:tblW w:w="14000" w:type="dxa"/>
        <w:tblLook w:val="04A0" w:firstRow="1" w:lastRow="0" w:firstColumn="1" w:lastColumn="0" w:noHBand="0" w:noVBand="1"/>
      </w:tblPr>
      <w:tblGrid>
        <w:gridCol w:w="2410"/>
        <w:gridCol w:w="2268"/>
        <w:gridCol w:w="9322"/>
      </w:tblGrid>
      <w:tr w:rsidR="00D456D0" w:rsidRPr="00F52305" w:rsidTr="002A0388">
        <w:trPr>
          <w:trHeight w:val="422"/>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56D0" w:rsidRPr="008744E2" w:rsidRDefault="00D456D0" w:rsidP="002A0388">
            <w:pPr>
              <w:jc w:val="center"/>
              <w:rPr>
                <w:rFonts w:ascii="Arial" w:hAnsi="Arial" w:cs="Arial"/>
                <w:b/>
                <w:bCs/>
                <w:sz w:val="24"/>
                <w:szCs w:val="24"/>
              </w:rPr>
            </w:pPr>
            <w:r w:rsidRPr="008744E2">
              <w:rPr>
                <w:rFonts w:ascii="Arial" w:hAnsi="Arial" w:cs="Arial"/>
                <w:b/>
                <w:bCs/>
                <w:sz w:val="24"/>
                <w:szCs w:val="24"/>
              </w:rPr>
              <w:t>Sector</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D456D0" w:rsidRPr="008744E2" w:rsidRDefault="00D456D0" w:rsidP="002A0388">
            <w:pPr>
              <w:jc w:val="center"/>
              <w:rPr>
                <w:rFonts w:ascii="Arial" w:hAnsi="Arial" w:cs="Arial"/>
                <w:b/>
                <w:bCs/>
                <w:sz w:val="24"/>
                <w:szCs w:val="24"/>
              </w:rPr>
            </w:pPr>
            <w:r w:rsidRPr="008744E2">
              <w:rPr>
                <w:rFonts w:ascii="Arial" w:hAnsi="Arial" w:cs="Arial"/>
                <w:b/>
                <w:bCs/>
                <w:sz w:val="24"/>
                <w:szCs w:val="24"/>
              </w:rPr>
              <w:t>Variance</w:t>
            </w:r>
          </w:p>
        </w:tc>
        <w:tc>
          <w:tcPr>
            <w:tcW w:w="9322" w:type="dxa"/>
            <w:tcBorders>
              <w:top w:val="single" w:sz="4" w:space="0" w:color="auto"/>
              <w:left w:val="nil"/>
              <w:bottom w:val="single" w:sz="4" w:space="0" w:color="auto"/>
              <w:right w:val="single" w:sz="4" w:space="0" w:color="auto"/>
            </w:tcBorders>
            <w:shd w:val="clear" w:color="auto" w:fill="auto"/>
            <w:noWrap/>
            <w:vAlign w:val="bottom"/>
            <w:hideMark/>
          </w:tcPr>
          <w:p w:rsidR="00D456D0" w:rsidRPr="008744E2" w:rsidRDefault="00D456D0" w:rsidP="002A0388">
            <w:pPr>
              <w:jc w:val="center"/>
              <w:rPr>
                <w:rFonts w:ascii="Arial" w:hAnsi="Arial" w:cs="Arial"/>
                <w:b/>
                <w:bCs/>
                <w:sz w:val="24"/>
                <w:szCs w:val="24"/>
              </w:rPr>
            </w:pPr>
            <w:r w:rsidRPr="008744E2">
              <w:rPr>
                <w:rFonts w:ascii="Arial" w:hAnsi="Arial" w:cs="Arial"/>
                <w:b/>
                <w:bCs/>
                <w:sz w:val="24"/>
                <w:szCs w:val="24"/>
              </w:rPr>
              <w:t>Note</w:t>
            </w:r>
          </w:p>
        </w:tc>
      </w:tr>
      <w:tr w:rsidR="00D456D0" w:rsidRPr="00F52305" w:rsidTr="002A0388">
        <w:trPr>
          <w:trHeight w:val="745"/>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6D0" w:rsidRPr="001D164E" w:rsidRDefault="00D456D0" w:rsidP="002A0388">
            <w:pPr>
              <w:jc w:val="center"/>
              <w:rPr>
                <w:rFonts w:ascii="Arial" w:hAnsi="Arial" w:cs="Arial"/>
                <w:sz w:val="24"/>
                <w:szCs w:val="24"/>
              </w:rPr>
            </w:pPr>
            <w:r w:rsidRPr="001D164E">
              <w:rPr>
                <w:rFonts w:ascii="Arial" w:hAnsi="Arial" w:cs="Arial"/>
                <w:sz w:val="24"/>
                <w:szCs w:val="24"/>
              </w:rPr>
              <w:t>Adult</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456D0" w:rsidRPr="001D164E" w:rsidRDefault="00D456D0" w:rsidP="002A0388">
            <w:pPr>
              <w:jc w:val="center"/>
              <w:rPr>
                <w:rFonts w:ascii="Arial" w:hAnsi="Arial" w:cs="Arial"/>
                <w:sz w:val="24"/>
                <w:szCs w:val="24"/>
              </w:rPr>
            </w:pPr>
            <w:r w:rsidRPr="001D164E">
              <w:rPr>
                <w:rFonts w:ascii="Arial" w:hAnsi="Arial" w:cs="Arial"/>
                <w:sz w:val="24"/>
                <w:szCs w:val="24"/>
              </w:rPr>
              <w:t>7,737</w:t>
            </w:r>
          </w:p>
        </w:tc>
        <w:tc>
          <w:tcPr>
            <w:tcW w:w="9322" w:type="dxa"/>
            <w:tcBorders>
              <w:top w:val="single" w:sz="4" w:space="0" w:color="auto"/>
              <w:left w:val="nil"/>
              <w:bottom w:val="single" w:sz="4" w:space="0" w:color="auto"/>
              <w:right w:val="single" w:sz="4" w:space="0" w:color="auto"/>
            </w:tcBorders>
            <w:shd w:val="clear" w:color="auto" w:fill="auto"/>
            <w:noWrap/>
          </w:tcPr>
          <w:p w:rsidR="00D456D0" w:rsidRPr="001D164E" w:rsidRDefault="00D456D0" w:rsidP="002A0388">
            <w:pPr>
              <w:jc w:val="both"/>
              <w:rPr>
                <w:rFonts w:ascii="Arial" w:hAnsi="Arial" w:cs="Arial"/>
                <w:sz w:val="24"/>
                <w:szCs w:val="24"/>
              </w:rPr>
            </w:pPr>
            <w:r w:rsidRPr="001D164E">
              <w:rPr>
                <w:rFonts w:ascii="Arial" w:hAnsi="Arial" w:cs="Arial"/>
                <w:sz w:val="24"/>
                <w:szCs w:val="24"/>
              </w:rPr>
              <w:t xml:space="preserve">Positive variance to budget due to income from </w:t>
            </w:r>
            <w:r w:rsidRPr="001D164E">
              <w:rPr>
                <w:rFonts w:ascii="Arial" w:hAnsi="Arial" w:cs="Arial"/>
                <w:sz w:val="24"/>
                <w:szCs w:val="24"/>
                <w:shd w:val="clear" w:color="auto" w:fill="FFFFFF"/>
              </w:rPr>
              <w:t>English for Speakers of Other Languages (</w:t>
            </w:r>
            <w:r w:rsidRPr="001D164E">
              <w:rPr>
                <w:rFonts w:ascii="Arial" w:hAnsi="Arial" w:cs="Arial"/>
                <w:sz w:val="24"/>
                <w:szCs w:val="24"/>
              </w:rPr>
              <w:t xml:space="preserve">ESOL) classes.   </w:t>
            </w:r>
          </w:p>
        </w:tc>
      </w:tr>
      <w:tr w:rsidR="00D456D0" w:rsidRPr="00F52305" w:rsidTr="002A0388">
        <w:trPr>
          <w:trHeight w:val="585"/>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6D0" w:rsidRPr="001D164E" w:rsidRDefault="00D456D0" w:rsidP="002A0388">
            <w:pPr>
              <w:jc w:val="center"/>
              <w:rPr>
                <w:rFonts w:ascii="Arial" w:hAnsi="Arial" w:cs="Arial"/>
                <w:sz w:val="24"/>
                <w:szCs w:val="24"/>
              </w:rPr>
            </w:pPr>
            <w:r w:rsidRPr="001D164E">
              <w:rPr>
                <w:rFonts w:ascii="Arial" w:hAnsi="Arial" w:cs="Arial"/>
                <w:sz w:val="24"/>
                <w:szCs w:val="24"/>
              </w:rPr>
              <w:t>Facilities</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456D0" w:rsidRPr="001D164E" w:rsidRDefault="00D456D0" w:rsidP="002A0388">
            <w:pPr>
              <w:jc w:val="center"/>
              <w:rPr>
                <w:rFonts w:ascii="Arial" w:hAnsi="Arial" w:cs="Arial"/>
                <w:sz w:val="24"/>
                <w:szCs w:val="24"/>
              </w:rPr>
            </w:pPr>
            <w:r w:rsidRPr="001D164E">
              <w:rPr>
                <w:rFonts w:ascii="Arial" w:hAnsi="Arial" w:cs="Arial"/>
                <w:sz w:val="24"/>
                <w:szCs w:val="24"/>
              </w:rPr>
              <w:t>(70,344)</w:t>
            </w:r>
          </w:p>
        </w:tc>
        <w:tc>
          <w:tcPr>
            <w:tcW w:w="9322" w:type="dxa"/>
            <w:tcBorders>
              <w:top w:val="single" w:sz="4" w:space="0" w:color="auto"/>
              <w:left w:val="nil"/>
              <w:bottom w:val="single" w:sz="4" w:space="0" w:color="auto"/>
              <w:right w:val="single" w:sz="4" w:space="0" w:color="auto"/>
            </w:tcBorders>
            <w:shd w:val="clear" w:color="auto" w:fill="auto"/>
          </w:tcPr>
          <w:p w:rsidR="00D456D0" w:rsidRPr="001D164E" w:rsidRDefault="00D456D0" w:rsidP="002A0388">
            <w:pPr>
              <w:jc w:val="both"/>
              <w:rPr>
                <w:rFonts w:ascii="Arial" w:hAnsi="Arial" w:cs="Arial"/>
                <w:sz w:val="24"/>
                <w:szCs w:val="24"/>
              </w:rPr>
            </w:pPr>
            <w:r w:rsidRPr="001D164E">
              <w:rPr>
                <w:rFonts w:ascii="Arial" w:hAnsi="Arial" w:cs="Arial"/>
                <w:sz w:val="24"/>
                <w:szCs w:val="24"/>
              </w:rPr>
              <w:t xml:space="preserve">Lower than anticipated growth in Highlife </w:t>
            </w:r>
            <w:r>
              <w:rPr>
                <w:rFonts w:ascii="Arial" w:hAnsi="Arial" w:cs="Arial"/>
                <w:sz w:val="24"/>
                <w:szCs w:val="24"/>
              </w:rPr>
              <w:t>i</w:t>
            </w:r>
            <w:r w:rsidRPr="001D164E">
              <w:rPr>
                <w:rFonts w:ascii="Arial" w:hAnsi="Arial" w:cs="Arial"/>
                <w:sz w:val="24"/>
                <w:szCs w:val="24"/>
              </w:rPr>
              <w:t xml:space="preserve">ncome in addition to a decrease in Pay </w:t>
            </w:r>
            <w:proofErr w:type="gramStart"/>
            <w:r w:rsidRPr="001D164E">
              <w:rPr>
                <w:rFonts w:ascii="Arial" w:hAnsi="Arial" w:cs="Arial"/>
                <w:sz w:val="24"/>
                <w:szCs w:val="24"/>
              </w:rPr>
              <w:t>As</w:t>
            </w:r>
            <w:proofErr w:type="gramEnd"/>
            <w:r w:rsidRPr="001D164E">
              <w:rPr>
                <w:rFonts w:ascii="Arial" w:hAnsi="Arial" w:cs="Arial"/>
                <w:sz w:val="24"/>
                <w:szCs w:val="24"/>
              </w:rPr>
              <w:t xml:space="preserve"> You Go leisure income has resulted in a negative variance to budget which is partly offset by savings in Staff and Other Costs.       </w:t>
            </w:r>
          </w:p>
        </w:tc>
      </w:tr>
      <w:tr w:rsidR="00D456D0" w:rsidRPr="00F52305" w:rsidTr="002A0388">
        <w:trPr>
          <w:trHeight w:val="585"/>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6D0" w:rsidRPr="001D164E" w:rsidRDefault="00D456D0" w:rsidP="002A0388">
            <w:pPr>
              <w:jc w:val="center"/>
              <w:rPr>
                <w:rFonts w:ascii="Arial" w:hAnsi="Arial" w:cs="Arial"/>
                <w:sz w:val="24"/>
                <w:szCs w:val="24"/>
              </w:rPr>
            </w:pPr>
            <w:r w:rsidRPr="001D164E">
              <w:rPr>
                <w:rFonts w:ascii="Arial" w:hAnsi="Arial" w:cs="Arial"/>
                <w:sz w:val="24"/>
                <w:szCs w:val="24"/>
              </w:rPr>
              <w:lastRenderedPageBreak/>
              <w:t>Libraries</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456D0" w:rsidRPr="001D164E" w:rsidRDefault="00D456D0" w:rsidP="002A0388">
            <w:pPr>
              <w:jc w:val="center"/>
              <w:rPr>
                <w:rFonts w:ascii="Arial" w:eastAsia="Times New Roman" w:hAnsi="Arial" w:cs="Arial"/>
                <w:sz w:val="24"/>
                <w:szCs w:val="24"/>
                <w:lang w:eastAsia="en-GB"/>
              </w:rPr>
            </w:pPr>
            <w:r w:rsidRPr="001D164E">
              <w:rPr>
                <w:rFonts w:ascii="Arial" w:eastAsia="Times New Roman" w:hAnsi="Arial" w:cs="Arial"/>
                <w:sz w:val="24"/>
                <w:szCs w:val="24"/>
                <w:lang w:eastAsia="en-GB"/>
              </w:rPr>
              <w:t>9,591</w:t>
            </w:r>
          </w:p>
        </w:tc>
        <w:tc>
          <w:tcPr>
            <w:tcW w:w="9322" w:type="dxa"/>
            <w:tcBorders>
              <w:top w:val="single" w:sz="4" w:space="0" w:color="auto"/>
              <w:left w:val="nil"/>
              <w:bottom w:val="single" w:sz="4" w:space="0" w:color="auto"/>
              <w:right w:val="single" w:sz="4" w:space="0" w:color="auto"/>
            </w:tcBorders>
            <w:shd w:val="clear" w:color="auto" w:fill="auto"/>
          </w:tcPr>
          <w:p w:rsidR="00D456D0" w:rsidRPr="001D164E" w:rsidRDefault="00D456D0" w:rsidP="002A0388">
            <w:pPr>
              <w:jc w:val="both"/>
              <w:rPr>
                <w:rFonts w:ascii="Arial" w:hAnsi="Arial" w:cs="Arial"/>
                <w:sz w:val="24"/>
                <w:szCs w:val="24"/>
              </w:rPr>
            </w:pPr>
            <w:r w:rsidRPr="001D164E">
              <w:rPr>
                <w:rFonts w:ascii="Arial" w:hAnsi="Arial" w:cs="Arial"/>
                <w:sz w:val="24"/>
                <w:szCs w:val="24"/>
              </w:rPr>
              <w:t xml:space="preserve">Savings in staff costs through vacancy management at Culloden and the Library Support Unit have offset additional ICT-related Other Costs.  </w:t>
            </w:r>
          </w:p>
        </w:tc>
      </w:tr>
      <w:tr w:rsidR="00D456D0" w:rsidRPr="00F52305" w:rsidTr="002A0388">
        <w:trPr>
          <w:trHeight w:val="585"/>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6D0" w:rsidRPr="001D164E" w:rsidRDefault="00D456D0" w:rsidP="002A0388">
            <w:pPr>
              <w:jc w:val="center"/>
              <w:rPr>
                <w:rFonts w:ascii="Arial" w:hAnsi="Arial" w:cs="Arial"/>
                <w:sz w:val="24"/>
                <w:szCs w:val="24"/>
              </w:rPr>
            </w:pPr>
            <w:r w:rsidRPr="001D164E">
              <w:rPr>
                <w:rFonts w:ascii="Arial" w:hAnsi="Arial" w:cs="Arial"/>
                <w:sz w:val="24"/>
                <w:szCs w:val="24"/>
              </w:rPr>
              <w:t>Museums</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456D0" w:rsidRPr="001D164E" w:rsidRDefault="00D456D0" w:rsidP="002A0388">
            <w:pPr>
              <w:jc w:val="center"/>
              <w:rPr>
                <w:rFonts w:ascii="Arial" w:eastAsia="Times New Roman" w:hAnsi="Arial" w:cs="Arial"/>
                <w:sz w:val="24"/>
                <w:szCs w:val="24"/>
                <w:lang w:eastAsia="en-GB"/>
              </w:rPr>
            </w:pPr>
            <w:r w:rsidRPr="001D164E">
              <w:rPr>
                <w:rFonts w:ascii="Arial" w:eastAsia="Times New Roman" w:hAnsi="Arial" w:cs="Arial"/>
                <w:sz w:val="24"/>
                <w:szCs w:val="24"/>
                <w:lang w:eastAsia="en-GB"/>
              </w:rPr>
              <w:t>7,569</w:t>
            </w:r>
          </w:p>
        </w:tc>
        <w:tc>
          <w:tcPr>
            <w:tcW w:w="9322" w:type="dxa"/>
            <w:tcBorders>
              <w:top w:val="single" w:sz="4" w:space="0" w:color="auto"/>
              <w:left w:val="nil"/>
              <w:bottom w:val="single" w:sz="4" w:space="0" w:color="auto"/>
              <w:right w:val="single" w:sz="4" w:space="0" w:color="auto"/>
            </w:tcBorders>
            <w:shd w:val="clear" w:color="auto" w:fill="auto"/>
          </w:tcPr>
          <w:p w:rsidR="00D456D0" w:rsidRPr="001D164E" w:rsidRDefault="00D456D0" w:rsidP="002A0388">
            <w:pPr>
              <w:jc w:val="both"/>
              <w:rPr>
                <w:rFonts w:ascii="Arial" w:hAnsi="Arial" w:cs="Arial"/>
                <w:sz w:val="24"/>
                <w:szCs w:val="24"/>
              </w:rPr>
            </w:pPr>
            <w:r w:rsidRPr="001D164E">
              <w:rPr>
                <w:rFonts w:ascii="Arial" w:hAnsi="Arial" w:cs="Arial"/>
                <w:sz w:val="24"/>
                <w:szCs w:val="24"/>
              </w:rPr>
              <w:t xml:space="preserve">Income from Donations and Snack Bar Sales at Highland Folk Museum have been higher than budgeted resulting in a positive variance to budget.         </w:t>
            </w:r>
          </w:p>
        </w:tc>
      </w:tr>
      <w:tr w:rsidR="00D456D0" w:rsidRPr="00F52305" w:rsidTr="002A0388">
        <w:trPr>
          <w:trHeight w:val="585"/>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56D0" w:rsidRPr="001D164E" w:rsidRDefault="00D456D0" w:rsidP="002A0388">
            <w:pPr>
              <w:jc w:val="center"/>
              <w:rPr>
                <w:rFonts w:ascii="Arial" w:hAnsi="Arial" w:cs="Arial"/>
                <w:sz w:val="24"/>
                <w:szCs w:val="24"/>
              </w:rPr>
            </w:pPr>
            <w:r w:rsidRPr="001D164E">
              <w:rPr>
                <w:rFonts w:ascii="Arial" w:hAnsi="Arial" w:cs="Arial"/>
                <w:sz w:val="24"/>
                <w:szCs w:val="24"/>
              </w:rPr>
              <w:t>Music Tuition</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456D0" w:rsidRPr="001D164E" w:rsidRDefault="00D456D0" w:rsidP="002A0388">
            <w:pPr>
              <w:jc w:val="center"/>
              <w:rPr>
                <w:rFonts w:ascii="Arial" w:eastAsia="Times New Roman" w:hAnsi="Arial" w:cs="Arial"/>
                <w:sz w:val="24"/>
                <w:szCs w:val="24"/>
                <w:lang w:eastAsia="en-GB"/>
              </w:rPr>
            </w:pPr>
            <w:r w:rsidRPr="001D164E">
              <w:rPr>
                <w:rFonts w:ascii="Arial" w:eastAsia="Times New Roman" w:hAnsi="Arial" w:cs="Arial"/>
                <w:sz w:val="24"/>
                <w:szCs w:val="24"/>
                <w:lang w:eastAsia="en-GB"/>
              </w:rPr>
              <w:t>(22,755)</w:t>
            </w:r>
          </w:p>
        </w:tc>
        <w:tc>
          <w:tcPr>
            <w:tcW w:w="9322" w:type="dxa"/>
            <w:tcBorders>
              <w:top w:val="single" w:sz="4" w:space="0" w:color="auto"/>
              <w:left w:val="nil"/>
              <w:bottom w:val="single" w:sz="4" w:space="0" w:color="auto"/>
              <w:right w:val="single" w:sz="4" w:space="0" w:color="auto"/>
            </w:tcBorders>
            <w:shd w:val="clear" w:color="auto" w:fill="auto"/>
          </w:tcPr>
          <w:p w:rsidR="00D456D0" w:rsidRPr="001D164E" w:rsidRDefault="00D456D0" w:rsidP="002A0388">
            <w:pPr>
              <w:jc w:val="both"/>
              <w:rPr>
                <w:rFonts w:ascii="Arial" w:hAnsi="Arial" w:cs="Arial"/>
                <w:sz w:val="24"/>
                <w:szCs w:val="24"/>
              </w:rPr>
            </w:pPr>
            <w:r w:rsidRPr="001D164E">
              <w:rPr>
                <w:rFonts w:ascii="Arial" w:hAnsi="Arial" w:cs="Arial"/>
                <w:sz w:val="24"/>
                <w:szCs w:val="24"/>
              </w:rPr>
              <w:t xml:space="preserve">Good progress is being made towards achieving the additional £100K income target agreed as part of the 2019/20 budget savings with pupil numbers continuing to increase compared with last year. In addition, there is grant income and income from the Pupil Equity Fund due to be collected before the financial year end. Should pupil numbers continue to increase it is anticipated that this budget will come in on target.   </w:t>
            </w:r>
          </w:p>
        </w:tc>
      </w:tr>
    </w:tbl>
    <w:p w:rsidR="006B5D13" w:rsidRDefault="006B5D13" w:rsidP="006B5D13">
      <w:pPr>
        <w:spacing w:line="240" w:lineRule="auto"/>
        <w:contextualSpacing/>
        <w:rPr>
          <w:rFonts w:ascii="Arial" w:hAnsi="Arial" w:cs="Arial"/>
          <w:b/>
          <w:sz w:val="24"/>
          <w:szCs w:val="24"/>
        </w:rPr>
      </w:pPr>
    </w:p>
    <w:p w:rsidR="006B5D13" w:rsidRDefault="006B5D13" w:rsidP="006B5D13">
      <w:pPr>
        <w:spacing w:line="240" w:lineRule="auto"/>
        <w:contextualSpacing/>
        <w:rPr>
          <w:rFonts w:ascii="Arial" w:hAnsi="Arial" w:cs="Arial"/>
          <w:b/>
          <w:sz w:val="24"/>
          <w:szCs w:val="24"/>
        </w:rPr>
      </w:pPr>
    </w:p>
    <w:p w:rsidR="00D456D0" w:rsidRDefault="00D456D0" w:rsidP="006B5D13">
      <w:pPr>
        <w:spacing w:line="240" w:lineRule="auto"/>
        <w:contextualSpacing/>
        <w:rPr>
          <w:rFonts w:ascii="Arial" w:hAnsi="Arial" w:cs="Arial"/>
          <w:b/>
          <w:sz w:val="24"/>
          <w:szCs w:val="24"/>
        </w:rPr>
      </w:pPr>
    </w:p>
    <w:p w:rsidR="00D456D0" w:rsidRDefault="00D456D0" w:rsidP="006B5D13">
      <w:pPr>
        <w:spacing w:line="240" w:lineRule="auto"/>
        <w:contextualSpacing/>
        <w:rPr>
          <w:rFonts w:ascii="Arial" w:hAnsi="Arial" w:cs="Arial"/>
          <w:b/>
          <w:sz w:val="24"/>
          <w:szCs w:val="24"/>
        </w:rPr>
      </w:pPr>
    </w:p>
    <w:p w:rsidR="00D456D0" w:rsidRDefault="00D456D0" w:rsidP="006B5D13">
      <w:pPr>
        <w:spacing w:line="240" w:lineRule="auto"/>
        <w:contextualSpacing/>
        <w:rPr>
          <w:rFonts w:ascii="Arial" w:hAnsi="Arial" w:cs="Arial"/>
          <w:b/>
          <w:sz w:val="24"/>
          <w:szCs w:val="24"/>
        </w:rPr>
      </w:pPr>
    </w:p>
    <w:p w:rsidR="00D456D0" w:rsidRDefault="00D456D0" w:rsidP="006B5D13">
      <w:pPr>
        <w:spacing w:line="240" w:lineRule="auto"/>
        <w:contextualSpacing/>
        <w:rPr>
          <w:rFonts w:ascii="Arial" w:hAnsi="Arial" w:cs="Arial"/>
          <w:b/>
          <w:sz w:val="24"/>
          <w:szCs w:val="24"/>
        </w:rPr>
      </w:pPr>
    </w:p>
    <w:p w:rsidR="00D456D0" w:rsidRDefault="00D456D0" w:rsidP="006B5D13">
      <w:pPr>
        <w:spacing w:line="240" w:lineRule="auto"/>
        <w:contextualSpacing/>
        <w:rPr>
          <w:rFonts w:ascii="Arial" w:hAnsi="Arial" w:cs="Arial"/>
          <w:b/>
          <w:sz w:val="24"/>
          <w:szCs w:val="24"/>
        </w:rPr>
      </w:pPr>
    </w:p>
    <w:p w:rsidR="00A13489" w:rsidRDefault="00A13489">
      <w:pPr>
        <w:spacing w:after="0" w:line="240" w:lineRule="auto"/>
        <w:rPr>
          <w:rFonts w:ascii="Arial" w:hAnsi="Arial" w:cs="Arial"/>
          <w:b/>
          <w:sz w:val="24"/>
          <w:szCs w:val="24"/>
        </w:rPr>
      </w:pPr>
      <w:r>
        <w:rPr>
          <w:rFonts w:ascii="Arial" w:hAnsi="Arial" w:cs="Arial"/>
          <w:b/>
          <w:sz w:val="24"/>
          <w:szCs w:val="24"/>
        </w:rPr>
        <w:br w:type="page"/>
      </w:r>
    </w:p>
    <w:p w:rsidR="00D456D0" w:rsidRDefault="00D456D0" w:rsidP="006B5D13">
      <w:pPr>
        <w:spacing w:line="240" w:lineRule="auto"/>
        <w:contextualSpacing/>
        <w:rPr>
          <w:rFonts w:ascii="Arial" w:hAnsi="Arial" w:cs="Arial"/>
          <w:b/>
          <w:sz w:val="24"/>
          <w:szCs w:val="24"/>
        </w:rPr>
      </w:pPr>
    </w:p>
    <w:p w:rsidR="00D456D0" w:rsidRDefault="00D456D0" w:rsidP="006B5D13">
      <w:pPr>
        <w:spacing w:line="240" w:lineRule="auto"/>
        <w:contextualSpacing/>
        <w:rPr>
          <w:rFonts w:ascii="Arial" w:hAnsi="Arial" w:cs="Arial"/>
          <w:b/>
          <w:sz w:val="24"/>
          <w:szCs w:val="24"/>
        </w:rPr>
      </w:pPr>
    </w:p>
    <w:p w:rsidR="00CD4821" w:rsidRDefault="00CD4821" w:rsidP="00CD4821">
      <w:pPr>
        <w:spacing w:line="240" w:lineRule="auto"/>
        <w:contextualSpacing/>
        <w:rPr>
          <w:rFonts w:ascii="Arial" w:hAnsi="Arial" w:cs="Arial"/>
          <w:b/>
          <w:sz w:val="24"/>
          <w:szCs w:val="24"/>
        </w:rPr>
      </w:pPr>
      <w:r>
        <w:rPr>
          <w:rFonts w:ascii="Arial" w:hAnsi="Arial" w:cs="Arial"/>
          <w:b/>
          <w:sz w:val="24"/>
          <w:szCs w:val="24"/>
        </w:rPr>
        <w:t xml:space="preserve">2018/19 Audit Management Action Recommendations     </w:t>
      </w:r>
      <w:bookmarkStart w:id="4" w:name="_GoBack"/>
      <w:bookmarkEnd w:id="4"/>
      <w:r>
        <w:rPr>
          <w:rFonts w:ascii="Arial" w:hAnsi="Arial" w:cs="Arial"/>
          <w:b/>
          <w:sz w:val="24"/>
          <w:szCs w:val="24"/>
        </w:rPr>
        <w:t xml:space="preserve">                                                                                    Appendix E                                                                                                                                                           </w:t>
      </w:r>
    </w:p>
    <w:p w:rsidR="00CD4821" w:rsidRDefault="00CD4821" w:rsidP="00CD4821">
      <w:pPr>
        <w:spacing w:line="240" w:lineRule="auto"/>
        <w:contextualSpacing/>
        <w:rPr>
          <w:rFonts w:ascii="Arial" w:hAnsi="Arial" w:cs="Arial"/>
          <w:b/>
          <w:sz w:val="24"/>
          <w:szCs w:val="24"/>
        </w:rPr>
      </w:pPr>
    </w:p>
    <w:p w:rsidR="00CD4821" w:rsidRDefault="00CD4821" w:rsidP="00CD4821">
      <w:pPr>
        <w:spacing w:line="240" w:lineRule="auto"/>
        <w:contextualSpacing/>
        <w:rPr>
          <w:rFonts w:ascii="Arial" w:hAnsi="Arial" w:cs="Arial"/>
          <w:b/>
          <w:sz w:val="24"/>
          <w:szCs w:val="24"/>
        </w:rPr>
      </w:pPr>
    </w:p>
    <w:tbl>
      <w:tblPr>
        <w:tblW w:w="14885" w:type="dxa"/>
        <w:tblInd w:w="-318" w:type="dxa"/>
        <w:tblBorders>
          <w:top w:val="single" w:sz="6" w:space="0" w:color="323E4F"/>
          <w:left w:val="single" w:sz="6" w:space="0" w:color="323E4F"/>
          <w:bottom w:val="single" w:sz="6" w:space="0" w:color="323E4F"/>
          <w:right w:val="single" w:sz="6" w:space="0" w:color="323E4F"/>
          <w:insideH w:val="single" w:sz="6" w:space="0" w:color="323E4F"/>
          <w:insideV w:val="single" w:sz="6" w:space="0" w:color="323E4F"/>
        </w:tblBorders>
        <w:tblLook w:val="04A0" w:firstRow="1" w:lastRow="0" w:firstColumn="1" w:lastColumn="0" w:noHBand="0" w:noVBand="1"/>
      </w:tblPr>
      <w:tblGrid>
        <w:gridCol w:w="6406"/>
        <w:gridCol w:w="5103"/>
        <w:gridCol w:w="3376"/>
      </w:tblGrid>
      <w:tr w:rsidR="00CD4821" w:rsidRPr="00917D2A" w:rsidTr="002A0388">
        <w:trPr>
          <w:trHeight w:val="274"/>
          <w:tblHeader/>
        </w:trPr>
        <w:tc>
          <w:tcPr>
            <w:tcW w:w="6406" w:type="dxa"/>
            <w:shd w:val="clear" w:color="auto" w:fill="323E4F"/>
          </w:tcPr>
          <w:p w:rsidR="00CD4821" w:rsidRPr="00917D2A" w:rsidRDefault="00CD4821" w:rsidP="002A0388">
            <w:pPr>
              <w:spacing w:after="0"/>
              <w:rPr>
                <w:rFonts w:eastAsia="Times New Roman"/>
                <w:b/>
              </w:rPr>
            </w:pPr>
            <w:r w:rsidRPr="00917D2A">
              <w:rPr>
                <w:rFonts w:eastAsia="Times New Roman"/>
                <w:b/>
              </w:rPr>
              <w:t>Issue</w:t>
            </w:r>
          </w:p>
        </w:tc>
        <w:tc>
          <w:tcPr>
            <w:tcW w:w="5103" w:type="dxa"/>
            <w:shd w:val="clear" w:color="auto" w:fill="323E4F"/>
          </w:tcPr>
          <w:p w:rsidR="00CD4821" w:rsidRPr="00917D2A" w:rsidRDefault="00CD4821" w:rsidP="002A0388">
            <w:pPr>
              <w:spacing w:after="0"/>
              <w:rPr>
                <w:rFonts w:eastAsia="Times New Roman"/>
                <w:b/>
              </w:rPr>
            </w:pPr>
            <w:r w:rsidRPr="00917D2A">
              <w:rPr>
                <w:rFonts w:eastAsia="Times New Roman"/>
                <w:b/>
              </w:rPr>
              <w:t>Recommendation</w:t>
            </w:r>
          </w:p>
        </w:tc>
        <w:tc>
          <w:tcPr>
            <w:tcW w:w="3376" w:type="dxa"/>
            <w:shd w:val="clear" w:color="auto" w:fill="323E4F"/>
          </w:tcPr>
          <w:p w:rsidR="00CD4821" w:rsidRPr="00917D2A" w:rsidRDefault="00CD4821" w:rsidP="002A0388">
            <w:pPr>
              <w:spacing w:after="0"/>
              <w:rPr>
                <w:rFonts w:eastAsia="Times New Roman"/>
                <w:b/>
              </w:rPr>
            </w:pPr>
            <w:r w:rsidRPr="00917D2A">
              <w:rPr>
                <w:rFonts w:eastAsia="Times New Roman"/>
                <w:b/>
              </w:rPr>
              <w:t>Management Response</w:t>
            </w:r>
          </w:p>
        </w:tc>
      </w:tr>
      <w:tr w:rsidR="00CD4821" w:rsidRPr="00917D2A" w:rsidTr="002A0388">
        <w:trPr>
          <w:trHeight w:val="823"/>
        </w:trPr>
        <w:tc>
          <w:tcPr>
            <w:tcW w:w="6406" w:type="dxa"/>
            <w:shd w:val="clear" w:color="auto" w:fill="auto"/>
          </w:tcPr>
          <w:p w:rsidR="00CD4821" w:rsidRPr="00590C30" w:rsidRDefault="00CD4821" w:rsidP="002A0388">
            <w:pPr>
              <w:spacing w:before="60" w:after="0"/>
              <w:rPr>
                <w:rFonts w:ascii="Arial" w:eastAsia="Times New Roman" w:hAnsi="Arial" w:cs="Arial"/>
                <w:sz w:val="24"/>
                <w:szCs w:val="24"/>
              </w:rPr>
            </w:pPr>
            <w:r w:rsidRPr="00590C30">
              <w:rPr>
                <w:rFonts w:ascii="Arial" w:eastAsia="Times New Roman" w:hAnsi="Arial" w:cs="Arial"/>
                <w:sz w:val="24"/>
                <w:szCs w:val="24"/>
              </w:rPr>
              <w:t xml:space="preserve">There were </w:t>
            </w:r>
            <w:proofErr w:type="gramStart"/>
            <w:r w:rsidRPr="00590C30">
              <w:rPr>
                <w:rFonts w:ascii="Arial" w:eastAsia="Times New Roman" w:hAnsi="Arial" w:cs="Arial"/>
                <w:sz w:val="24"/>
                <w:szCs w:val="24"/>
              </w:rPr>
              <w:t>a number of</w:t>
            </w:r>
            <w:proofErr w:type="gramEnd"/>
            <w:r w:rsidRPr="00590C30">
              <w:rPr>
                <w:rFonts w:ascii="Arial" w:eastAsia="Times New Roman" w:hAnsi="Arial" w:cs="Arial"/>
                <w:sz w:val="24"/>
                <w:szCs w:val="24"/>
              </w:rPr>
              <w:t xml:space="preserve"> instances where restricted grant income had been incorrectly treated as unrestricted income.</w:t>
            </w:r>
          </w:p>
        </w:tc>
        <w:tc>
          <w:tcPr>
            <w:tcW w:w="5103" w:type="dxa"/>
            <w:shd w:val="clear" w:color="auto" w:fill="auto"/>
          </w:tcPr>
          <w:p w:rsidR="00CD4821" w:rsidRPr="00590C30" w:rsidRDefault="00CD4821" w:rsidP="002A0388">
            <w:pPr>
              <w:spacing w:after="0"/>
              <w:ind w:left="490" w:hanging="284"/>
              <w:rPr>
                <w:rFonts w:ascii="Arial" w:eastAsia="Times New Roman" w:hAnsi="Arial" w:cs="Arial"/>
                <w:sz w:val="24"/>
                <w:szCs w:val="24"/>
              </w:rPr>
            </w:pPr>
            <w:r w:rsidRPr="00590C30">
              <w:rPr>
                <w:rFonts w:ascii="Arial" w:eastAsia="Times New Roman" w:hAnsi="Arial" w:cs="Arial"/>
                <w:sz w:val="24"/>
                <w:szCs w:val="24"/>
              </w:rPr>
              <w:t>•</w:t>
            </w:r>
            <w:r w:rsidRPr="00590C30">
              <w:rPr>
                <w:rFonts w:ascii="Arial" w:eastAsia="Times New Roman" w:hAnsi="Arial" w:cs="Arial"/>
                <w:sz w:val="24"/>
                <w:szCs w:val="24"/>
              </w:rPr>
              <w:tab/>
              <w:t>We recommend that the terms and conditions of grant funding are reviewed on a case by case basis when the grant is first received, to ensure the correct allocations between restricted and unrestricted funding.</w:t>
            </w:r>
          </w:p>
        </w:tc>
        <w:tc>
          <w:tcPr>
            <w:tcW w:w="3376" w:type="dxa"/>
            <w:shd w:val="clear" w:color="auto" w:fill="auto"/>
          </w:tcPr>
          <w:p w:rsidR="00CD4821" w:rsidRPr="00590C30" w:rsidRDefault="00CD4821" w:rsidP="002A0388">
            <w:pPr>
              <w:spacing w:before="60" w:after="0"/>
              <w:jc w:val="both"/>
              <w:rPr>
                <w:rFonts w:ascii="Arial" w:eastAsia="Times New Roman" w:hAnsi="Arial" w:cs="Arial"/>
                <w:sz w:val="24"/>
                <w:szCs w:val="24"/>
              </w:rPr>
            </w:pPr>
            <w:r w:rsidRPr="00590C30">
              <w:rPr>
                <w:rFonts w:ascii="Arial" w:eastAsia="Times New Roman" w:hAnsi="Arial" w:cs="Arial"/>
                <w:sz w:val="24"/>
                <w:szCs w:val="24"/>
              </w:rPr>
              <w:t xml:space="preserve">Grant funding is now reviewed </w:t>
            </w:r>
            <w:proofErr w:type="gramStart"/>
            <w:r w:rsidRPr="00590C30">
              <w:rPr>
                <w:rFonts w:ascii="Arial" w:eastAsia="Times New Roman" w:hAnsi="Arial" w:cs="Arial"/>
                <w:sz w:val="24"/>
                <w:szCs w:val="24"/>
              </w:rPr>
              <w:t>on a monthly basis</w:t>
            </w:r>
            <w:proofErr w:type="gramEnd"/>
            <w:r w:rsidRPr="00590C30">
              <w:rPr>
                <w:rFonts w:ascii="Arial" w:eastAsia="Times New Roman" w:hAnsi="Arial" w:cs="Arial"/>
                <w:sz w:val="24"/>
                <w:szCs w:val="24"/>
              </w:rPr>
              <w:t xml:space="preserve">.  In addition, separate cost-centres for restricted income have been set up to ensure accurate recording in the ledger.           </w:t>
            </w:r>
          </w:p>
        </w:tc>
      </w:tr>
      <w:tr w:rsidR="00CD4821" w:rsidRPr="00917D2A" w:rsidTr="002A0388">
        <w:trPr>
          <w:trHeight w:val="823"/>
        </w:trPr>
        <w:tc>
          <w:tcPr>
            <w:tcW w:w="6406" w:type="dxa"/>
            <w:shd w:val="clear" w:color="auto" w:fill="auto"/>
          </w:tcPr>
          <w:p w:rsidR="00CD4821" w:rsidRPr="00590C30" w:rsidRDefault="00CD4821" w:rsidP="002A0388">
            <w:pPr>
              <w:spacing w:before="60" w:after="0"/>
              <w:rPr>
                <w:rFonts w:ascii="Arial" w:eastAsia="Times New Roman" w:hAnsi="Arial" w:cs="Arial"/>
                <w:sz w:val="24"/>
                <w:szCs w:val="24"/>
              </w:rPr>
            </w:pPr>
            <w:r w:rsidRPr="00590C30">
              <w:rPr>
                <w:rFonts w:ascii="Arial" w:eastAsia="Times New Roman" w:hAnsi="Arial" w:cs="Arial"/>
                <w:sz w:val="24"/>
                <w:szCs w:val="24"/>
              </w:rPr>
              <w:t>There were a high number of errors noted during our stock count attendance at Glen Nevis Centre.  Furthermore, there were difficulties encountered in tracing counted quantities through to final stock sheets due to rough stock sheets not being retained after the count.</w:t>
            </w:r>
          </w:p>
          <w:p w:rsidR="00CD4821" w:rsidRPr="00590C30" w:rsidRDefault="00CD4821" w:rsidP="002A0388">
            <w:pPr>
              <w:spacing w:before="60" w:after="0"/>
              <w:rPr>
                <w:rFonts w:ascii="Arial" w:eastAsia="Times New Roman" w:hAnsi="Arial" w:cs="Arial"/>
                <w:sz w:val="24"/>
                <w:szCs w:val="24"/>
              </w:rPr>
            </w:pPr>
          </w:p>
        </w:tc>
        <w:tc>
          <w:tcPr>
            <w:tcW w:w="5103" w:type="dxa"/>
            <w:shd w:val="clear" w:color="auto" w:fill="auto"/>
          </w:tcPr>
          <w:p w:rsidR="00CD4821" w:rsidRPr="00590C30" w:rsidRDefault="00CD4821" w:rsidP="00CD4821">
            <w:pPr>
              <w:numPr>
                <w:ilvl w:val="0"/>
                <w:numId w:val="36"/>
              </w:numPr>
              <w:spacing w:after="0"/>
              <w:ind w:left="453" w:hanging="284"/>
              <w:rPr>
                <w:rFonts w:ascii="Arial" w:eastAsia="Times New Roman" w:hAnsi="Arial" w:cs="Arial"/>
                <w:sz w:val="24"/>
                <w:szCs w:val="24"/>
              </w:rPr>
            </w:pPr>
            <w:r w:rsidRPr="00590C30">
              <w:rPr>
                <w:rFonts w:ascii="Arial" w:eastAsia="Times New Roman" w:hAnsi="Arial" w:cs="Arial"/>
                <w:sz w:val="24"/>
                <w:szCs w:val="24"/>
              </w:rPr>
              <w:t>Stock should be counted in a methodical manner from floor to sheet e.g. from left to right, and then top to bottom, to remove the chance of duplication or omission.</w:t>
            </w:r>
          </w:p>
          <w:p w:rsidR="00CD4821" w:rsidRPr="00590C30" w:rsidRDefault="00CD4821" w:rsidP="00CD4821">
            <w:pPr>
              <w:numPr>
                <w:ilvl w:val="0"/>
                <w:numId w:val="36"/>
              </w:numPr>
              <w:spacing w:after="0"/>
              <w:ind w:left="453" w:hanging="284"/>
              <w:rPr>
                <w:rFonts w:ascii="Arial" w:eastAsia="Times New Roman" w:hAnsi="Arial" w:cs="Arial"/>
                <w:sz w:val="24"/>
                <w:szCs w:val="24"/>
              </w:rPr>
            </w:pPr>
            <w:r w:rsidRPr="00590C30">
              <w:rPr>
                <w:rFonts w:ascii="Arial" w:eastAsia="Times New Roman" w:hAnsi="Arial" w:cs="Arial"/>
                <w:sz w:val="24"/>
                <w:szCs w:val="24"/>
              </w:rPr>
              <w:t>Rough stock sheets should be retained after the count, until the audit is complete.</w:t>
            </w:r>
          </w:p>
        </w:tc>
        <w:tc>
          <w:tcPr>
            <w:tcW w:w="3376" w:type="dxa"/>
            <w:shd w:val="clear" w:color="auto" w:fill="auto"/>
          </w:tcPr>
          <w:p w:rsidR="00CD4821" w:rsidRPr="00590C30" w:rsidRDefault="00CD4821" w:rsidP="002A0388">
            <w:pPr>
              <w:spacing w:before="60" w:after="0"/>
              <w:jc w:val="both"/>
              <w:rPr>
                <w:rFonts w:ascii="Arial" w:eastAsia="Times New Roman" w:hAnsi="Arial" w:cs="Arial"/>
                <w:sz w:val="24"/>
                <w:szCs w:val="24"/>
              </w:rPr>
            </w:pPr>
            <w:r w:rsidRPr="00590C30">
              <w:rPr>
                <w:rFonts w:ascii="Arial" w:eastAsia="Times New Roman" w:hAnsi="Arial" w:cs="Arial"/>
                <w:sz w:val="24"/>
                <w:szCs w:val="24"/>
              </w:rPr>
              <w:t>A mid-year stock take was undertaken at the Ben Nevis Visitor Centre under the supervisi</w:t>
            </w:r>
            <w:r>
              <w:rPr>
                <w:rFonts w:ascii="Arial" w:eastAsia="Times New Roman" w:hAnsi="Arial" w:cs="Arial"/>
                <w:sz w:val="24"/>
                <w:szCs w:val="24"/>
              </w:rPr>
              <w:t xml:space="preserve">on of the Principal Accountant. </w:t>
            </w:r>
            <w:r w:rsidRPr="00590C30">
              <w:rPr>
                <w:rFonts w:ascii="Arial" w:eastAsia="Times New Roman" w:hAnsi="Arial" w:cs="Arial"/>
                <w:sz w:val="24"/>
                <w:szCs w:val="24"/>
              </w:rPr>
              <w:t xml:space="preserve">Detailed instructions have </w:t>
            </w:r>
            <w:r>
              <w:rPr>
                <w:rFonts w:ascii="Arial" w:eastAsia="Times New Roman" w:hAnsi="Arial" w:cs="Arial"/>
                <w:sz w:val="24"/>
                <w:szCs w:val="24"/>
              </w:rPr>
              <w:t xml:space="preserve">been </w:t>
            </w:r>
            <w:r w:rsidRPr="00590C30">
              <w:rPr>
                <w:rFonts w:ascii="Arial" w:eastAsia="Times New Roman" w:hAnsi="Arial" w:cs="Arial"/>
                <w:sz w:val="24"/>
                <w:szCs w:val="24"/>
              </w:rPr>
              <w:t xml:space="preserve">issued to the management of the Centre. </w:t>
            </w:r>
          </w:p>
        </w:tc>
      </w:tr>
      <w:tr w:rsidR="00CD4821" w:rsidRPr="00917D2A" w:rsidTr="002A0388">
        <w:trPr>
          <w:trHeight w:val="823"/>
        </w:trPr>
        <w:tc>
          <w:tcPr>
            <w:tcW w:w="6406" w:type="dxa"/>
            <w:shd w:val="clear" w:color="auto" w:fill="auto"/>
          </w:tcPr>
          <w:p w:rsidR="00CD4821" w:rsidRPr="00590C30" w:rsidRDefault="00CD4821" w:rsidP="002A0388">
            <w:pPr>
              <w:spacing w:before="60" w:after="0"/>
              <w:rPr>
                <w:rFonts w:ascii="Arial" w:eastAsia="Times New Roman" w:hAnsi="Arial" w:cs="Arial"/>
                <w:sz w:val="24"/>
                <w:szCs w:val="24"/>
              </w:rPr>
            </w:pPr>
            <w:r w:rsidRPr="00590C30">
              <w:rPr>
                <w:rFonts w:ascii="Arial" w:eastAsia="Times New Roman" w:hAnsi="Arial" w:cs="Arial"/>
                <w:sz w:val="24"/>
                <w:szCs w:val="24"/>
              </w:rPr>
              <w:t xml:space="preserve">During stock valuation testing, there were </w:t>
            </w:r>
            <w:proofErr w:type="gramStart"/>
            <w:r w:rsidRPr="00590C30">
              <w:rPr>
                <w:rFonts w:ascii="Arial" w:eastAsia="Times New Roman" w:hAnsi="Arial" w:cs="Arial"/>
                <w:sz w:val="24"/>
                <w:szCs w:val="24"/>
              </w:rPr>
              <w:t>a number of</w:t>
            </w:r>
            <w:proofErr w:type="gramEnd"/>
            <w:r w:rsidRPr="00590C30">
              <w:rPr>
                <w:rFonts w:ascii="Arial" w:eastAsia="Times New Roman" w:hAnsi="Arial" w:cs="Arial"/>
                <w:sz w:val="24"/>
                <w:szCs w:val="24"/>
              </w:rPr>
              <w:t xml:space="preserve"> valuation errors noted in the stock reports received from individual centres, including:</w:t>
            </w:r>
          </w:p>
          <w:p w:rsidR="00CD4821" w:rsidRPr="00590C30" w:rsidRDefault="00CD4821" w:rsidP="00CD4821">
            <w:pPr>
              <w:pStyle w:val="ListParagraph"/>
              <w:numPr>
                <w:ilvl w:val="0"/>
                <w:numId w:val="37"/>
              </w:numPr>
              <w:spacing w:before="60" w:after="0" w:line="240" w:lineRule="auto"/>
              <w:ind w:left="317" w:hanging="283"/>
              <w:jc w:val="both"/>
              <w:rPr>
                <w:rFonts w:ascii="Arial" w:eastAsia="Times New Roman" w:hAnsi="Arial" w:cs="Arial"/>
                <w:sz w:val="24"/>
                <w:szCs w:val="24"/>
              </w:rPr>
            </w:pPr>
            <w:r w:rsidRPr="00590C30">
              <w:rPr>
                <w:rFonts w:ascii="Arial" w:eastAsia="Times New Roman" w:hAnsi="Arial" w:cs="Arial"/>
                <w:sz w:val="24"/>
                <w:szCs w:val="24"/>
              </w:rPr>
              <w:t>Formulae errors in the addition of stock listings (various centres)</w:t>
            </w:r>
          </w:p>
          <w:p w:rsidR="00CD4821" w:rsidRPr="00590C30" w:rsidRDefault="00CD4821" w:rsidP="00CD4821">
            <w:pPr>
              <w:pStyle w:val="ListParagraph"/>
              <w:numPr>
                <w:ilvl w:val="0"/>
                <w:numId w:val="37"/>
              </w:numPr>
              <w:spacing w:before="60" w:after="0" w:line="240" w:lineRule="auto"/>
              <w:ind w:left="317" w:hanging="283"/>
              <w:jc w:val="both"/>
              <w:rPr>
                <w:rFonts w:ascii="Arial" w:eastAsia="Times New Roman" w:hAnsi="Arial" w:cs="Arial"/>
                <w:sz w:val="24"/>
                <w:szCs w:val="24"/>
              </w:rPr>
            </w:pPr>
            <w:r w:rsidRPr="00590C30">
              <w:rPr>
                <w:rFonts w:ascii="Arial" w:eastAsia="Times New Roman" w:hAnsi="Arial" w:cs="Arial"/>
                <w:sz w:val="24"/>
                <w:szCs w:val="24"/>
              </w:rPr>
              <w:t>Stock incorrectly recorded at retail price rather than cost price (Thurso)</w:t>
            </w:r>
          </w:p>
          <w:p w:rsidR="00CD4821" w:rsidRPr="00590C30" w:rsidRDefault="00CD4821" w:rsidP="00CD4821">
            <w:pPr>
              <w:pStyle w:val="ListParagraph"/>
              <w:numPr>
                <w:ilvl w:val="0"/>
                <w:numId w:val="37"/>
              </w:numPr>
              <w:spacing w:before="60" w:after="0" w:line="240" w:lineRule="auto"/>
              <w:ind w:left="317" w:hanging="283"/>
              <w:jc w:val="both"/>
              <w:rPr>
                <w:rFonts w:ascii="Arial" w:eastAsia="Times New Roman" w:hAnsi="Arial" w:cs="Arial"/>
                <w:sz w:val="24"/>
                <w:szCs w:val="24"/>
              </w:rPr>
            </w:pPr>
            <w:r w:rsidRPr="00590C30">
              <w:rPr>
                <w:rFonts w:ascii="Arial" w:eastAsia="Times New Roman" w:hAnsi="Arial" w:cs="Arial"/>
                <w:sz w:val="24"/>
                <w:szCs w:val="24"/>
              </w:rPr>
              <w:t>Stock omitted from total (IMAG café)</w:t>
            </w:r>
          </w:p>
          <w:p w:rsidR="00CD4821" w:rsidRPr="00590C30" w:rsidRDefault="00CD4821" w:rsidP="00CD4821">
            <w:pPr>
              <w:pStyle w:val="ListParagraph"/>
              <w:numPr>
                <w:ilvl w:val="0"/>
                <w:numId w:val="37"/>
              </w:numPr>
              <w:spacing w:before="60" w:after="0" w:line="240" w:lineRule="auto"/>
              <w:ind w:left="317" w:hanging="283"/>
              <w:jc w:val="both"/>
              <w:rPr>
                <w:rFonts w:ascii="Arial" w:eastAsia="Times New Roman" w:hAnsi="Arial" w:cs="Arial"/>
                <w:sz w:val="24"/>
                <w:szCs w:val="24"/>
              </w:rPr>
            </w:pPr>
            <w:r w:rsidRPr="00590C30">
              <w:rPr>
                <w:rFonts w:ascii="Arial" w:eastAsia="Times New Roman" w:hAnsi="Arial" w:cs="Arial"/>
                <w:sz w:val="24"/>
                <w:szCs w:val="24"/>
              </w:rPr>
              <w:t>Outdated cost prices used (Highland Folk Museum)</w:t>
            </w:r>
          </w:p>
        </w:tc>
        <w:tc>
          <w:tcPr>
            <w:tcW w:w="5103" w:type="dxa"/>
            <w:shd w:val="clear" w:color="auto" w:fill="auto"/>
          </w:tcPr>
          <w:p w:rsidR="00CD4821" w:rsidRPr="00590C30" w:rsidRDefault="00CD4821" w:rsidP="00CD4821">
            <w:pPr>
              <w:numPr>
                <w:ilvl w:val="0"/>
                <w:numId w:val="36"/>
              </w:numPr>
              <w:spacing w:after="0"/>
              <w:ind w:left="453" w:hanging="284"/>
              <w:rPr>
                <w:rFonts w:ascii="Arial" w:eastAsia="Times New Roman" w:hAnsi="Arial" w:cs="Arial"/>
                <w:sz w:val="24"/>
                <w:szCs w:val="24"/>
              </w:rPr>
            </w:pPr>
            <w:r w:rsidRPr="00590C30">
              <w:rPr>
                <w:rFonts w:ascii="Arial" w:eastAsia="Times New Roman" w:hAnsi="Arial" w:cs="Arial"/>
                <w:sz w:val="24"/>
                <w:szCs w:val="24"/>
              </w:rPr>
              <w:t>We recommend the finance team review stock reports received from the centres for errors in formulae or valuation and perform spot checks on cost prices used.</w:t>
            </w:r>
          </w:p>
        </w:tc>
        <w:tc>
          <w:tcPr>
            <w:tcW w:w="3376" w:type="dxa"/>
            <w:shd w:val="clear" w:color="auto" w:fill="auto"/>
          </w:tcPr>
          <w:p w:rsidR="00CD4821" w:rsidRPr="00590C30" w:rsidRDefault="00CD4821" w:rsidP="002A0388">
            <w:pPr>
              <w:spacing w:before="60" w:after="0"/>
              <w:jc w:val="both"/>
              <w:rPr>
                <w:rFonts w:ascii="Arial" w:eastAsia="Times New Roman" w:hAnsi="Arial" w:cs="Arial"/>
                <w:sz w:val="24"/>
                <w:szCs w:val="24"/>
              </w:rPr>
            </w:pPr>
            <w:r w:rsidRPr="00590C30">
              <w:rPr>
                <w:rFonts w:ascii="Arial" w:eastAsia="Times New Roman" w:hAnsi="Arial" w:cs="Arial"/>
                <w:sz w:val="24"/>
                <w:szCs w:val="24"/>
              </w:rPr>
              <w:t xml:space="preserve">During the mid-year stock-take all spreadsheet formulae were reviewed for errors and spot checks undertaken on invoices to ensure the correct cost price was recorded.       </w:t>
            </w:r>
          </w:p>
        </w:tc>
      </w:tr>
      <w:tr w:rsidR="00CD4821" w:rsidRPr="00917D2A" w:rsidTr="002A0388">
        <w:trPr>
          <w:trHeight w:val="823"/>
        </w:trPr>
        <w:tc>
          <w:tcPr>
            <w:tcW w:w="6406" w:type="dxa"/>
            <w:shd w:val="clear" w:color="auto" w:fill="auto"/>
          </w:tcPr>
          <w:p w:rsidR="00CD4821" w:rsidRPr="00590C30" w:rsidRDefault="00CD4821" w:rsidP="002A0388">
            <w:pPr>
              <w:spacing w:before="60" w:after="0"/>
              <w:rPr>
                <w:rFonts w:ascii="Arial" w:eastAsia="Times New Roman" w:hAnsi="Arial" w:cs="Arial"/>
                <w:sz w:val="24"/>
                <w:szCs w:val="24"/>
              </w:rPr>
            </w:pPr>
            <w:r w:rsidRPr="00590C30">
              <w:rPr>
                <w:rFonts w:ascii="Arial" w:eastAsia="Times New Roman" w:hAnsi="Arial" w:cs="Arial"/>
                <w:sz w:val="24"/>
                <w:szCs w:val="24"/>
              </w:rPr>
              <w:lastRenderedPageBreak/>
              <w:t>We identified a small number of VAT errors during our income testing. Income received for bookings made through third parties had not been treated as standard rated.</w:t>
            </w:r>
          </w:p>
        </w:tc>
        <w:tc>
          <w:tcPr>
            <w:tcW w:w="5103" w:type="dxa"/>
            <w:shd w:val="clear" w:color="auto" w:fill="auto"/>
          </w:tcPr>
          <w:p w:rsidR="00CD4821" w:rsidRPr="00590C30" w:rsidRDefault="00CD4821" w:rsidP="002A0388">
            <w:pPr>
              <w:spacing w:after="0"/>
              <w:ind w:left="490" w:hanging="284"/>
              <w:rPr>
                <w:rFonts w:ascii="Arial" w:eastAsia="Times New Roman" w:hAnsi="Arial" w:cs="Arial"/>
                <w:sz w:val="24"/>
                <w:szCs w:val="24"/>
              </w:rPr>
            </w:pPr>
            <w:r w:rsidRPr="00590C30">
              <w:rPr>
                <w:rFonts w:ascii="Arial" w:eastAsia="Times New Roman" w:hAnsi="Arial" w:cs="Arial"/>
                <w:sz w:val="24"/>
                <w:szCs w:val="24"/>
              </w:rPr>
              <w:t>•</w:t>
            </w:r>
            <w:r w:rsidRPr="00590C30">
              <w:rPr>
                <w:rFonts w:ascii="Arial" w:eastAsia="Times New Roman" w:hAnsi="Arial" w:cs="Arial"/>
                <w:sz w:val="24"/>
                <w:szCs w:val="24"/>
              </w:rPr>
              <w:tab/>
              <w:t>We recommend that this treatment of VAT is communicated across all the High Life Highland sites to ensure that the correct VAT treatment is applied to income received.</w:t>
            </w:r>
          </w:p>
        </w:tc>
        <w:tc>
          <w:tcPr>
            <w:tcW w:w="3376" w:type="dxa"/>
            <w:shd w:val="clear" w:color="auto" w:fill="auto"/>
          </w:tcPr>
          <w:p w:rsidR="00CD4821" w:rsidRDefault="00CD4821" w:rsidP="002A0388">
            <w:pPr>
              <w:spacing w:before="60" w:after="0"/>
              <w:jc w:val="both"/>
              <w:rPr>
                <w:rFonts w:ascii="Arial" w:eastAsia="Times New Roman" w:hAnsi="Arial" w:cs="Arial"/>
                <w:sz w:val="24"/>
                <w:szCs w:val="24"/>
              </w:rPr>
            </w:pPr>
            <w:r w:rsidRPr="00590C30">
              <w:rPr>
                <w:rFonts w:ascii="Arial" w:eastAsia="Times New Roman" w:hAnsi="Arial" w:cs="Arial"/>
                <w:sz w:val="24"/>
                <w:szCs w:val="24"/>
              </w:rPr>
              <w:t xml:space="preserve">A review of online income has been completed and the correct VAT treatment applied.  </w:t>
            </w:r>
          </w:p>
          <w:p w:rsidR="00CD4821" w:rsidRPr="00590C30" w:rsidRDefault="00CD4821" w:rsidP="002A0388">
            <w:pPr>
              <w:spacing w:before="60" w:after="0"/>
              <w:jc w:val="both"/>
              <w:rPr>
                <w:rFonts w:ascii="Arial" w:eastAsia="Times New Roman" w:hAnsi="Arial" w:cs="Arial"/>
                <w:color w:val="FF0000"/>
                <w:sz w:val="24"/>
                <w:szCs w:val="24"/>
              </w:rPr>
            </w:pPr>
          </w:p>
        </w:tc>
      </w:tr>
      <w:tr w:rsidR="00CD4821" w:rsidRPr="00917D2A" w:rsidTr="002A0388">
        <w:trPr>
          <w:trHeight w:val="823"/>
        </w:trPr>
        <w:tc>
          <w:tcPr>
            <w:tcW w:w="6406" w:type="dxa"/>
            <w:shd w:val="clear" w:color="auto" w:fill="auto"/>
          </w:tcPr>
          <w:p w:rsidR="00CD4821" w:rsidRPr="00590C30" w:rsidRDefault="00CD4821" w:rsidP="002A0388">
            <w:pPr>
              <w:spacing w:before="60" w:after="0"/>
              <w:rPr>
                <w:rFonts w:ascii="Arial" w:eastAsia="Times New Roman" w:hAnsi="Arial" w:cs="Arial"/>
                <w:sz w:val="24"/>
                <w:szCs w:val="24"/>
              </w:rPr>
            </w:pPr>
            <w:r w:rsidRPr="00590C30">
              <w:rPr>
                <w:rFonts w:ascii="Arial" w:eastAsia="Times New Roman" w:hAnsi="Arial" w:cs="Arial"/>
                <w:sz w:val="24"/>
                <w:szCs w:val="24"/>
              </w:rPr>
              <w:t xml:space="preserve">We note that there are </w:t>
            </w:r>
            <w:proofErr w:type="gramStart"/>
            <w:r w:rsidRPr="00590C30">
              <w:rPr>
                <w:rFonts w:ascii="Arial" w:eastAsia="Times New Roman" w:hAnsi="Arial" w:cs="Arial"/>
                <w:sz w:val="24"/>
                <w:szCs w:val="24"/>
              </w:rPr>
              <w:t>a number of</w:t>
            </w:r>
            <w:proofErr w:type="gramEnd"/>
            <w:r w:rsidRPr="00590C30">
              <w:rPr>
                <w:rFonts w:ascii="Arial" w:eastAsia="Times New Roman" w:hAnsi="Arial" w:cs="Arial"/>
                <w:sz w:val="24"/>
                <w:szCs w:val="24"/>
              </w:rPr>
              <w:t xml:space="preserve"> fixed assets owned by the charity which are used by the trading subsidiary, and there is no formal agreement in place for the use of the assets.</w:t>
            </w:r>
          </w:p>
        </w:tc>
        <w:tc>
          <w:tcPr>
            <w:tcW w:w="5103" w:type="dxa"/>
            <w:shd w:val="clear" w:color="auto" w:fill="auto"/>
          </w:tcPr>
          <w:p w:rsidR="00CD4821" w:rsidRPr="00590C30" w:rsidRDefault="00CD4821" w:rsidP="00CD4821">
            <w:pPr>
              <w:numPr>
                <w:ilvl w:val="0"/>
                <w:numId w:val="36"/>
              </w:numPr>
              <w:spacing w:after="0"/>
              <w:ind w:left="453" w:hanging="284"/>
              <w:rPr>
                <w:rFonts w:ascii="Arial" w:eastAsia="Times New Roman" w:hAnsi="Arial" w:cs="Arial"/>
                <w:sz w:val="24"/>
                <w:szCs w:val="24"/>
              </w:rPr>
            </w:pPr>
            <w:r w:rsidRPr="00590C30">
              <w:rPr>
                <w:rFonts w:ascii="Arial" w:eastAsia="Times New Roman" w:hAnsi="Arial" w:cs="Arial"/>
                <w:sz w:val="24"/>
                <w:szCs w:val="24"/>
              </w:rPr>
              <w:t>For the sake of governance, we recommend that the current arrangement is documented.  Furthermore, the board should consider whether future fixed asset purchases for the trading subsidiary should be shown within its own balance sheet.</w:t>
            </w:r>
          </w:p>
        </w:tc>
        <w:tc>
          <w:tcPr>
            <w:tcW w:w="3376" w:type="dxa"/>
            <w:shd w:val="clear" w:color="auto" w:fill="auto"/>
          </w:tcPr>
          <w:p w:rsidR="00CD4821" w:rsidRPr="00590C30" w:rsidRDefault="00CD4821" w:rsidP="002A0388">
            <w:pPr>
              <w:spacing w:before="60" w:after="0"/>
              <w:jc w:val="both"/>
              <w:rPr>
                <w:rFonts w:ascii="Arial" w:eastAsia="Times New Roman" w:hAnsi="Arial" w:cs="Arial"/>
                <w:sz w:val="24"/>
                <w:szCs w:val="24"/>
              </w:rPr>
            </w:pPr>
            <w:r w:rsidRPr="00590C30">
              <w:rPr>
                <w:rFonts w:ascii="Arial" w:eastAsia="Times New Roman" w:hAnsi="Arial" w:cs="Arial"/>
                <w:sz w:val="24"/>
                <w:szCs w:val="24"/>
              </w:rPr>
              <w:t xml:space="preserve">An agreement between the charity and trading company will be put in place prior to end of the financial year.  </w:t>
            </w:r>
          </w:p>
        </w:tc>
      </w:tr>
    </w:tbl>
    <w:p w:rsidR="00D456D0" w:rsidRDefault="00D456D0" w:rsidP="006B5D13">
      <w:pPr>
        <w:spacing w:line="240" w:lineRule="auto"/>
        <w:contextualSpacing/>
        <w:rPr>
          <w:rFonts w:ascii="Arial" w:hAnsi="Arial" w:cs="Arial"/>
          <w:b/>
          <w:sz w:val="24"/>
          <w:szCs w:val="24"/>
        </w:rPr>
      </w:pPr>
    </w:p>
    <w:p w:rsidR="00D456D0" w:rsidRDefault="00D456D0" w:rsidP="006B5D13">
      <w:pPr>
        <w:spacing w:line="240" w:lineRule="auto"/>
        <w:contextualSpacing/>
        <w:rPr>
          <w:rFonts w:ascii="Arial" w:hAnsi="Arial" w:cs="Arial"/>
          <w:b/>
          <w:sz w:val="24"/>
          <w:szCs w:val="24"/>
        </w:rPr>
      </w:pPr>
    </w:p>
    <w:p w:rsidR="00D456D0" w:rsidRDefault="00D456D0" w:rsidP="006B5D13">
      <w:pPr>
        <w:spacing w:line="240" w:lineRule="auto"/>
        <w:contextualSpacing/>
        <w:rPr>
          <w:rFonts w:ascii="Arial" w:hAnsi="Arial" w:cs="Arial"/>
          <w:b/>
          <w:sz w:val="24"/>
          <w:szCs w:val="24"/>
        </w:rPr>
      </w:pPr>
    </w:p>
    <w:p w:rsidR="00D456D0" w:rsidRDefault="00D456D0" w:rsidP="006B5D13">
      <w:pPr>
        <w:spacing w:line="240" w:lineRule="auto"/>
        <w:contextualSpacing/>
        <w:rPr>
          <w:rFonts w:ascii="Arial" w:hAnsi="Arial" w:cs="Arial"/>
          <w:b/>
          <w:sz w:val="24"/>
          <w:szCs w:val="24"/>
        </w:rPr>
      </w:pPr>
    </w:p>
    <w:p w:rsidR="00D456D0" w:rsidRDefault="00D456D0" w:rsidP="006B5D13">
      <w:pPr>
        <w:spacing w:line="240" w:lineRule="auto"/>
        <w:contextualSpacing/>
        <w:rPr>
          <w:rFonts w:ascii="Arial" w:hAnsi="Arial" w:cs="Arial"/>
          <w:b/>
          <w:sz w:val="24"/>
          <w:szCs w:val="24"/>
        </w:rPr>
      </w:pPr>
    </w:p>
    <w:p w:rsidR="00D456D0" w:rsidRDefault="00D456D0" w:rsidP="006B5D13">
      <w:pPr>
        <w:spacing w:line="240" w:lineRule="auto"/>
        <w:contextualSpacing/>
        <w:rPr>
          <w:rFonts w:ascii="Arial" w:hAnsi="Arial" w:cs="Arial"/>
          <w:b/>
          <w:sz w:val="24"/>
          <w:szCs w:val="24"/>
        </w:rPr>
      </w:pPr>
    </w:p>
    <w:sectPr w:rsidR="00D456D0" w:rsidSect="00D456D0">
      <w:pgSz w:w="16838" w:h="11906" w:orient="landscape" w:code="9"/>
      <w:pgMar w:top="992" w:right="1440" w:bottom="1276"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388" w:rsidRDefault="002A0388">
      <w:pPr>
        <w:spacing w:after="0" w:line="240" w:lineRule="auto"/>
      </w:pPr>
      <w:r>
        <w:separator/>
      </w:r>
    </w:p>
  </w:endnote>
  <w:endnote w:type="continuationSeparator" w:id="0">
    <w:p w:rsidR="002A0388" w:rsidRDefault="002A0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388" w:rsidRDefault="002A0388">
      <w:pPr>
        <w:spacing w:after="0" w:line="240" w:lineRule="auto"/>
      </w:pPr>
      <w:r>
        <w:separator/>
      </w:r>
    </w:p>
  </w:footnote>
  <w:footnote w:type="continuationSeparator" w:id="0">
    <w:p w:rsidR="002A0388" w:rsidRDefault="002A03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544A"/>
    <w:multiLevelType w:val="hybridMultilevel"/>
    <w:tmpl w:val="3288196C"/>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D216DC"/>
    <w:multiLevelType w:val="hybridMultilevel"/>
    <w:tmpl w:val="3288196C"/>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D3324A"/>
    <w:multiLevelType w:val="hybridMultilevel"/>
    <w:tmpl w:val="DC80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F01BA"/>
    <w:multiLevelType w:val="hybridMultilevel"/>
    <w:tmpl w:val="3288196C"/>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E4A5A4B"/>
    <w:multiLevelType w:val="hybridMultilevel"/>
    <w:tmpl w:val="8626F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D3856"/>
    <w:multiLevelType w:val="hybridMultilevel"/>
    <w:tmpl w:val="3288196C"/>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79B49F0"/>
    <w:multiLevelType w:val="hybridMultilevel"/>
    <w:tmpl w:val="3B56DA2C"/>
    <w:lvl w:ilvl="0" w:tplc="1E38A57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205756C0"/>
    <w:multiLevelType w:val="hybridMultilevel"/>
    <w:tmpl w:val="3288196C"/>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1DC2E7D"/>
    <w:multiLevelType w:val="hybridMultilevel"/>
    <w:tmpl w:val="01F8F33C"/>
    <w:lvl w:ilvl="0" w:tplc="C91CBB6E">
      <w:start w:val="1"/>
      <w:numFmt w:val="lowerRoman"/>
      <w:lvlText w:val="%1."/>
      <w:lvlJc w:val="left"/>
      <w:pPr>
        <w:ind w:left="1430" w:hanging="720"/>
      </w:pPr>
      <w:rPr>
        <w:rFonts w:hint="default"/>
        <w:b w:val="0"/>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24BA280F"/>
    <w:multiLevelType w:val="hybridMultilevel"/>
    <w:tmpl w:val="AA7E1D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5C22C32"/>
    <w:multiLevelType w:val="hybridMultilevel"/>
    <w:tmpl w:val="6A1C44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E54F65"/>
    <w:multiLevelType w:val="hybridMultilevel"/>
    <w:tmpl w:val="1A42A89C"/>
    <w:lvl w:ilvl="0" w:tplc="78D627B4">
      <w:numFmt w:val="bullet"/>
      <w:lvlText w:val=""/>
      <w:lvlJc w:val="left"/>
      <w:pPr>
        <w:ind w:left="720" w:hanging="360"/>
      </w:pPr>
      <w:rPr>
        <w:rFonts w:ascii="Symbol" w:eastAsia="Calibri"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F00250"/>
    <w:multiLevelType w:val="hybridMultilevel"/>
    <w:tmpl w:val="3288196C"/>
    <w:lvl w:ilvl="0" w:tplc="8EBAF730">
      <w:start w:val="1"/>
      <w:numFmt w:val="lowerRoman"/>
      <w:lvlText w:val="%1."/>
      <w:lvlJc w:val="righ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E1C13B6"/>
    <w:multiLevelType w:val="hybridMultilevel"/>
    <w:tmpl w:val="B6E6274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6E63B5"/>
    <w:multiLevelType w:val="hybridMultilevel"/>
    <w:tmpl w:val="A1D634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F0D3C4E"/>
    <w:multiLevelType w:val="multilevel"/>
    <w:tmpl w:val="BD6A2DC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77E11EF"/>
    <w:multiLevelType w:val="hybridMultilevel"/>
    <w:tmpl w:val="3288196C"/>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AF5BEC"/>
    <w:multiLevelType w:val="multilevel"/>
    <w:tmpl w:val="CA2223AA"/>
    <w:lvl w:ilvl="0">
      <w:start w:val="1"/>
      <w:numFmt w:val="bullet"/>
      <w:lvlText w:val=""/>
      <w:lvlJc w:val="left"/>
      <w:pPr>
        <w:tabs>
          <w:tab w:val="num" w:pos="1261"/>
        </w:tabs>
        <w:ind w:left="1261" w:hanging="360"/>
      </w:pPr>
      <w:rPr>
        <w:rFonts w:ascii="Symbol" w:hAnsi="Symbol" w:hint="default"/>
        <w:sz w:val="20"/>
      </w:rPr>
    </w:lvl>
    <w:lvl w:ilvl="1">
      <w:start w:val="1"/>
      <w:numFmt w:val="upperLetter"/>
      <w:lvlText w:val="%2."/>
      <w:lvlJc w:val="left"/>
      <w:pPr>
        <w:ind w:left="1981" w:hanging="360"/>
      </w:pPr>
      <w:rPr>
        <w:rFonts w:hint="default"/>
      </w:rPr>
    </w:lvl>
    <w:lvl w:ilvl="2">
      <w:start w:val="2"/>
      <w:numFmt w:val="decimal"/>
      <w:lvlText w:val="%3."/>
      <w:lvlJc w:val="left"/>
      <w:pPr>
        <w:ind w:left="2701" w:hanging="360"/>
      </w:pPr>
      <w:rPr>
        <w:rFonts w:hint="default"/>
        <w:b/>
      </w:rPr>
    </w:lvl>
    <w:lvl w:ilvl="3" w:tentative="1">
      <w:start w:val="1"/>
      <w:numFmt w:val="bullet"/>
      <w:lvlText w:val=""/>
      <w:lvlJc w:val="left"/>
      <w:pPr>
        <w:tabs>
          <w:tab w:val="num" w:pos="3421"/>
        </w:tabs>
        <w:ind w:left="3421" w:hanging="360"/>
      </w:pPr>
      <w:rPr>
        <w:rFonts w:ascii="Wingdings" w:hAnsi="Wingdings" w:hint="default"/>
        <w:sz w:val="20"/>
      </w:rPr>
    </w:lvl>
    <w:lvl w:ilvl="4" w:tentative="1">
      <w:start w:val="1"/>
      <w:numFmt w:val="bullet"/>
      <w:lvlText w:val=""/>
      <w:lvlJc w:val="left"/>
      <w:pPr>
        <w:tabs>
          <w:tab w:val="num" w:pos="4141"/>
        </w:tabs>
        <w:ind w:left="4141" w:hanging="360"/>
      </w:pPr>
      <w:rPr>
        <w:rFonts w:ascii="Wingdings" w:hAnsi="Wingdings" w:hint="default"/>
        <w:sz w:val="20"/>
      </w:rPr>
    </w:lvl>
    <w:lvl w:ilvl="5" w:tentative="1">
      <w:start w:val="1"/>
      <w:numFmt w:val="bullet"/>
      <w:lvlText w:val=""/>
      <w:lvlJc w:val="left"/>
      <w:pPr>
        <w:tabs>
          <w:tab w:val="num" w:pos="4861"/>
        </w:tabs>
        <w:ind w:left="4861" w:hanging="360"/>
      </w:pPr>
      <w:rPr>
        <w:rFonts w:ascii="Wingdings" w:hAnsi="Wingdings" w:hint="default"/>
        <w:sz w:val="20"/>
      </w:rPr>
    </w:lvl>
    <w:lvl w:ilvl="6" w:tentative="1">
      <w:start w:val="1"/>
      <w:numFmt w:val="bullet"/>
      <w:lvlText w:val=""/>
      <w:lvlJc w:val="left"/>
      <w:pPr>
        <w:tabs>
          <w:tab w:val="num" w:pos="5581"/>
        </w:tabs>
        <w:ind w:left="5581" w:hanging="360"/>
      </w:pPr>
      <w:rPr>
        <w:rFonts w:ascii="Wingdings" w:hAnsi="Wingdings" w:hint="default"/>
        <w:sz w:val="20"/>
      </w:rPr>
    </w:lvl>
    <w:lvl w:ilvl="7" w:tentative="1">
      <w:start w:val="1"/>
      <w:numFmt w:val="bullet"/>
      <w:lvlText w:val=""/>
      <w:lvlJc w:val="left"/>
      <w:pPr>
        <w:tabs>
          <w:tab w:val="num" w:pos="6301"/>
        </w:tabs>
        <w:ind w:left="6301" w:hanging="360"/>
      </w:pPr>
      <w:rPr>
        <w:rFonts w:ascii="Wingdings" w:hAnsi="Wingdings" w:hint="default"/>
        <w:sz w:val="20"/>
      </w:rPr>
    </w:lvl>
    <w:lvl w:ilvl="8" w:tentative="1">
      <w:start w:val="1"/>
      <w:numFmt w:val="bullet"/>
      <w:lvlText w:val=""/>
      <w:lvlJc w:val="left"/>
      <w:pPr>
        <w:tabs>
          <w:tab w:val="num" w:pos="7021"/>
        </w:tabs>
        <w:ind w:left="7021" w:hanging="360"/>
      </w:pPr>
      <w:rPr>
        <w:rFonts w:ascii="Wingdings" w:hAnsi="Wingdings" w:hint="default"/>
        <w:sz w:val="20"/>
      </w:rPr>
    </w:lvl>
  </w:abstractNum>
  <w:abstractNum w:abstractNumId="18" w15:restartNumberingAfterBreak="0">
    <w:nsid w:val="3A9A6D07"/>
    <w:multiLevelType w:val="hybridMultilevel"/>
    <w:tmpl w:val="CE447CD6"/>
    <w:lvl w:ilvl="0" w:tplc="08090001">
      <w:start w:val="1"/>
      <w:numFmt w:val="bullet"/>
      <w:lvlText w:val=""/>
      <w:lvlJc w:val="left"/>
      <w:pPr>
        <w:ind w:left="3045" w:hanging="360"/>
      </w:pPr>
      <w:rPr>
        <w:rFonts w:ascii="Symbol" w:hAnsi="Symbol" w:hint="default"/>
      </w:rPr>
    </w:lvl>
    <w:lvl w:ilvl="1" w:tplc="08090003" w:tentative="1">
      <w:start w:val="1"/>
      <w:numFmt w:val="bullet"/>
      <w:lvlText w:val="o"/>
      <w:lvlJc w:val="left"/>
      <w:pPr>
        <w:ind w:left="3765" w:hanging="360"/>
      </w:pPr>
      <w:rPr>
        <w:rFonts w:ascii="Courier New" w:hAnsi="Courier New" w:cs="Courier New" w:hint="default"/>
      </w:rPr>
    </w:lvl>
    <w:lvl w:ilvl="2" w:tplc="08090005" w:tentative="1">
      <w:start w:val="1"/>
      <w:numFmt w:val="bullet"/>
      <w:lvlText w:val=""/>
      <w:lvlJc w:val="left"/>
      <w:pPr>
        <w:ind w:left="4485" w:hanging="360"/>
      </w:pPr>
      <w:rPr>
        <w:rFonts w:ascii="Wingdings" w:hAnsi="Wingdings" w:hint="default"/>
      </w:rPr>
    </w:lvl>
    <w:lvl w:ilvl="3" w:tplc="08090001" w:tentative="1">
      <w:start w:val="1"/>
      <w:numFmt w:val="bullet"/>
      <w:lvlText w:val=""/>
      <w:lvlJc w:val="left"/>
      <w:pPr>
        <w:ind w:left="5205" w:hanging="360"/>
      </w:pPr>
      <w:rPr>
        <w:rFonts w:ascii="Symbol" w:hAnsi="Symbol" w:hint="default"/>
      </w:rPr>
    </w:lvl>
    <w:lvl w:ilvl="4" w:tplc="08090003" w:tentative="1">
      <w:start w:val="1"/>
      <w:numFmt w:val="bullet"/>
      <w:lvlText w:val="o"/>
      <w:lvlJc w:val="left"/>
      <w:pPr>
        <w:ind w:left="5925" w:hanging="360"/>
      </w:pPr>
      <w:rPr>
        <w:rFonts w:ascii="Courier New" w:hAnsi="Courier New" w:cs="Courier New" w:hint="default"/>
      </w:rPr>
    </w:lvl>
    <w:lvl w:ilvl="5" w:tplc="08090005" w:tentative="1">
      <w:start w:val="1"/>
      <w:numFmt w:val="bullet"/>
      <w:lvlText w:val=""/>
      <w:lvlJc w:val="left"/>
      <w:pPr>
        <w:ind w:left="6645" w:hanging="360"/>
      </w:pPr>
      <w:rPr>
        <w:rFonts w:ascii="Wingdings" w:hAnsi="Wingdings" w:hint="default"/>
      </w:rPr>
    </w:lvl>
    <w:lvl w:ilvl="6" w:tplc="08090001" w:tentative="1">
      <w:start w:val="1"/>
      <w:numFmt w:val="bullet"/>
      <w:lvlText w:val=""/>
      <w:lvlJc w:val="left"/>
      <w:pPr>
        <w:ind w:left="7365" w:hanging="360"/>
      </w:pPr>
      <w:rPr>
        <w:rFonts w:ascii="Symbol" w:hAnsi="Symbol" w:hint="default"/>
      </w:rPr>
    </w:lvl>
    <w:lvl w:ilvl="7" w:tplc="08090003" w:tentative="1">
      <w:start w:val="1"/>
      <w:numFmt w:val="bullet"/>
      <w:lvlText w:val="o"/>
      <w:lvlJc w:val="left"/>
      <w:pPr>
        <w:ind w:left="8085" w:hanging="360"/>
      </w:pPr>
      <w:rPr>
        <w:rFonts w:ascii="Courier New" w:hAnsi="Courier New" w:cs="Courier New" w:hint="default"/>
      </w:rPr>
    </w:lvl>
    <w:lvl w:ilvl="8" w:tplc="08090005" w:tentative="1">
      <w:start w:val="1"/>
      <w:numFmt w:val="bullet"/>
      <w:lvlText w:val=""/>
      <w:lvlJc w:val="left"/>
      <w:pPr>
        <w:ind w:left="8805" w:hanging="360"/>
      </w:pPr>
      <w:rPr>
        <w:rFonts w:ascii="Wingdings" w:hAnsi="Wingdings" w:hint="default"/>
      </w:rPr>
    </w:lvl>
  </w:abstractNum>
  <w:abstractNum w:abstractNumId="19" w15:restartNumberingAfterBreak="0">
    <w:nsid w:val="40AA6EC5"/>
    <w:multiLevelType w:val="hybridMultilevel"/>
    <w:tmpl w:val="DE4824D0"/>
    <w:lvl w:ilvl="0" w:tplc="A0545D04">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D93746"/>
    <w:multiLevelType w:val="hybridMultilevel"/>
    <w:tmpl w:val="B73E6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164D00"/>
    <w:multiLevelType w:val="hybridMultilevel"/>
    <w:tmpl w:val="9B7EA136"/>
    <w:lvl w:ilvl="0" w:tplc="08090001">
      <w:start w:val="1"/>
      <w:numFmt w:val="bullet"/>
      <w:lvlText w:val=""/>
      <w:lvlJc w:val="left"/>
      <w:pPr>
        <w:ind w:left="1894" w:hanging="360"/>
      </w:pPr>
      <w:rPr>
        <w:rFonts w:ascii="Symbol" w:hAnsi="Symbol" w:hint="default"/>
      </w:rPr>
    </w:lvl>
    <w:lvl w:ilvl="1" w:tplc="08090003" w:tentative="1">
      <w:start w:val="1"/>
      <w:numFmt w:val="bullet"/>
      <w:lvlText w:val="o"/>
      <w:lvlJc w:val="left"/>
      <w:pPr>
        <w:ind w:left="2614" w:hanging="360"/>
      </w:pPr>
      <w:rPr>
        <w:rFonts w:ascii="Courier New" w:hAnsi="Courier New" w:cs="Courier New" w:hint="default"/>
      </w:rPr>
    </w:lvl>
    <w:lvl w:ilvl="2" w:tplc="08090005" w:tentative="1">
      <w:start w:val="1"/>
      <w:numFmt w:val="bullet"/>
      <w:lvlText w:val=""/>
      <w:lvlJc w:val="left"/>
      <w:pPr>
        <w:ind w:left="3334" w:hanging="360"/>
      </w:pPr>
      <w:rPr>
        <w:rFonts w:ascii="Wingdings" w:hAnsi="Wingdings" w:hint="default"/>
      </w:rPr>
    </w:lvl>
    <w:lvl w:ilvl="3" w:tplc="08090001" w:tentative="1">
      <w:start w:val="1"/>
      <w:numFmt w:val="bullet"/>
      <w:lvlText w:val=""/>
      <w:lvlJc w:val="left"/>
      <w:pPr>
        <w:ind w:left="4054" w:hanging="360"/>
      </w:pPr>
      <w:rPr>
        <w:rFonts w:ascii="Symbol" w:hAnsi="Symbol" w:hint="default"/>
      </w:rPr>
    </w:lvl>
    <w:lvl w:ilvl="4" w:tplc="08090003" w:tentative="1">
      <w:start w:val="1"/>
      <w:numFmt w:val="bullet"/>
      <w:lvlText w:val="o"/>
      <w:lvlJc w:val="left"/>
      <w:pPr>
        <w:ind w:left="4774" w:hanging="360"/>
      </w:pPr>
      <w:rPr>
        <w:rFonts w:ascii="Courier New" w:hAnsi="Courier New" w:cs="Courier New" w:hint="default"/>
      </w:rPr>
    </w:lvl>
    <w:lvl w:ilvl="5" w:tplc="08090005" w:tentative="1">
      <w:start w:val="1"/>
      <w:numFmt w:val="bullet"/>
      <w:lvlText w:val=""/>
      <w:lvlJc w:val="left"/>
      <w:pPr>
        <w:ind w:left="5494" w:hanging="360"/>
      </w:pPr>
      <w:rPr>
        <w:rFonts w:ascii="Wingdings" w:hAnsi="Wingdings" w:hint="default"/>
      </w:rPr>
    </w:lvl>
    <w:lvl w:ilvl="6" w:tplc="08090001" w:tentative="1">
      <w:start w:val="1"/>
      <w:numFmt w:val="bullet"/>
      <w:lvlText w:val=""/>
      <w:lvlJc w:val="left"/>
      <w:pPr>
        <w:ind w:left="6214" w:hanging="360"/>
      </w:pPr>
      <w:rPr>
        <w:rFonts w:ascii="Symbol" w:hAnsi="Symbol" w:hint="default"/>
      </w:rPr>
    </w:lvl>
    <w:lvl w:ilvl="7" w:tplc="08090003" w:tentative="1">
      <w:start w:val="1"/>
      <w:numFmt w:val="bullet"/>
      <w:lvlText w:val="o"/>
      <w:lvlJc w:val="left"/>
      <w:pPr>
        <w:ind w:left="6934" w:hanging="360"/>
      </w:pPr>
      <w:rPr>
        <w:rFonts w:ascii="Courier New" w:hAnsi="Courier New" w:cs="Courier New" w:hint="default"/>
      </w:rPr>
    </w:lvl>
    <w:lvl w:ilvl="8" w:tplc="08090005" w:tentative="1">
      <w:start w:val="1"/>
      <w:numFmt w:val="bullet"/>
      <w:lvlText w:val=""/>
      <w:lvlJc w:val="left"/>
      <w:pPr>
        <w:ind w:left="7654" w:hanging="360"/>
      </w:pPr>
      <w:rPr>
        <w:rFonts w:ascii="Wingdings" w:hAnsi="Wingdings" w:hint="default"/>
      </w:rPr>
    </w:lvl>
  </w:abstractNum>
  <w:abstractNum w:abstractNumId="22" w15:restartNumberingAfterBreak="0">
    <w:nsid w:val="567E56C9"/>
    <w:multiLevelType w:val="hybridMultilevel"/>
    <w:tmpl w:val="6B40FC6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605969"/>
    <w:multiLevelType w:val="hybridMultilevel"/>
    <w:tmpl w:val="CD84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CA394E"/>
    <w:multiLevelType w:val="hybridMultilevel"/>
    <w:tmpl w:val="6D04B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BB1E27"/>
    <w:multiLevelType w:val="hybridMultilevel"/>
    <w:tmpl w:val="3288196C"/>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10D03DB"/>
    <w:multiLevelType w:val="multilevel"/>
    <w:tmpl w:val="298082EA"/>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68BB2E3A"/>
    <w:multiLevelType w:val="hybridMultilevel"/>
    <w:tmpl w:val="468CF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FE2B30"/>
    <w:multiLevelType w:val="hybridMultilevel"/>
    <w:tmpl w:val="F68A93A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6E062B08"/>
    <w:multiLevelType w:val="hybridMultilevel"/>
    <w:tmpl w:val="00922FA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2872D0"/>
    <w:multiLevelType w:val="hybridMultilevel"/>
    <w:tmpl w:val="D1183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6A6BA4"/>
    <w:multiLevelType w:val="hybridMultilevel"/>
    <w:tmpl w:val="93DE506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2" w15:restartNumberingAfterBreak="0">
    <w:nsid w:val="74872E79"/>
    <w:multiLevelType w:val="hybridMultilevel"/>
    <w:tmpl w:val="3288196C"/>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6100637"/>
    <w:multiLevelType w:val="hybridMultilevel"/>
    <w:tmpl w:val="1DE8B96E"/>
    <w:lvl w:ilvl="0" w:tplc="BF92CEE6">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7787736"/>
    <w:multiLevelType w:val="multilevel"/>
    <w:tmpl w:val="D72A0E32"/>
    <w:lvl w:ilvl="0">
      <w:start w:val="1"/>
      <w:numFmt w:val="decimal"/>
      <w:lvlText w:val="%1."/>
      <w:lvlJc w:val="left"/>
      <w:pPr>
        <w:ind w:left="819"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39" w:hanging="1080"/>
      </w:pPr>
      <w:rPr>
        <w:rFonts w:hint="default"/>
      </w:rPr>
    </w:lvl>
    <w:lvl w:ilvl="5">
      <w:start w:val="1"/>
      <w:numFmt w:val="decimal"/>
      <w:isLgl/>
      <w:lvlText w:val="%1.%2.%3.%4.%5.%6"/>
      <w:lvlJc w:val="left"/>
      <w:pPr>
        <w:ind w:left="1899" w:hanging="1440"/>
      </w:pPr>
      <w:rPr>
        <w:rFonts w:hint="default"/>
      </w:rPr>
    </w:lvl>
    <w:lvl w:ilvl="6">
      <w:start w:val="1"/>
      <w:numFmt w:val="decimal"/>
      <w:isLgl/>
      <w:lvlText w:val="%1.%2.%3.%4.%5.%6.%7"/>
      <w:lvlJc w:val="left"/>
      <w:pPr>
        <w:ind w:left="1899" w:hanging="1440"/>
      </w:pPr>
      <w:rPr>
        <w:rFonts w:hint="default"/>
      </w:rPr>
    </w:lvl>
    <w:lvl w:ilvl="7">
      <w:start w:val="1"/>
      <w:numFmt w:val="decimal"/>
      <w:isLgl/>
      <w:lvlText w:val="%1.%2.%3.%4.%5.%6.%7.%8"/>
      <w:lvlJc w:val="left"/>
      <w:pPr>
        <w:ind w:left="2259" w:hanging="1800"/>
      </w:pPr>
      <w:rPr>
        <w:rFonts w:hint="default"/>
      </w:rPr>
    </w:lvl>
    <w:lvl w:ilvl="8">
      <w:start w:val="1"/>
      <w:numFmt w:val="decimal"/>
      <w:isLgl/>
      <w:lvlText w:val="%1.%2.%3.%4.%5.%6.%7.%8.%9"/>
      <w:lvlJc w:val="left"/>
      <w:pPr>
        <w:ind w:left="2259" w:hanging="1800"/>
      </w:pPr>
      <w:rPr>
        <w:rFonts w:hint="default"/>
      </w:rPr>
    </w:lvl>
  </w:abstractNum>
  <w:abstractNum w:abstractNumId="35" w15:restartNumberingAfterBreak="0">
    <w:nsid w:val="7BE66DA7"/>
    <w:multiLevelType w:val="hybridMultilevel"/>
    <w:tmpl w:val="613CD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65540C"/>
    <w:multiLevelType w:val="hybridMultilevel"/>
    <w:tmpl w:val="31002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32"/>
  </w:num>
  <w:num w:numId="3">
    <w:abstractNumId w:val="7"/>
  </w:num>
  <w:num w:numId="4">
    <w:abstractNumId w:val="35"/>
  </w:num>
  <w:num w:numId="5">
    <w:abstractNumId w:val="10"/>
  </w:num>
  <w:num w:numId="6">
    <w:abstractNumId w:val="13"/>
  </w:num>
  <w:num w:numId="7">
    <w:abstractNumId w:val="1"/>
  </w:num>
  <w:num w:numId="8">
    <w:abstractNumId w:val="19"/>
  </w:num>
  <w:num w:numId="9">
    <w:abstractNumId w:val="15"/>
  </w:num>
  <w:num w:numId="10">
    <w:abstractNumId w:val="8"/>
  </w:num>
  <w:num w:numId="11">
    <w:abstractNumId w:val="3"/>
  </w:num>
  <w:num w:numId="12">
    <w:abstractNumId w:val="25"/>
  </w:num>
  <w:num w:numId="13">
    <w:abstractNumId w:val="5"/>
  </w:num>
  <w:num w:numId="14">
    <w:abstractNumId w:val="16"/>
  </w:num>
  <w:num w:numId="15">
    <w:abstractNumId w:val="11"/>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27"/>
  </w:num>
  <w:num w:numId="19">
    <w:abstractNumId w:val="4"/>
  </w:num>
  <w:num w:numId="20">
    <w:abstractNumId w:val="24"/>
  </w:num>
  <w:num w:numId="21">
    <w:abstractNumId w:val="20"/>
  </w:num>
  <w:num w:numId="22">
    <w:abstractNumId w:val="22"/>
  </w:num>
  <w:num w:numId="23">
    <w:abstractNumId w:val="21"/>
  </w:num>
  <w:num w:numId="24">
    <w:abstractNumId w:val="28"/>
  </w:num>
  <w:num w:numId="25">
    <w:abstractNumId w:val="29"/>
  </w:num>
  <w:num w:numId="26">
    <w:abstractNumId w:val="17"/>
  </w:num>
  <w:num w:numId="27">
    <w:abstractNumId w:val="26"/>
  </w:num>
  <w:num w:numId="28">
    <w:abstractNumId w:val="6"/>
  </w:num>
  <w:num w:numId="29">
    <w:abstractNumId w:val="31"/>
  </w:num>
  <w:num w:numId="30">
    <w:abstractNumId w:val="33"/>
  </w:num>
  <w:num w:numId="31">
    <w:abstractNumId w:val="2"/>
  </w:num>
  <w:num w:numId="32">
    <w:abstractNumId w:val="9"/>
  </w:num>
  <w:num w:numId="33">
    <w:abstractNumId w:val="0"/>
  </w:num>
  <w:num w:numId="34">
    <w:abstractNumId w:val="12"/>
  </w:num>
  <w:num w:numId="35">
    <w:abstractNumId w:val="18"/>
  </w:num>
  <w:num w:numId="36">
    <w:abstractNumId w:val="23"/>
  </w:num>
  <w:num w:numId="37">
    <w:abstractNumId w:val="3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5128"/>
    <w:rsid w:val="00001869"/>
    <w:rsid w:val="00005475"/>
    <w:rsid w:val="000141FB"/>
    <w:rsid w:val="00025129"/>
    <w:rsid w:val="00026F87"/>
    <w:rsid w:val="0003013C"/>
    <w:rsid w:val="00034002"/>
    <w:rsid w:val="00035A7B"/>
    <w:rsid w:val="00036C28"/>
    <w:rsid w:val="00043C29"/>
    <w:rsid w:val="00045AFF"/>
    <w:rsid w:val="0004675D"/>
    <w:rsid w:val="0005172B"/>
    <w:rsid w:val="00060427"/>
    <w:rsid w:val="000621E8"/>
    <w:rsid w:val="00064112"/>
    <w:rsid w:val="0007695D"/>
    <w:rsid w:val="00083C71"/>
    <w:rsid w:val="000853F9"/>
    <w:rsid w:val="000A0581"/>
    <w:rsid w:val="000A129C"/>
    <w:rsid w:val="000A34F9"/>
    <w:rsid w:val="000B4130"/>
    <w:rsid w:val="000B78EB"/>
    <w:rsid w:val="000C0C6E"/>
    <w:rsid w:val="000D68AD"/>
    <w:rsid w:val="000E022F"/>
    <w:rsid w:val="000E20AA"/>
    <w:rsid w:val="000E26E0"/>
    <w:rsid w:val="000E3385"/>
    <w:rsid w:val="000E5523"/>
    <w:rsid w:val="000F0527"/>
    <w:rsid w:val="000F0597"/>
    <w:rsid w:val="000F0C7F"/>
    <w:rsid w:val="001019CE"/>
    <w:rsid w:val="00103ED7"/>
    <w:rsid w:val="00120E3E"/>
    <w:rsid w:val="001231FD"/>
    <w:rsid w:val="00141053"/>
    <w:rsid w:val="00150C41"/>
    <w:rsid w:val="00151752"/>
    <w:rsid w:val="00152224"/>
    <w:rsid w:val="001541A3"/>
    <w:rsid w:val="00160DF3"/>
    <w:rsid w:val="001629D5"/>
    <w:rsid w:val="00164ED1"/>
    <w:rsid w:val="00165ADE"/>
    <w:rsid w:val="00166289"/>
    <w:rsid w:val="001707A1"/>
    <w:rsid w:val="00177B68"/>
    <w:rsid w:val="001816A0"/>
    <w:rsid w:val="00182A12"/>
    <w:rsid w:val="00183F38"/>
    <w:rsid w:val="00186745"/>
    <w:rsid w:val="001910D0"/>
    <w:rsid w:val="001949D4"/>
    <w:rsid w:val="001A0737"/>
    <w:rsid w:val="001A3120"/>
    <w:rsid w:val="001A4E2E"/>
    <w:rsid w:val="001A7BB3"/>
    <w:rsid w:val="001B744C"/>
    <w:rsid w:val="001C1B12"/>
    <w:rsid w:val="001C5131"/>
    <w:rsid w:val="001D0488"/>
    <w:rsid w:val="001D20E6"/>
    <w:rsid w:val="001D56AF"/>
    <w:rsid w:val="001D6B82"/>
    <w:rsid w:val="001E0A61"/>
    <w:rsid w:val="001F31E6"/>
    <w:rsid w:val="001F6A06"/>
    <w:rsid w:val="00200286"/>
    <w:rsid w:val="002024A7"/>
    <w:rsid w:val="00203D1B"/>
    <w:rsid w:val="00207799"/>
    <w:rsid w:val="00212C39"/>
    <w:rsid w:val="00223831"/>
    <w:rsid w:val="00232759"/>
    <w:rsid w:val="00254FAC"/>
    <w:rsid w:val="002604B7"/>
    <w:rsid w:val="00261D03"/>
    <w:rsid w:val="00263533"/>
    <w:rsid w:val="00266AC3"/>
    <w:rsid w:val="00266F59"/>
    <w:rsid w:val="00274F98"/>
    <w:rsid w:val="00275D97"/>
    <w:rsid w:val="00284C72"/>
    <w:rsid w:val="0028680C"/>
    <w:rsid w:val="00290B0C"/>
    <w:rsid w:val="002934A4"/>
    <w:rsid w:val="00296DA5"/>
    <w:rsid w:val="002A0388"/>
    <w:rsid w:val="002A05AF"/>
    <w:rsid w:val="002A16B9"/>
    <w:rsid w:val="002A7C9F"/>
    <w:rsid w:val="002B2E0F"/>
    <w:rsid w:val="002B542C"/>
    <w:rsid w:val="002B6B09"/>
    <w:rsid w:val="002C1418"/>
    <w:rsid w:val="002C625C"/>
    <w:rsid w:val="002D1684"/>
    <w:rsid w:val="002D57E8"/>
    <w:rsid w:val="002E0280"/>
    <w:rsid w:val="002F22D7"/>
    <w:rsid w:val="002F31C2"/>
    <w:rsid w:val="002F4BB0"/>
    <w:rsid w:val="002F5D40"/>
    <w:rsid w:val="002F780C"/>
    <w:rsid w:val="003002D5"/>
    <w:rsid w:val="003026A9"/>
    <w:rsid w:val="00312BF7"/>
    <w:rsid w:val="00316EE9"/>
    <w:rsid w:val="003173B9"/>
    <w:rsid w:val="003205DC"/>
    <w:rsid w:val="00330AA6"/>
    <w:rsid w:val="00331E6E"/>
    <w:rsid w:val="00340B74"/>
    <w:rsid w:val="00351D4B"/>
    <w:rsid w:val="003561F9"/>
    <w:rsid w:val="0035776D"/>
    <w:rsid w:val="00360AFD"/>
    <w:rsid w:val="00382D10"/>
    <w:rsid w:val="00386763"/>
    <w:rsid w:val="003A6A89"/>
    <w:rsid w:val="003A6F45"/>
    <w:rsid w:val="003D7107"/>
    <w:rsid w:val="003E2B62"/>
    <w:rsid w:val="003F3E53"/>
    <w:rsid w:val="003F478C"/>
    <w:rsid w:val="003F66B0"/>
    <w:rsid w:val="003F7F7A"/>
    <w:rsid w:val="00400D76"/>
    <w:rsid w:val="00403FEF"/>
    <w:rsid w:val="00405F0F"/>
    <w:rsid w:val="00406F34"/>
    <w:rsid w:val="00407D1D"/>
    <w:rsid w:val="0041318E"/>
    <w:rsid w:val="00417791"/>
    <w:rsid w:val="00425781"/>
    <w:rsid w:val="004274E9"/>
    <w:rsid w:val="00427C62"/>
    <w:rsid w:val="004301E9"/>
    <w:rsid w:val="0045029C"/>
    <w:rsid w:val="0045056F"/>
    <w:rsid w:val="00452722"/>
    <w:rsid w:val="0046545A"/>
    <w:rsid w:val="0047064F"/>
    <w:rsid w:val="00473E77"/>
    <w:rsid w:val="00475C17"/>
    <w:rsid w:val="00482DAD"/>
    <w:rsid w:val="00484CBE"/>
    <w:rsid w:val="004A5455"/>
    <w:rsid w:val="004C3DFA"/>
    <w:rsid w:val="004C734D"/>
    <w:rsid w:val="004D600E"/>
    <w:rsid w:val="004F03AF"/>
    <w:rsid w:val="00502A2D"/>
    <w:rsid w:val="0051003C"/>
    <w:rsid w:val="00510AD5"/>
    <w:rsid w:val="0051196A"/>
    <w:rsid w:val="0051709E"/>
    <w:rsid w:val="005205B0"/>
    <w:rsid w:val="005209F6"/>
    <w:rsid w:val="00522030"/>
    <w:rsid w:val="00542F39"/>
    <w:rsid w:val="00546DF5"/>
    <w:rsid w:val="00551437"/>
    <w:rsid w:val="005604CB"/>
    <w:rsid w:val="00560A02"/>
    <w:rsid w:val="00560EF9"/>
    <w:rsid w:val="00565434"/>
    <w:rsid w:val="00576DAE"/>
    <w:rsid w:val="00581C60"/>
    <w:rsid w:val="005845EF"/>
    <w:rsid w:val="00593C20"/>
    <w:rsid w:val="00597575"/>
    <w:rsid w:val="005A52F6"/>
    <w:rsid w:val="005B373F"/>
    <w:rsid w:val="005C4C5E"/>
    <w:rsid w:val="005C61B7"/>
    <w:rsid w:val="005F0CC4"/>
    <w:rsid w:val="005F1BDE"/>
    <w:rsid w:val="005F2B1D"/>
    <w:rsid w:val="005F535B"/>
    <w:rsid w:val="005F7803"/>
    <w:rsid w:val="00603716"/>
    <w:rsid w:val="0060546E"/>
    <w:rsid w:val="00615439"/>
    <w:rsid w:val="00616D70"/>
    <w:rsid w:val="00623A7E"/>
    <w:rsid w:val="006336C9"/>
    <w:rsid w:val="006378A8"/>
    <w:rsid w:val="00642B88"/>
    <w:rsid w:val="00672CF5"/>
    <w:rsid w:val="00673935"/>
    <w:rsid w:val="00680A39"/>
    <w:rsid w:val="00695D63"/>
    <w:rsid w:val="006A04FC"/>
    <w:rsid w:val="006A0B0A"/>
    <w:rsid w:val="006B27BA"/>
    <w:rsid w:val="006B5D13"/>
    <w:rsid w:val="006B6416"/>
    <w:rsid w:val="006B66A4"/>
    <w:rsid w:val="006B6AB8"/>
    <w:rsid w:val="006C081D"/>
    <w:rsid w:val="006C7C15"/>
    <w:rsid w:val="006C7CAF"/>
    <w:rsid w:val="006D4194"/>
    <w:rsid w:val="006D51F9"/>
    <w:rsid w:val="006E1CE4"/>
    <w:rsid w:val="006E50BB"/>
    <w:rsid w:val="006E59FA"/>
    <w:rsid w:val="006F74A2"/>
    <w:rsid w:val="007056A0"/>
    <w:rsid w:val="00707E83"/>
    <w:rsid w:val="007205A9"/>
    <w:rsid w:val="00722DED"/>
    <w:rsid w:val="00734C4E"/>
    <w:rsid w:val="00735E43"/>
    <w:rsid w:val="00737240"/>
    <w:rsid w:val="007401A6"/>
    <w:rsid w:val="00742DAF"/>
    <w:rsid w:val="00745546"/>
    <w:rsid w:val="00750807"/>
    <w:rsid w:val="00752DF4"/>
    <w:rsid w:val="00755EB9"/>
    <w:rsid w:val="00773704"/>
    <w:rsid w:val="007777DB"/>
    <w:rsid w:val="00794777"/>
    <w:rsid w:val="007A64AF"/>
    <w:rsid w:val="007A69F4"/>
    <w:rsid w:val="007B31F4"/>
    <w:rsid w:val="007B481A"/>
    <w:rsid w:val="007B7185"/>
    <w:rsid w:val="007B749F"/>
    <w:rsid w:val="007C1B04"/>
    <w:rsid w:val="007C2E12"/>
    <w:rsid w:val="007C451C"/>
    <w:rsid w:val="007D0200"/>
    <w:rsid w:val="007D159A"/>
    <w:rsid w:val="007D5128"/>
    <w:rsid w:val="007D7B7B"/>
    <w:rsid w:val="007E1687"/>
    <w:rsid w:val="007E2075"/>
    <w:rsid w:val="007E2A9C"/>
    <w:rsid w:val="007E5706"/>
    <w:rsid w:val="007E5FE2"/>
    <w:rsid w:val="00803984"/>
    <w:rsid w:val="00804DF2"/>
    <w:rsid w:val="00821966"/>
    <w:rsid w:val="00825ED9"/>
    <w:rsid w:val="008315C6"/>
    <w:rsid w:val="00833AA9"/>
    <w:rsid w:val="00846887"/>
    <w:rsid w:val="00847590"/>
    <w:rsid w:val="008500A5"/>
    <w:rsid w:val="008501F9"/>
    <w:rsid w:val="008512DE"/>
    <w:rsid w:val="00855A19"/>
    <w:rsid w:val="008607C7"/>
    <w:rsid w:val="008618DA"/>
    <w:rsid w:val="0086210E"/>
    <w:rsid w:val="00870469"/>
    <w:rsid w:val="00872A12"/>
    <w:rsid w:val="008732F0"/>
    <w:rsid w:val="00873308"/>
    <w:rsid w:val="00877D48"/>
    <w:rsid w:val="008836FF"/>
    <w:rsid w:val="008963CF"/>
    <w:rsid w:val="00897CAB"/>
    <w:rsid w:val="008A02E6"/>
    <w:rsid w:val="008A601E"/>
    <w:rsid w:val="008A61ED"/>
    <w:rsid w:val="008B2C76"/>
    <w:rsid w:val="008B4357"/>
    <w:rsid w:val="008B465E"/>
    <w:rsid w:val="008C7DB4"/>
    <w:rsid w:val="008D32BC"/>
    <w:rsid w:val="008F46B3"/>
    <w:rsid w:val="0090159C"/>
    <w:rsid w:val="00905DD5"/>
    <w:rsid w:val="009134C8"/>
    <w:rsid w:val="00914043"/>
    <w:rsid w:val="00917B4D"/>
    <w:rsid w:val="00922169"/>
    <w:rsid w:val="00922296"/>
    <w:rsid w:val="0092376B"/>
    <w:rsid w:val="00932557"/>
    <w:rsid w:val="00936027"/>
    <w:rsid w:val="009367D7"/>
    <w:rsid w:val="00937504"/>
    <w:rsid w:val="009403ED"/>
    <w:rsid w:val="0094209C"/>
    <w:rsid w:val="00942C94"/>
    <w:rsid w:val="009453ED"/>
    <w:rsid w:val="009457FF"/>
    <w:rsid w:val="0094733B"/>
    <w:rsid w:val="00947B2E"/>
    <w:rsid w:val="00954F5C"/>
    <w:rsid w:val="00955AF3"/>
    <w:rsid w:val="00956BAD"/>
    <w:rsid w:val="0096426A"/>
    <w:rsid w:val="00980B32"/>
    <w:rsid w:val="00981942"/>
    <w:rsid w:val="00987614"/>
    <w:rsid w:val="0099568F"/>
    <w:rsid w:val="00997DB6"/>
    <w:rsid w:val="009A1AA6"/>
    <w:rsid w:val="009B2988"/>
    <w:rsid w:val="009C0C0F"/>
    <w:rsid w:val="009C24C3"/>
    <w:rsid w:val="009C376A"/>
    <w:rsid w:val="009D4735"/>
    <w:rsid w:val="009E03A7"/>
    <w:rsid w:val="009E2C44"/>
    <w:rsid w:val="009E7582"/>
    <w:rsid w:val="00A03336"/>
    <w:rsid w:val="00A06A9E"/>
    <w:rsid w:val="00A13489"/>
    <w:rsid w:val="00A144CA"/>
    <w:rsid w:val="00A21E9C"/>
    <w:rsid w:val="00A22ECE"/>
    <w:rsid w:val="00A425F6"/>
    <w:rsid w:val="00A45653"/>
    <w:rsid w:val="00A51F66"/>
    <w:rsid w:val="00A543AF"/>
    <w:rsid w:val="00A579D9"/>
    <w:rsid w:val="00A601F8"/>
    <w:rsid w:val="00A61A4D"/>
    <w:rsid w:val="00A61B66"/>
    <w:rsid w:val="00A64E4A"/>
    <w:rsid w:val="00A659B1"/>
    <w:rsid w:val="00A71E85"/>
    <w:rsid w:val="00A75AD0"/>
    <w:rsid w:val="00A81FBA"/>
    <w:rsid w:val="00A86211"/>
    <w:rsid w:val="00A906AF"/>
    <w:rsid w:val="00AA0E23"/>
    <w:rsid w:val="00AA2622"/>
    <w:rsid w:val="00AA39FF"/>
    <w:rsid w:val="00AA575F"/>
    <w:rsid w:val="00AB2E4A"/>
    <w:rsid w:val="00AC191C"/>
    <w:rsid w:val="00AD6972"/>
    <w:rsid w:val="00AE5150"/>
    <w:rsid w:val="00AF4C0F"/>
    <w:rsid w:val="00AF52F7"/>
    <w:rsid w:val="00B07869"/>
    <w:rsid w:val="00B17DAD"/>
    <w:rsid w:val="00B17F13"/>
    <w:rsid w:val="00B2191A"/>
    <w:rsid w:val="00B23C5E"/>
    <w:rsid w:val="00B26F95"/>
    <w:rsid w:val="00B307E4"/>
    <w:rsid w:val="00B436B1"/>
    <w:rsid w:val="00B444B0"/>
    <w:rsid w:val="00B504B5"/>
    <w:rsid w:val="00B640FB"/>
    <w:rsid w:val="00B64E70"/>
    <w:rsid w:val="00B67AEC"/>
    <w:rsid w:val="00B72EF8"/>
    <w:rsid w:val="00B77D3D"/>
    <w:rsid w:val="00B80B99"/>
    <w:rsid w:val="00B8106D"/>
    <w:rsid w:val="00B839B0"/>
    <w:rsid w:val="00B9073B"/>
    <w:rsid w:val="00B94A39"/>
    <w:rsid w:val="00BA59A1"/>
    <w:rsid w:val="00BB363C"/>
    <w:rsid w:val="00BB3E49"/>
    <w:rsid w:val="00BC1778"/>
    <w:rsid w:val="00BC22CB"/>
    <w:rsid w:val="00BD0BD8"/>
    <w:rsid w:val="00BD2133"/>
    <w:rsid w:val="00BD31D3"/>
    <w:rsid w:val="00BD63EF"/>
    <w:rsid w:val="00BE22CB"/>
    <w:rsid w:val="00BE70E5"/>
    <w:rsid w:val="00BE7C16"/>
    <w:rsid w:val="00BF66FE"/>
    <w:rsid w:val="00C05616"/>
    <w:rsid w:val="00C2315E"/>
    <w:rsid w:val="00C279F2"/>
    <w:rsid w:val="00C31421"/>
    <w:rsid w:val="00C3216F"/>
    <w:rsid w:val="00C3340D"/>
    <w:rsid w:val="00C3581C"/>
    <w:rsid w:val="00C36F96"/>
    <w:rsid w:val="00C37123"/>
    <w:rsid w:val="00C418BE"/>
    <w:rsid w:val="00C50D6D"/>
    <w:rsid w:val="00C56A64"/>
    <w:rsid w:val="00C60540"/>
    <w:rsid w:val="00C67E07"/>
    <w:rsid w:val="00C67F56"/>
    <w:rsid w:val="00C70E95"/>
    <w:rsid w:val="00C7665E"/>
    <w:rsid w:val="00C821FE"/>
    <w:rsid w:val="00C85B20"/>
    <w:rsid w:val="00C870C4"/>
    <w:rsid w:val="00C87BD1"/>
    <w:rsid w:val="00C927F8"/>
    <w:rsid w:val="00C94F6B"/>
    <w:rsid w:val="00CA2399"/>
    <w:rsid w:val="00CA563F"/>
    <w:rsid w:val="00CB026C"/>
    <w:rsid w:val="00CB0AB6"/>
    <w:rsid w:val="00CB5CE4"/>
    <w:rsid w:val="00CB6620"/>
    <w:rsid w:val="00CC5531"/>
    <w:rsid w:val="00CC5A8A"/>
    <w:rsid w:val="00CD189A"/>
    <w:rsid w:val="00CD279F"/>
    <w:rsid w:val="00CD282B"/>
    <w:rsid w:val="00CD4821"/>
    <w:rsid w:val="00CD7B40"/>
    <w:rsid w:val="00CE2E54"/>
    <w:rsid w:val="00CE6D46"/>
    <w:rsid w:val="00D01035"/>
    <w:rsid w:val="00D013FA"/>
    <w:rsid w:val="00D035EF"/>
    <w:rsid w:val="00D03694"/>
    <w:rsid w:val="00D1441D"/>
    <w:rsid w:val="00D14D05"/>
    <w:rsid w:val="00D17705"/>
    <w:rsid w:val="00D2168E"/>
    <w:rsid w:val="00D238B2"/>
    <w:rsid w:val="00D24CE0"/>
    <w:rsid w:val="00D24F97"/>
    <w:rsid w:val="00D256CD"/>
    <w:rsid w:val="00D30FD7"/>
    <w:rsid w:val="00D3758B"/>
    <w:rsid w:val="00D44D49"/>
    <w:rsid w:val="00D456D0"/>
    <w:rsid w:val="00D47BF6"/>
    <w:rsid w:val="00D53607"/>
    <w:rsid w:val="00D53DC6"/>
    <w:rsid w:val="00D55153"/>
    <w:rsid w:val="00D55FED"/>
    <w:rsid w:val="00D64AD8"/>
    <w:rsid w:val="00D8300B"/>
    <w:rsid w:val="00D8690F"/>
    <w:rsid w:val="00D91330"/>
    <w:rsid w:val="00D93376"/>
    <w:rsid w:val="00D969EC"/>
    <w:rsid w:val="00DA0722"/>
    <w:rsid w:val="00DA3FD4"/>
    <w:rsid w:val="00DA6008"/>
    <w:rsid w:val="00DB1E11"/>
    <w:rsid w:val="00DB4D71"/>
    <w:rsid w:val="00DC4B78"/>
    <w:rsid w:val="00DC6164"/>
    <w:rsid w:val="00DD5EEE"/>
    <w:rsid w:val="00DF2832"/>
    <w:rsid w:val="00DF3E38"/>
    <w:rsid w:val="00DF6253"/>
    <w:rsid w:val="00E01B88"/>
    <w:rsid w:val="00E02B19"/>
    <w:rsid w:val="00E068C1"/>
    <w:rsid w:val="00E1202C"/>
    <w:rsid w:val="00E13719"/>
    <w:rsid w:val="00E20FC5"/>
    <w:rsid w:val="00E47BA7"/>
    <w:rsid w:val="00E47D76"/>
    <w:rsid w:val="00E52EEB"/>
    <w:rsid w:val="00E557B5"/>
    <w:rsid w:val="00E60E03"/>
    <w:rsid w:val="00E64B7F"/>
    <w:rsid w:val="00E70347"/>
    <w:rsid w:val="00E74365"/>
    <w:rsid w:val="00E80111"/>
    <w:rsid w:val="00E8563F"/>
    <w:rsid w:val="00EA6B1A"/>
    <w:rsid w:val="00EA7873"/>
    <w:rsid w:val="00EB4D37"/>
    <w:rsid w:val="00EB5826"/>
    <w:rsid w:val="00EC3B2B"/>
    <w:rsid w:val="00EC4C37"/>
    <w:rsid w:val="00ED434B"/>
    <w:rsid w:val="00EE5A38"/>
    <w:rsid w:val="00EF2FC8"/>
    <w:rsid w:val="00EF38A3"/>
    <w:rsid w:val="00EF6F62"/>
    <w:rsid w:val="00F03123"/>
    <w:rsid w:val="00F04FE3"/>
    <w:rsid w:val="00F15473"/>
    <w:rsid w:val="00F22950"/>
    <w:rsid w:val="00F23631"/>
    <w:rsid w:val="00F26676"/>
    <w:rsid w:val="00F26DDC"/>
    <w:rsid w:val="00F312A9"/>
    <w:rsid w:val="00F318F1"/>
    <w:rsid w:val="00F437DD"/>
    <w:rsid w:val="00F53C31"/>
    <w:rsid w:val="00F55B6B"/>
    <w:rsid w:val="00F612EF"/>
    <w:rsid w:val="00F63F4B"/>
    <w:rsid w:val="00F6643B"/>
    <w:rsid w:val="00F6658D"/>
    <w:rsid w:val="00F67AA8"/>
    <w:rsid w:val="00F7689E"/>
    <w:rsid w:val="00F77C47"/>
    <w:rsid w:val="00F80982"/>
    <w:rsid w:val="00F83C13"/>
    <w:rsid w:val="00F85068"/>
    <w:rsid w:val="00FA0E17"/>
    <w:rsid w:val="00FA7340"/>
    <w:rsid w:val="00FB16D7"/>
    <w:rsid w:val="00FB2DBC"/>
    <w:rsid w:val="00FB58C3"/>
    <w:rsid w:val="00FB73E2"/>
    <w:rsid w:val="00FB7818"/>
    <w:rsid w:val="00FC04C0"/>
    <w:rsid w:val="00FC559B"/>
    <w:rsid w:val="00FD6806"/>
    <w:rsid w:val="00FD7869"/>
    <w:rsid w:val="00FE56C7"/>
    <w:rsid w:val="00FF2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B75013-99DC-45FB-B8CF-AFDDC6F0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0E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0E3E"/>
    <w:rPr>
      <w:rFonts w:ascii="Tahoma" w:hAnsi="Tahoma" w:cs="Tahoma"/>
      <w:sz w:val="16"/>
      <w:szCs w:val="16"/>
      <w:lang w:eastAsia="en-US"/>
    </w:rPr>
  </w:style>
  <w:style w:type="table" w:styleId="TableGrid">
    <w:name w:val="Table Grid"/>
    <w:basedOn w:val="TableNormal"/>
    <w:uiPriority w:val="59"/>
    <w:rsid w:val="00202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542C"/>
    <w:pPr>
      <w:ind w:left="720"/>
      <w:contextualSpacing/>
    </w:pPr>
  </w:style>
  <w:style w:type="paragraph" w:styleId="Header">
    <w:name w:val="header"/>
    <w:basedOn w:val="Normal"/>
    <w:link w:val="HeaderChar"/>
    <w:uiPriority w:val="99"/>
    <w:unhideWhenUsed/>
    <w:rsid w:val="00833AA9"/>
    <w:pPr>
      <w:tabs>
        <w:tab w:val="center" w:pos="4513"/>
        <w:tab w:val="right" w:pos="9026"/>
      </w:tabs>
    </w:pPr>
  </w:style>
  <w:style w:type="character" w:customStyle="1" w:styleId="HeaderChar">
    <w:name w:val="Header Char"/>
    <w:link w:val="Header"/>
    <w:uiPriority w:val="99"/>
    <w:rsid w:val="00833AA9"/>
    <w:rPr>
      <w:sz w:val="22"/>
      <w:szCs w:val="22"/>
      <w:lang w:eastAsia="en-US"/>
    </w:rPr>
  </w:style>
  <w:style w:type="paragraph" w:styleId="Footer">
    <w:name w:val="footer"/>
    <w:basedOn w:val="Normal"/>
    <w:link w:val="FooterChar"/>
    <w:uiPriority w:val="99"/>
    <w:unhideWhenUsed/>
    <w:rsid w:val="00833AA9"/>
    <w:pPr>
      <w:tabs>
        <w:tab w:val="center" w:pos="4513"/>
        <w:tab w:val="right" w:pos="9026"/>
      </w:tabs>
    </w:pPr>
  </w:style>
  <w:style w:type="character" w:customStyle="1" w:styleId="FooterChar">
    <w:name w:val="Footer Char"/>
    <w:link w:val="Footer"/>
    <w:uiPriority w:val="99"/>
    <w:rsid w:val="00833AA9"/>
    <w:rPr>
      <w:sz w:val="22"/>
      <w:szCs w:val="22"/>
      <w:lang w:eastAsia="en-US"/>
    </w:rPr>
  </w:style>
  <w:style w:type="character" w:styleId="PageNumber">
    <w:name w:val="page number"/>
    <w:rsid w:val="00833AA9"/>
  </w:style>
  <w:style w:type="table" w:customStyle="1" w:styleId="TableGrid1">
    <w:name w:val="Table Grid1"/>
    <w:basedOn w:val="TableNormal"/>
    <w:next w:val="TableGrid"/>
    <w:uiPriority w:val="59"/>
    <w:rsid w:val="00833AA9"/>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17DAD"/>
    <w:rPr>
      <w:sz w:val="16"/>
      <w:szCs w:val="16"/>
    </w:rPr>
  </w:style>
  <w:style w:type="paragraph" w:styleId="CommentText">
    <w:name w:val="annotation text"/>
    <w:basedOn w:val="Normal"/>
    <w:link w:val="CommentTextChar"/>
    <w:uiPriority w:val="99"/>
    <w:semiHidden/>
    <w:unhideWhenUsed/>
    <w:rsid w:val="00B17DAD"/>
    <w:rPr>
      <w:sz w:val="20"/>
      <w:szCs w:val="20"/>
    </w:rPr>
  </w:style>
  <w:style w:type="character" w:customStyle="1" w:styleId="CommentTextChar">
    <w:name w:val="Comment Text Char"/>
    <w:link w:val="CommentText"/>
    <w:uiPriority w:val="99"/>
    <w:semiHidden/>
    <w:rsid w:val="00B17DAD"/>
    <w:rPr>
      <w:lang w:eastAsia="en-US"/>
    </w:rPr>
  </w:style>
  <w:style w:type="paragraph" w:styleId="CommentSubject">
    <w:name w:val="annotation subject"/>
    <w:basedOn w:val="CommentText"/>
    <w:next w:val="CommentText"/>
    <w:link w:val="CommentSubjectChar"/>
    <w:uiPriority w:val="99"/>
    <w:semiHidden/>
    <w:unhideWhenUsed/>
    <w:rsid w:val="00B17DAD"/>
    <w:rPr>
      <w:b/>
      <w:bCs/>
    </w:rPr>
  </w:style>
  <w:style w:type="character" w:customStyle="1" w:styleId="CommentSubjectChar">
    <w:name w:val="Comment Subject Char"/>
    <w:link w:val="CommentSubject"/>
    <w:uiPriority w:val="99"/>
    <w:semiHidden/>
    <w:rsid w:val="00B17DAD"/>
    <w:rPr>
      <w:b/>
      <w:bCs/>
      <w:lang w:eastAsia="en-US"/>
    </w:rPr>
  </w:style>
  <w:style w:type="table" w:customStyle="1" w:styleId="TableGrid2">
    <w:name w:val="Table Grid2"/>
    <w:basedOn w:val="TableNormal"/>
    <w:next w:val="TableGrid"/>
    <w:uiPriority w:val="59"/>
    <w:rsid w:val="00D0103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D473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D473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75A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C05616"/>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A038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0938">
      <w:bodyDiv w:val="1"/>
      <w:marLeft w:val="0"/>
      <w:marRight w:val="0"/>
      <w:marTop w:val="0"/>
      <w:marBottom w:val="0"/>
      <w:divBdr>
        <w:top w:val="none" w:sz="0" w:space="0" w:color="auto"/>
        <w:left w:val="none" w:sz="0" w:space="0" w:color="auto"/>
        <w:bottom w:val="none" w:sz="0" w:space="0" w:color="auto"/>
        <w:right w:val="none" w:sz="0" w:space="0" w:color="auto"/>
      </w:divBdr>
    </w:div>
    <w:div w:id="53436880">
      <w:bodyDiv w:val="1"/>
      <w:marLeft w:val="0"/>
      <w:marRight w:val="0"/>
      <w:marTop w:val="0"/>
      <w:marBottom w:val="0"/>
      <w:divBdr>
        <w:top w:val="none" w:sz="0" w:space="0" w:color="auto"/>
        <w:left w:val="none" w:sz="0" w:space="0" w:color="auto"/>
        <w:bottom w:val="none" w:sz="0" w:space="0" w:color="auto"/>
        <w:right w:val="none" w:sz="0" w:space="0" w:color="auto"/>
      </w:divBdr>
    </w:div>
    <w:div w:id="64644809">
      <w:bodyDiv w:val="1"/>
      <w:marLeft w:val="0"/>
      <w:marRight w:val="0"/>
      <w:marTop w:val="0"/>
      <w:marBottom w:val="0"/>
      <w:divBdr>
        <w:top w:val="none" w:sz="0" w:space="0" w:color="auto"/>
        <w:left w:val="none" w:sz="0" w:space="0" w:color="auto"/>
        <w:bottom w:val="none" w:sz="0" w:space="0" w:color="auto"/>
        <w:right w:val="none" w:sz="0" w:space="0" w:color="auto"/>
      </w:divBdr>
    </w:div>
    <w:div w:id="78411537">
      <w:bodyDiv w:val="1"/>
      <w:marLeft w:val="0"/>
      <w:marRight w:val="0"/>
      <w:marTop w:val="0"/>
      <w:marBottom w:val="0"/>
      <w:divBdr>
        <w:top w:val="none" w:sz="0" w:space="0" w:color="auto"/>
        <w:left w:val="none" w:sz="0" w:space="0" w:color="auto"/>
        <w:bottom w:val="none" w:sz="0" w:space="0" w:color="auto"/>
        <w:right w:val="none" w:sz="0" w:space="0" w:color="auto"/>
      </w:divBdr>
    </w:div>
    <w:div w:id="132718764">
      <w:bodyDiv w:val="1"/>
      <w:marLeft w:val="0"/>
      <w:marRight w:val="0"/>
      <w:marTop w:val="0"/>
      <w:marBottom w:val="0"/>
      <w:divBdr>
        <w:top w:val="none" w:sz="0" w:space="0" w:color="auto"/>
        <w:left w:val="none" w:sz="0" w:space="0" w:color="auto"/>
        <w:bottom w:val="none" w:sz="0" w:space="0" w:color="auto"/>
        <w:right w:val="none" w:sz="0" w:space="0" w:color="auto"/>
      </w:divBdr>
    </w:div>
    <w:div w:id="137036174">
      <w:bodyDiv w:val="1"/>
      <w:marLeft w:val="0"/>
      <w:marRight w:val="0"/>
      <w:marTop w:val="0"/>
      <w:marBottom w:val="0"/>
      <w:divBdr>
        <w:top w:val="none" w:sz="0" w:space="0" w:color="auto"/>
        <w:left w:val="none" w:sz="0" w:space="0" w:color="auto"/>
        <w:bottom w:val="none" w:sz="0" w:space="0" w:color="auto"/>
        <w:right w:val="none" w:sz="0" w:space="0" w:color="auto"/>
      </w:divBdr>
    </w:div>
    <w:div w:id="211431478">
      <w:bodyDiv w:val="1"/>
      <w:marLeft w:val="0"/>
      <w:marRight w:val="0"/>
      <w:marTop w:val="0"/>
      <w:marBottom w:val="0"/>
      <w:divBdr>
        <w:top w:val="none" w:sz="0" w:space="0" w:color="auto"/>
        <w:left w:val="none" w:sz="0" w:space="0" w:color="auto"/>
        <w:bottom w:val="none" w:sz="0" w:space="0" w:color="auto"/>
        <w:right w:val="none" w:sz="0" w:space="0" w:color="auto"/>
      </w:divBdr>
    </w:div>
    <w:div w:id="261650851">
      <w:bodyDiv w:val="1"/>
      <w:marLeft w:val="0"/>
      <w:marRight w:val="0"/>
      <w:marTop w:val="0"/>
      <w:marBottom w:val="0"/>
      <w:divBdr>
        <w:top w:val="none" w:sz="0" w:space="0" w:color="auto"/>
        <w:left w:val="none" w:sz="0" w:space="0" w:color="auto"/>
        <w:bottom w:val="none" w:sz="0" w:space="0" w:color="auto"/>
        <w:right w:val="none" w:sz="0" w:space="0" w:color="auto"/>
      </w:divBdr>
    </w:div>
    <w:div w:id="296450510">
      <w:bodyDiv w:val="1"/>
      <w:marLeft w:val="0"/>
      <w:marRight w:val="0"/>
      <w:marTop w:val="0"/>
      <w:marBottom w:val="0"/>
      <w:divBdr>
        <w:top w:val="none" w:sz="0" w:space="0" w:color="auto"/>
        <w:left w:val="none" w:sz="0" w:space="0" w:color="auto"/>
        <w:bottom w:val="none" w:sz="0" w:space="0" w:color="auto"/>
        <w:right w:val="none" w:sz="0" w:space="0" w:color="auto"/>
      </w:divBdr>
    </w:div>
    <w:div w:id="350496266">
      <w:bodyDiv w:val="1"/>
      <w:marLeft w:val="0"/>
      <w:marRight w:val="0"/>
      <w:marTop w:val="0"/>
      <w:marBottom w:val="0"/>
      <w:divBdr>
        <w:top w:val="none" w:sz="0" w:space="0" w:color="auto"/>
        <w:left w:val="none" w:sz="0" w:space="0" w:color="auto"/>
        <w:bottom w:val="none" w:sz="0" w:space="0" w:color="auto"/>
        <w:right w:val="none" w:sz="0" w:space="0" w:color="auto"/>
      </w:divBdr>
    </w:div>
    <w:div w:id="374700306">
      <w:bodyDiv w:val="1"/>
      <w:marLeft w:val="0"/>
      <w:marRight w:val="0"/>
      <w:marTop w:val="0"/>
      <w:marBottom w:val="0"/>
      <w:divBdr>
        <w:top w:val="none" w:sz="0" w:space="0" w:color="auto"/>
        <w:left w:val="none" w:sz="0" w:space="0" w:color="auto"/>
        <w:bottom w:val="none" w:sz="0" w:space="0" w:color="auto"/>
        <w:right w:val="none" w:sz="0" w:space="0" w:color="auto"/>
      </w:divBdr>
    </w:div>
    <w:div w:id="408313678">
      <w:bodyDiv w:val="1"/>
      <w:marLeft w:val="0"/>
      <w:marRight w:val="0"/>
      <w:marTop w:val="0"/>
      <w:marBottom w:val="0"/>
      <w:divBdr>
        <w:top w:val="none" w:sz="0" w:space="0" w:color="auto"/>
        <w:left w:val="none" w:sz="0" w:space="0" w:color="auto"/>
        <w:bottom w:val="none" w:sz="0" w:space="0" w:color="auto"/>
        <w:right w:val="none" w:sz="0" w:space="0" w:color="auto"/>
      </w:divBdr>
    </w:div>
    <w:div w:id="417601540">
      <w:bodyDiv w:val="1"/>
      <w:marLeft w:val="0"/>
      <w:marRight w:val="0"/>
      <w:marTop w:val="0"/>
      <w:marBottom w:val="0"/>
      <w:divBdr>
        <w:top w:val="none" w:sz="0" w:space="0" w:color="auto"/>
        <w:left w:val="none" w:sz="0" w:space="0" w:color="auto"/>
        <w:bottom w:val="none" w:sz="0" w:space="0" w:color="auto"/>
        <w:right w:val="none" w:sz="0" w:space="0" w:color="auto"/>
      </w:divBdr>
    </w:div>
    <w:div w:id="425075143">
      <w:bodyDiv w:val="1"/>
      <w:marLeft w:val="0"/>
      <w:marRight w:val="0"/>
      <w:marTop w:val="0"/>
      <w:marBottom w:val="0"/>
      <w:divBdr>
        <w:top w:val="none" w:sz="0" w:space="0" w:color="auto"/>
        <w:left w:val="none" w:sz="0" w:space="0" w:color="auto"/>
        <w:bottom w:val="none" w:sz="0" w:space="0" w:color="auto"/>
        <w:right w:val="none" w:sz="0" w:space="0" w:color="auto"/>
      </w:divBdr>
    </w:div>
    <w:div w:id="500127732">
      <w:bodyDiv w:val="1"/>
      <w:marLeft w:val="0"/>
      <w:marRight w:val="0"/>
      <w:marTop w:val="0"/>
      <w:marBottom w:val="0"/>
      <w:divBdr>
        <w:top w:val="none" w:sz="0" w:space="0" w:color="auto"/>
        <w:left w:val="none" w:sz="0" w:space="0" w:color="auto"/>
        <w:bottom w:val="none" w:sz="0" w:space="0" w:color="auto"/>
        <w:right w:val="none" w:sz="0" w:space="0" w:color="auto"/>
      </w:divBdr>
    </w:div>
    <w:div w:id="542130865">
      <w:bodyDiv w:val="1"/>
      <w:marLeft w:val="0"/>
      <w:marRight w:val="0"/>
      <w:marTop w:val="0"/>
      <w:marBottom w:val="0"/>
      <w:divBdr>
        <w:top w:val="none" w:sz="0" w:space="0" w:color="auto"/>
        <w:left w:val="none" w:sz="0" w:space="0" w:color="auto"/>
        <w:bottom w:val="none" w:sz="0" w:space="0" w:color="auto"/>
        <w:right w:val="none" w:sz="0" w:space="0" w:color="auto"/>
      </w:divBdr>
    </w:div>
    <w:div w:id="546261776">
      <w:bodyDiv w:val="1"/>
      <w:marLeft w:val="0"/>
      <w:marRight w:val="0"/>
      <w:marTop w:val="0"/>
      <w:marBottom w:val="0"/>
      <w:divBdr>
        <w:top w:val="none" w:sz="0" w:space="0" w:color="auto"/>
        <w:left w:val="none" w:sz="0" w:space="0" w:color="auto"/>
        <w:bottom w:val="none" w:sz="0" w:space="0" w:color="auto"/>
        <w:right w:val="none" w:sz="0" w:space="0" w:color="auto"/>
      </w:divBdr>
    </w:div>
    <w:div w:id="561872400">
      <w:bodyDiv w:val="1"/>
      <w:marLeft w:val="0"/>
      <w:marRight w:val="0"/>
      <w:marTop w:val="0"/>
      <w:marBottom w:val="0"/>
      <w:divBdr>
        <w:top w:val="none" w:sz="0" w:space="0" w:color="auto"/>
        <w:left w:val="none" w:sz="0" w:space="0" w:color="auto"/>
        <w:bottom w:val="none" w:sz="0" w:space="0" w:color="auto"/>
        <w:right w:val="none" w:sz="0" w:space="0" w:color="auto"/>
      </w:divBdr>
    </w:div>
    <w:div w:id="598172997">
      <w:bodyDiv w:val="1"/>
      <w:marLeft w:val="0"/>
      <w:marRight w:val="0"/>
      <w:marTop w:val="0"/>
      <w:marBottom w:val="0"/>
      <w:divBdr>
        <w:top w:val="none" w:sz="0" w:space="0" w:color="auto"/>
        <w:left w:val="none" w:sz="0" w:space="0" w:color="auto"/>
        <w:bottom w:val="none" w:sz="0" w:space="0" w:color="auto"/>
        <w:right w:val="none" w:sz="0" w:space="0" w:color="auto"/>
      </w:divBdr>
    </w:div>
    <w:div w:id="599875378">
      <w:bodyDiv w:val="1"/>
      <w:marLeft w:val="0"/>
      <w:marRight w:val="0"/>
      <w:marTop w:val="0"/>
      <w:marBottom w:val="0"/>
      <w:divBdr>
        <w:top w:val="none" w:sz="0" w:space="0" w:color="auto"/>
        <w:left w:val="none" w:sz="0" w:space="0" w:color="auto"/>
        <w:bottom w:val="none" w:sz="0" w:space="0" w:color="auto"/>
        <w:right w:val="none" w:sz="0" w:space="0" w:color="auto"/>
      </w:divBdr>
    </w:div>
    <w:div w:id="642779451">
      <w:bodyDiv w:val="1"/>
      <w:marLeft w:val="0"/>
      <w:marRight w:val="0"/>
      <w:marTop w:val="0"/>
      <w:marBottom w:val="0"/>
      <w:divBdr>
        <w:top w:val="none" w:sz="0" w:space="0" w:color="auto"/>
        <w:left w:val="none" w:sz="0" w:space="0" w:color="auto"/>
        <w:bottom w:val="none" w:sz="0" w:space="0" w:color="auto"/>
        <w:right w:val="none" w:sz="0" w:space="0" w:color="auto"/>
      </w:divBdr>
    </w:div>
    <w:div w:id="648439529">
      <w:bodyDiv w:val="1"/>
      <w:marLeft w:val="0"/>
      <w:marRight w:val="0"/>
      <w:marTop w:val="0"/>
      <w:marBottom w:val="0"/>
      <w:divBdr>
        <w:top w:val="none" w:sz="0" w:space="0" w:color="auto"/>
        <w:left w:val="none" w:sz="0" w:space="0" w:color="auto"/>
        <w:bottom w:val="none" w:sz="0" w:space="0" w:color="auto"/>
        <w:right w:val="none" w:sz="0" w:space="0" w:color="auto"/>
      </w:divBdr>
    </w:div>
    <w:div w:id="673263208">
      <w:bodyDiv w:val="1"/>
      <w:marLeft w:val="0"/>
      <w:marRight w:val="0"/>
      <w:marTop w:val="0"/>
      <w:marBottom w:val="0"/>
      <w:divBdr>
        <w:top w:val="none" w:sz="0" w:space="0" w:color="auto"/>
        <w:left w:val="none" w:sz="0" w:space="0" w:color="auto"/>
        <w:bottom w:val="none" w:sz="0" w:space="0" w:color="auto"/>
        <w:right w:val="none" w:sz="0" w:space="0" w:color="auto"/>
      </w:divBdr>
    </w:div>
    <w:div w:id="722408095">
      <w:bodyDiv w:val="1"/>
      <w:marLeft w:val="0"/>
      <w:marRight w:val="0"/>
      <w:marTop w:val="0"/>
      <w:marBottom w:val="0"/>
      <w:divBdr>
        <w:top w:val="none" w:sz="0" w:space="0" w:color="auto"/>
        <w:left w:val="none" w:sz="0" w:space="0" w:color="auto"/>
        <w:bottom w:val="none" w:sz="0" w:space="0" w:color="auto"/>
        <w:right w:val="none" w:sz="0" w:space="0" w:color="auto"/>
      </w:divBdr>
    </w:div>
    <w:div w:id="729117533">
      <w:bodyDiv w:val="1"/>
      <w:marLeft w:val="0"/>
      <w:marRight w:val="0"/>
      <w:marTop w:val="0"/>
      <w:marBottom w:val="0"/>
      <w:divBdr>
        <w:top w:val="none" w:sz="0" w:space="0" w:color="auto"/>
        <w:left w:val="none" w:sz="0" w:space="0" w:color="auto"/>
        <w:bottom w:val="none" w:sz="0" w:space="0" w:color="auto"/>
        <w:right w:val="none" w:sz="0" w:space="0" w:color="auto"/>
      </w:divBdr>
    </w:div>
    <w:div w:id="731076368">
      <w:bodyDiv w:val="1"/>
      <w:marLeft w:val="0"/>
      <w:marRight w:val="0"/>
      <w:marTop w:val="0"/>
      <w:marBottom w:val="0"/>
      <w:divBdr>
        <w:top w:val="none" w:sz="0" w:space="0" w:color="auto"/>
        <w:left w:val="none" w:sz="0" w:space="0" w:color="auto"/>
        <w:bottom w:val="none" w:sz="0" w:space="0" w:color="auto"/>
        <w:right w:val="none" w:sz="0" w:space="0" w:color="auto"/>
      </w:divBdr>
    </w:div>
    <w:div w:id="737047152">
      <w:bodyDiv w:val="1"/>
      <w:marLeft w:val="0"/>
      <w:marRight w:val="0"/>
      <w:marTop w:val="0"/>
      <w:marBottom w:val="0"/>
      <w:divBdr>
        <w:top w:val="none" w:sz="0" w:space="0" w:color="auto"/>
        <w:left w:val="none" w:sz="0" w:space="0" w:color="auto"/>
        <w:bottom w:val="none" w:sz="0" w:space="0" w:color="auto"/>
        <w:right w:val="none" w:sz="0" w:space="0" w:color="auto"/>
      </w:divBdr>
    </w:div>
    <w:div w:id="793984203">
      <w:bodyDiv w:val="1"/>
      <w:marLeft w:val="0"/>
      <w:marRight w:val="0"/>
      <w:marTop w:val="0"/>
      <w:marBottom w:val="0"/>
      <w:divBdr>
        <w:top w:val="none" w:sz="0" w:space="0" w:color="auto"/>
        <w:left w:val="none" w:sz="0" w:space="0" w:color="auto"/>
        <w:bottom w:val="none" w:sz="0" w:space="0" w:color="auto"/>
        <w:right w:val="none" w:sz="0" w:space="0" w:color="auto"/>
      </w:divBdr>
    </w:div>
    <w:div w:id="803548049">
      <w:bodyDiv w:val="1"/>
      <w:marLeft w:val="0"/>
      <w:marRight w:val="0"/>
      <w:marTop w:val="0"/>
      <w:marBottom w:val="0"/>
      <w:divBdr>
        <w:top w:val="none" w:sz="0" w:space="0" w:color="auto"/>
        <w:left w:val="none" w:sz="0" w:space="0" w:color="auto"/>
        <w:bottom w:val="none" w:sz="0" w:space="0" w:color="auto"/>
        <w:right w:val="none" w:sz="0" w:space="0" w:color="auto"/>
      </w:divBdr>
    </w:div>
    <w:div w:id="835729356">
      <w:bodyDiv w:val="1"/>
      <w:marLeft w:val="0"/>
      <w:marRight w:val="0"/>
      <w:marTop w:val="0"/>
      <w:marBottom w:val="0"/>
      <w:divBdr>
        <w:top w:val="none" w:sz="0" w:space="0" w:color="auto"/>
        <w:left w:val="none" w:sz="0" w:space="0" w:color="auto"/>
        <w:bottom w:val="none" w:sz="0" w:space="0" w:color="auto"/>
        <w:right w:val="none" w:sz="0" w:space="0" w:color="auto"/>
      </w:divBdr>
    </w:div>
    <w:div w:id="838227986">
      <w:bodyDiv w:val="1"/>
      <w:marLeft w:val="0"/>
      <w:marRight w:val="0"/>
      <w:marTop w:val="0"/>
      <w:marBottom w:val="0"/>
      <w:divBdr>
        <w:top w:val="none" w:sz="0" w:space="0" w:color="auto"/>
        <w:left w:val="none" w:sz="0" w:space="0" w:color="auto"/>
        <w:bottom w:val="none" w:sz="0" w:space="0" w:color="auto"/>
        <w:right w:val="none" w:sz="0" w:space="0" w:color="auto"/>
      </w:divBdr>
    </w:div>
    <w:div w:id="839850198">
      <w:bodyDiv w:val="1"/>
      <w:marLeft w:val="0"/>
      <w:marRight w:val="0"/>
      <w:marTop w:val="0"/>
      <w:marBottom w:val="0"/>
      <w:divBdr>
        <w:top w:val="none" w:sz="0" w:space="0" w:color="auto"/>
        <w:left w:val="none" w:sz="0" w:space="0" w:color="auto"/>
        <w:bottom w:val="none" w:sz="0" w:space="0" w:color="auto"/>
        <w:right w:val="none" w:sz="0" w:space="0" w:color="auto"/>
      </w:divBdr>
    </w:div>
    <w:div w:id="843281413">
      <w:bodyDiv w:val="1"/>
      <w:marLeft w:val="0"/>
      <w:marRight w:val="0"/>
      <w:marTop w:val="0"/>
      <w:marBottom w:val="0"/>
      <w:divBdr>
        <w:top w:val="none" w:sz="0" w:space="0" w:color="auto"/>
        <w:left w:val="none" w:sz="0" w:space="0" w:color="auto"/>
        <w:bottom w:val="none" w:sz="0" w:space="0" w:color="auto"/>
        <w:right w:val="none" w:sz="0" w:space="0" w:color="auto"/>
      </w:divBdr>
    </w:div>
    <w:div w:id="852260243">
      <w:bodyDiv w:val="1"/>
      <w:marLeft w:val="0"/>
      <w:marRight w:val="0"/>
      <w:marTop w:val="0"/>
      <w:marBottom w:val="0"/>
      <w:divBdr>
        <w:top w:val="none" w:sz="0" w:space="0" w:color="auto"/>
        <w:left w:val="none" w:sz="0" w:space="0" w:color="auto"/>
        <w:bottom w:val="none" w:sz="0" w:space="0" w:color="auto"/>
        <w:right w:val="none" w:sz="0" w:space="0" w:color="auto"/>
      </w:divBdr>
    </w:div>
    <w:div w:id="890116170">
      <w:bodyDiv w:val="1"/>
      <w:marLeft w:val="0"/>
      <w:marRight w:val="0"/>
      <w:marTop w:val="0"/>
      <w:marBottom w:val="0"/>
      <w:divBdr>
        <w:top w:val="none" w:sz="0" w:space="0" w:color="auto"/>
        <w:left w:val="none" w:sz="0" w:space="0" w:color="auto"/>
        <w:bottom w:val="none" w:sz="0" w:space="0" w:color="auto"/>
        <w:right w:val="none" w:sz="0" w:space="0" w:color="auto"/>
      </w:divBdr>
    </w:div>
    <w:div w:id="906451355">
      <w:bodyDiv w:val="1"/>
      <w:marLeft w:val="0"/>
      <w:marRight w:val="0"/>
      <w:marTop w:val="0"/>
      <w:marBottom w:val="0"/>
      <w:divBdr>
        <w:top w:val="none" w:sz="0" w:space="0" w:color="auto"/>
        <w:left w:val="none" w:sz="0" w:space="0" w:color="auto"/>
        <w:bottom w:val="none" w:sz="0" w:space="0" w:color="auto"/>
        <w:right w:val="none" w:sz="0" w:space="0" w:color="auto"/>
      </w:divBdr>
    </w:div>
    <w:div w:id="911889926">
      <w:bodyDiv w:val="1"/>
      <w:marLeft w:val="0"/>
      <w:marRight w:val="0"/>
      <w:marTop w:val="0"/>
      <w:marBottom w:val="0"/>
      <w:divBdr>
        <w:top w:val="none" w:sz="0" w:space="0" w:color="auto"/>
        <w:left w:val="none" w:sz="0" w:space="0" w:color="auto"/>
        <w:bottom w:val="none" w:sz="0" w:space="0" w:color="auto"/>
        <w:right w:val="none" w:sz="0" w:space="0" w:color="auto"/>
      </w:divBdr>
    </w:div>
    <w:div w:id="948774465">
      <w:bodyDiv w:val="1"/>
      <w:marLeft w:val="0"/>
      <w:marRight w:val="0"/>
      <w:marTop w:val="0"/>
      <w:marBottom w:val="0"/>
      <w:divBdr>
        <w:top w:val="none" w:sz="0" w:space="0" w:color="auto"/>
        <w:left w:val="none" w:sz="0" w:space="0" w:color="auto"/>
        <w:bottom w:val="none" w:sz="0" w:space="0" w:color="auto"/>
        <w:right w:val="none" w:sz="0" w:space="0" w:color="auto"/>
      </w:divBdr>
    </w:div>
    <w:div w:id="960569517">
      <w:bodyDiv w:val="1"/>
      <w:marLeft w:val="0"/>
      <w:marRight w:val="0"/>
      <w:marTop w:val="0"/>
      <w:marBottom w:val="0"/>
      <w:divBdr>
        <w:top w:val="none" w:sz="0" w:space="0" w:color="auto"/>
        <w:left w:val="none" w:sz="0" w:space="0" w:color="auto"/>
        <w:bottom w:val="none" w:sz="0" w:space="0" w:color="auto"/>
        <w:right w:val="none" w:sz="0" w:space="0" w:color="auto"/>
      </w:divBdr>
    </w:div>
    <w:div w:id="1034621420">
      <w:bodyDiv w:val="1"/>
      <w:marLeft w:val="0"/>
      <w:marRight w:val="0"/>
      <w:marTop w:val="0"/>
      <w:marBottom w:val="0"/>
      <w:divBdr>
        <w:top w:val="none" w:sz="0" w:space="0" w:color="auto"/>
        <w:left w:val="none" w:sz="0" w:space="0" w:color="auto"/>
        <w:bottom w:val="none" w:sz="0" w:space="0" w:color="auto"/>
        <w:right w:val="none" w:sz="0" w:space="0" w:color="auto"/>
      </w:divBdr>
    </w:div>
    <w:div w:id="1038358385">
      <w:bodyDiv w:val="1"/>
      <w:marLeft w:val="0"/>
      <w:marRight w:val="0"/>
      <w:marTop w:val="0"/>
      <w:marBottom w:val="0"/>
      <w:divBdr>
        <w:top w:val="none" w:sz="0" w:space="0" w:color="auto"/>
        <w:left w:val="none" w:sz="0" w:space="0" w:color="auto"/>
        <w:bottom w:val="none" w:sz="0" w:space="0" w:color="auto"/>
        <w:right w:val="none" w:sz="0" w:space="0" w:color="auto"/>
      </w:divBdr>
    </w:div>
    <w:div w:id="1041128042">
      <w:bodyDiv w:val="1"/>
      <w:marLeft w:val="0"/>
      <w:marRight w:val="0"/>
      <w:marTop w:val="0"/>
      <w:marBottom w:val="0"/>
      <w:divBdr>
        <w:top w:val="none" w:sz="0" w:space="0" w:color="auto"/>
        <w:left w:val="none" w:sz="0" w:space="0" w:color="auto"/>
        <w:bottom w:val="none" w:sz="0" w:space="0" w:color="auto"/>
        <w:right w:val="none" w:sz="0" w:space="0" w:color="auto"/>
      </w:divBdr>
    </w:div>
    <w:div w:id="1067722426">
      <w:bodyDiv w:val="1"/>
      <w:marLeft w:val="0"/>
      <w:marRight w:val="0"/>
      <w:marTop w:val="0"/>
      <w:marBottom w:val="0"/>
      <w:divBdr>
        <w:top w:val="none" w:sz="0" w:space="0" w:color="auto"/>
        <w:left w:val="none" w:sz="0" w:space="0" w:color="auto"/>
        <w:bottom w:val="none" w:sz="0" w:space="0" w:color="auto"/>
        <w:right w:val="none" w:sz="0" w:space="0" w:color="auto"/>
      </w:divBdr>
    </w:div>
    <w:div w:id="1081020950">
      <w:bodyDiv w:val="1"/>
      <w:marLeft w:val="0"/>
      <w:marRight w:val="0"/>
      <w:marTop w:val="0"/>
      <w:marBottom w:val="0"/>
      <w:divBdr>
        <w:top w:val="none" w:sz="0" w:space="0" w:color="auto"/>
        <w:left w:val="none" w:sz="0" w:space="0" w:color="auto"/>
        <w:bottom w:val="none" w:sz="0" w:space="0" w:color="auto"/>
        <w:right w:val="none" w:sz="0" w:space="0" w:color="auto"/>
      </w:divBdr>
    </w:div>
    <w:div w:id="1106539128">
      <w:bodyDiv w:val="1"/>
      <w:marLeft w:val="0"/>
      <w:marRight w:val="0"/>
      <w:marTop w:val="0"/>
      <w:marBottom w:val="0"/>
      <w:divBdr>
        <w:top w:val="none" w:sz="0" w:space="0" w:color="auto"/>
        <w:left w:val="none" w:sz="0" w:space="0" w:color="auto"/>
        <w:bottom w:val="none" w:sz="0" w:space="0" w:color="auto"/>
        <w:right w:val="none" w:sz="0" w:space="0" w:color="auto"/>
      </w:divBdr>
    </w:div>
    <w:div w:id="1128283589">
      <w:bodyDiv w:val="1"/>
      <w:marLeft w:val="0"/>
      <w:marRight w:val="0"/>
      <w:marTop w:val="0"/>
      <w:marBottom w:val="0"/>
      <w:divBdr>
        <w:top w:val="none" w:sz="0" w:space="0" w:color="auto"/>
        <w:left w:val="none" w:sz="0" w:space="0" w:color="auto"/>
        <w:bottom w:val="none" w:sz="0" w:space="0" w:color="auto"/>
        <w:right w:val="none" w:sz="0" w:space="0" w:color="auto"/>
      </w:divBdr>
    </w:div>
    <w:div w:id="1170216002">
      <w:bodyDiv w:val="1"/>
      <w:marLeft w:val="0"/>
      <w:marRight w:val="0"/>
      <w:marTop w:val="0"/>
      <w:marBottom w:val="0"/>
      <w:divBdr>
        <w:top w:val="none" w:sz="0" w:space="0" w:color="auto"/>
        <w:left w:val="none" w:sz="0" w:space="0" w:color="auto"/>
        <w:bottom w:val="none" w:sz="0" w:space="0" w:color="auto"/>
        <w:right w:val="none" w:sz="0" w:space="0" w:color="auto"/>
      </w:divBdr>
    </w:div>
    <w:div w:id="1175462090">
      <w:bodyDiv w:val="1"/>
      <w:marLeft w:val="0"/>
      <w:marRight w:val="0"/>
      <w:marTop w:val="0"/>
      <w:marBottom w:val="0"/>
      <w:divBdr>
        <w:top w:val="none" w:sz="0" w:space="0" w:color="auto"/>
        <w:left w:val="none" w:sz="0" w:space="0" w:color="auto"/>
        <w:bottom w:val="none" w:sz="0" w:space="0" w:color="auto"/>
        <w:right w:val="none" w:sz="0" w:space="0" w:color="auto"/>
      </w:divBdr>
    </w:div>
    <w:div w:id="1179346539">
      <w:bodyDiv w:val="1"/>
      <w:marLeft w:val="0"/>
      <w:marRight w:val="0"/>
      <w:marTop w:val="0"/>
      <w:marBottom w:val="0"/>
      <w:divBdr>
        <w:top w:val="none" w:sz="0" w:space="0" w:color="auto"/>
        <w:left w:val="none" w:sz="0" w:space="0" w:color="auto"/>
        <w:bottom w:val="none" w:sz="0" w:space="0" w:color="auto"/>
        <w:right w:val="none" w:sz="0" w:space="0" w:color="auto"/>
      </w:divBdr>
    </w:div>
    <w:div w:id="1227493365">
      <w:bodyDiv w:val="1"/>
      <w:marLeft w:val="0"/>
      <w:marRight w:val="0"/>
      <w:marTop w:val="0"/>
      <w:marBottom w:val="0"/>
      <w:divBdr>
        <w:top w:val="none" w:sz="0" w:space="0" w:color="auto"/>
        <w:left w:val="none" w:sz="0" w:space="0" w:color="auto"/>
        <w:bottom w:val="none" w:sz="0" w:space="0" w:color="auto"/>
        <w:right w:val="none" w:sz="0" w:space="0" w:color="auto"/>
      </w:divBdr>
    </w:div>
    <w:div w:id="1380588510">
      <w:bodyDiv w:val="1"/>
      <w:marLeft w:val="0"/>
      <w:marRight w:val="0"/>
      <w:marTop w:val="0"/>
      <w:marBottom w:val="0"/>
      <w:divBdr>
        <w:top w:val="none" w:sz="0" w:space="0" w:color="auto"/>
        <w:left w:val="none" w:sz="0" w:space="0" w:color="auto"/>
        <w:bottom w:val="none" w:sz="0" w:space="0" w:color="auto"/>
        <w:right w:val="none" w:sz="0" w:space="0" w:color="auto"/>
      </w:divBdr>
    </w:div>
    <w:div w:id="1384139251">
      <w:bodyDiv w:val="1"/>
      <w:marLeft w:val="0"/>
      <w:marRight w:val="0"/>
      <w:marTop w:val="0"/>
      <w:marBottom w:val="0"/>
      <w:divBdr>
        <w:top w:val="none" w:sz="0" w:space="0" w:color="auto"/>
        <w:left w:val="none" w:sz="0" w:space="0" w:color="auto"/>
        <w:bottom w:val="none" w:sz="0" w:space="0" w:color="auto"/>
        <w:right w:val="none" w:sz="0" w:space="0" w:color="auto"/>
      </w:divBdr>
    </w:div>
    <w:div w:id="1392119986">
      <w:bodyDiv w:val="1"/>
      <w:marLeft w:val="0"/>
      <w:marRight w:val="0"/>
      <w:marTop w:val="0"/>
      <w:marBottom w:val="0"/>
      <w:divBdr>
        <w:top w:val="none" w:sz="0" w:space="0" w:color="auto"/>
        <w:left w:val="none" w:sz="0" w:space="0" w:color="auto"/>
        <w:bottom w:val="none" w:sz="0" w:space="0" w:color="auto"/>
        <w:right w:val="none" w:sz="0" w:space="0" w:color="auto"/>
      </w:divBdr>
    </w:div>
    <w:div w:id="1449812270">
      <w:bodyDiv w:val="1"/>
      <w:marLeft w:val="0"/>
      <w:marRight w:val="0"/>
      <w:marTop w:val="0"/>
      <w:marBottom w:val="0"/>
      <w:divBdr>
        <w:top w:val="none" w:sz="0" w:space="0" w:color="auto"/>
        <w:left w:val="none" w:sz="0" w:space="0" w:color="auto"/>
        <w:bottom w:val="none" w:sz="0" w:space="0" w:color="auto"/>
        <w:right w:val="none" w:sz="0" w:space="0" w:color="auto"/>
      </w:divBdr>
    </w:div>
    <w:div w:id="1478764515">
      <w:bodyDiv w:val="1"/>
      <w:marLeft w:val="0"/>
      <w:marRight w:val="0"/>
      <w:marTop w:val="0"/>
      <w:marBottom w:val="0"/>
      <w:divBdr>
        <w:top w:val="none" w:sz="0" w:space="0" w:color="auto"/>
        <w:left w:val="none" w:sz="0" w:space="0" w:color="auto"/>
        <w:bottom w:val="none" w:sz="0" w:space="0" w:color="auto"/>
        <w:right w:val="none" w:sz="0" w:space="0" w:color="auto"/>
      </w:divBdr>
    </w:div>
    <w:div w:id="1517495509">
      <w:bodyDiv w:val="1"/>
      <w:marLeft w:val="0"/>
      <w:marRight w:val="0"/>
      <w:marTop w:val="0"/>
      <w:marBottom w:val="0"/>
      <w:divBdr>
        <w:top w:val="none" w:sz="0" w:space="0" w:color="auto"/>
        <w:left w:val="none" w:sz="0" w:space="0" w:color="auto"/>
        <w:bottom w:val="none" w:sz="0" w:space="0" w:color="auto"/>
        <w:right w:val="none" w:sz="0" w:space="0" w:color="auto"/>
      </w:divBdr>
    </w:div>
    <w:div w:id="1539511629">
      <w:bodyDiv w:val="1"/>
      <w:marLeft w:val="0"/>
      <w:marRight w:val="0"/>
      <w:marTop w:val="0"/>
      <w:marBottom w:val="0"/>
      <w:divBdr>
        <w:top w:val="none" w:sz="0" w:space="0" w:color="auto"/>
        <w:left w:val="none" w:sz="0" w:space="0" w:color="auto"/>
        <w:bottom w:val="none" w:sz="0" w:space="0" w:color="auto"/>
        <w:right w:val="none" w:sz="0" w:space="0" w:color="auto"/>
      </w:divBdr>
    </w:div>
    <w:div w:id="1546672799">
      <w:bodyDiv w:val="1"/>
      <w:marLeft w:val="0"/>
      <w:marRight w:val="0"/>
      <w:marTop w:val="0"/>
      <w:marBottom w:val="0"/>
      <w:divBdr>
        <w:top w:val="none" w:sz="0" w:space="0" w:color="auto"/>
        <w:left w:val="none" w:sz="0" w:space="0" w:color="auto"/>
        <w:bottom w:val="none" w:sz="0" w:space="0" w:color="auto"/>
        <w:right w:val="none" w:sz="0" w:space="0" w:color="auto"/>
      </w:divBdr>
    </w:div>
    <w:div w:id="1558274999">
      <w:bodyDiv w:val="1"/>
      <w:marLeft w:val="0"/>
      <w:marRight w:val="0"/>
      <w:marTop w:val="0"/>
      <w:marBottom w:val="0"/>
      <w:divBdr>
        <w:top w:val="none" w:sz="0" w:space="0" w:color="auto"/>
        <w:left w:val="none" w:sz="0" w:space="0" w:color="auto"/>
        <w:bottom w:val="none" w:sz="0" w:space="0" w:color="auto"/>
        <w:right w:val="none" w:sz="0" w:space="0" w:color="auto"/>
      </w:divBdr>
    </w:div>
    <w:div w:id="1581673795">
      <w:bodyDiv w:val="1"/>
      <w:marLeft w:val="0"/>
      <w:marRight w:val="0"/>
      <w:marTop w:val="0"/>
      <w:marBottom w:val="0"/>
      <w:divBdr>
        <w:top w:val="none" w:sz="0" w:space="0" w:color="auto"/>
        <w:left w:val="none" w:sz="0" w:space="0" w:color="auto"/>
        <w:bottom w:val="none" w:sz="0" w:space="0" w:color="auto"/>
        <w:right w:val="none" w:sz="0" w:space="0" w:color="auto"/>
      </w:divBdr>
    </w:div>
    <w:div w:id="1583486598">
      <w:bodyDiv w:val="1"/>
      <w:marLeft w:val="0"/>
      <w:marRight w:val="0"/>
      <w:marTop w:val="0"/>
      <w:marBottom w:val="0"/>
      <w:divBdr>
        <w:top w:val="none" w:sz="0" w:space="0" w:color="auto"/>
        <w:left w:val="none" w:sz="0" w:space="0" w:color="auto"/>
        <w:bottom w:val="none" w:sz="0" w:space="0" w:color="auto"/>
        <w:right w:val="none" w:sz="0" w:space="0" w:color="auto"/>
      </w:divBdr>
    </w:div>
    <w:div w:id="1588542003">
      <w:bodyDiv w:val="1"/>
      <w:marLeft w:val="0"/>
      <w:marRight w:val="0"/>
      <w:marTop w:val="0"/>
      <w:marBottom w:val="0"/>
      <w:divBdr>
        <w:top w:val="none" w:sz="0" w:space="0" w:color="auto"/>
        <w:left w:val="none" w:sz="0" w:space="0" w:color="auto"/>
        <w:bottom w:val="none" w:sz="0" w:space="0" w:color="auto"/>
        <w:right w:val="none" w:sz="0" w:space="0" w:color="auto"/>
      </w:divBdr>
    </w:div>
    <w:div w:id="1658266805">
      <w:bodyDiv w:val="1"/>
      <w:marLeft w:val="0"/>
      <w:marRight w:val="0"/>
      <w:marTop w:val="0"/>
      <w:marBottom w:val="0"/>
      <w:divBdr>
        <w:top w:val="none" w:sz="0" w:space="0" w:color="auto"/>
        <w:left w:val="none" w:sz="0" w:space="0" w:color="auto"/>
        <w:bottom w:val="none" w:sz="0" w:space="0" w:color="auto"/>
        <w:right w:val="none" w:sz="0" w:space="0" w:color="auto"/>
      </w:divBdr>
    </w:div>
    <w:div w:id="1668825837">
      <w:bodyDiv w:val="1"/>
      <w:marLeft w:val="0"/>
      <w:marRight w:val="0"/>
      <w:marTop w:val="0"/>
      <w:marBottom w:val="0"/>
      <w:divBdr>
        <w:top w:val="none" w:sz="0" w:space="0" w:color="auto"/>
        <w:left w:val="none" w:sz="0" w:space="0" w:color="auto"/>
        <w:bottom w:val="none" w:sz="0" w:space="0" w:color="auto"/>
        <w:right w:val="none" w:sz="0" w:space="0" w:color="auto"/>
      </w:divBdr>
    </w:div>
    <w:div w:id="1733114442">
      <w:bodyDiv w:val="1"/>
      <w:marLeft w:val="0"/>
      <w:marRight w:val="0"/>
      <w:marTop w:val="0"/>
      <w:marBottom w:val="0"/>
      <w:divBdr>
        <w:top w:val="none" w:sz="0" w:space="0" w:color="auto"/>
        <w:left w:val="none" w:sz="0" w:space="0" w:color="auto"/>
        <w:bottom w:val="none" w:sz="0" w:space="0" w:color="auto"/>
        <w:right w:val="none" w:sz="0" w:space="0" w:color="auto"/>
      </w:divBdr>
    </w:div>
    <w:div w:id="1735546746">
      <w:bodyDiv w:val="1"/>
      <w:marLeft w:val="0"/>
      <w:marRight w:val="0"/>
      <w:marTop w:val="0"/>
      <w:marBottom w:val="0"/>
      <w:divBdr>
        <w:top w:val="none" w:sz="0" w:space="0" w:color="auto"/>
        <w:left w:val="none" w:sz="0" w:space="0" w:color="auto"/>
        <w:bottom w:val="none" w:sz="0" w:space="0" w:color="auto"/>
        <w:right w:val="none" w:sz="0" w:space="0" w:color="auto"/>
      </w:divBdr>
    </w:div>
    <w:div w:id="1746607697">
      <w:bodyDiv w:val="1"/>
      <w:marLeft w:val="0"/>
      <w:marRight w:val="0"/>
      <w:marTop w:val="0"/>
      <w:marBottom w:val="0"/>
      <w:divBdr>
        <w:top w:val="none" w:sz="0" w:space="0" w:color="auto"/>
        <w:left w:val="none" w:sz="0" w:space="0" w:color="auto"/>
        <w:bottom w:val="none" w:sz="0" w:space="0" w:color="auto"/>
        <w:right w:val="none" w:sz="0" w:space="0" w:color="auto"/>
      </w:divBdr>
    </w:div>
    <w:div w:id="1842239729">
      <w:bodyDiv w:val="1"/>
      <w:marLeft w:val="0"/>
      <w:marRight w:val="0"/>
      <w:marTop w:val="0"/>
      <w:marBottom w:val="0"/>
      <w:divBdr>
        <w:top w:val="none" w:sz="0" w:space="0" w:color="auto"/>
        <w:left w:val="none" w:sz="0" w:space="0" w:color="auto"/>
        <w:bottom w:val="none" w:sz="0" w:space="0" w:color="auto"/>
        <w:right w:val="none" w:sz="0" w:space="0" w:color="auto"/>
      </w:divBdr>
    </w:div>
    <w:div w:id="1862474119">
      <w:bodyDiv w:val="1"/>
      <w:marLeft w:val="0"/>
      <w:marRight w:val="0"/>
      <w:marTop w:val="0"/>
      <w:marBottom w:val="0"/>
      <w:divBdr>
        <w:top w:val="none" w:sz="0" w:space="0" w:color="auto"/>
        <w:left w:val="none" w:sz="0" w:space="0" w:color="auto"/>
        <w:bottom w:val="none" w:sz="0" w:space="0" w:color="auto"/>
        <w:right w:val="none" w:sz="0" w:space="0" w:color="auto"/>
      </w:divBdr>
    </w:div>
    <w:div w:id="1891109591">
      <w:bodyDiv w:val="1"/>
      <w:marLeft w:val="0"/>
      <w:marRight w:val="0"/>
      <w:marTop w:val="0"/>
      <w:marBottom w:val="0"/>
      <w:divBdr>
        <w:top w:val="none" w:sz="0" w:space="0" w:color="auto"/>
        <w:left w:val="none" w:sz="0" w:space="0" w:color="auto"/>
        <w:bottom w:val="none" w:sz="0" w:space="0" w:color="auto"/>
        <w:right w:val="none" w:sz="0" w:space="0" w:color="auto"/>
      </w:divBdr>
    </w:div>
    <w:div w:id="1897470751">
      <w:bodyDiv w:val="1"/>
      <w:marLeft w:val="0"/>
      <w:marRight w:val="0"/>
      <w:marTop w:val="0"/>
      <w:marBottom w:val="0"/>
      <w:divBdr>
        <w:top w:val="none" w:sz="0" w:space="0" w:color="auto"/>
        <w:left w:val="none" w:sz="0" w:space="0" w:color="auto"/>
        <w:bottom w:val="none" w:sz="0" w:space="0" w:color="auto"/>
        <w:right w:val="none" w:sz="0" w:space="0" w:color="auto"/>
      </w:divBdr>
    </w:div>
    <w:div w:id="206506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F8DEE-C831-44DD-AAEB-8F54797B7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2029</Words>
  <Characters>11566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Jemma Vinnicombe</dc:creator>
  <cp:lastModifiedBy>Lorraine Hendry</cp:lastModifiedBy>
  <cp:revision>20</cp:revision>
  <cp:lastPrinted>2019-11-25T12:03:00Z</cp:lastPrinted>
  <dcterms:created xsi:type="dcterms:W3CDTF">2019-11-19T15:35:00Z</dcterms:created>
  <dcterms:modified xsi:type="dcterms:W3CDTF">2019-12-02T12:59:00Z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-237741990</vt:i4>
  </property>
  <property fmtid="{D5CDD505-2E9C-101B-9397-08002B2CF9AE}" pid="3" name="_NewReviewCycle">
    <vt:lpwstr/>
  </property>
  <property fmtid="{D5CDD505-2E9C-101B-9397-08002B2CF9AE}" pid="4" name="_EmailSubject">
    <vt:lpwstr>hlh board agenda and reports</vt:lpwstr>
  </property>
  <property fmtid="{D5CDD505-2E9C-101B-9397-08002B2CF9AE}" pid="5" name="_AuthorEmail">
    <vt:lpwstr>Jackie.MacKenzie@highlifehighland.com</vt:lpwstr>
  </property>
  <property fmtid="{D5CDD505-2E9C-101B-9397-08002B2CF9AE}" pid="6" name="_AuthorEmailDisplayName">
    <vt:lpwstr>Jackie MacKenzie - High Life Highland</vt:lpwstr>
  </property>
  <property fmtid="{D5CDD505-2E9C-101B-9397-08002B2CF9AE}" pid="8" name="_PreviousAdHocReviewCycleID">
    <vt:i4>-237741990</vt:i4>
  </property>
</Properties>
</file>