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Layout w:type="fixed"/>
        <w:tblLook w:val="0000" w:firstRow="0" w:lastRow="0" w:firstColumn="0" w:lastColumn="0" w:noHBand="0" w:noVBand="0"/>
      </w:tblPr>
      <w:tblGrid>
        <w:gridCol w:w="6629"/>
        <w:gridCol w:w="2835"/>
      </w:tblGrid>
      <w:tr w:rsidR="00B84929" w:rsidRPr="007214D1" w:rsidTr="00DE1E6C">
        <w:trPr>
          <w:cantSplit/>
          <w:trHeight w:val="993"/>
        </w:trPr>
        <w:tc>
          <w:tcPr>
            <w:tcW w:w="6629" w:type="dxa"/>
          </w:tcPr>
          <w:p w:rsidR="00DE1E6C" w:rsidRDefault="00B84929" w:rsidP="002B7DC4">
            <w:pPr>
              <w:pStyle w:val="BodyText"/>
              <w:jc w:val="left"/>
              <w:rPr>
                <w:rFonts w:ascii="Arial" w:hAnsi="Arial" w:cs="Arial"/>
                <w:szCs w:val="24"/>
              </w:rPr>
            </w:pPr>
            <w:r>
              <w:rPr>
                <w:rFonts w:ascii="Arial" w:hAnsi="Arial" w:cs="Arial"/>
                <w:szCs w:val="24"/>
              </w:rPr>
              <w:t xml:space="preserve">HIGH LIFE HIGHLAND </w:t>
            </w:r>
          </w:p>
          <w:p w:rsidR="002B7DC4" w:rsidRDefault="00DE1E6C" w:rsidP="002B7DC4">
            <w:pPr>
              <w:pStyle w:val="BodyText"/>
              <w:jc w:val="left"/>
              <w:rPr>
                <w:rFonts w:ascii="Arial" w:hAnsi="Arial" w:cs="Arial"/>
                <w:szCs w:val="24"/>
              </w:rPr>
            </w:pPr>
            <w:r>
              <w:rPr>
                <w:rFonts w:ascii="Arial" w:hAnsi="Arial" w:cs="Arial"/>
                <w:szCs w:val="24"/>
              </w:rPr>
              <w:t>REPORT TO BOARD OF DIRECTORS</w:t>
            </w:r>
          </w:p>
          <w:p w:rsidR="00017D2E" w:rsidRDefault="004E23C6" w:rsidP="002B7DC4">
            <w:pPr>
              <w:pStyle w:val="BodyText"/>
              <w:jc w:val="left"/>
              <w:rPr>
                <w:rFonts w:ascii="Arial" w:hAnsi="Arial" w:cs="Arial"/>
                <w:szCs w:val="24"/>
              </w:rPr>
            </w:pPr>
            <w:r>
              <w:rPr>
                <w:rFonts w:ascii="Arial" w:hAnsi="Arial" w:cs="Arial"/>
                <w:szCs w:val="24"/>
              </w:rPr>
              <w:t>DECEMBER</w:t>
            </w:r>
            <w:r w:rsidR="00E26CEE">
              <w:rPr>
                <w:rFonts w:ascii="Arial" w:hAnsi="Arial" w:cs="Arial"/>
                <w:szCs w:val="24"/>
              </w:rPr>
              <w:t xml:space="preserve"> 2019</w:t>
            </w:r>
          </w:p>
          <w:p w:rsidR="00B84929" w:rsidRPr="007214D1" w:rsidRDefault="00B84929" w:rsidP="002B7DC4">
            <w:pPr>
              <w:pStyle w:val="BodyText"/>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c>
          <w:tcPr>
            <w:tcW w:w="2835" w:type="dxa"/>
          </w:tcPr>
          <w:p w:rsidR="00B84929" w:rsidRPr="007214D1" w:rsidRDefault="004C3A30" w:rsidP="0060608D">
            <w:pPr>
              <w:rPr>
                <w:rFonts w:ascii="Arial" w:hAnsi="Arial" w:cs="Arial"/>
                <w:szCs w:val="24"/>
              </w:rPr>
            </w:pPr>
            <w:r>
              <w:rPr>
                <w:rFonts w:ascii="Arial" w:hAnsi="Arial" w:cs="Arial"/>
                <w:szCs w:val="24"/>
              </w:rPr>
              <w:t>AGENDA ITEM</w:t>
            </w:r>
            <w:r w:rsidR="00750AED">
              <w:rPr>
                <w:rFonts w:ascii="Arial" w:hAnsi="Arial" w:cs="Arial"/>
                <w:szCs w:val="24"/>
              </w:rPr>
              <w:t xml:space="preserve"> </w:t>
            </w:r>
            <w:proofErr w:type="gramStart"/>
            <w:r w:rsidR="00750AED">
              <w:rPr>
                <w:rFonts w:ascii="Arial" w:hAnsi="Arial" w:cs="Arial"/>
                <w:szCs w:val="24"/>
              </w:rPr>
              <w:t>15</w:t>
            </w:r>
            <w:r w:rsidR="00AB2B69">
              <w:rPr>
                <w:rFonts w:ascii="Arial" w:hAnsi="Arial" w:cs="Arial"/>
                <w:szCs w:val="24"/>
              </w:rPr>
              <w:t xml:space="preserve"> </w:t>
            </w:r>
            <w:r w:rsidR="00B84929">
              <w:rPr>
                <w:rFonts w:ascii="Arial" w:hAnsi="Arial" w:cs="Arial"/>
                <w:szCs w:val="24"/>
              </w:rPr>
              <w:t xml:space="preserve"> REPORT</w:t>
            </w:r>
            <w:proofErr w:type="gramEnd"/>
            <w:r w:rsidR="00B84929">
              <w:rPr>
                <w:rFonts w:ascii="Arial" w:hAnsi="Arial" w:cs="Arial"/>
                <w:szCs w:val="24"/>
              </w:rPr>
              <w:t xml:space="preserve"> No HLH</w:t>
            </w:r>
            <w:r w:rsidR="0060608D">
              <w:rPr>
                <w:rFonts w:ascii="Arial" w:hAnsi="Arial" w:cs="Arial"/>
                <w:szCs w:val="24"/>
              </w:rPr>
              <w:t xml:space="preserve">  </w:t>
            </w:r>
            <w:r w:rsidR="0042698E">
              <w:rPr>
                <w:rFonts w:ascii="Arial" w:hAnsi="Arial" w:cs="Arial"/>
                <w:szCs w:val="24"/>
              </w:rPr>
              <w:t>/1</w:t>
            </w:r>
            <w:r w:rsidR="008E16E5">
              <w:rPr>
                <w:rFonts w:ascii="Arial" w:hAnsi="Arial" w:cs="Arial"/>
                <w:szCs w:val="24"/>
              </w:rPr>
              <w:t>9</w:t>
            </w:r>
          </w:p>
        </w:tc>
      </w:tr>
    </w:tbl>
    <w:p w:rsidR="0039450A" w:rsidRPr="007214D1" w:rsidRDefault="00F42CF3" w:rsidP="00DE1E6C">
      <w:pPr>
        <w:pStyle w:val="Heading2"/>
        <w:rPr>
          <w:rFonts w:ascii="Arial" w:hAnsi="Arial" w:cs="Arial"/>
          <w:b/>
          <w:szCs w:val="24"/>
          <w:u w:val="none"/>
        </w:rPr>
      </w:pPr>
      <w:r w:rsidRPr="00F42CF3">
        <w:rPr>
          <w:rFonts w:ascii="Arial" w:hAnsi="Arial" w:cs="Arial"/>
          <w:b/>
          <w:szCs w:val="24"/>
          <w:u w:val="none"/>
        </w:rPr>
        <w:t xml:space="preserve">HUMAN RESOURCES </w:t>
      </w:r>
      <w:r>
        <w:rPr>
          <w:rFonts w:ascii="Arial" w:hAnsi="Arial" w:cs="Arial"/>
          <w:b/>
          <w:szCs w:val="24"/>
          <w:u w:val="none"/>
        </w:rPr>
        <w:t xml:space="preserve">- </w:t>
      </w:r>
      <w:r w:rsidR="0039450A"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Chief Executive</w:t>
      </w:r>
    </w:p>
    <w:p w:rsidR="0039450A" w:rsidRPr="007214D1" w:rsidRDefault="0039450A" w:rsidP="00474274">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7214D1">
        <w:trPr>
          <w:cantSplit/>
        </w:trPr>
        <w:tc>
          <w:tcPr>
            <w:tcW w:w="9464" w:type="dxa"/>
          </w:tcPr>
          <w:p w:rsidR="0039450A" w:rsidRPr="001866ED" w:rsidRDefault="002B7DC4" w:rsidP="00416BFF">
            <w:pPr>
              <w:pStyle w:val="Heading2"/>
              <w:rPr>
                <w:rFonts w:ascii="Arial" w:hAnsi="Arial" w:cs="Arial"/>
                <w:b/>
                <w:szCs w:val="24"/>
                <w:u w:val="none"/>
              </w:rPr>
            </w:pPr>
            <w:r w:rsidRPr="001866ED">
              <w:rPr>
                <w:rFonts w:ascii="Arial" w:hAnsi="Arial" w:cs="Arial"/>
                <w:b/>
                <w:szCs w:val="24"/>
                <w:u w:val="none"/>
              </w:rPr>
              <w:t>Summary</w:t>
            </w:r>
            <w:r w:rsidR="00720B5B" w:rsidRPr="001866ED">
              <w:rPr>
                <w:rFonts w:ascii="Arial" w:hAnsi="Arial" w:cs="Arial"/>
                <w:b/>
                <w:szCs w:val="24"/>
                <w:u w:val="none"/>
              </w:rPr>
              <w:t xml:space="preserve"> </w:t>
            </w:r>
          </w:p>
          <w:p w:rsidR="001C41BF" w:rsidRPr="001866ED" w:rsidRDefault="00460DE4" w:rsidP="00AB2B69">
            <w:pPr>
              <w:spacing w:before="100" w:beforeAutospacing="1" w:after="100" w:afterAutospacing="1"/>
              <w:jc w:val="both"/>
              <w:rPr>
                <w:rFonts w:ascii="Arial" w:hAnsi="Arial" w:cs="Arial"/>
                <w:szCs w:val="24"/>
              </w:rPr>
            </w:pPr>
            <w:r w:rsidRPr="001866ED">
              <w:rPr>
                <w:rFonts w:ascii="Arial" w:hAnsi="Arial" w:cs="Arial"/>
                <w:szCs w:val="24"/>
              </w:rPr>
              <w:t>The purpose of this report is to update Directors on Human Resources activity</w:t>
            </w:r>
            <w:r w:rsidR="00C44DE0" w:rsidRPr="001866ED">
              <w:rPr>
                <w:rFonts w:ascii="Arial" w:hAnsi="Arial" w:cs="Arial"/>
                <w:szCs w:val="24"/>
              </w:rPr>
              <w:t xml:space="preserve"> for </w:t>
            </w:r>
            <w:r w:rsidR="00383500" w:rsidRPr="001866ED">
              <w:rPr>
                <w:rFonts w:ascii="Arial" w:hAnsi="Arial" w:cs="Arial"/>
                <w:szCs w:val="24"/>
              </w:rPr>
              <w:t xml:space="preserve">the period </w:t>
            </w:r>
            <w:r w:rsidR="004E23C6">
              <w:rPr>
                <w:rFonts w:ascii="Arial" w:hAnsi="Arial" w:cs="Arial"/>
                <w:szCs w:val="24"/>
              </w:rPr>
              <w:t>July</w:t>
            </w:r>
            <w:r w:rsidR="004B292E">
              <w:rPr>
                <w:rFonts w:ascii="Arial" w:hAnsi="Arial" w:cs="Arial"/>
                <w:szCs w:val="24"/>
              </w:rPr>
              <w:t xml:space="preserve"> to </w:t>
            </w:r>
            <w:r w:rsidR="004E23C6">
              <w:rPr>
                <w:rFonts w:ascii="Arial" w:hAnsi="Arial" w:cs="Arial"/>
                <w:szCs w:val="24"/>
              </w:rPr>
              <w:t>September</w:t>
            </w:r>
            <w:r w:rsidR="00FC370E" w:rsidRPr="001866ED">
              <w:rPr>
                <w:rFonts w:ascii="Arial" w:hAnsi="Arial" w:cs="Arial"/>
                <w:szCs w:val="24"/>
              </w:rPr>
              <w:t xml:space="preserve"> 2019</w:t>
            </w:r>
            <w:r w:rsidRPr="001866ED">
              <w:rPr>
                <w:rFonts w:ascii="Arial" w:hAnsi="Arial" w:cs="Arial"/>
                <w:szCs w:val="24"/>
              </w:rPr>
              <w:t xml:space="preserve"> </w:t>
            </w:r>
            <w:r w:rsidR="00383500" w:rsidRPr="001866ED">
              <w:rPr>
                <w:rFonts w:ascii="Arial" w:hAnsi="Arial" w:cs="Arial"/>
                <w:szCs w:val="24"/>
              </w:rPr>
              <w:t>which includes information relating to</w:t>
            </w:r>
            <w:r w:rsidRPr="001866ED">
              <w:rPr>
                <w:rFonts w:ascii="Arial" w:hAnsi="Arial" w:cs="Arial"/>
                <w:szCs w:val="24"/>
              </w:rPr>
              <w:t xml:space="preserve"> absence, disciplinary and grievance issues</w:t>
            </w:r>
            <w:r w:rsidR="00383500" w:rsidRPr="001866ED">
              <w:rPr>
                <w:rFonts w:ascii="Arial" w:hAnsi="Arial" w:cs="Arial"/>
                <w:szCs w:val="24"/>
              </w:rPr>
              <w:t xml:space="preserve"> during this period</w:t>
            </w:r>
            <w:r w:rsidRPr="001866ED">
              <w:rPr>
                <w:rFonts w:ascii="Arial" w:hAnsi="Arial" w:cs="Arial"/>
                <w:szCs w:val="24"/>
              </w:rPr>
              <w:t xml:space="preserve">.  </w:t>
            </w:r>
          </w:p>
          <w:p w:rsidR="00D022B2" w:rsidRPr="001866ED" w:rsidRDefault="00D022B2" w:rsidP="00D022B2">
            <w:pPr>
              <w:jc w:val="both"/>
              <w:rPr>
                <w:rFonts w:ascii="Arial" w:hAnsi="Arial" w:cs="Arial"/>
                <w:szCs w:val="24"/>
              </w:rPr>
            </w:pPr>
            <w:r w:rsidRPr="001866ED">
              <w:rPr>
                <w:rFonts w:ascii="Arial" w:hAnsi="Arial" w:cs="Arial"/>
                <w:szCs w:val="24"/>
              </w:rPr>
              <w:t>It is recommended that Directors</w:t>
            </w:r>
            <w:r w:rsidR="004B292E">
              <w:rPr>
                <w:rFonts w:ascii="Arial" w:hAnsi="Arial" w:cs="Arial"/>
                <w:szCs w:val="24"/>
              </w:rPr>
              <w:t xml:space="preserve"> note and comment on</w:t>
            </w:r>
            <w:r w:rsidR="00255A31" w:rsidRPr="001866ED">
              <w:rPr>
                <w:rFonts w:ascii="Arial" w:hAnsi="Arial" w:cs="Arial"/>
                <w:szCs w:val="24"/>
              </w:rPr>
              <w:t>:</w:t>
            </w:r>
            <w:r w:rsidR="00BD48D1" w:rsidRPr="001866ED">
              <w:rPr>
                <w:rFonts w:ascii="Arial" w:hAnsi="Arial" w:cs="Arial"/>
                <w:szCs w:val="24"/>
              </w:rPr>
              <w:t xml:space="preserve"> </w:t>
            </w:r>
          </w:p>
          <w:p w:rsidR="00D022B2" w:rsidRPr="001866ED" w:rsidRDefault="00D022B2" w:rsidP="00D022B2">
            <w:pPr>
              <w:jc w:val="both"/>
              <w:rPr>
                <w:rFonts w:ascii="Arial" w:hAnsi="Arial" w:cs="Arial"/>
                <w:szCs w:val="24"/>
              </w:rPr>
            </w:pPr>
          </w:p>
          <w:p w:rsidR="00721569" w:rsidRPr="001866ED" w:rsidRDefault="00D022B2" w:rsidP="00042D0F">
            <w:pPr>
              <w:pStyle w:val="ListParagraph"/>
              <w:numPr>
                <w:ilvl w:val="0"/>
                <w:numId w:val="2"/>
              </w:numPr>
              <w:jc w:val="both"/>
              <w:rPr>
                <w:rFonts w:ascii="Arial" w:hAnsi="Arial" w:cs="Arial"/>
                <w:sz w:val="24"/>
                <w:szCs w:val="24"/>
              </w:rPr>
            </w:pPr>
            <w:r w:rsidRPr="001866ED">
              <w:rPr>
                <w:rFonts w:ascii="Arial" w:hAnsi="Arial" w:cs="Arial"/>
                <w:sz w:val="24"/>
                <w:szCs w:val="24"/>
              </w:rPr>
              <w:t>the content of the quarterly HR report including the update on the staffing establishment</w:t>
            </w:r>
            <w:r w:rsidR="00042D0F">
              <w:rPr>
                <w:rFonts w:ascii="Arial" w:hAnsi="Arial" w:cs="Arial"/>
                <w:sz w:val="24"/>
                <w:szCs w:val="24"/>
              </w:rPr>
              <w:t>.</w:t>
            </w:r>
            <w:r w:rsidR="00C42FCC" w:rsidRPr="001866ED">
              <w:rPr>
                <w:rFonts w:ascii="Arial" w:hAnsi="Arial" w:cs="Arial"/>
                <w:sz w:val="24"/>
                <w:szCs w:val="24"/>
              </w:rPr>
              <w:t xml:space="preserve"> </w:t>
            </w:r>
          </w:p>
        </w:tc>
      </w:tr>
    </w:tbl>
    <w:p w:rsidR="0039450A" w:rsidRPr="007214D1" w:rsidRDefault="0039450A" w:rsidP="00416BFF">
      <w:pPr>
        <w:jc w:val="both"/>
        <w:rPr>
          <w:rFonts w:ascii="Arial" w:hAnsi="Arial" w:cs="Arial"/>
          <w:szCs w:val="24"/>
        </w:rPr>
      </w:pPr>
    </w:p>
    <w:tbl>
      <w:tblPr>
        <w:tblW w:w="9464" w:type="dxa"/>
        <w:tblLayout w:type="fixed"/>
        <w:tblLook w:val="0000" w:firstRow="0" w:lastRow="0" w:firstColumn="0" w:lastColumn="0" w:noHBand="0" w:noVBand="0"/>
      </w:tblPr>
      <w:tblGrid>
        <w:gridCol w:w="959"/>
        <w:gridCol w:w="8505"/>
      </w:tblGrid>
      <w:tr w:rsidR="006F5801" w:rsidRPr="007214D1" w:rsidTr="00835331">
        <w:tc>
          <w:tcPr>
            <w:tcW w:w="959" w:type="dxa"/>
          </w:tcPr>
          <w:p w:rsidR="006F5801" w:rsidRPr="007214D1" w:rsidRDefault="006F5801" w:rsidP="00416BFF">
            <w:pPr>
              <w:rPr>
                <w:rFonts w:ascii="Arial" w:hAnsi="Arial" w:cs="Arial"/>
                <w:b/>
                <w:szCs w:val="24"/>
              </w:rPr>
            </w:pPr>
            <w:r>
              <w:rPr>
                <w:rFonts w:ascii="Arial" w:hAnsi="Arial" w:cs="Arial"/>
                <w:b/>
                <w:szCs w:val="24"/>
              </w:rPr>
              <w:t>1.</w:t>
            </w:r>
          </w:p>
        </w:tc>
        <w:tc>
          <w:tcPr>
            <w:tcW w:w="8505" w:type="dxa"/>
          </w:tcPr>
          <w:p w:rsidR="006F5801" w:rsidRDefault="006F5801" w:rsidP="006F5801">
            <w:pPr>
              <w:jc w:val="both"/>
              <w:rPr>
                <w:rFonts w:ascii="Arial" w:hAnsi="Arial" w:cs="Arial"/>
                <w:b/>
                <w:szCs w:val="24"/>
              </w:rPr>
            </w:pPr>
            <w:r w:rsidRPr="00E66429">
              <w:rPr>
                <w:rFonts w:ascii="Arial" w:hAnsi="Arial" w:cs="Arial"/>
                <w:b/>
                <w:szCs w:val="24"/>
              </w:rPr>
              <w:t>Business Plan Contribution</w:t>
            </w:r>
          </w:p>
          <w:p w:rsidR="006F5801" w:rsidRPr="007214D1" w:rsidRDefault="006F5801" w:rsidP="00474274">
            <w:pPr>
              <w:pStyle w:val="Heading3"/>
              <w:rPr>
                <w:rFonts w:ascii="Arial" w:hAnsi="Arial" w:cs="Arial"/>
                <w:b/>
                <w:szCs w:val="24"/>
                <w:u w:val="none"/>
              </w:rPr>
            </w:pPr>
          </w:p>
        </w:tc>
      </w:tr>
      <w:tr w:rsidR="006F5801" w:rsidRPr="007214D1" w:rsidTr="00835331">
        <w:tc>
          <w:tcPr>
            <w:tcW w:w="959" w:type="dxa"/>
          </w:tcPr>
          <w:p w:rsidR="006F5801" w:rsidRPr="006F5801" w:rsidRDefault="006F5801" w:rsidP="00416BFF">
            <w:pPr>
              <w:rPr>
                <w:rFonts w:ascii="Arial" w:hAnsi="Arial" w:cs="Arial"/>
                <w:szCs w:val="24"/>
              </w:rPr>
            </w:pPr>
            <w:r w:rsidRPr="006F5801">
              <w:rPr>
                <w:rFonts w:ascii="Arial" w:hAnsi="Arial" w:cs="Arial"/>
                <w:szCs w:val="24"/>
              </w:rPr>
              <w:t>1.1</w:t>
            </w:r>
          </w:p>
        </w:tc>
        <w:tc>
          <w:tcPr>
            <w:tcW w:w="8505" w:type="dxa"/>
          </w:tcPr>
          <w:p w:rsidR="0069225C" w:rsidRDefault="0069225C" w:rsidP="0069225C">
            <w:pPr>
              <w:jc w:val="both"/>
              <w:rPr>
                <w:rFonts w:ascii="Arial" w:hAnsi="Arial" w:cs="Arial"/>
              </w:rPr>
            </w:pPr>
            <w:r>
              <w:rPr>
                <w:rFonts w:ascii="Arial" w:hAnsi="Arial" w:cs="Arial"/>
              </w:rPr>
              <w:t>This report supports the highlighted Business Outcomes from the High Life Highland (HLH) Business Plan:</w:t>
            </w:r>
          </w:p>
          <w:p w:rsidR="0069225C" w:rsidRDefault="0069225C" w:rsidP="0069225C">
            <w:pPr>
              <w:jc w:val="both"/>
              <w:rPr>
                <w:rFonts w:ascii="Arial" w:hAnsi="Arial" w:cs="Arial"/>
              </w:rPr>
            </w:pP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Sustain a high standard of health and safety, and environmental performance</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Implement the Service Delivery Contract with THC</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customer engagement and satisfaction</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Improving staff engagement and satisfaction</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Enhance the positive charity image</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Be a trusted and effective partner</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Achieve sustainable growth across the organisation</w:t>
            </w:r>
          </w:p>
          <w:p w:rsidR="0069225C" w:rsidRDefault="0069225C" w:rsidP="0069225C">
            <w:pPr>
              <w:pStyle w:val="ListParagraph"/>
              <w:numPr>
                <w:ilvl w:val="0"/>
                <w:numId w:val="13"/>
              </w:numPr>
              <w:spacing w:after="0" w:line="240" w:lineRule="auto"/>
              <w:jc w:val="both"/>
              <w:rPr>
                <w:rFonts w:ascii="Arial" w:hAnsi="Arial" w:cs="Arial"/>
                <w:sz w:val="24"/>
                <w:szCs w:val="24"/>
              </w:rPr>
            </w:pPr>
            <w:r>
              <w:rPr>
                <w:rFonts w:ascii="Arial" w:hAnsi="Arial" w:cs="Arial"/>
                <w:sz w:val="24"/>
                <w:szCs w:val="24"/>
              </w:rPr>
              <w:t>Develop health and wellbeing across Highland communities</w:t>
            </w:r>
          </w:p>
          <w:p w:rsidR="0069225C" w:rsidRPr="0069225C" w:rsidRDefault="0069225C" w:rsidP="0069225C">
            <w:pPr>
              <w:pStyle w:val="ListParagraph"/>
              <w:numPr>
                <w:ilvl w:val="0"/>
                <w:numId w:val="13"/>
              </w:numPr>
              <w:spacing w:after="0" w:line="240" w:lineRule="auto"/>
              <w:jc w:val="both"/>
              <w:rPr>
                <w:rFonts w:ascii="Arial" w:hAnsi="Arial" w:cs="Arial"/>
                <w:b/>
                <w:sz w:val="24"/>
                <w:szCs w:val="24"/>
              </w:rPr>
            </w:pPr>
            <w:r w:rsidRPr="0069225C">
              <w:rPr>
                <w:rFonts w:ascii="Arial" w:hAnsi="Arial" w:cs="Arial"/>
                <w:b/>
                <w:sz w:val="24"/>
                <w:szCs w:val="24"/>
              </w:rPr>
              <w:t>Develop and promote the High Life brand</w:t>
            </w:r>
          </w:p>
          <w:p w:rsidR="006F5801" w:rsidRPr="00460DE4" w:rsidRDefault="006F5801" w:rsidP="009C0A57">
            <w:pPr>
              <w:jc w:val="both"/>
              <w:rPr>
                <w:rFonts w:ascii="Arial" w:hAnsi="Arial" w:cs="Arial"/>
                <w:szCs w:val="24"/>
              </w:rPr>
            </w:pPr>
          </w:p>
        </w:tc>
      </w:tr>
      <w:tr w:rsidR="006F5801" w:rsidRPr="007214D1" w:rsidTr="00835331">
        <w:tc>
          <w:tcPr>
            <w:tcW w:w="959" w:type="dxa"/>
          </w:tcPr>
          <w:p w:rsidR="006F5801" w:rsidRPr="007214D1" w:rsidRDefault="006F5801" w:rsidP="00416BFF">
            <w:pPr>
              <w:rPr>
                <w:rFonts w:ascii="Arial" w:hAnsi="Arial" w:cs="Arial"/>
                <w:b/>
                <w:szCs w:val="24"/>
              </w:rPr>
            </w:pPr>
            <w:r>
              <w:rPr>
                <w:rFonts w:ascii="Arial" w:hAnsi="Arial" w:cs="Arial"/>
                <w:b/>
                <w:szCs w:val="24"/>
              </w:rPr>
              <w:t>2</w:t>
            </w:r>
            <w:r w:rsidRPr="007214D1">
              <w:rPr>
                <w:rFonts w:ascii="Arial" w:hAnsi="Arial" w:cs="Arial"/>
                <w:b/>
                <w:szCs w:val="24"/>
              </w:rPr>
              <w:t>.</w:t>
            </w:r>
          </w:p>
        </w:tc>
        <w:tc>
          <w:tcPr>
            <w:tcW w:w="8505" w:type="dxa"/>
          </w:tcPr>
          <w:p w:rsidR="006F5801" w:rsidRDefault="006F5801" w:rsidP="00474274">
            <w:pPr>
              <w:pStyle w:val="Heading3"/>
              <w:rPr>
                <w:rFonts w:ascii="Arial" w:hAnsi="Arial" w:cs="Arial"/>
                <w:b/>
                <w:szCs w:val="24"/>
                <w:u w:val="none"/>
              </w:rPr>
            </w:pPr>
            <w:r w:rsidRPr="007214D1">
              <w:rPr>
                <w:rFonts w:ascii="Arial" w:hAnsi="Arial" w:cs="Arial"/>
                <w:b/>
                <w:szCs w:val="24"/>
                <w:u w:val="none"/>
              </w:rPr>
              <w:t>Background</w:t>
            </w:r>
          </w:p>
          <w:p w:rsidR="006F5801" w:rsidRPr="00474274" w:rsidRDefault="006F5801" w:rsidP="00474274">
            <w:pPr>
              <w:jc w:val="both"/>
            </w:pPr>
          </w:p>
        </w:tc>
      </w:tr>
      <w:tr w:rsidR="006F5801" w:rsidRPr="007214D1" w:rsidTr="00835331">
        <w:trPr>
          <w:trHeight w:val="542"/>
        </w:trPr>
        <w:tc>
          <w:tcPr>
            <w:tcW w:w="959" w:type="dxa"/>
          </w:tcPr>
          <w:p w:rsidR="006F5801" w:rsidRDefault="006F5801" w:rsidP="00416BFF">
            <w:pPr>
              <w:rPr>
                <w:rFonts w:ascii="Arial" w:hAnsi="Arial" w:cs="Arial"/>
                <w:szCs w:val="24"/>
              </w:rPr>
            </w:pPr>
            <w:r>
              <w:rPr>
                <w:rFonts w:ascii="Arial" w:hAnsi="Arial" w:cs="Arial"/>
                <w:szCs w:val="24"/>
              </w:rPr>
              <w:t>2</w:t>
            </w:r>
            <w:r w:rsidRPr="007214D1">
              <w:rPr>
                <w:rFonts w:ascii="Arial" w:hAnsi="Arial" w:cs="Arial"/>
                <w:szCs w:val="24"/>
              </w:rPr>
              <w:t xml:space="preserve">.1 </w:t>
            </w: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82718" w:rsidRDefault="00782718" w:rsidP="00416BFF">
            <w:pPr>
              <w:rPr>
                <w:rFonts w:ascii="Arial" w:hAnsi="Arial" w:cs="Arial"/>
                <w:szCs w:val="24"/>
              </w:rPr>
            </w:pPr>
          </w:p>
          <w:p w:rsidR="00742B9E" w:rsidRPr="00E66429" w:rsidRDefault="00742B9E" w:rsidP="00416BFF">
            <w:pPr>
              <w:rPr>
                <w:rFonts w:ascii="Arial" w:hAnsi="Arial" w:cs="Arial"/>
                <w:szCs w:val="24"/>
              </w:rPr>
            </w:pPr>
          </w:p>
        </w:tc>
        <w:tc>
          <w:tcPr>
            <w:tcW w:w="8505" w:type="dxa"/>
          </w:tcPr>
          <w:p w:rsidR="004120A6" w:rsidRDefault="006F5801" w:rsidP="00141185">
            <w:pPr>
              <w:jc w:val="both"/>
              <w:rPr>
                <w:rFonts w:ascii="Arial" w:hAnsi="Arial" w:cs="Arial"/>
                <w:szCs w:val="24"/>
              </w:rPr>
            </w:pPr>
            <w:r>
              <w:rPr>
                <w:rFonts w:ascii="Arial" w:hAnsi="Arial" w:cs="Arial"/>
                <w:szCs w:val="24"/>
              </w:rPr>
              <w:t xml:space="preserve">The Human Resources </w:t>
            </w:r>
            <w:r w:rsidR="00751A5C">
              <w:rPr>
                <w:rFonts w:ascii="Arial" w:hAnsi="Arial" w:cs="Arial"/>
                <w:szCs w:val="24"/>
              </w:rPr>
              <w:t xml:space="preserve">(HR) </w:t>
            </w:r>
            <w:r>
              <w:rPr>
                <w:rFonts w:ascii="Arial" w:hAnsi="Arial" w:cs="Arial"/>
                <w:szCs w:val="24"/>
              </w:rPr>
              <w:t xml:space="preserve">report is a </w:t>
            </w:r>
            <w:r w:rsidR="00141185">
              <w:rPr>
                <w:rFonts w:ascii="Arial" w:hAnsi="Arial" w:cs="Arial"/>
                <w:szCs w:val="24"/>
              </w:rPr>
              <w:t>summary</w:t>
            </w:r>
            <w:r>
              <w:rPr>
                <w:rFonts w:ascii="Arial" w:hAnsi="Arial" w:cs="Arial"/>
                <w:szCs w:val="24"/>
              </w:rPr>
              <w:t xml:space="preserve"> of </w:t>
            </w:r>
            <w:r w:rsidR="00751A5C">
              <w:rPr>
                <w:rFonts w:ascii="Arial" w:hAnsi="Arial" w:cs="Arial"/>
                <w:szCs w:val="24"/>
              </w:rPr>
              <w:t>HR</w:t>
            </w:r>
            <w:r>
              <w:rPr>
                <w:rFonts w:ascii="Arial" w:hAnsi="Arial" w:cs="Arial"/>
                <w:szCs w:val="24"/>
              </w:rPr>
              <w:t xml:space="preserve"> activity in the preceding quarter</w:t>
            </w:r>
            <w:r w:rsidR="00D75611">
              <w:rPr>
                <w:rFonts w:ascii="Arial" w:hAnsi="Arial" w:cs="Arial"/>
                <w:szCs w:val="24"/>
              </w:rPr>
              <w:t>,</w:t>
            </w:r>
            <w:r w:rsidR="004120A6">
              <w:rPr>
                <w:rFonts w:ascii="Arial" w:hAnsi="Arial" w:cs="Arial"/>
                <w:szCs w:val="24"/>
              </w:rPr>
              <w:t xml:space="preserve"> offering an</w:t>
            </w:r>
            <w:r>
              <w:rPr>
                <w:rFonts w:ascii="Arial" w:hAnsi="Arial" w:cs="Arial"/>
                <w:szCs w:val="24"/>
              </w:rPr>
              <w:t xml:space="preserve"> update on current staff numbers </w:t>
            </w:r>
            <w:r w:rsidR="004120A6">
              <w:rPr>
                <w:rFonts w:ascii="Arial" w:hAnsi="Arial" w:cs="Arial"/>
                <w:szCs w:val="24"/>
              </w:rPr>
              <w:t>along with</w:t>
            </w:r>
            <w:r>
              <w:rPr>
                <w:rFonts w:ascii="Arial" w:hAnsi="Arial" w:cs="Arial"/>
                <w:szCs w:val="24"/>
              </w:rPr>
              <w:t xml:space="preserve"> any change </w:t>
            </w:r>
            <w:r w:rsidR="00D75611">
              <w:rPr>
                <w:rFonts w:ascii="Arial" w:hAnsi="Arial" w:cs="Arial"/>
                <w:szCs w:val="24"/>
              </w:rPr>
              <w:t>since</w:t>
            </w:r>
            <w:r>
              <w:rPr>
                <w:rFonts w:ascii="Arial" w:hAnsi="Arial" w:cs="Arial"/>
                <w:szCs w:val="24"/>
              </w:rPr>
              <w:t xml:space="preserve"> previous reports.  There is also a</w:t>
            </w:r>
            <w:r w:rsidR="00141185">
              <w:rPr>
                <w:rFonts w:ascii="Arial" w:hAnsi="Arial" w:cs="Arial"/>
                <w:szCs w:val="24"/>
              </w:rPr>
              <w:t>n outline of the absence levels</w:t>
            </w:r>
            <w:r w:rsidR="004120A6">
              <w:rPr>
                <w:rFonts w:ascii="Arial" w:hAnsi="Arial" w:cs="Arial"/>
                <w:szCs w:val="24"/>
              </w:rPr>
              <w:t xml:space="preserve"> (which are sub-sectioned into short and long-term absence</w:t>
            </w:r>
            <w:r w:rsidR="00383500">
              <w:rPr>
                <w:rFonts w:ascii="Arial" w:hAnsi="Arial" w:cs="Arial"/>
                <w:szCs w:val="24"/>
              </w:rPr>
              <w:t xml:space="preserve"> in this report</w:t>
            </w:r>
            <w:r w:rsidR="004120A6">
              <w:rPr>
                <w:rFonts w:ascii="Arial" w:hAnsi="Arial" w:cs="Arial"/>
                <w:szCs w:val="24"/>
              </w:rPr>
              <w:t>)</w:t>
            </w:r>
            <w:r w:rsidR="00141185">
              <w:rPr>
                <w:rFonts w:ascii="Arial" w:hAnsi="Arial" w:cs="Arial"/>
                <w:szCs w:val="24"/>
              </w:rPr>
              <w:t>; activity relating to</w:t>
            </w:r>
            <w:r>
              <w:rPr>
                <w:rFonts w:ascii="Arial" w:hAnsi="Arial" w:cs="Arial"/>
                <w:szCs w:val="24"/>
              </w:rPr>
              <w:t xml:space="preserve"> </w:t>
            </w:r>
            <w:r w:rsidR="00141185">
              <w:rPr>
                <w:rFonts w:ascii="Arial" w:hAnsi="Arial" w:cs="Arial"/>
                <w:szCs w:val="24"/>
              </w:rPr>
              <w:t xml:space="preserve">any </w:t>
            </w:r>
            <w:r>
              <w:rPr>
                <w:rFonts w:ascii="Arial" w:hAnsi="Arial" w:cs="Arial"/>
                <w:szCs w:val="24"/>
              </w:rPr>
              <w:t>disciplinary</w:t>
            </w:r>
            <w:r w:rsidR="00141185">
              <w:rPr>
                <w:rFonts w:ascii="Arial" w:hAnsi="Arial" w:cs="Arial"/>
                <w:szCs w:val="24"/>
              </w:rPr>
              <w:t>,</w:t>
            </w:r>
            <w:r>
              <w:rPr>
                <w:rFonts w:ascii="Arial" w:hAnsi="Arial" w:cs="Arial"/>
                <w:szCs w:val="24"/>
              </w:rPr>
              <w:t xml:space="preserve"> grievance</w:t>
            </w:r>
            <w:r w:rsidR="00141185">
              <w:rPr>
                <w:rFonts w:ascii="Arial" w:hAnsi="Arial" w:cs="Arial"/>
                <w:szCs w:val="24"/>
              </w:rPr>
              <w:t xml:space="preserve"> and </w:t>
            </w:r>
            <w:r>
              <w:rPr>
                <w:rFonts w:ascii="Arial" w:hAnsi="Arial" w:cs="Arial"/>
                <w:szCs w:val="24"/>
              </w:rPr>
              <w:t xml:space="preserve">harassment </w:t>
            </w:r>
            <w:r w:rsidR="00141185">
              <w:rPr>
                <w:rFonts w:ascii="Arial" w:hAnsi="Arial" w:cs="Arial"/>
                <w:szCs w:val="24"/>
              </w:rPr>
              <w:t>i</w:t>
            </w:r>
            <w:r>
              <w:rPr>
                <w:rFonts w:ascii="Arial" w:hAnsi="Arial" w:cs="Arial"/>
                <w:szCs w:val="24"/>
              </w:rPr>
              <w:t>ssues</w:t>
            </w:r>
            <w:r w:rsidR="00141185">
              <w:rPr>
                <w:rFonts w:ascii="Arial" w:hAnsi="Arial" w:cs="Arial"/>
                <w:szCs w:val="24"/>
              </w:rPr>
              <w:t>;</w:t>
            </w:r>
            <w:r>
              <w:rPr>
                <w:rFonts w:ascii="Arial" w:hAnsi="Arial" w:cs="Arial"/>
                <w:szCs w:val="24"/>
              </w:rPr>
              <w:t xml:space="preserve"> and an employee relations update.</w:t>
            </w:r>
          </w:p>
          <w:p w:rsidR="00782718" w:rsidRPr="007214D1" w:rsidRDefault="00782718" w:rsidP="00782718">
            <w:pPr>
              <w:jc w:val="both"/>
              <w:rPr>
                <w:rFonts w:ascii="Arial" w:hAnsi="Arial" w:cs="Arial"/>
                <w:szCs w:val="24"/>
              </w:rPr>
            </w:pPr>
          </w:p>
        </w:tc>
      </w:tr>
      <w:tr w:rsidR="006F5801" w:rsidRPr="007214D1" w:rsidTr="00835331">
        <w:tc>
          <w:tcPr>
            <w:tcW w:w="959" w:type="dxa"/>
          </w:tcPr>
          <w:p w:rsidR="006F5801" w:rsidRDefault="006F5801" w:rsidP="00416BFF">
            <w:pPr>
              <w:rPr>
                <w:rFonts w:ascii="Arial" w:hAnsi="Arial" w:cs="Arial"/>
                <w:b/>
                <w:szCs w:val="24"/>
              </w:rPr>
            </w:pPr>
            <w:r>
              <w:rPr>
                <w:rFonts w:ascii="Arial" w:hAnsi="Arial" w:cs="Arial"/>
                <w:b/>
                <w:szCs w:val="24"/>
              </w:rPr>
              <w:t>3</w:t>
            </w:r>
            <w:r w:rsidRPr="007214D1">
              <w:rPr>
                <w:rFonts w:ascii="Arial" w:hAnsi="Arial" w:cs="Arial"/>
                <w:b/>
                <w:szCs w:val="24"/>
              </w:rPr>
              <w:t>.</w:t>
            </w:r>
          </w:p>
          <w:p w:rsidR="0045618C" w:rsidRDefault="0045618C" w:rsidP="00416BFF">
            <w:pPr>
              <w:rPr>
                <w:rFonts w:ascii="Arial" w:hAnsi="Arial" w:cs="Arial"/>
                <w:b/>
                <w:szCs w:val="24"/>
              </w:rPr>
            </w:pPr>
          </w:p>
          <w:p w:rsidR="0045618C" w:rsidRPr="0045618C" w:rsidRDefault="0045618C" w:rsidP="00416BFF">
            <w:pPr>
              <w:rPr>
                <w:rFonts w:ascii="Arial" w:hAnsi="Arial" w:cs="Arial"/>
                <w:szCs w:val="24"/>
              </w:rPr>
            </w:pPr>
            <w:r w:rsidRPr="0045618C">
              <w:rPr>
                <w:rFonts w:ascii="Arial" w:hAnsi="Arial" w:cs="Arial"/>
                <w:szCs w:val="24"/>
              </w:rPr>
              <w:t>3.1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r w:rsidRPr="0045618C">
              <w:rPr>
                <w:rFonts w:ascii="Arial" w:hAnsi="Arial" w:cs="Arial"/>
                <w:szCs w:val="24"/>
              </w:rPr>
              <w:t>3.1.1</w:t>
            </w:r>
          </w:p>
          <w:p w:rsidR="0045618C" w:rsidRPr="0045618C" w:rsidRDefault="0045618C" w:rsidP="00416BFF">
            <w:pPr>
              <w:rPr>
                <w:rFonts w:ascii="Arial" w:hAnsi="Arial" w:cs="Arial"/>
                <w:szCs w:val="24"/>
              </w:rPr>
            </w:pPr>
          </w:p>
          <w:p w:rsidR="0045618C" w:rsidRPr="0045618C" w:rsidRDefault="0045618C" w:rsidP="00416BFF">
            <w:pPr>
              <w:rPr>
                <w:rFonts w:ascii="Arial" w:hAnsi="Arial" w:cs="Arial"/>
                <w:szCs w:val="24"/>
              </w:rPr>
            </w:pPr>
          </w:p>
          <w:p w:rsidR="000F5A33" w:rsidRDefault="000F5A33" w:rsidP="00416BFF">
            <w:pPr>
              <w:rPr>
                <w:rFonts w:ascii="Arial" w:hAnsi="Arial" w:cs="Arial"/>
                <w:szCs w:val="24"/>
              </w:rPr>
            </w:pPr>
          </w:p>
          <w:p w:rsidR="00AB4988" w:rsidRDefault="00AB4988" w:rsidP="00416BFF">
            <w:pPr>
              <w:rPr>
                <w:rFonts w:ascii="Arial" w:hAnsi="Arial" w:cs="Arial"/>
                <w:szCs w:val="24"/>
              </w:rPr>
            </w:pPr>
          </w:p>
          <w:p w:rsidR="00AB4988" w:rsidRDefault="00AB4988" w:rsidP="00416BFF">
            <w:pPr>
              <w:rPr>
                <w:rFonts w:ascii="Arial" w:hAnsi="Arial" w:cs="Arial"/>
                <w:szCs w:val="24"/>
              </w:rPr>
            </w:pPr>
          </w:p>
          <w:p w:rsidR="009E26DF" w:rsidRDefault="009E26DF" w:rsidP="00416BFF">
            <w:pPr>
              <w:rPr>
                <w:rFonts w:ascii="Arial" w:hAnsi="Arial" w:cs="Arial"/>
                <w:szCs w:val="24"/>
              </w:rPr>
            </w:pPr>
          </w:p>
          <w:p w:rsidR="0045618C" w:rsidRDefault="0045618C" w:rsidP="00416BFF">
            <w:pPr>
              <w:rPr>
                <w:rFonts w:ascii="Arial" w:hAnsi="Arial" w:cs="Arial"/>
                <w:szCs w:val="24"/>
              </w:rPr>
            </w:pPr>
            <w:r w:rsidRPr="0045618C">
              <w:rPr>
                <w:rFonts w:ascii="Arial" w:hAnsi="Arial" w:cs="Arial"/>
                <w:szCs w:val="24"/>
              </w:rPr>
              <w:lastRenderedPageBreak/>
              <w:t>3.1.2</w:t>
            </w:r>
          </w:p>
          <w:p w:rsidR="00314D66" w:rsidRPr="00314D66" w:rsidRDefault="00314D66" w:rsidP="00416BFF">
            <w:pPr>
              <w:rPr>
                <w:rFonts w:ascii="Arial" w:hAnsi="Arial" w:cs="Arial"/>
                <w:szCs w:val="24"/>
              </w:rPr>
            </w:pPr>
          </w:p>
        </w:tc>
        <w:tc>
          <w:tcPr>
            <w:tcW w:w="8505" w:type="dxa"/>
          </w:tcPr>
          <w:p w:rsidR="006F5801" w:rsidRDefault="006F5801" w:rsidP="00474274">
            <w:pPr>
              <w:jc w:val="both"/>
              <w:rPr>
                <w:rFonts w:ascii="Arial" w:hAnsi="Arial" w:cs="Arial"/>
                <w:b/>
                <w:szCs w:val="24"/>
              </w:rPr>
            </w:pPr>
            <w:r>
              <w:rPr>
                <w:rFonts w:ascii="Arial" w:hAnsi="Arial" w:cs="Arial"/>
                <w:b/>
                <w:szCs w:val="24"/>
              </w:rPr>
              <w:lastRenderedPageBreak/>
              <w:t xml:space="preserve">Human Resources Report: </w:t>
            </w:r>
            <w:r w:rsidR="004E23C6">
              <w:rPr>
                <w:rFonts w:ascii="Arial" w:hAnsi="Arial" w:cs="Arial"/>
                <w:b/>
                <w:szCs w:val="24"/>
              </w:rPr>
              <w:t>July - September</w:t>
            </w:r>
            <w:r w:rsidR="00142251">
              <w:rPr>
                <w:rFonts w:ascii="Arial" w:hAnsi="Arial" w:cs="Arial"/>
                <w:b/>
                <w:szCs w:val="24"/>
              </w:rPr>
              <w:t xml:space="preserve"> 2019</w:t>
            </w:r>
          </w:p>
          <w:p w:rsidR="006F5801" w:rsidRDefault="006F5801" w:rsidP="00474274">
            <w:pPr>
              <w:jc w:val="both"/>
              <w:rPr>
                <w:rFonts w:ascii="Arial" w:hAnsi="Arial" w:cs="Arial"/>
                <w:szCs w:val="24"/>
              </w:rPr>
            </w:pPr>
          </w:p>
          <w:p w:rsidR="0045618C" w:rsidRDefault="0045618C" w:rsidP="0045618C">
            <w:pPr>
              <w:jc w:val="both"/>
              <w:rPr>
                <w:rFonts w:ascii="Arial" w:hAnsi="Arial" w:cs="Arial"/>
                <w:szCs w:val="24"/>
                <w:u w:val="single"/>
              </w:rPr>
            </w:pPr>
            <w:r w:rsidRPr="00265F13">
              <w:rPr>
                <w:rFonts w:ascii="Arial" w:hAnsi="Arial" w:cs="Arial"/>
                <w:szCs w:val="24"/>
                <w:u w:val="single"/>
              </w:rPr>
              <w:t>Staff Establishment Numbers</w:t>
            </w:r>
          </w:p>
          <w:p w:rsidR="0045618C" w:rsidRDefault="0045618C" w:rsidP="0045618C">
            <w:pPr>
              <w:jc w:val="both"/>
              <w:rPr>
                <w:rFonts w:ascii="Arial" w:hAnsi="Arial" w:cs="Arial"/>
                <w:szCs w:val="24"/>
                <w:u w:val="single"/>
              </w:rPr>
            </w:pPr>
          </w:p>
          <w:p w:rsidR="000F5A33" w:rsidRDefault="009E26DF" w:rsidP="0045618C">
            <w:pPr>
              <w:jc w:val="both"/>
              <w:rPr>
                <w:rFonts w:ascii="Arial" w:hAnsi="Arial" w:cs="Arial"/>
                <w:szCs w:val="24"/>
              </w:rPr>
            </w:pPr>
            <w:r>
              <w:rPr>
                <w:rFonts w:ascii="Arial" w:hAnsi="Arial" w:cs="Arial"/>
                <w:szCs w:val="24"/>
              </w:rPr>
              <w:t>T</w:t>
            </w:r>
            <w:r w:rsidR="000F5A33">
              <w:rPr>
                <w:rFonts w:ascii="Arial" w:hAnsi="Arial" w:cs="Arial"/>
                <w:szCs w:val="24"/>
              </w:rPr>
              <w:t xml:space="preserve">he changes to </w:t>
            </w:r>
            <w:r>
              <w:rPr>
                <w:rFonts w:ascii="Arial" w:hAnsi="Arial" w:cs="Arial"/>
                <w:szCs w:val="24"/>
              </w:rPr>
              <w:t xml:space="preserve">the </w:t>
            </w:r>
            <w:r w:rsidR="000F5A33">
              <w:rPr>
                <w:rFonts w:ascii="Arial" w:hAnsi="Arial" w:cs="Arial"/>
                <w:szCs w:val="24"/>
              </w:rPr>
              <w:t xml:space="preserve">establishment </w:t>
            </w:r>
            <w:r>
              <w:rPr>
                <w:rFonts w:ascii="Arial" w:hAnsi="Arial" w:cs="Arial"/>
                <w:szCs w:val="24"/>
              </w:rPr>
              <w:t xml:space="preserve">for the period </w:t>
            </w:r>
            <w:r w:rsidR="000F5A33">
              <w:rPr>
                <w:rFonts w:ascii="Arial" w:hAnsi="Arial" w:cs="Arial"/>
                <w:szCs w:val="24"/>
              </w:rPr>
              <w:t>in full-time equivalents (FTE)</w:t>
            </w:r>
            <w:r>
              <w:rPr>
                <w:rFonts w:ascii="Arial" w:hAnsi="Arial" w:cs="Arial"/>
                <w:szCs w:val="24"/>
              </w:rPr>
              <w:t xml:space="preserve"> are as follows</w:t>
            </w:r>
            <w:r w:rsidR="000F5A33">
              <w:rPr>
                <w:rFonts w:ascii="Arial" w:hAnsi="Arial" w:cs="Arial"/>
                <w:szCs w:val="24"/>
              </w:rPr>
              <w:t>:</w:t>
            </w:r>
          </w:p>
          <w:p w:rsidR="000F5A33" w:rsidRDefault="000F5A33" w:rsidP="0045618C">
            <w:pPr>
              <w:jc w:val="both"/>
              <w:rPr>
                <w:rFonts w:ascii="Arial" w:hAnsi="Arial" w:cs="Arial"/>
                <w:szCs w:val="24"/>
              </w:rPr>
            </w:pPr>
          </w:p>
          <w:p w:rsidR="000F5A33" w:rsidRDefault="000F5A33" w:rsidP="00E26CEE">
            <w:pPr>
              <w:rPr>
                <w:rFonts w:ascii="Arial" w:hAnsi="Arial" w:cs="Arial"/>
                <w:b/>
                <w:szCs w:val="24"/>
              </w:rPr>
            </w:pPr>
            <w:r>
              <w:rPr>
                <w:rFonts w:ascii="Arial" w:hAnsi="Arial" w:cs="Arial"/>
                <w:szCs w:val="24"/>
              </w:rPr>
              <w:t xml:space="preserve">Establishment at end of </w:t>
            </w:r>
            <w:r w:rsidRPr="004120A6">
              <w:rPr>
                <w:rFonts w:ascii="Arial" w:hAnsi="Arial" w:cs="Arial"/>
                <w:b/>
                <w:szCs w:val="24"/>
              </w:rPr>
              <w:t xml:space="preserve">Quarter </w:t>
            </w:r>
            <w:r w:rsidR="00516D9F">
              <w:rPr>
                <w:rFonts w:ascii="Arial" w:hAnsi="Arial" w:cs="Arial"/>
                <w:b/>
                <w:szCs w:val="24"/>
              </w:rPr>
              <w:t>1</w:t>
            </w:r>
            <w:r>
              <w:rPr>
                <w:rFonts w:ascii="Arial" w:hAnsi="Arial" w:cs="Arial"/>
                <w:szCs w:val="24"/>
              </w:rPr>
              <w:t xml:space="preserve"> </w:t>
            </w:r>
            <w:r w:rsidR="00516D9F" w:rsidRPr="00516D9F">
              <w:rPr>
                <w:rFonts w:ascii="Arial" w:hAnsi="Arial" w:cs="Arial"/>
                <w:b/>
                <w:szCs w:val="24"/>
              </w:rPr>
              <w:t>2019/20</w:t>
            </w:r>
            <w:r w:rsidR="00516D9F">
              <w:rPr>
                <w:rFonts w:ascii="Arial" w:hAnsi="Arial" w:cs="Arial"/>
                <w:b/>
                <w:szCs w:val="24"/>
              </w:rPr>
              <w:t xml:space="preserve"> </w:t>
            </w:r>
            <w:r w:rsidR="0060608D">
              <w:rPr>
                <w:rFonts w:ascii="Arial" w:hAnsi="Arial" w:cs="Arial"/>
                <w:szCs w:val="24"/>
              </w:rPr>
              <w:t>(</w:t>
            </w:r>
            <w:r w:rsidR="004B292E">
              <w:rPr>
                <w:rFonts w:ascii="Arial" w:hAnsi="Arial" w:cs="Arial"/>
                <w:szCs w:val="24"/>
              </w:rPr>
              <w:t>April to June</w:t>
            </w:r>
            <w:r w:rsidR="00447C8A">
              <w:rPr>
                <w:rFonts w:ascii="Arial" w:hAnsi="Arial" w:cs="Arial"/>
                <w:szCs w:val="24"/>
              </w:rPr>
              <w:t xml:space="preserve"> 2019</w:t>
            </w:r>
            <w:r w:rsidR="0060608D">
              <w:rPr>
                <w:rFonts w:ascii="Arial" w:hAnsi="Arial" w:cs="Arial"/>
                <w:szCs w:val="24"/>
              </w:rPr>
              <w:t>)</w:t>
            </w:r>
            <w:r w:rsidR="004B292E">
              <w:rPr>
                <w:rFonts w:ascii="Arial" w:hAnsi="Arial" w:cs="Arial"/>
                <w:szCs w:val="24"/>
              </w:rPr>
              <w:t xml:space="preserve"> </w:t>
            </w:r>
            <w:r w:rsidR="0060608D">
              <w:rPr>
                <w:rFonts w:ascii="Arial" w:hAnsi="Arial" w:cs="Arial"/>
                <w:szCs w:val="24"/>
              </w:rPr>
              <w:t xml:space="preserve">= </w:t>
            </w:r>
            <w:r w:rsidR="00516D9F">
              <w:rPr>
                <w:rFonts w:ascii="Arial" w:hAnsi="Arial" w:cs="Arial"/>
                <w:b/>
                <w:szCs w:val="24"/>
              </w:rPr>
              <w:t>693.88</w:t>
            </w:r>
          </w:p>
          <w:p w:rsidR="004E23C6" w:rsidRDefault="004E23C6" w:rsidP="00E26CEE">
            <w:pPr>
              <w:rPr>
                <w:rFonts w:ascii="Arial" w:hAnsi="Arial" w:cs="Arial"/>
                <w:szCs w:val="24"/>
              </w:rPr>
            </w:pPr>
            <w:r>
              <w:rPr>
                <w:rFonts w:ascii="Arial" w:hAnsi="Arial" w:cs="Arial"/>
                <w:szCs w:val="24"/>
              </w:rPr>
              <w:t xml:space="preserve">Establishment at end of </w:t>
            </w:r>
            <w:r w:rsidRPr="004120A6">
              <w:rPr>
                <w:rFonts w:ascii="Arial" w:hAnsi="Arial" w:cs="Arial"/>
                <w:b/>
                <w:szCs w:val="24"/>
              </w:rPr>
              <w:t xml:space="preserve">Quarter </w:t>
            </w:r>
            <w:r>
              <w:rPr>
                <w:rFonts w:ascii="Arial" w:hAnsi="Arial" w:cs="Arial"/>
                <w:b/>
                <w:szCs w:val="24"/>
              </w:rPr>
              <w:t xml:space="preserve">2 2019/20 </w:t>
            </w:r>
            <w:r>
              <w:rPr>
                <w:rFonts w:ascii="Arial" w:hAnsi="Arial" w:cs="Arial"/>
                <w:szCs w:val="24"/>
              </w:rPr>
              <w:t xml:space="preserve">(July to Sept 2019) = </w:t>
            </w:r>
            <w:r>
              <w:rPr>
                <w:rFonts w:ascii="Arial" w:hAnsi="Arial" w:cs="Arial"/>
                <w:b/>
                <w:szCs w:val="24"/>
              </w:rPr>
              <w:t>698.63</w:t>
            </w:r>
          </w:p>
          <w:p w:rsidR="000F5A33" w:rsidRDefault="000F5A33" w:rsidP="0045618C">
            <w:pPr>
              <w:jc w:val="both"/>
              <w:rPr>
                <w:rFonts w:ascii="Arial" w:hAnsi="Arial" w:cs="Arial"/>
                <w:szCs w:val="24"/>
              </w:rPr>
            </w:pPr>
          </w:p>
          <w:p w:rsidR="009E26DF" w:rsidRDefault="009E26DF" w:rsidP="009E26DF">
            <w:pPr>
              <w:jc w:val="both"/>
              <w:rPr>
                <w:rFonts w:ascii="Arial" w:hAnsi="Arial" w:cs="Arial"/>
                <w:szCs w:val="24"/>
              </w:rPr>
            </w:pPr>
          </w:p>
          <w:p w:rsidR="000E16F2" w:rsidRPr="007214D1" w:rsidRDefault="009E26DF" w:rsidP="009E26DF">
            <w:pPr>
              <w:jc w:val="both"/>
              <w:rPr>
                <w:rFonts w:ascii="Arial" w:hAnsi="Arial" w:cs="Arial"/>
                <w:szCs w:val="24"/>
              </w:rPr>
            </w:pPr>
            <w:r>
              <w:rPr>
                <w:rFonts w:ascii="Arial" w:hAnsi="Arial" w:cs="Arial"/>
                <w:szCs w:val="24"/>
              </w:rPr>
              <w:lastRenderedPageBreak/>
              <w:t>The c</w:t>
            </w:r>
            <w:r w:rsidR="000F5A33">
              <w:rPr>
                <w:rFonts w:ascii="Arial" w:hAnsi="Arial" w:cs="Arial"/>
                <w:szCs w:val="24"/>
              </w:rPr>
              <w:t xml:space="preserve">hanges to the establishment </w:t>
            </w:r>
            <w:r>
              <w:rPr>
                <w:rFonts w:ascii="Arial" w:hAnsi="Arial" w:cs="Arial"/>
                <w:szCs w:val="24"/>
              </w:rPr>
              <w:t xml:space="preserve">are </w:t>
            </w:r>
            <w:r w:rsidR="00C8333C">
              <w:rPr>
                <w:rFonts w:ascii="Arial" w:hAnsi="Arial" w:cs="Arial"/>
                <w:szCs w:val="24"/>
              </w:rPr>
              <w:t xml:space="preserve">detailed in </w:t>
            </w:r>
            <w:r w:rsidR="00C8333C" w:rsidRPr="00C8333C">
              <w:rPr>
                <w:rFonts w:ascii="Arial" w:hAnsi="Arial" w:cs="Arial"/>
                <w:b/>
                <w:szCs w:val="24"/>
              </w:rPr>
              <w:t>Appendix A</w:t>
            </w:r>
            <w:r w:rsidR="00FE1C80">
              <w:rPr>
                <w:rFonts w:ascii="Arial" w:hAnsi="Arial" w:cs="Arial"/>
                <w:szCs w:val="24"/>
              </w:rPr>
              <w:t>.</w:t>
            </w:r>
          </w:p>
        </w:tc>
      </w:tr>
      <w:tr w:rsidR="00C8333C" w:rsidRPr="007214D1" w:rsidTr="00835331">
        <w:tc>
          <w:tcPr>
            <w:tcW w:w="959" w:type="dxa"/>
          </w:tcPr>
          <w:p w:rsidR="00C8333C" w:rsidRPr="00C8333C" w:rsidRDefault="00C8333C" w:rsidP="00416BFF">
            <w:pPr>
              <w:rPr>
                <w:rFonts w:ascii="Arial" w:hAnsi="Arial" w:cs="Arial"/>
                <w:szCs w:val="24"/>
              </w:rPr>
            </w:pPr>
            <w:r w:rsidRPr="00C8333C">
              <w:rPr>
                <w:rFonts w:ascii="Arial" w:hAnsi="Arial" w:cs="Arial"/>
                <w:szCs w:val="24"/>
              </w:rPr>
              <w:lastRenderedPageBreak/>
              <w:t>3.2</w:t>
            </w:r>
          </w:p>
        </w:tc>
        <w:tc>
          <w:tcPr>
            <w:tcW w:w="8505" w:type="dxa"/>
          </w:tcPr>
          <w:p w:rsidR="00C8333C" w:rsidRPr="009C1F2A" w:rsidRDefault="00C8333C" w:rsidP="00C8333C">
            <w:pPr>
              <w:jc w:val="both"/>
              <w:rPr>
                <w:rFonts w:ascii="Arial" w:hAnsi="Arial" w:cs="Arial"/>
                <w:u w:val="single"/>
              </w:rPr>
            </w:pPr>
            <w:r>
              <w:rPr>
                <w:rFonts w:ascii="Arial" w:hAnsi="Arial" w:cs="Arial"/>
                <w:u w:val="single"/>
              </w:rPr>
              <w:t>Attendance management</w:t>
            </w:r>
          </w:p>
          <w:p w:rsidR="00C8333C" w:rsidRDefault="00C8333C" w:rsidP="00474274">
            <w:pPr>
              <w:jc w:val="both"/>
              <w:rPr>
                <w:rFonts w:ascii="Arial" w:hAnsi="Arial" w:cs="Arial"/>
                <w:b/>
                <w:szCs w:val="24"/>
              </w:rPr>
            </w:pPr>
          </w:p>
        </w:tc>
      </w:tr>
      <w:tr w:rsidR="005F296B" w:rsidRPr="007214D1" w:rsidTr="00835331">
        <w:tc>
          <w:tcPr>
            <w:tcW w:w="959" w:type="dxa"/>
          </w:tcPr>
          <w:p w:rsidR="005F296B" w:rsidRPr="00C8333C" w:rsidRDefault="005F296B" w:rsidP="00416BFF">
            <w:pPr>
              <w:rPr>
                <w:rFonts w:ascii="Arial" w:hAnsi="Arial" w:cs="Arial"/>
                <w:szCs w:val="24"/>
              </w:rPr>
            </w:pPr>
            <w:r>
              <w:rPr>
                <w:rFonts w:ascii="Arial" w:hAnsi="Arial" w:cs="Arial"/>
                <w:szCs w:val="24"/>
              </w:rPr>
              <w:t>3.2.1</w:t>
            </w:r>
          </w:p>
        </w:tc>
        <w:tc>
          <w:tcPr>
            <w:tcW w:w="8505" w:type="dxa"/>
          </w:tcPr>
          <w:p w:rsidR="00DF462B" w:rsidRDefault="002E0015" w:rsidP="00DF462B">
            <w:pPr>
              <w:jc w:val="both"/>
              <w:rPr>
                <w:rFonts w:ascii="Arial" w:eastAsia="Calibri" w:hAnsi="Arial" w:cs="Arial"/>
                <w:szCs w:val="24"/>
                <w:lang w:eastAsia="en-US"/>
              </w:rPr>
            </w:pPr>
            <w:r>
              <w:rPr>
                <w:rFonts w:ascii="Arial" w:eastAsia="Calibri" w:hAnsi="Arial" w:cs="Arial"/>
                <w:szCs w:val="24"/>
                <w:lang w:eastAsia="en-US"/>
              </w:rPr>
              <w:t>R</w:t>
            </w:r>
            <w:r w:rsidR="00DF462B" w:rsidRPr="009C1F2A">
              <w:rPr>
                <w:rFonts w:ascii="Arial" w:eastAsia="Calibri" w:hAnsi="Arial" w:cs="Arial"/>
                <w:szCs w:val="24"/>
                <w:lang w:eastAsia="en-US"/>
              </w:rPr>
              <w:t>eports show absence levels split between long-term absence (&gt;10 consecutive working days)</w:t>
            </w:r>
            <w:r w:rsidR="00DF462B">
              <w:rPr>
                <w:rFonts w:ascii="Arial" w:eastAsia="Calibri" w:hAnsi="Arial" w:cs="Arial"/>
                <w:szCs w:val="24"/>
                <w:lang w:eastAsia="en-US"/>
              </w:rPr>
              <w:t xml:space="preserve"> and short-term absence (</w:t>
            </w:r>
            <w:r w:rsidR="00DF462B" w:rsidRPr="009C1F2A">
              <w:rPr>
                <w:rFonts w:ascii="Arial" w:eastAsia="Calibri" w:hAnsi="Arial" w:cs="Arial"/>
                <w:szCs w:val="24"/>
                <w:lang w:eastAsia="en-US"/>
              </w:rPr>
              <w:t>10</w:t>
            </w:r>
            <w:r w:rsidR="00B859CD">
              <w:rPr>
                <w:rFonts w:ascii="Arial" w:eastAsia="Calibri" w:hAnsi="Arial" w:cs="Arial"/>
                <w:szCs w:val="24"/>
                <w:lang w:eastAsia="en-US"/>
              </w:rPr>
              <w:t> </w:t>
            </w:r>
            <w:r w:rsidR="00DF462B" w:rsidRPr="009C1F2A">
              <w:rPr>
                <w:rFonts w:ascii="Arial" w:eastAsia="Calibri" w:hAnsi="Arial" w:cs="Arial"/>
                <w:szCs w:val="24"/>
                <w:lang w:eastAsia="en-US"/>
              </w:rPr>
              <w:t>consecutive working days</w:t>
            </w:r>
            <w:r w:rsidR="00DF462B">
              <w:rPr>
                <w:rFonts w:ascii="Arial" w:eastAsia="Calibri" w:hAnsi="Arial" w:cs="Arial"/>
                <w:szCs w:val="24"/>
                <w:lang w:eastAsia="en-US"/>
              </w:rPr>
              <w:t xml:space="preserve"> or less</w:t>
            </w:r>
            <w:r w:rsidR="00DF462B" w:rsidRPr="009C1F2A">
              <w:rPr>
                <w:rFonts w:ascii="Arial" w:eastAsia="Calibri" w:hAnsi="Arial" w:cs="Arial"/>
                <w:szCs w:val="24"/>
                <w:lang w:eastAsia="en-US"/>
              </w:rPr>
              <w:t>)</w:t>
            </w:r>
            <w:r w:rsidR="00DF462B">
              <w:rPr>
                <w:rFonts w:ascii="Arial" w:eastAsia="Calibri" w:hAnsi="Arial" w:cs="Arial"/>
                <w:szCs w:val="24"/>
                <w:lang w:eastAsia="en-US"/>
              </w:rPr>
              <w:t>.</w:t>
            </w:r>
          </w:p>
          <w:p w:rsidR="005F296B" w:rsidRDefault="005F296B" w:rsidP="002E0015">
            <w:pPr>
              <w:jc w:val="both"/>
              <w:rPr>
                <w:rFonts w:ascii="Arial" w:hAnsi="Arial" w:cs="Arial"/>
                <w:u w:val="single"/>
              </w:rPr>
            </w:pPr>
          </w:p>
        </w:tc>
      </w:tr>
      <w:tr w:rsidR="00C8333C" w:rsidRPr="007214D1" w:rsidTr="00835331">
        <w:trPr>
          <w:trHeight w:val="3106"/>
        </w:trPr>
        <w:tc>
          <w:tcPr>
            <w:tcW w:w="959" w:type="dxa"/>
          </w:tcPr>
          <w:p w:rsidR="00C8333C" w:rsidRDefault="00C8333C" w:rsidP="00416BFF">
            <w:pPr>
              <w:rPr>
                <w:rFonts w:ascii="Arial" w:hAnsi="Arial" w:cs="Arial"/>
                <w:szCs w:val="24"/>
              </w:rPr>
            </w:pPr>
            <w:r>
              <w:rPr>
                <w:rFonts w:ascii="Arial" w:hAnsi="Arial" w:cs="Arial"/>
                <w:szCs w:val="24"/>
              </w:rPr>
              <w:t>3.2.</w:t>
            </w:r>
            <w:r w:rsidR="00D44B45">
              <w:rPr>
                <w:rFonts w:ascii="Arial" w:hAnsi="Arial" w:cs="Arial"/>
                <w:szCs w:val="24"/>
              </w:rPr>
              <w:t>2</w:t>
            </w: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Default="005F296B" w:rsidP="00416BFF">
            <w:pPr>
              <w:rPr>
                <w:rFonts w:ascii="Arial" w:hAnsi="Arial" w:cs="Arial"/>
                <w:szCs w:val="24"/>
              </w:rPr>
            </w:pPr>
          </w:p>
          <w:p w:rsidR="005F296B" w:rsidRPr="00C8333C" w:rsidRDefault="005F296B" w:rsidP="00416BFF">
            <w:pPr>
              <w:rPr>
                <w:rFonts w:ascii="Arial" w:hAnsi="Arial" w:cs="Arial"/>
                <w:szCs w:val="24"/>
              </w:rPr>
            </w:pPr>
          </w:p>
        </w:tc>
        <w:tc>
          <w:tcPr>
            <w:tcW w:w="8505" w:type="dxa"/>
          </w:tcPr>
          <w:p w:rsidR="00C8333C" w:rsidRPr="009C1F2A" w:rsidRDefault="00C8333C" w:rsidP="00C8333C">
            <w:pPr>
              <w:jc w:val="both"/>
              <w:rPr>
                <w:rFonts w:ascii="Arial" w:eastAsia="Calibri" w:hAnsi="Arial" w:cs="Arial"/>
                <w:szCs w:val="24"/>
                <w:lang w:eastAsia="en-US"/>
              </w:rPr>
            </w:pPr>
            <w:r w:rsidRPr="009C1F2A">
              <w:rPr>
                <w:rFonts w:ascii="Arial" w:eastAsia="Calibri" w:hAnsi="Arial" w:cs="Arial"/>
                <w:szCs w:val="24"/>
                <w:lang w:eastAsia="en-US"/>
              </w:rPr>
              <w:t xml:space="preserve">The </w:t>
            </w:r>
            <w:proofErr w:type="gramStart"/>
            <w:r w:rsidR="00AB5455">
              <w:rPr>
                <w:rFonts w:ascii="Arial" w:eastAsia="Calibri" w:hAnsi="Arial" w:cs="Arial"/>
                <w:szCs w:val="24"/>
                <w:lang w:eastAsia="en-US"/>
              </w:rPr>
              <w:t>l</w:t>
            </w:r>
            <w:r w:rsidR="00D71DD2">
              <w:rPr>
                <w:rFonts w:ascii="Arial" w:eastAsia="Calibri" w:hAnsi="Arial" w:cs="Arial"/>
                <w:szCs w:val="24"/>
                <w:lang w:eastAsia="en-US"/>
              </w:rPr>
              <w:t>ong term</w:t>
            </w:r>
            <w:proofErr w:type="gramEnd"/>
            <w:r w:rsidR="00D71DD2">
              <w:rPr>
                <w:rFonts w:ascii="Arial" w:eastAsia="Calibri" w:hAnsi="Arial" w:cs="Arial"/>
                <w:szCs w:val="24"/>
                <w:lang w:eastAsia="en-US"/>
              </w:rPr>
              <w:t xml:space="preserve"> </w:t>
            </w:r>
            <w:r w:rsidRPr="009C1F2A">
              <w:rPr>
                <w:rFonts w:ascii="Arial" w:eastAsia="Calibri" w:hAnsi="Arial" w:cs="Arial"/>
                <w:szCs w:val="24"/>
                <w:lang w:eastAsia="en-US"/>
              </w:rPr>
              <w:t xml:space="preserve">absence </w:t>
            </w:r>
            <w:r w:rsidR="00D71DD2">
              <w:rPr>
                <w:rFonts w:ascii="Arial" w:eastAsia="Calibri" w:hAnsi="Arial" w:cs="Arial"/>
                <w:szCs w:val="24"/>
                <w:lang w:eastAsia="en-US"/>
              </w:rPr>
              <w:t>rate %</w:t>
            </w:r>
            <w:r w:rsidRPr="009C1F2A">
              <w:rPr>
                <w:rFonts w:ascii="Arial" w:eastAsia="Calibri" w:hAnsi="Arial" w:cs="Arial"/>
                <w:szCs w:val="24"/>
                <w:lang w:eastAsia="en-US"/>
              </w:rPr>
              <w:t xml:space="preserve"> up to the end of Quarter </w:t>
            </w:r>
            <w:r w:rsidR="004E23C6">
              <w:rPr>
                <w:rFonts w:ascii="Arial" w:eastAsia="Calibri" w:hAnsi="Arial" w:cs="Arial"/>
                <w:szCs w:val="24"/>
                <w:lang w:eastAsia="en-US"/>
              </w:rPr>
              <w:t>2</w:t>
            </w:r>
            <w:r w:rsidR="00516D9F">
              <w:rPr>
                <w:rFonts w:ascii="Arial" w:eastAsia="Calibri" w:hAnsi="Arial" w:cs="Arial"/>
                <w:szCs w:val="24"/>
                <w:lang w:eastAsia="en-US"/>
              </w:rPr>
              <w:t xml:space="preserve"> </w:t>
            </w:r>
            <w:r w:rsidRPr="009C1F2A">
              <w:rPr>
                <w:rFonts w:ascii="Arial" w:eastAsia="Calibri" w:hAnsi="Arial" w:cs="Arial"/>
                <w:szCs w:val="24"/>
                <w:lang w:eastAsia="en-US"/>
              </w:rPr>
              <w:t>w</w:t>
            </w:r>
            <w:r w:rsidR="00042D0F">
              <w:rPr>
                <w:rFonts w:ascii="Arial" w:eastAsia="Calibri" w:hAnsi="Arial" w:cs="Arial"/>
                <w:szCs w:val="24"/>
                <w:lang w:eastAsia="en-US"/>
              </w:rPr>
              <w:t>as</w:t>
            </w:r>
            <w:r w:rsidRPr="009C1F2A">
              <w:rPr>
                <w:rFonts w:ascii="Arial" w:eastAsia="Calibri" w:hAnsi="Arial" w:cs="Arial"/>
                <w:szCs w:val="24"/>
                <w:lang w:eastAsia="en-US"/>
              </w:rPr>
              <w:t xml:space="preserve"> as follows:</w:t>
            </w:r>
          </w:p>
          <w:p w:rsidR="00C8333C" w:rsidRPr="009C1F2A" w:rsidRDefault="00C8333C"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4120A6"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4120A6" w:rsidRPr="009C1F2A" w:rsidRDefault="004120A6" w:rsidP="005F2A13">
                  <w:pPr>
                    <w:spacing w:line="276" w:lineRule="auto"/>
                    <w:jc w:val="center"/>
                    <w:rPr>
                      <w:rFonts w:ascii="Arial" w:eastAsia="Calibri" w:hAnsi="Arial" w:cs="Arial"/>
                      <w:b/>
                      <w:bCs/>
                      <w:szCs w:val="24"/>
                    </w:rPr>
                  </w:pPr>
                  <w:r>
                    <w:rPr>
                      <w:rFonts w:ascii="Arial" w:eastAsia="Calibri" w:hAnsi="Arial" w:cs="Arial"/>
                      <w:b/>
                      <w:bCs/>
                      <w:szCs w:val="24"/>
                    </w:rPr>
                    <w:t xml:space="preserve">Long term </w:t>
                  </w:r>
                  <w:r w:rsidRPr="009C1F2A">
                    <w:rPr>
                      <w:rFonts w:ascii="Arial" w:eastAsia="Calibri" w:hAnsi="Arial" w:cs="Arial"/>
                      <w:b/>
                      <w:bCs/>
                      <w:szCs w:val="24"/>
                    </w:rPr>
                    <w:t>Absence Rates</w:t>
                  </w:r>
                </w:p>
                <w:p w:rsidR="004120A6" w:rsidRPr="009C1F2A" w:rsidRDefault="004120A6" w:rsidP="005F2A13">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4120A6" w:rsidRPr="009C1F2A" w:rsidRDefault="004120A6" w:rsidP="005F2A13">
                  <w:pPr>
                    <w:spacing w:line="276" w:lineRule="auto"/>
                    <w:jc w:val="center"/>
                    <w:rPr>
                      <w:rFonts w:ascii="Arial" w:eastAsia="Calibri" w:hAnsi="Arial" w:cs="Arial"/>
                      <w:b/>
                      <w:bCs/>
                      <w:szCs w:val="24"/>
                    </w:rPr>
                  </w:pPr>
                </w:p>
                <w:p w:rsidR="004120A6" w:rsidRPr="009C1F2A" w:rsidRDefault="004120A6"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4120A6" w:rsidRPr="009C1F2A" w:rsidRDefault="004120A6"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E1395A"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E1395A" w:rsidRPr="009C1F2A" w:rsidRDefault="00E1395A" w:rsidP="005F2A13">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240268" w:rsidRDefault="00E1395A" w:rsidP="005F2A13">
                  <w:pPr>
                    <w:spacing w:line="276" w:lineRule="auto"/>
                    <w:jc w:val="center"/>
                    <w:rPr>
                      <w:rFonts w:ascii="Arial" w:eastAsia="Calibri" w:hAnsi="Arial" w:cs="Arial"/>
                      <w:szCs w:val="24"/>
                    </w:rPr>
                  </w:pPr>
                  <w:r>
                    <w:rPr>
                      <w:rFonts w:ascii="Arial" w:eastAsia="Calibri" w:hAnsi="Arial" w:cs="Arial"/>
                      <w:szCs w:val="24"/>
                    </w:rPr>
                    <w:t>2.62%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2.29%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2.68%</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1395A" w:rsidRPr="009C1F2A" w:rsidRDefault="00E1395A" w:rsidP="005F2A13">
                  <w:pPr>
                    <w:spacing w:line="276" w:lineRule="auto"/>
                    <w:jc w:val="center"/>
                    <w:rPr>
                      <w:rFonts w:ascii="Arial" w:eastAsia="Calibri" w:hAnsi="Arial" w:cs="Arial"/>
                      <w:szCs w:val="24"/>
                    </w:rPr>
                  </w:pPr>
                  <w:r>
                    <w:rPr>
                      <w:rFonts w:ascii="Arial" w:eastAsia="Calibri" w:hAnsi="Arial" w:cs="Arial"/>
                      <w:szCs w:val="24"/>
                    </w:rPr>
                    <w:t>2.28%</w:t>
                  </w:r>
                </w:p>
              </w:tc>
            </w:tr>
            <w:tr w:rsidR="002E0015"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2E0015" w:rsidRPr="009C1F2A" w:rsidRDefault="002E0015" w:rsidP="005F2A13">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6B590D" w:rsidP="005F2A13">
                  <w:pPr>
                    <w:spacing w:line="276" w:lineRule="auto"/>
                    <w:jc w:val="center"/>
                    <w:rPr>
                      <w:rFonts w:ascii="Arial" w:eastAsia="Calibri" w:hAnsi="Arial" w:cs="Arial"/>
                      <w:szCs w:val="24"/>
                    </w:rPr>
                  </w:pPr>
                  <w:r>
                    <w:rPr>
                      <w:rFonts w:ascii="Arial" w:eastAsia="Calibri" w:hAnsi="Arial" w:cs="Arial"/>
                      <w:szCs w:val="24"/>
                    </w:rPr>
                    <w:t>2.12%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EB2A40" w:rsidP="005F2A13">
                  <w:pPr>
                    <w:spacing w:line="276" w:lineRule="auto"/>
                    <w:jc w:val="center"/>
                    <w:rPr>
                      <w:rFonts w:ascii="Arial" w:eastAsia="Calibri" w:hAnsi="Arial" w:cs="Arial"/>
                      <w:szCs w:val="24"/>
                    </w:rPr>
                  </w:pPr>
                  <w:r>
                    <w:rPr>
                      <w:rFonts w:ascii="Arial" w:eastAsia="Calibri" w:hAnsi="Arial" w:cs="Arial"/>
                      <w:szCs w:val="24"/>
                    </w:rPr>
                    <w:t>2.37%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E26CEE" w:rsidP="005F2A13">
                  <w:pPr>
                    <w:spacing w:line="276" w:lineRule="auto"/>
                    <w:jc w:val="center"/>
                    <w:rPr>
                      <w:rFonts w:ascii="Arial" w:eastAsia="Calibri" w:hAnsi="Arial" w:cs="Arial"/>
                      <w:szCs w:val="24"/>
                    </w:rPr>
                  </w:pPr>
                  <w:r>
                    <w:rPr>
                      <w:rFonts w:ascii="Arial" w:eastAsia="Calibri" w:hAnsi="Arial" w:cs="Arial"/>
                      <w:szCs w:val="24"/>
                    </w:rPr>
                    <w:t>2.70%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E0015" w:rsidRDefault="00DB0F9C" w:rsidP="005F2A13">
                  <w:pPr>
                    <w:spacing w:line="276" w:lineRule="auto"/>
                    <w:jc w:val="center"/>
                    <w:rPr>
                      <w:rFonts w:ascii="Arial" w:eastAsia="Calibri" w:hAnsi="Arial" w:cs="Arial"/>
                      <w:szCs w:val="24"/>
                    </w:rPr>
                  </w:pPr>
                  <w:r>
                    <w:rPr>
                      <w:rFonts w:ascii="Arial" w:eastAsia="Calibri" w:hAnsi="Arial" w:cs="Arial"/>
                      <w:szCs w:val="24"/>
                    </w:rPr>
                    <w:t>2.73</w:t>
                  </w:r>
                  <w:r w:rsidR="008249DA">
                    <w:rPr>
                      <w:rFonts w:ascii="Arial" w:eastAsia="Calibri" w:hAnsi="Arial" w:cs="Arial"/>
                      <w:szCs w:val="24"/>
                    </w:rPr>
                    <w:t>%</w:t>
                  </w:r>
                </w:p>
              </w:tc>
            </w:tr>
            <w:tr w:rsidR="00516D9F"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5F2A13">
                  <w:pPr>
                    <w:spacing w:line="276" w:lineRule="auto"/>
                    <w:jc w:val="center"/>
                    <w:rPr>
                      <w:rFonts w:ascii="Arial" w:eastAsia="Calibri" w:hAnsi="Arial" w:cs="Arial"/>
                      <w:szCs w:val="24"/>
                    </w:rPr>
                  </w:pPr>
                  <w:r>
                    <w:rPr>
                      <w:rFonts w:ascii="Arial" w:eastAsia="Calibri" w:hAnsi="Arial" w:cs="Arial"/>
                      <w:szCs w:val="24"/>
                    </w:rPr>
                    <w:t>3.37%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4E23C6" w:rsidP="005F2A13">
                  <w:pPr>
                    <w:spacing w:line="276" w:lineRule="auto"/>
                    <w:jc w:val="center"/>
                    <w:rPr>
                      <w:rFonts w:ascii="Arial" w:eastAsia="Calibri" w:hAnsi="Arial" w:cs="Arial"/>
                      <w:szCs w:val="24"/>
                    </w:rPr>
                  </w:pPr>
                  <w:r>
                    <w:rPr>
                      <w:rFonts w:ascii="Arial" w:eastAsia="Calibri" w:hAnsi="Arial" w:cs="Arial"/>
                      <w:szCs w:val="24"/>
                    </w:rPr>
                    <w:t>2.55%</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r>
          </w:tbl>
          <w:p w:rsidR="00E1395A" w:rsidRDefault="00E1395A" w:rsidP="00C8333C">
            <w:pPr>
              <w:jc w:val="both"/>
              <w:rPr>
                <w:rFonts w:ascii="Arial" w:hAnsi="Arial" w:cs="Arial"/>
                <w:u w:val="single"/>
              </w:rPr>
            </w:pPr>
          </w:p>
        </w:tc>
      </w:tr>
      <w:tr w:rsidR="005F296B" w:rsidRPr="007214D1" w:rsidTr="00835331">
        <w:trPr>
          <w:trHeight w:val="195"/>
        </w:trPr>
        <w:tc>
          <w:tcPr>
            <w:tcW w:w="959" w:type="dxa"/>
          </w:tcPr>
          <w:p w:rsidR="009B7A20" w:rsidRDefault="009B7A20" w:rsidP="00D44B45">
            <w:pPr>
              <w:rPr>
                <w:rFonts w:ascii="Arial" w:hAnsi="Arial" w:cs="Arial"/>
                <w:szCs w:val="24"/>
              </w:rPr>
            </w:pPr>
          </w:p>
        </w:tc>
        <w:tc>
          <w:tcPr>
            <w:tcW w:w="8505" w:type="dxa"/>
          </w:tcPr>
          <w:p w:rsidR="00383500" w:rsidRPr="005F296B" w:rsidRDefault="00383500" w:rsidP="009B7A20">
            <w:pPr>
              <w:jc w:val="both"/>
              <w:rPr>
                <w:rFonts w:ascii="Arial" w:eastAsia="Calibri" w:hAnsi="Arial" w:cs="Arial"/>
                <w:szCs w:val="24"/>
                <w:lang w:eastAsia="en-US"/>
              </w:rPr>
            </w:pPr>
          </w:p>
        </w:tc>
      </w:tr>
      <w:tr w:rsidR="009B7A20" w:rsidRPr="007214D1" w:rsidTr="00835331">
        <w:trPr>
          <w:trHeight w:val="770"/>
        </w:trPr>
        <w:tc>
          <w:tcPr>
            <w:tcW w:w="959" w:type="dxa"/>
          </w:tcPr>
          <w:p w:rsidR="009B7A20" w:rsidRDefault="009B7A20" w:rsidP="005F2A13">
            <w:pPr>
              <w:rPr>
                <w:rFonts w:ascii="Arial" w:hAnsi="Arial" w:cs="Arial"/>
                <w:szCs w:val="24"/>
              </w:rPr>
            </w:pPr>
            <w:r>
              <w:rPr>
                <w:rFonts w:ascii="Arial" w:hAnsi="Arial" w:cs="Arial"/>
                <w:szCs w:val="24"/>
              </w:rPr>
              <w:t>3.2.3</w:t>
            </w:r>
          </w:p>
        </w:tc>
        <w:tc>
          <w:tcPr>
            <w:tcW w:w="8505" w:type="dxa"/>
          </w:tcPr>
          <w:p w:rsidR="009B7A20" w:rsidRDefault="009B7A20" w:rsidP="009B7A20">
            <w:pPr>
              <w:jc w:val="both"/>
              <w:rPr>
                <w:rFonts w:ascii="Arial" w:hAnsi="Arial" w:cs="Arial"/>
              </w:rPr>
            </w:pPr>
            <w:r w:rsidRPr="005F296B">
              <w:rPr>
                <w:rFonts w:ascii="Arial" w:hAnsi="Arial" w:cs="Arial"/>
              </w:rPr>
              <w:t xml:space="preserve">Quarter </w:t>
            </w:r>
            <w:r w:rsidR="004E23C6">
              <w:rPr>
                <w:rFonts w:ascii="Arial" w:hAnsi="Arial" w:cs="Arial"/>
              </w:rPr>
              <w:t>2</w:t>
            </w:r>
            <w:r w:rsidRPr="005F296B">
              <w:rPr>
                <w:rFonts w:ascii="Arial" w:hAnsi="Arial" w:cs="Arial"/>
              </w:rPr>
              <w:t xml:space="preserve"> has shown a </w:t>
            </w:r>
            <w:r w:rsidR="004E23C6">
              <w:rPr>
                <w:rFonts w:ascii="Arial" w:hAnsi="Arial" w:cs="Arial"/>
              </w:rPr>
              <w:t>de</w:t>
            </w:r>
            <w:r w:rsidR="00EB2A40">
              <w:rPr>
                <w:rFonts w:ascii="Arial" w:hAnsi="Arial" w:cs="Arial"/>
              </w:rPr>
              <w:t>crease</w:t>
            </w:r>
            <w:r w:rsidRPr="00DD3547">
              <w:rPr>
                <w:rFonts w:ascii="Arial" w:hAnsi="Arial" w:cs="Arial"/>
              </w:rPr>
              <w:t xml:space="preserve"> of </w:t>
            </w:r>
            <w:r w:rsidR="00EB2A40">
              <w:rPr>
                <w:rFonts w:ascii="Arial" w:hAnsi="Arial" w:cs="Arial"/>
              </w:rPr>
              <w:t>0.</w:t>
            </w:r>
            <w:r w:rsidR="004E23C6">
              <w:rPr>
                <w:rFonts w:ascii="Arial" w:hAnsi="Arial" w:cs="Arial"/>
              </w:rPr>
              <w:t>82</w:t>
            </w:r>
            <w:r w:rsidRPr="00DD3547">
              <w:rPr>
                <w:rFonts w:ascii="Arial" w:hAnsi="Arial" w:cs="Arial"/>
              </w:rPr>
              <w:t>%</w:t>
            </w:r>
            <w:r w:rsidRPr="005F296B">
              <w:rPr>
                <w:rFonts w:ascii="Arial" w:hAnsi="Arial" w:cs="Arial"/>
              </w:rPr>
              <w:t xml:space="preserve"> in the </w:t>
            </w:r>
            <w:proofErr w:type="gramStart"/>
            <w:r w:rsidRPr="005F296B">
              <w:rPr>
                <w:rFonts w:ascii="Arial" w:hAnsi="Arial" w:cs="Arial"/>
              </w:rPr>
              <w:t>long term</w:t>
            </w:r>
            <w:proofErr w:type="gramEnd"/>
            <w:r w:rsidRPr="005F296B">
              <w:rPr>
                <w:rFonts w:ascii="Arial" w:hAnsi="Arial" w:cs="Arial"/>
              </w:rPr>
              <w:t xml:space="preserve"> absence rate </w:t>
            </w:r>
            <w:r w:rsidR="003C1B3B">
              <w:rPr>
                <w:rFonts w:ascii="Arial" w:hAnsi="Arial" w:cs="Arial"/>
              </w:rPr>
              <w:t xml:space="preserve">compared to </w:t>
            </w:r>
            <w:r w:rsidR="00A23EF2">
              <w:rPr>
                <w:rFonts w:ascii="Arial" w:hAnsi="Arial" w:cs="Arial"/>
              </w:rPr>
              <w:t xml:space="preserve">Quarter </w:t>
            </w:r>
            <w:r w:rsidR="004E23C6">
              <w:rPr>
                <w:rFonts w:ascii="Arial" w:hAnsi="Arial" w:cs="Arial"/>
              </w:rPr>
              <w:t>1</w:t>
            </w:r>
            <w:r w:rsidR="00042D0F">
              <w:rPr>
                <w:rFonts w:ascii="Arial" w:hAnsi="Arial" w:cs="Arial"/>
              </w:rPr>
              <w:t xml:space="preserve"> </w:t>
            </w:r>
            <w:r w:rsidR="00A23EF2">
              <w:rPr>
                <w:rFonts w:ascii="Arial" w:hAnsi="Arial" w:cs="Arial"/>
              </w:rPr>
              <w:t>of</w:t>
            </w:r>
            <w:r w:rsidR="003C1B3B">
              <w:rPr>
                <w:rFonts w:ascii="Arial" w:hAnsi="Arial" w:cs="Arial"/>
              </w:rPr>
              <w:t xml:space="preserve"> </w:t>
            </w:r>
            <w:r w:rsidR="004E23C6">
              <w:rPr>
                <w:rFonts w:ascii="Arial" w:hAnsi="Arial" w:cs="Arial"/>
              </w:rPr>
              <w:t>2019/20</w:t>
            </w:r>
            <w:r w:rsidR="003C1B3B">
              <w:rPr>
                <w:rFonts w:ascii="Arial" w:hAnsi="Arial" w:cs="Arial"/>
              </w:rPr>
              <w:t xml:space="preserve">. </w:t>
            </w:r>
          </w:p>
          <w:p w:rsidR="009B7A20" w:rsidRDefault="009B7A20" w:rsidP="009B7A20">
            <w:pPr>
              <w:jc w:val="both"/>
              <w:rPr>
                <w:rFonts w:ascii="Arial" w:hAnsi="Arial" w:cs="Arial"/>
              </w:rPr>
            </w:pPr>
          </w:p>
          <w:p w:rsidR="009B7A20" w:rsidRPr="005D4D8D" w:rsidRDefault="009B7A20" w:rsidP="00A23EF2">
            <w:pPr>
              <w:jc w:val="both"/>
              <w:rPr>
                <w:rFonts w:ascii="Arial" w:eastAsia="Calibri" w:hAnsi="Arial" w:cs="Arial"/>
                <w:szCs w:val="24"/>
                <w:lang w:eastAsia="en-US"/>
              </w:rPr>
            </w:pPr>
            <w:r w:rsidRPr="005D4D8D">
              <w:rPr>
                <w:rFonts w:ascii="Arial" w:eastAsia="Calibri" w:hAnsi="Arial" w:cs="Arial"/>
                <w:szCs w:val="24"/>
                <w:lang w:eastAsia="en-US"/>
              </w:rPr>
              <w:t xml:space="preserve">There were </w:t>
            </w:r>
            <w:r w:rsidR="00A23EF2" w:rsidRPr="005D4D8D">
              <w:rPr>
                <w:rFonts w:ascii="Arial" w:eastAsia="Calibri" w:hAnsi="Arial" w:cs="Arial"/>
                <w:szCs w:val="24"/>
                <w:lang w:eastAsia="en-US"/>
              </w:rPr>
              <w:t>3</w:t>
            </w:r>
            <w:r w:rsidR="005F2664" w:rsidRPr="005D4D8D">
              <w:rPr>
                <w:rFonts w:ascii="Arial" w:eastAsia="Calibri" w:hAnsi="Arial" w:cs="Arial"/>
                <w:szCs w:val="24"/>
                <w:lang w:eastAsia="en-US"/>
              </w:rPr>
              <w:t>5</w:t>
            </w:r>
            <w:r w:rsidRPr="005D4D8D">
              <w:rPr>
                <w:rFonts w:ascii="Arial" w:eastAsia="Calibri" w:hAnsi="Arial" w:cs="Arial"/>
                <w:szCs w:val="24"/>
                <w:lang w:eastAsia="en-US"/>
              </w:rPr>
              <w:t xml:space="preserve"> long-term absences</w:t>
            </w:r>
            <w:r w:rsidR="00D82ADF" w:rsidRPr="005D4D8D">
              <w:rPr>
                <w:rFonts w:ascii="Arial" w:eastAsia="Calibri" w:hAnsi="Arial" w:cs="Arial"/>
                <w:szCs w:val="24"/>
                <w:lang w:eastAsia="en-US"/>
              </w:rPr>
              <w:t xml:space="preserve"> </w:t>
            </w:r>
            <w:r w:rsidR="00F60031" w:rsidRPr="005D4D8D">
              <w:rPr>
                <w:rFonts w:ascii="Arial" w:eastAsia="Calibri" w:hAnsi="Arial" w:cs="Arial"/>
                <w:szCs w:val="24"/>
                <w:lang w:eastAsia="en-US"/>
              </w:rPr>
              <w:t>with</w:t>
            </w:r>
            <w:r w:rsidRPr="005D4D8D">
              <w:rPr>
                <w:rFonts w:ascii="Arial" w:eastAsia="Calibri" w:hAnsi="Arial" w:cs="Arial"/>
                <w:szCs w:val="24"/>
                <w:lang w:eastAsia="en-US"/>
              </w:rPr>
              <w:t>in the quarter</w:t>
            </w:r>
            <w:r w:rsidR="002D0DC9" w:rsidRPr="005D4D8D">
              <w:rPr>
                <w:rFonts w:ascii="Arial" w:eastAsia="Calibri" w:hAnsi="Arial" w:cs="Arial"/>
                <w:szCs w:val="24"/>
                <w:lang w:eastAsia="en-US"/>
              </w:rPr>
              <w:t xml:space="preserve"> (</w:t>
            </w:r>
            <w:r w:rsidR="005F2664" w:rsidRPr="005D4D8D">
              <w:rPr>
                <w:rFonts w:ascii="Arial" w:eastAsia="Calibri" w:hAnsi="Arial" w:cs="Arial"/>
                <w:szCs w:val="24"/>
                <w:lang w:eastAsia="en-US"/>
              </w:rPr>
              <w:t xml:space="preserve">38 </w:t>
            </w:r>
            <w:r w:rsidR="002D0DC9" w:rsidRPr="005D4D8D">
              <w:rPr>
                <w:rFonts w:ascii="Arial" w:eastAsia="Calibri" w:hAnsi="Arial" w:cs="Arial"/>
                <w:szCs w:val="24"/>
                <w:lang w:eastAsia="en-US"/>
              </w:rPr>
              <w:t>in Q</w:t>
            </w:r>
            <w:r w:rsidR="00A23EF2" w:rsidRPr="005D4D8D">
              <w:rPr>
                <w:rFonts w:ascii="Arial" w:eastAsia="Calibri" w:hAnsi="Arial" w:cs="Arial"/>
                <w:szCs w:val="24"/>
                <w:lang w:eastAsia="en-US"/>
              </w:rPr>
              <w:t>1</w:t>
            </w:r>
            <w:r w:rsidR="002D0DC9" w:rsidRPr="005D4D8D">
              <w:rPr>
                <w:rFonts w:ascii="Arial" w:eastAsia="Calibri" w:hAnsi="Arial" w:cs="Arial"/>
                <w:szCs w:val="24"/>
                <w:lang w:eastAsia="en-US"/>
              </w:rPr>
              <w:t>)</w:t>
            </w:r>
            <w:r w:rsidRPr="005D4D8D">
              <w:rPr>
                <w:rFonts w:ascii="Arial" w:eastAsia="Calibri" w:hAnsi="Arial" w:cs="Arial"/>
                <w:szCs w:val="24"/>
                <w:lang w:eastAsia="en-US"/>
              </w:rPr>
              <w:t xml:space="preserve"> of which </w:t>
            </w:r>
            <w:r w:rsidR="001F7122" w:rsidRPr="005D4D8D">
              <w:rPr>
                <w:rFonts w:ascii="Arial" w:eastAsia="Calibri" w:hAnsi="Arial" w:cs="Arial"/>
                <w:szCs w:val="24"/>
                <w:lang w:eastAsia="en-US"/>
              </w:rPr>
              <w:t>9</w:t>
            </w:r>
            <w:r w:rsidRPr="005D4D8D">
              <w:rPr>
                <w:rFonts w:ascii="Arial" w:eastAsia="Calibri" w:hAnsi="Arial" w:cs="Arial"/>
                <w:szCs w:val="24"/>
                <w:lang w:eastAsia="en-US"/>
              </w:rPr>
              <w:t xml:space="preserve"> remained absent at the start of Q</w:t>
            </w:r>
            <w:r w:rsidR="005F2664" w:rsidRPr="005D4D8D">
              <w:rPr>
                <w:rFonts w:ascii="Arial" w:eastAsia="Calibri" w:hAnsi="Arial" w:cs="Arial"/>
                <w:szCs w:val="24"/>
                <w:lang w:eastAsia="en-US"/>
              </w:rPr>
              <w:t>3</w:t>
            </w:r>
            <w:r w:rsidRPr="005D4D8D">
              <w:rPr>
                <w:rFonts w:ascii="Arial" w:eastAsia="Calibri" w:hAnsi="Arial" w:cs="Arial"/>
                <w:szCs w:val="24"/>
                <w:lang w:eastAsia="en-US"/>
              </w:rPr>
              <w:t xml:space="preserve"> 201</w:t>
            </w:r>
            <w:r w:rsidR="002D0DC9" w:rsidRPr="005D4D8D">
              <w:rPr>
                <w:rFonts w:ascii="Arial" w:eastAsia="Calibri" w:hAnsi="Arial" w:cs="Arial"/>
                <w:szCs w:val="24"/>
                <w:lang w:eastAsia="en-US"/>
              </w:rPr>
              <w:t>9</w:t>
            </w:r>
            <w:r w:rsidRPr="005D4D8D">
              <w:rPr>
                <w:rFonts w:ascii="Arial" w:eastAsia="Calibri" w:hAnsi="Arial" w:cs="Arial"/>
                <w:szCs w:val="24"/>
                <w:lang w:eastAsia="en-US"/>
              </w:rPr>
              <w:t>/</w:t>
            </w:r>
            <w:r w:rsidR="002D0DC9" w:rsidRPr="005D4D8D">
              <w:rPr>
                <w:rFonts w:ascii="Arial" w:eastAsia="Calibri" w:hAnsi="Arial" w:cs="Arial"/>
                <w:szCs w:val="24"/>
                <w:lang w:eastAsia="en-US"/>
              </w:rPr>
              <w:t>20</w:t>
            </w:r>
            <w:r w:rsidRPr="005D4D8D">
              <w:rPr>
                <w:rFonts w:ascii="Arial" w:eastAsia="Calibri" w:hAnsi="Arial" w:cs="Arial"/>
                <w:szCs w:val="24"/>
                <w:lang w:eastAsia="en-US"/>
              </w:rPr>
              <w:t xml:space="preserve">. Of </w:t>
            </w:r>
            <w:r w:rsidR="009E5EB5" w:rsidRPr="005D4D8D">
              <w:rPr>
                <w:rFonts w:ascii="Arial" w:eastAsia="Calibri" w:hAnsi="Arial" w:cs="Arial"/>
                <w:szCs w:val="24"/>
                <w:lang w:eastAsia="en-US"/>
              </w:rPr>
              <w:t>those</w:t>
            </w:r>
            <w:r w:rsidRPr="005D4D8D">
              <w:rPr>
                <w:rFonts w:ascii="Arial" w:eastAsia="Calibri" w:hAnsi="Arial" w:cs="Arial"/>
                <w:szCs w:val="24"/>
                <w:lang w:eastAsia="en-US"/>
              </w:rPr>
              <w:t xml:space="preserve"> </w:t>
            </w:r>
            <w:r w:rsidR="007B1176">
              <w:rPr>
                <w:rFonts w:ascii="Arial" w:eastAsia="Calibri" w:hAnsi="Arial" w:cs="Arial"/>
                <w:szCs w:val="24"/>
                <w:lang w:eastAsia="en-US"/>
              </w:rPr>
              <w:t>nine</w:t>
            </w:r>
            <w:r w:rsidRPr="005D4D8D">
              <w:rPr>
                <w:rFonts w:ascii="Arial" w:eastAsia="Calibri" w:hAnsi="Arial" w:cs="Arial"/>
                <w:szCs w:val="24"/>
                <w:lang w:eastAsia="en-US"/>
              </w:rPr>
              <w:t xml:space="preserve">, </w:t>
            </w:r>
            <w:r w:rsidR="007B1176">
              <w:rPr>
                <w:rFonts w:ascii="Arial" w:eastAsia="Calibri" w:hAnsi="Arial" w:cs="Arial"/>
                <w:szCs w:val="24"/>
                <w:lang w:eastAsia="en-US"/>
              </w:rPr>
              <w:t>two</w:t>
            </w:r>
            <w:r w:rsidR="005F2A13" w:rsidRPr="005D4D8D">
              <w:rPr>
                <w:rFonts w:ascii="Arial" w:eastAsia="Calibri" w:hAnsi="Arial" w:cs="Arial"/>
                <w:szCs w:val="24"/>
                <w:lang w:eastAsia="en-US"/>
              </w:rPr>
              <w:t xml:space="preserve"> </w:t>
            </w:r>
            <w:r w:rsidR="00F60031" w:rsidRPr="005D4D8D">
              <w:rPr>
                <w:rFonts w:ascii="Arial" w:eastAsia="Calibri" w:hAnsi="Arial" w:cs="Arial"/>
                <w:szCs w:val="24"/>
                <w:lang w:eastAsia="en-US"/>
              </w:rPr>
              <w:t xml:space="preserve">have </w:t>
            </w:r>
            <w:r w:rsidR="005F2664" w:rsidRPr="005D4D8D">
              <w:rPr>
                <w:rFonts w:ascii="Arial" w:eastAsia="Calibri" w:hAnsi="Arial" w:cs="Arial"/>
                <w:szCs w:val="24"/>
                <w:lang w:eastAsia="en-US"/>
              </w:rPr>
              <w:t xml:space="preserve">since left the charity, </w:t>
            </w:r>
            <w:r w:rsidR="001F7122" w:rsidRPr="005D4D8D">
              <w:rPr>
                <w:rFonts w:ascii="Arial" w:eastAsia="Calibri" w:hAnsi="Arial" w:cs="Arial"/>
                <w:szCs w:val="24"/>
                <w:lang w:eastAsia="en-US"/>
              </w:rPr>
              <w:t xml:space="preserve">and </w:t>
            </w:r>
            <w:r w:rsidR="007B1176">
              <w:rPr>
                <w:rFonts w:ascii="Arial" w:eastAsia="Calibri" w:hAnsi="Arial" w:cs="Arial"/>
                <w:szCs w:val="24"/>
                <w:lang w:eastAsia="en-US"/>
              </w:rPr>
              <w:t>six</w:t>
            </w:r>
            <w:r w:rsidR="008F18C3" w:rsidRPr="005D4D8D">
              <w:rPr>
                <w:rFonts w:ascii="Arial" w:eastAsia="Calibri" w:hAnsi="Arial" w:cs="Arial"/>
                <w:szCs w:val="24"/>
                <w:lang w:eastAsia="en-US"/>
              </w:rPr>
              <w:t xml:space="preserve"> have </w:t>
            </w:r>
            <w:r w:rsidR="00F60031" w:rsidRPr="005D4D8D">
              <w:rPr>
                <w:rFonts w:ascii="Arial" w:eastAsia="Calibri" w:hAnsi="Arial" w:cs="Arial"/>
                <w:szCs w:val="24"/>
                <w:lang w:eastAsia="en-US"/>
              </w:rPr>
              <w:t>returned to work during Q</w:t>
            </w:r>
            <w:r w:rsidR="008F18C3" w:rsidRPr="005D4D8D">
              <w:rPr>
                <w:rFonts w:ascii="Arial" w:eastAsia="Calibri" w:hAnsi="Arial" w:cs="Arial"/>
                <w:szCs w:val="24"/>
                <w:lang w:eastAsia="en-US"/>
              </w:rPr>
              <w:t>3</w:t>
            </w:r>
            <w:r w:rsidR="00D82ADF" w:rsidRPr="005D4D8D">
              <w:rPr>
                <w:rFonts w:ascii="Arial" w:eastAsia="Calibri" w:hAnsi="Arial" w:cs="Arial"/>
                <w:szCs w:val="24"/>
                <w:lang w:eastAsia="en-US"/>
              </w:rPr>
              <w:t xml:space="preserve"> 2019/20</w:t>
            </w:r>
            <w:r w:rsidR="008F18C3" w:rsidRPr="005D4D8D">
              <w:rPr>
                <w:rFonts w:ascii="Arial" w:eastAsia="Calibri" w:hAnsi="Arial" w:cs="Arial"/>
                <w:szCs w:val="24"/>
                <w:lang w:eastAsia="en-US"/>
              </w:rPr>
              <w:t>.</w:t>
            </w:r>
            <w:r w:rsidR="007D1832" w:rsidRPr="005D4D8D">
              <w:rPr>
                <w:rFonts w:ascii="Arial" w:eastAsia="Calibri" w:hAnsi="Arial" w:cs="Arial"/>
                <w:szCs w:val="24"/>
                <w:lang w:eastAsia="en-US"/>
              </w:rPr>
              <w:t xml:space="preserve"> </w:t>
            </w:r>
            <w:r w:rsidR="008F18C3" w:rsidRPr="005D4D8D">
              <w:rPr>
                <w:rFonts w:ascii="Arial" w:eastAsia="Calibri" w:hAnsi="Arial" w:cs="Arial"/>
                <w:szCs w:val="24"/>
                <w:lang w:eastAsia="en-US"/>
              </w:rPr>
              <w:t>One remains absent following surgery.</w:t>
            </w:r>
            <w:r w:rsidR="00A23EF2" w:rsidRPr="005D4D8D">
              <w:rPr>
                <w:rFonts w:ascii="Arial" w:eastAsia="Calibri" w:hAnsi="Arial" w:cs="Arial"/>
                <w:szCs w:val="24"/>
                <w:lang w:eastAsia="en-US"/>
              </w:rPr>
              <w:t xml:space="preserve"> </w:t>
            </w:r>
          </w:p>
          <w:p w:rsidR="00B007BE" w:rsidRPr="005D4D8D" w:rsidRDefault="00B007BE" w:rsidP="00A23EF2">
            <w:pPr>
              <w:jc w:val="both"/>
              <w:rPr>
                <w:rFonts w:ascii="Arial" w:eastAsia="Calibri" w:hAnsi="Arial" w:cs="Arial"/>
                <w:szCs w:val="24"/>
                <w:lang w:eastAsia="en-US"/>
              </w:rPr>
            </w:pPr>
          </w:p>
          <w:p w:rsidR="00B007BE" w:rsidRPr="00B007BE" w:rsidRDefault="008F18C3" w:rsidP="00D916D2">
            <w:pPr>
              <w:jc w:val="both"/>
              <w:rPr>
                <w:rFonts w:ascii="Arial" w:hAnsi="Arial" w:cs="Arial"/>
                <w:iCs/>
              </w:rPr>
            </w:pPr>
            <w:r w:rsidRPr="005D4D8D">
              <w:rPr>
                <w:rFonts w:ascii="Arial" w:hAnsi="Arial" w:cs="Arial"/>
                <w:iCs/>
              </w:rPr>
              <w:t xml:space="preserve">Almost 70% of the </w:t>
            </w:r>
            <w:proofErr w:type="gramStart"/>
            <w:r w:rsidR="00B007BE" w:rsidRPr="005D4D8D">
              <w:rPr>
                <w:rFonts w:ascii="Arial" w:hAnsi="Arial" w:cs="Arial"/>
                <w:iCs/>
              </w:rPr>
              <w:t>long term</w:t>
            </w:r>
            <w:proofErr w:type="gramEnd"/>
            <w:r w:rsidR="00B007BE" w:rsidRPr="005D4D8D">
              <w:rPr>
                <w:rFonts w:ascii="Arial" w:hAnsi="Arial" w:cs="Arial"/>
                <w:iCs/>
              </w:rPr>
              <w:t xml:space="preserve"> absences relate to physical and medical illnesses </w:t>
            </w:r>
            <w:r w:rsidRPr="005D4D8D">
              <w:rPr>
                <w:rFonts w:ascii="Arial" w:hAnsi="Arial" w:cs="Arial"/>
                <w:iCs/>
              </w:rPr>
              <w:t>or conditions</w:t>
            </w:r>
            <w:r w:rsidR="00B007BE" w:rsidRPr="005D4D8D">
              <w:rPr>
                <w:rFonts w:ascii="Arial" w:hAnsi="Arial" w:cs="Arial"/>
                <w:iCs/>
              </w:rPr>
              <w:t xml:space="preserve">, the remainder include absences relating to bereavement, long term and ongoing mental health issues which are not work related; reported debility following the instigation of the disciplinary process; and a small number </w:t>
            </w:r>
            <w:r w:rsidRPr="005D4D8D">
              <w:rPr>
                <w:rFonts w:ascii="Arial" w:hAnsi="Arial" w:cs="Arial"/>
                <w:iCs/>
              </w:rPr>
              <w:t xml:space="preserve">(5%) </w:t>
            </w:r>
            <w:r w:rsidR="00B007BE" w:rsidRPr="005D4D8D">
              <w:rPr>
                <w:rFonts w:ascii="Arial" w:hAnsi="Arial" w:cs="Arial"/>
                <w:iCs/>
              </w:rPr>
              <w:t>reporting stress at work as the reason for absence.</w:t>
            </w:r>
            <w:r w:rsidR="00B007BE" w:rsidRPr="00B007BE">
              <w:rPr>
                <w:rFonts w:ascii="Arial" w:hAnsi="Arial" w:cs="Arial"/>
                <w:iCs/>
              </w:rPr>
              <w:t xml:space="preserve">   </w:t>
            </w:r>
          </w:p>
          <w:p w:rsidR="00A23EF2" w:rsidRPr="005F296B" w:rsidRDefault="00A23EF2" w:rsidP="00A23EF2">
            <w:pPr>
              <w:jc w:val="both"/>
              <w:rPr>
                <w:rFonts w:ascii="Arial" w:hAnsi="Arial" w:cs="Arial"/>
              </w:rPr>
            </w:pPr>
          </w:p>
        </w:tc>
      </w:tr>
      <w:tr w:rsidR="009B7A20" w:rsidRPr="007214D1" w:rsidTr="00835331">
        <w:trPr>
          <w:trHeight w:val="3204"/>
        </w:trPr>
        <w:tc>
          <w:tcPr>
            <w:tcW w:w="959" w:type="dxa"/>
          </w:tcPr>
          <w:p w:rsidR="009B7A20" w:rsidRDefault="009B7A20" w:rsidP="00D44B45">
            <w:pPr>
              <w:rPr>
                <w:rFonts w:ascii="Arial" w:hAnsi="Arial" w:cs="Arial"/>
                <w:szCs w:val="24"/>
              </w:rPr>
            </w:pPr>
            <w:r>
              <w:rPr>
                <w:rFonts w:ascii="Arial" w:hAnsi="Arial" w:cs="Arial"/>
                <w:szCs w:val="24"/>
              </w:rPr>
              <w:t>3.2.4</w:t>
            </w:r>
          </w:p>
        </w:tc>
        <w:tc>
          <w:tcPr>
            <w:tcW w:w="8505" w:type="dxa"/>
          </w:tcPr>
          <w:p w:rsidR="009B7A20" w:rsidRDefault="009B7A20" w:rsidP="00C8333C">
            <w:pPr>
              <w:jc w:val="both"/>
              <w:rPr>
                <w:rFonts w:ascii="Arial" w:eastAsia="Calibri" w:hAnsi="Arial" w:cs="Arial"/>
                <w:szCs w:val="24"/>
                <w:lang w:eastAsia="en-US"/>
              </w:rPr>
            </w:pPr>
            <w:r>
              <w:rPr>
                <w:rFonts w:ascii="Arial" w:eastAsia="Calibri" w:hAnsi="Arial" w:cs="Arial"/>
                <w:szCs w:val="24"/>
                <w:lang w:eastAsia="en-US"/>
              </w:rPr>
              <w:t xml:space="preserve">The </w:t>
            </w:r>
            <w:proofErr w:type="gramStart"/>
            <w:r>
              <w:rPr>
                <w:rFonts w:ascii="Arial" w:eastAsia="Calibri" w:hAnsi="Arial" w:cs="Arial"/>
                <w:szCs w:val="24"/>
                <w:lang w:eastAsia="en-US"/>
              </w:rPr>
              <w:t>short term</w:t>
            </w:r>
            <w:proofErr w:type="gramEnd"/>
            <w:r>
              <w:rPr>
                <w:rFonts w:ascii="Arial" w:eastAsia="Calibri" w:hAnsi="Arial" w:cs="Arial"/>
                <w:szCs w:val="24"/>
                <w:lang w:eastAsia="en-US"/>
              </w:rPr>
              <w:t xml:space="preserve"> absence rate % up to the end of </w:t>
            </w:r>
            <w:r w:rsidRPr="00142251">
              <w:rPr>
                <w:rFonts w:ascii="Arial" w:eastAsia="Calibri" w:hAnsi="Arial" w:cs="Arial"/>
                <w:szCs w:val="24"/>
                <w:lang w:eastAsia="en-US"/>
              </w:rPr>
              <w:t xml:space="preserve">Quarter </w:t>
            </w:r>
            <w:r w:rsidR="004E23C6">
              <w:rPr>
                <w:rFonts w:ascii="Arial" w:eastAsia="Calibri" w:hAnsi="Arial" w:cs="Arial"/>
                <w:szCs w:val="24"/>
                <w:lang w:eastAsia="en-US"/>
              </w:rPr>
              <w:t>2</w:t>
            </w:r>
            <w:r w:rsidRPr="00142251">
              <w:rPr>
                <w:rFonts w:ascii="Arial" w:eastAsia="Calibri" w:hAnsi="Arial" w:cs="Arial"/>
                <w:szCs w:val="24"/>
                <w:lang w:eastAsia="en-US"/>
              </w:rPr>
              <w:t xml:space="preserve"> were</w:t>
            </w:r>
            <w:r>
              <w:rPr>
                <w:rFonts w:ascii="Arial" w:eastAsia="Calibri" w:hAnsi="Arial" w:cs="Arial"/>
                <w:szCs w:val="24"/>
                <w:lang w:eastAsia="en-US"/>
              </w:rPr>
              <w:t xml:space="preserve"> as follows:</w:t>
            </w:r>
          </w:p>
          <w:p w:rsidR="009B7A20" w:rsidRDefault="009B7A20" w:rsidP="00C8333C">
            <w:pPr>
              <w:jc w:val="both"/>
              <w:rPr>
                <w:rFonts w:ascii="Arial" w:eastAsia="Calibri" w:hAnsi="Arial" w:cs="Arial"/>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 xml:space="preserve">% </w:t>
                  </w:r>
                </w:p>
                <w:p w:rsidR="009B7A20" w:rsidRPr="009C1F2A" w:rsidRDefault="009B7A20" w:rsidP="005F2A13">
                  <w:pPr>
                    <w:spacing w:line="276" w:lineRule="auto"/>
                    <w:jc w:val="center"/>
                    <w:rPr>
                      <w:rFonts w:ascii="Arial" w:eastAsia="Calibri" w:hAnsi="Arial" w:cs="Arial"/>
                      <w:b/>
                      <w:bCs/>
                      <w:szCs w:val="24"/>
                    </w:rPr>
                  </w:pPr>
                  <w:r>
                    <w:rPr>
                      <w:rFonts w:ascii="Arial" w:eastAsia="Calibri" w:hAnsi="Arial" w:cs="Arial"/>
                      <w:b/>
                      <w:bCs/>
                      <w:szCs w:val="24"/>
                    </w:rPr>
                    <w:t xml:space="preserve">Short term </w:t>
                  </w:r>
                  <w:r w:rsidRPr="009C1F2A">
                    <w:rPr>
                      <w:rFonts w:ascii="Arial" w:eastAsia="Calibri" w:hAnsi="Arial" w:cs="Arial"/>
                      <w:b/>
                      <w:bCs/>
                      <w:szCs w:val="24"/>
                    </w:rPr>
                    <w:t>Absence Rates</w:t>
                  </w:r>
                </w:p>
                <w:p w:rsidR="009B7A20" w:rsidRPr="009C1F2A" w:rsidRDefault="009B7A20" w:rsidP="005F2A13">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9B7A20" w:rsidRPr="009C1F2A" w:rsidTr="00D71DD2">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2016/17</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240268" w:rsidRDefault="009B7A20" w:rsidP="005F2A13">
                  <w:pPr>
                    <w:spacing w:line="276" w:lineRule="auto"/>
                    <w:jc w:val="center"/>
                    <w:rPr>
                      <w:rFonts w:ascii="Arial" w:eastAsia="Calibri" w:hAnsi="Arial" w:cs="Arial"/>
                      <w:szCs w:val="24"/>
                    </w:rPr>
                  </w:pPr>
                  <w:r>
                    <w:rPr>
                      <w:rFonts w:ascii="Arial" w:eastAsia="Calibri" w:hAnsi="Arial" w:cs="Arial"/>
                      <w:szCs w:val="24"/>
                    </w:rPr>
                    <w:t>0.92%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E1395A">
                  <w:pPr>
                    <w:spacing w:line="276" w:lineRule="auto"/>
                    <w:jc w:val="center"/>
                    <w:rPr>
                      <w:rFonts w:ascii="Arial" w:eastAsia="Calibri" w:hAnsi="Arial" w:cs="Arial"/>
                      <w:szCs w:val="24"/>
                    </w:rPr>
                  </w:pPr>
                  <w:r>
                    <w:rPr>
                      <w:rFonts w:ascii="Arial" w:eastAsia="Calibri" w:hAnsi="Arial" w:cs="Arial"/>
                      <w:szCs w:val="24"/>
                    </w:rPr>
                    <w:t>0.68%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0.90%</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1.45%</w:t>
                  </w:r>
                </w:p>
              </w:tc>
            </w:tr>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0.98%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1.06%</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1.31%</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szCs w:val="24"/>
                    </w:rPr>
                  </w:pPr>
                  <w:r>
                    <w:rPr>
                      <w:rFonts w:ascii="Arial" w:eastAsia="Calibri" w:hAnsi="Arial" w:cs="Arial"/>
                      <w:szCs w:val="24"/>
                    </w:rPr>
                    <w:t>1.74%</w:t>
                  </w:r>
                </w:p>
              </w:tc>
            </w:tr>
            <w:tr w:rsidR="009B7A20"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5F2A13">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6B590D" w:rsidP="005F2A13">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EB2A40" w:rsidP="005F2A13">
                  <w:pPr>
                    <w:spacing w:line="276" w:lineRule="auto"/>
                    <w:jc w:val="center"/>
                    <w:rPr>
                      <w:rFonts w:ascii="Arial" w:eastAsia="Calibri" w:hAnsi="Arial" w:cs="Arial"/>
                      <w:szCs w:val="24"/>
                    </w:rPr>
                  </w:pPr>
                  <w:r>
                    <w:rPr>
                      <w:rFonts w:ascii="Arial" w:eastAsia="Calibri" w:hAnsi="Arial" w:cs="Arial"/>
                      <w:szCs w:val="24"/>
                    </w:rPr>
                    <w:t>0.99%</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E26CEE" w:rsidP="005F2A13">
                  <w:pPr>
                    <w:spacing w:line="276" w:lineRule="auto"/>
                    <w:jc w:val="center"/>
                    <w:rPr>
                      <w:rFonts w:ascii="Arial" w:eastAsia="Calibri" w:hAnsi="Arial" w:cs="Arial"/>
                      <w:szCs w:val="24"/>
                    </w:rPr>
                  </w:pPr>
                  <w:r>
                    <w:rPr>
                      <w:rFonts w:ascii="Arial" w:eastAsia="Calibri" w:hAnsi="Arial" w:cs="Arial"/>
                      <w:szCs w:val="24"/>
                    </w:rPr>
                    <w:t>1.32%</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F27088" w:rsidP="005F2A13">
                  <w:pPr>
                    <w:spacing w:line="276" w:lineRule="auto"/>
                    <w:jc w:val="center"/>
                    <w:rPr>
                      <w:rFonts w:ascii="Arial" w:eastAsia="Calibri" w:hAnsi="Arial" w:cs="Arial"/>
                      <w:szCs w:val="24"/>
                    </w:rPr>
                  </w:pPr>
                  <w:r>
                    <w:rPr>
                      <w:rFonts w:ascii="Arial" w:eastAsia="Calibri" w:hAnsi="Arial" w:cs="Arial"/>
                      <w:szCs w:val="24"/>
                    </w:rPr>
                    <w:t>1.42%</w:t>
                  </w:r>
                </w:p>
              </w:tc>
            </w:tr>
            <w:tr w:rsidR="00516D9F" w:rsidRPr="009C1F2A" w:rsidTr="005F2A1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A23EF2" w:rsidP="00A23EF2">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5F2A13">
                  <w:pPr>
                    <w:spacing w:line="276" w:lineRule="auto"/>
                    <w:jc w:val="center"/>
                    <w:rPr>
                      <w:rFonts w:ascii="Arial" w:eastAsia="Calibri" w:hAnsi="Arial" w:cs="Arial"/>
                      <w:szCs w:val="24"/>
                    </w:rPr>
                  </w:pPr>
                  <w:r>
                    <w:rPr>
                      <w:rFonts w:ascii="Arial" w:eastAsia="Calibri" w:hAnsi="Arial" w:cs="Arial"/>
                      <w:szCs w:val="24"/>
                    </w:rPr>
                    <w:t>0.90%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F2664" w:rsidP="005F2A13">
                  <w:pPr>
                    <w:spacing w:line="276" w:lineRule="auto"/>
                    <w:jc w:val="center"/>
                    <w:rPr>
                      <w:rFonts w:ascii="Arial" w:eastAsia="Calibri" w:hAnsi="Arial" w:cs="Arial"/>
                      <w:szCs w:val="24"/>
                    </w:rPr>
                  </w:pPr>
                  <w:r>
                    <w:rPr>
                      <w:rFonts w:ascii="Arial" w:eastAsia="Calibri" w:hAnsi="Arial" w:cs="Arial"/>
                      <w:szCs w:val="24"/>
                    </w:rPr>
                    <w:t>1.00%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5F2A13">
                  <w:pPr>
                    <w:spacing w:line="276" w:lineRule="auto"/>
                    <w:jc w:val="center"/>
                    <w:rPr>
                      <w:rFonts w:ascii="Arial" w:eastAsia="Calibri" w:hAnsi="Arial" w:cs="Arial"/>
                      <w:szCs w:val="24"/>
                    </w:rPr>
                  </w:pPr>
                </w:p>
              </w:tc>
            </w:tr>
          </w:tbl>
          <w:p w:rsidR="009B7A20" w:rsidRPr="009C1F2A" w:rsidRDefault="009B7A20" w:rsidP="00C8333C">
            <w:pPr>
              <w:jc w:val="both"/>
              <w:rPr>
                <w:rFonts w:ascii="Arial" w:eastAsia="Calibri" w:hAnsi="Arial" w:cs="Arial"/>
                <w:szCs w:val="24"/>
                <w:lang w:eastAsia="en-US"/>
              </w:rPr>
            </w:pPr>
          </w:p>
        </w:tc>
      </w:tr>
      <w:tr w:rsidR="009B7A20" w:rsidRPr="007214D1" w:rsidTr="00835331">
        <w:tc>
          <w:tcPr>
            <w:tcW w:w="959" w:type="dxa"/>
          </w:tcPr>
          <w:p w:rsidR="00142251" w:rsidRDefault="00142251" w:rsidP="00D44B45">
            <w:pPr>
              <w:rPr>
                <w:rFonts w:ascii="Arial" w:hAnsi="Arial" w:cs="Arial"/>
                <w:szCs w:val="24"/>
              </w:rPr>
            </w:pPr>
          </w:p>
          <w:p w:rsidR="009B7A20" w:rsidRDefault="009B7A20" w:rsidP="00D44B45">
            <w:pPr>
              <w:rPr>
                <w:rFonts w:ascii="Arial" w:hAnsi="Arial" w:cs="Arial"/>
                <w:szCs w:val="24"/>
              </w:rPr>
            </w:pPr>
            <w:r>
              <w:rPr>
                <w:rFonts w:ascii="Arial" w:hAnsi="Arial" w:cs="Arial"/>
                <w:szCs w:val="24"/>
              </w:rPr>
              <w:t>3.2.5</w:t>
            </w:r>
          </w:p>
        </w:tc>
        <w:tc>
          <w:tcPr>
            <w:tcW w:w="8505" w:type="dxa"/>
          </w:tcPr>
          <w:p w:rsidR="001C380A" w:rsidRDefault="001C380A" w:rsidP="005F296B">
            <w:pPr>
              <w:jc w:val="both"/>
              <w:rPr>
                <w:rFonts w:ascii="Arial" w:hAnsi="Arial" w:cs="Arial"/>
              </w:rPr>
            </w:pPr>
          </w:p>
          <w:p w:rsidR="009B7A20" w:rsidRDefault="009B7A20" w:rsidP="003C1B3B">
            <w:pPr>
              <w:jc w:val="both"/>
              <w:rPr>
                <w:rFonts w:ascii="Arial" w:hAnsi="Arial" w:cs="Arial"/>
              </w:rPr>
            </w:pPr>
            <w:r w:rsidRPr="005F296B">
              <w:rPr>
                <w:rFonts w:ascii="Arial" w:hAnsi="Arial" w:cs="Arial"/>
              </w:rPr>
              <w:t xml:space="preserve">Quarter </w:t>
            </w:r>
            <w:r w:rsidR="005F2664">
              <w:rPr>
                <w:rFonts w:ascii="Arial" w:hAnsi="Arial" w:cs="Arial"/>
              </w:rPr>
              <w:t>2</w:t>
            </w:r>
            <w:r w:rsidRPr="005F296B">
              <w:rPr>
                <w:rFonts w:ascii="Arial" w:hAnsi="Arial" w:cs="Arial"/>
              </w:rPr>
              <w:t xml:space="preserve"> has shown </w:t>
            </w:r>
            <w:r w:rsidR="005F2664">
              <w:rPr>
                <w:rFonts w:ascii="Arial" w:hAnsi="Arial" w:cs="Arial"/>
              </w:rPr>
              <w:t>an increase of</w:t>
            </w:r>
            <w:r w:rsidR="00841F81">
              <w:rPr>
                <w:rFonts w:ascii="Arial" w:hAnsi="Arial" w:cs="Arial"/>
              </w:rPr>
              <w:t xml:space="preserve"> 0.</w:t>
            </w:r>
            <w:r w:rsidR="005F2664">
              <w:rPr>
                <w:rFonts w:ascii="Arial" w:hAnsi="Arial" w:cs="Arial"/>
              </w:rPr>
              <w:t>1</w:t>
            </w:r>
            <w:r w:rsidR="00841F81">
              <w:rPr>
                <w:rFonts w:ascii="Arial" w:hAnsi="Arial" w:cs="Arial"/>
              </w:rPr>
              <w:t xml:space="preserve">% </w:t>
            </w:r>
            <w:r w:rsidRPr="005F296B">
              <w:rPr>
                <w:rFonts w:ascii="Arial" w:hAnsi="Arial" w:cs="Arial"/>
              </w:rPr>
              <w:t xml:space="preserve">in the </w:t>
            </w:r>
            <w:proofErr w:type="gramStart"/>
            <w:r>
              <w:rPr>
                <w:rFonts w:ascii="Arial" w:hAnsi="Arial" w:cs="Arial"/>
              </w:rPr>
              <w:t>short</w:t>
            </w:r>
            <w:r w:rsidRPr="005F296B">
              <w:rPr>
                <w:rFonts w:ascii="Arial" w:hAnsi="Arial" w:cs="Arial"/>
              </w:rPr>
              <w:t xml:space="preserve"> term</w:t>
            </w:r>
            <w:proofErr w:type="gramEnd"/>
            <w:r w:rsidRPr="005F296B">
              <w:rPr>
                <w:rFonts w:ascii="Arial" w:hAnsi="Arial" w:cs="Arial"/>
              </w:rPr>
              <w:t xml:space="preserve"> absence rate </w:t>
            </w:r>
            <w:r w:rsidR="00142251">
              <w:rPr>
                <w:rFonts w:ascii="Arial" w:hAnsi="Arial" w:cs="Arial"/>
              </w:rPr>
              <w:t xml:space="preserve">compared to </w:t>
            </w:r>
            <w:r w:rsidR="006A38A2">
              <w:rPr>
                <w:rFonts w:ascii="Arial" w:hAnsi="Arial" w:cs="Arial"/>
              </w:rPr>
              <w:t xml:space="preserve">Quarter </w:t>
            </w:r>
            <w:r w:rsidR="005F2664">
              <w:rPr>
                <w:rFonts w:ascii="Arial" w:hAnsi="Arial" w:cs="Arial"/>
              </w:rPr>
              <w:t>1</w:t>
            </w:r>
            <w:r w:rsidR="006A38A2">
              <w:rPr>
                <w:rFonts w:ascii="Arial" w:hAnsi="Arial" w:cs="Arial"/>
              </w:rPr>
              <w:t xml:space="preserve"> of </w:t>
            </w:r>
            <w:r w:rsidR="005F2664">
              <w:rPr>
                <w:rFonts w:ascii="Arial" w:hAnsi="Arial" w:cs="Arial"/>
              </w:rPr>
              <w:t>2019/20</w:t>
            </w:r>
            <w:r w:rsidR="003C1B3B">
              <w:rPr>
                <w:rFonts w:ascii="Arial" w:hAnsi="Arial" w:cs="Arial"/>
              </w:rPr>
              <w:t>.</w:t>
            </w:r>
            <w:r w:rsidRPr="005F296B">
              <w:rPr>
                <w:rFonts w:ascii="Arial" w:hAnsi="Arial" w:cs="Arial"/>
              </w:rPr>
              <w:t xml:space="preserve"> </w:t>
            </w:r>
          </w:p>
          <w:p w:rsidR="003C1B3B" w:rsidRDefault="003C1B3B"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p w:rsidR="00B007BE" w:rsidRDefault="00B007BE" w:rsidP="003C1B3B">
            <w:pPr>
              <w:jc w:val="both"/>
              <w:rPr>
                <w:rFonts w:ascii="Arial" w:eastAsia="Calibri" w:hAnsi="Arial" w:cs="Arial"/>
                <w:szCs w:val="24"/>
                <w:lang w:eastAsia="en-US"/>
              </w:rPr>
            </w:pPr>
          </w:p>
        </w:tc>
      </w:tr>
      <w:tr w:rsidR="009B7A20" w:rsidRPr="007214D1" w:rsidTr="00835331">
        <w:tc>
          <w:tcPr>
            <w:tcW w:w="959" w:type="dxa"/>
          </w:tcPr>
          <w:p w:rsidR="009B7A20" w:rsidRDefault="009B7A20" w:rsidP="00D44B45">
            <w:pPr>
              <w:rPr>
                <w:rFonts w:ascii="Arial" w:hAnsi="Arial" w:cs="Arial"/>
                <w:szCs w:val="24"/>
              </w:rPr>
            </w:pPr>
            <w:r>
              <w:rPr>
                <w:rFonts w:ascii="Arial" w:hAnsi="Arial" w:cs="Arial"/>
                <w:szCs w:val="24"/>
              </w:rPr>
              <w:lastRenderedPageBreak/>
              <w:t>3.2.</w:t>
            </w:r>
            <w:r w:rsidR="00BB3F9D">
              <w:rPr>
                <w:rFonts w:ascii="Arial" w:hAnsi="Arial" w:cs="Arial"/>
                <w:szCs w:val="24"/>
              </w:rPr>
              <w:t>6</w:t>
            </w:r>
          </w:p>
        </w:tc>
        <w:tc>
          <w:tcPr>
            <w:tcW w:w="8505" w:type="dxa"/>
            <w:tcBorders>
              <w:bottom w:val="single" w:sz="4" w:space="0" w:color="auto"/>
            </w:tcBorders>
          </w:tcPr>
          <w:p w:rsidR="001C380A" w:rsidRDefault="009B7A20" w:rsidP="00C43F06">
            <w:pPr>
              <w:jc w:val="both"/>
              <w:rPr>
                <w:rFonts w:ascii="Arial" w:eastAsia="Calibri" w:hAnsi="Arial" w:cs="Arial"/>
                <w:szCs w:val="24"/>
                <w:lang w:eastAsia="en-US"/>
              </w:rPr>
            </w:pPr>
            <w:r>
              <w:rPr>
                <w:rFonts w:ascii="Arial" w:eastAsia="Calibri" w:hAnsi="Arial" w:cs="Arial"/>
                <w:szCs w:val="24"/>
                <w:lang w:eastAsia="en-US"/>
              </w:rPr>
              <w:t xml:space="preserve">The average sick days per employee up to the end of Quarter </w:t>
            </w:r>
            <w:r w:rsidR="005F2664">
              <w:rPr>
                <w:rFonts w:ascii="Arial" w:eastAsia="Calibri" w:hAnsi="Arial" w:cs="Arial"/>
                <w:szCs w:val="24"/>
                <w:lang w:eastAsia="en-US"/>
              </w:rPr>
              <w:t>2</w:t>
            </w:r>
            <w:r>
              <w:rPr>
                <w:rFonts w:ascii="Arial" w:eastAsia="Calibri" w:hAnsi="Arial" w:cs="Arial"/>
                <w:szCs w:val="24"/>
                <w:lang w:eastAsia="en-US"/>
              </w:rPr>
              <w:t xml:space="preserve"> were as follows:</w:t>
            </w:r>
          </w:p>
          <w:p w:rsidR="00142251" w:rsidRPr="009C1F2A" w:rsidRDefault="00142251" w:rsidP="00C43F06">
            <w:pPr>
              <w:jc w:val="both"/>
              <w:rPr>
                <w:rFonts w:ascii="Arial" w:eastAsia="Calibri" w:hAnsi="Arial" w:cs="Arial"/>
                <w:szCs w:val="24"/>
                <w:lang w:eastAsia="en-US"/>
              </w:rPr>
            </w:pPr>
          </w:p>
        </w:tc>
      </w:tr>
      <w:tr w:rsidR="009B7A20" w:rsidRPr="007214D1" w:rsidTr="00835331">
        <w:trPr>
          <w:trHeight w:val="2979"/>
        </w:trPr>
        <w:tc>
          <w:tcPr>
            <w:tcW w:w="959" w:type="dxa"/>
          </w:tcPr>
          <w:p w:rsidR="009B7A20" w:rsidRDefault="009B7A20" w:rsidP="00416BFF">
            <w:pPr>
              <w:rPr>
                <w:rFonts w:ascii="Arial" w:hAnsi="Arial" w:cs="Arial"/>
                <w:szCs w:val="24"/>
              </w:rPr>
            </w:pPr>
          </w:p>
        </w:tc>
        <w:tc>
          <w:tcPr>
            <w:tcW w:w="8505" w:type="dxa"/>
            <w:tcBorders>
              <w:top w:val="single" w:sz="4" w:space="0" w:color="auto"/>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8"/>
              <w:gridCol w:w="1712"/>
              <w:gridCol w:w="1710"/>
              <w:gridCol w:w="1710"/>
              <w:gridCol w:w="1709"/>
            </w:tblGrid>
            <w:tr w:rsidR="009B7A20" w:rsidRPr="009C1F2A" w:rsidTr="00021173">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Default="009B7A20" w:rsidP="00E1395A">
                  <w:pPr>
                    <w:spacing w:line="276" w:lineRule="auto"/>
                    <w:jc w:val="center"/>
                    <w:rPr>
                      <w:rFonts w:ascii="Arial" w:eastAsia="Calibri" w:hAnsi="Arial" w:cs="Arial"/>
                      <w:b/>
                      <w:bCs/>
                      <w:szCs w:val="24"/>
                    </w:rPr>
                  </w:pPr>
                  <w:r>
                    <w:rPr>
                      <w:rFonts w:ascii="Arial" w:eastAsia="Calibri" w:hAnsi="Arial" w:cs="Arial"/>
                      <w:b/>
                      <w:bCs/>
                      <w:szCs w:val="24"/>
                    </w:rPr>
                    <w:t>Average sick days per employee</w:t>
                  </w:r>
                </w:p>
                <w:p w:rsidR="009B7A20" w:rsidRPr="009C1F2A" w:rsidRDefault="009B7A20" w:rsidP="00E1395A">
                  <w:pPr>
                    <w:spacing w:line="276" w:lineRule="auto"/>
                    <w:jc w:val="center"/>
                    <w:rPr>
                      <w:rFonts w:ascii="Arial" w:eastAsia="Calibri" w:hAnsi="Arial" w:cs="Arial"/>
                      <w:b/>
                      <w:bCs/>
                      <w:szCs w:val="24"/>
                    </w:rPr>
                  </w:pPr>
                </w:p>
              </w:tc>
              <w:tc>
                <w:tcPr>
                  <w:tcW w:w="103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1</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Apr</w:t>
                  </w:r>
                  <w:r>
                    <w:rPr>
                      <w:rFonts w:ascii="Arial" w:eastAsia="Calibri" w:hAnsi="Arial" w:cs="Arial"/>
                      <w:b/>
                      <w:bCs/>
                      <w:szCs w:val="24"/>
                    </w:rPr>
                    <w:t>–</w:t>
                  </w:r>
                  <w:r w:rsidRPr="009C1F2A">
                    <w:rPr>
                      <w:rFonts w:ascii="Arial" w:eastAsia="Calibri" w:hAnsi="Arial" w:cs="Arial"/>
                      <w:b/>
                      <w:bCs/>
                      <w:szCs w:val="24"/>
                    </w:rPr>
                    <w:t>Jun</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2</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Jul</w:t>
                  </w:r>
                  <w:r>
                    <w:rPr>
                      <w:rFonts w:ascii="Arial" w:eastAsia="Calibri" w:hAnsi="Arial" w:cs="Arial"/>
                      <w:b/>
                      <w:bCs/>
                      <w:szCs w:val="24"/>
                    </w:rPr>
                    <w:t>–</w:t>
                  </w:r>
                  <w:r w:rsidRPr="009C1F2A">
                    <w:rPr>
                      <w:rFonts w:ascii="Arial" w:eastAsia="Calibri" w:hAnsi="Arial" w:cs="Arial"/>
                      <w:b/>
                      <w:bCs/>
                      <w:szCs w:val="24"/>
                    </w:rPr>
                    <w:t>Sep</w:t>
                  </w:r>
                  <w:r>
                    <w:rPr>
                      <w:rFonts w:ascii="Arial" w:eastAsia="Calibri" w:hAnsi="Arial" w:cs="Arial"/>
                      <w:b/>
                      <w:bCs/>
                      <w:szCs w:val="24"/>
                    </w:rPr>
                    <w:t>)</w:t>
                  </w:r>
                </w:p>
              </w:tc>
              <w:tc>
                <w:tcPr>
                  <w:tcW w:w="103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3</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Oct</w:t>
                  </w:r>
                  <w:r>
                    <w:rPr>
                      <w:rFonts w:ascii="Arial" w:eastAsia="Calibri" w:hAnsi="Arial" w:cs="Arial"/>
                      <w:b/>
                      <w:bCs/>
                      <w:szCs w:val="24"/>
                    </w:rPr>
                    <w:t>–</w:t>
                  </w:r>
                  <w:r w:rsidRPr="009C1F2A">
                    <w:rPr>
                      <w:rFonts w:ascii="Arial" w:eastAsia="Calibri" w:hAnsi="Arial" w:cs="Arial"/>
                      <w:b/>
                      <w:bCs/>
                      <w:szCs w:val="24"/>
                    </w:rPr>
                    <w:t>Dec</w:t>
                  </w:r>
                  <w:r>
                    <w:rPr>
                      <w:rFonts w:ascii="Arial" w:eastAsia="Calibri" w:hAnsi="Arial" w:cs="Arial"/>
                      <w:b/>
                      <w:bCs/>
                      <w:szCs w:val="24"/>
                    </w:rPr>
                    <w:t>)</w:t>
                  </w:r>
                </w:p>
              </w:tc>
              <w:tc>
                <w:tcPr>
                  <w:tcW w:w="103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rsidR="009B7A20" w:rsidRPr="009C1F2A" w:rsidRDefault="009B7A20" w:rsidP="005F2A13">
                  <w:pPr>
                    <w:spacing w:line="276" w:lineRule="auto"/>
                    <w:jc w:val="center"/>
                    <w:rPr>
                      <w:rFonts w:ascii="Arial" w:eastAsia="Calibri" w:hAnsi="Arial" w:cs="Arial"/>
                      <w:b/>
                      <w:bCs/>
                      <w:szCs w:val="24"/>
                    </w:rPr>
                  </w:pPr>
                </w:p>
                <w:p w:rsidR="009B7A20" w:rsidRPr="009C1F2A" w:rsidRDefault="009B7A20" w:rsidP="005F2A13">
                  <w:pPr>
                    <w:spacing w:line="276" w:lineRule="auto"/>
                    <w:jc w:val="center"/>
                    <w:rPr>
                      <w:rFonts w:ascii="Arial" w:eastAsia="Calibri" w:hAnsi="Arial" w:cs="Arial"/>
                      <w:b/>
                      <w:bCs/>
                      <w:szCs w:val="24"/>
                    </w:rPr>
                  </w:pPr>
                  <w:r w:rsidRPr="009C1F2A">
                    <w:rPr>
                      <w:rFonts w:ascii="Arial" w:eastAsia="Calibri" w:hAnsi="Arial" w:cs="Arial"/>
                      <w:b/>
                      <w:bCs/>
                      <w:szCs w:val="24"/>
                    </w:rPr>
                    <w:t>Quarter 4</w:t>
                  </w:r>
                </w:p>
                <w:p w:rsidR="009B7A20" w:rsidRPr="009C1F2A" w:rsidRDefault="009B7A20" w:rsidP="00B859CD">
                  <w:pPr>
                    <w:spacing w:line="276" w:lineRule="auto"/>
                    <w:jc w:val="center"/>
                    <w:rPr>
                      <w:rFonts w:ascii="Arial" w:eastAsia="Calibri" w:hAnsi="Arial" w:cs="Arial"/>
                      <w:b/>
                      <w:bCs/>
                      <w:szCs w:val="24"/>
                    </w:rPr>
                  </w:pPr>
                  <w:r>
                    <w:rPr>
                      <w:rFonts w:ascii="Arial" w:eastAsia="Calibri" w:hAnsi="Arial" w:cs="Arial"/>
                      <w:b/>
                      <w:bCs/>
                      <w:szCs w:val="24"/>
                    </w:rPr>
                    <w:t>(</w:t>
                  </w:r>
                  <w:r w:rsidRPr="009C1F2A">
                    <w:rPr>
                      <w:rFonts w:ascii="Arial" w:eastAsia="Calibri" w:hAnsi="Arial" w:cs="Arial"/>
                      <w:b/>
                      <w:bCs/>
                      <w:szCs w:val="24"/>
                    </w:rPr>
                    <w:t>Jan</w:t>
                  </w:r>
                  <w:r>
                    <w:rPr>
                      <w:rFonts w:ascii="Arial" w:eastAsia="Calibri" w:hAnsi="Arial" w:cs="Arial"/>
                      <w:b/>
                      <w:bCs/>
                      <w:szCs w:val="24"/>
                    </w:rPr>
                    <w:t>–</w:t>
                  </w:r>
                  <w:r w:rsidRPr="009C1F2A">
                    <w:rPr>
                      <w:rFonts w:ascii="Arial" w:eastAsia="Calibri" w:hAnsi="Arial" w:cs="Arial"/>
                      <w:b/>
                      <w:bCs/>
                      <w:szCs w:val="24"/>
                    </w:rPr>
                    <w:t>Mar</w:t>
                  </w:r>
                  <w:r>
                    <w:rPr>
                      <w:rFonts w:ascii="Arial" w:eastAsia="Calibri" w:hAnsi="Arial" w:cs="Arial"/>
                      <w:b/>
                      <w:bCs/>
                      <w:szCs w:val="24"/>
                    </w:rPr>
                    <w:t>)</w:t>
                  </w:r>
                </w:p>
              </w:tc>
            </w:tr>
            <w:tr w:rsidR="009B7A20"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hideMark/>
                </w:tcPr>
                <w:p w:rsidR="009B7A20" w:rsidRPr="009C1F2A" w:rsidRDefault="009B7A20" w:rsidP="004120A6">
                  <w:pPr>
                    <w:spacing w:line="276" w:lineRule="auto"/>
                    <w:jc w:val="center"/>
                    <w:rPr>
                      <w:rFonts w:ascii="Arial" w:eastAsia="Calibri" w:hAnsi="Arial" w:cs="Arial"/>
                      <w:b/>
                      <w:bCs/>
                      <w:szCs w:val="24"/>
                    </w:rPr>
                  </w:pPr>
                  <w:r w:rsidRPr="009C1F2A">
                    <w:rPr>
                      <w:rFonts w:ascii="Arial" w:eastAsia="Calibri" w:hAnsi="Arial" w:cs="Arial"/>
                      <w:b/>
                      <w:bCs/>
                      <w:szCs w:val="24"/>
                    </w:rPr>
                    <w:t>2017/18</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2.30</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2.17</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sidRPr="009C1F2A">
                    <w:rPr>
                      <w:rFonts w:ascii="Arial" w:eastAsia="Calibri" w:hAnsi="Arial" w:cs="Arial"/>
                      <w:szCs w:val="24"/>
                    </w:rPr>
                    <w:t>2.39</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szCs w:val="24"/>
                    </w:rPr>
                  </w:pPr>
                  <w:r>
                    <w:rPr>
                      <w:rFonts w:ascii="Arial" w:eastAsia="Calibri" w:hAnsi="Arial" w:cs="Arial"/>
                      <w:szCs w:val="24"/>
                    </w:rPr>
                    <w:t>2.53</w:t>
                  </w:r>
                </w:p>
              </w:tc>
            </w:tr>
            <w:tr w:rsidR="009B7A20"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9B7A20" w:rsidRPr="009C1F2A" w:rsidRDefault="009B7A20" w:rsidP="004120A6">
                  <w:pPr>
                    <w:spacing w:line="276" w:lineRule="auto"/>
                    <w:jc w:val="center"/>
                    <w:rPr>
                      <w:rFonts w:ascii="Arial" w:eastAsia="Calibri" w:hAnsi="Arial" w:cs="Arial"/>
                      <w:b/>
                      <w:bCs/>
                      <w:szCs w:val="24"/>
                    </w:rPr>
                  </w:pPr>
                  <w:r>
                    <w:rPr>
                      <w:rFonts w:ascii="Arial" w:eastAsia="Calibri" w:hAnsi="Arial" w:cs="Arial"/>
                      <w:b/>
                      <w:bCs/>
                      <w:szCs w:val="24"/>
                    </w:rPr>
                    <w:t>2018/19</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6B590D" w:rsidP="004120A6">
                  <w:pPr>
                    <w:spacing w:line="276" w:lineRule="auto"/>
                    <w:jc w:val="center"/>
                    <w:rPr>
                      <w:rFonts w:ascii="Arial" w:eastAsia="Calibri" w:hAnsi="Arial" w:cs="Arial"/>
                      <w:szCs w:val="24"/>
                    </w:rPr>
                  </w:pPr>
                  <w:r>
                    <w:rPr>
                      <w:rFonts w:ascii="Arial" w:eastAsia="Calibri" w:hAnsi="Arial" w:cs="Arial"/>
                      <w:szCs w:val="24"/>
                    </w:rPr>
                    <w:t>2.02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EB2A40" w:rsidP="004120A6">
                  <w:pPr>
                    <w:spacing w:line="276" w:lineRule="auto"/>
                    <w:jc w:val="center"/>
                    <w:rPr>
                      <w:rFonts w:ascii="Arial" w:eastAsia="Calibri" w:hAnsi="Arial" w:cs="Arial"/>
                      <w:szCs w:val="24"/>
                    </w:rPr>
                  </w:pPr>
                  <w:r>
                    <w:rPr>
                      <w:rFonts w:ascii="Arial" w:eastAsia="Calibri" w:hAnsi="Arial" w:cs="Arial"/>
                      <w:szCs w:val="24"/>
                    </w:rPr>
                    <w:t>2.18</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Pr="009C1F2A" w:rsidRDefault="00841F81" w:rsidP="004120A6">
                  <w:pPr>
                    <w:spacing w:line="276" w:lineRule="auto"/>
                    <w:jc w:val="center"/>
                    <w:rPr>
                      <w:rFonts w:ascii="Arial" w:eastAsia="Calibri" w:hAnsi="Arial" w:cs="Arial"/>
                      <w:szCs w:val="24"/>
                    </w:rPr>
                  </w:pPr>
                  <w:r>
                    <w:rPr>
                      <w:rFonts w:ascii="Arial" w:eastAsia="Calibri" w:hAnsi="Arial" w:cs="Arial"/>
                      <w:szCs w:val="24"/>
                    </w:rPr>
                    <w:t>2.45</w:t>
                  </w: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7A20" w:rsidRDefault="00C43F06" w:rsidP="004120A6">
                  <w:pPr>
                    <w:spacing w:line="276" w:lineRule="auto"/>
                    <w:jc w:val="center"/>
                    <w:rPr>
                      <w:rFonts w:ascii="Arial" w:eastAsia="Calibri" w:hAnsi="Arial" w:cs="Arial"/>
                      <w:szCs w:val="24"/>
                    </w:rPr>
                  </w:pPr>
                  <w:r>
                    <w:rPr>
                      <w:rFonts w:ascii="Arial" w:eastAsia="Calibri" w:hAnsi="Arial" w:cs="Arial"/>
                      <w:szCs w:val="24"/>
                    </w:rPr>
                    <w:t>2.57</w:t>
                  </w:r>
                </w:p>
              </w:tc>
            </w:tr>
            <w:tr w:rsidR="00516D9F" w:rsidRPr="009C1F2A" w:rsidTr="004120A6">
              <w:trPr>
                <w:trHeight w:val="288"/>
              </w:trPr>
              <w:tc>
                <w:tcPr>
                  <w:tcW w:w="86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rsidR="00516D9F" w:rsidRDefault="00516D9F" w:rsidP="004120A6">
                  <w:pPr>
                    <w:spacing w:line="276" w:lineRule="auto"/>
                    <w:jc w:val="center"/>
                    <w:rPr>
                      <w:rFonts w:ascii="Arial" w:eastAsia="Calibri" w:hAnsi="Arial" w:cs="Arial"/>
                      <w:b/>
                      <w:bCs/>
                      <w:szCs w:val="24"/>
                    </w:rPr>
                  </w:pPr>
                  <w:r>
                    <w:rPr>
                      <w:rFonts w:ascii="Arial" w:eastAsia="Calibri" w:hAnsi="Arial" w:cs="Arial"/>
                      <w:b/>
                      <w:bCs/>
                      <w:szCs w:val="24"/>
                    </w:rPr>
                    <w:t>2019/20</w:t>
                  </w:r>
                </w:p>
              </w:tc>
              <w:tc>
                <w:tcPr>
                  <w:tcW w:w="10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A23EF2" w:rsidP="004120A6">
                  <w:pPr>
                    <w:spacing w:line="276" w:lineRule="auto"/>
                    <w:jc w:val="center"/>
                    <w:rPr>
                      <w:rFonts w:ascii="Arial" w:eastAsia="Calibri" w:hAnsi="Arial" w:cs="Arial"/>
                      <w:szCs w:val="24"/>
                    </w:rPr>
                  </w:pPr>
                  <w:r>
                    <w:rPr>
                      <w:rFonts w:ascii="Arial" w:eastAsia="Calibri" w:hAnsi="Arial" w:cs="Arial"/>
                      <w:szCs w:val="24"/>
                    </w:rPr>
                    <w:t>2.82</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F2664" w:rsidP="004120A6">
                  <w:pPr>
                    <w:spacing w:line="276" w:lineRule="auto"/>
                    <w:jc w:val="center"/>
                    <w:rPr>
                      <w:rFonts w:ascii="Arial" w:eastAsia="Calibri" w:hAnsi="Arial" w:cs="Arial"/>
                      <w:szCs w:val="24"/>
                    </w:rPr>
                  </w:pPr>
                  <w:r>
                    <w:rPr>
                      <w:rFonts w:ascii="Arial" w:eastAsia="Calibri" w:hAnsi="Arial" w:cs="Arial"/>
                      <w:szCs w:val="24"/>
                    </w:rPr>
                    <w:t>2.34</w:t>
                  </w:r>
                </w:p>
              </w:tc>
              <w:tc>
                <w:tcPr>
                  <w:tcW w:w="103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4120A6">
                  <w:pPr>
                    <w:spacing w:line="276" w:lineRule="auto"/>
                    <w:jc w:val="center"/>
                    <w:rPr>
                      <w:rFonts w:ascii="Arial" w:eastAsia="Calibri" w:hAnsi="Arial" w:cs="Arial"/>
                      <w:szCs w:val="24"/>
                    </w:rPr>
                  </w:pPr>
                </w:p>
              </w:tc>
              <w:tc>
                <w:tcPr>
                  <w:tcW w:w="103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16D9F" w:rsidRDefault="00516D9F" w:rsidP="004120A6">
                  <w:pPr>
                    <w:spacing w:line="276" w:lineRule="auto"/>
                    <w:jc w:val="center"/>
                    <w:rPr>
                      <w:rFonts w:ascii="Arial" w:eastAsia="Calibri" w:hAnsi="Arial" w:cs="Arial"/>
                      <w:szCs w:val="24"/>
                    </w:rPr>
                  </w:pPr>
                </w:p>
              </w:tc>
            </w:tr>
          </w:tbl>
          <w:p w:rsidR="009B7A20" w:rsidRPr="009C1F2A" w:rsidRDefault="009B7A20" w:rsidP="00C8333C">
            <w:pPr>
              <w:jc w:val="both"/>
              <w:rPr>
                <w:rFonts w:ascii="Arial" w:eastAsia="Calibri" w:hAnsi="Arial" w:cs="Arial"/>
                <w:szCs w:val="24"/>
                <w:lang w:eastAsia="en-US"/>
              </w:rPr>
            </w:pPr>
          </w:p>
        </w:tc>
      </w:tr>
      <w:tr w:rsidR="009B7A20" w:rsidRPr="007214D1" w:rsidTr="00835331">
        <w:trPr>
          <w:trHeight w:val="426"/>
        </w:trPr>
        <w:tc>
          <w:tcPr>
            <w:tcW w:w="959" w:type="dxa"/>
          </w:tcPr>
          <w:p w:rsidR="009B7A20" w:rsidRDefault="00BB3F9D" w:rsidP="00416BFF">
            <w:pPr>
              <w:rPr>
                <w:rFonts w:ascii="Arial" w:hAnsi="Arial" w:cs="Arial"/>
                <w:szCs w:val="24"/>
              </w:rPr>
            </w:pPr>
            <w:r>
              <w:rPr>
                <w:rFonts w:ascii="Arial" w:hAnsi="Arial" w:cs="Arial"/>
                <w:szCs w:val="24"/>
              </w:rPr>
              <w:t>3.2.7</w:t>
            </w:r>
          </w:p>
          <w:p w:rsidR="009B7A20" w:rsidRDefault="009B7A20" w:rsidP="00416BFF">
            <w:pPr>
              <w:rPr>
                <w:rFonts w:ascii="Arial" w:hAnsi="Arial" w:cs="Arial"/>
                <w:szCs w:val="24"/>
              </w:rPr>
            </w:pPr>
          </w:p>
        </w:tc>
        <w:tc>
          <w:tcPr>
            <w:tcW w:w="8505" w:type="dxa"/>
          </w:tcPr>
          <w:p w:rsidR="009B7A20" w:rsidRDefault="009B7A20" w:rsidP="009E26DF">
            <w:pPr>
              <w:spacing w:line="276" w:lineRule="auto"/>
              <w:jc w:val="both"/>
              <w:rPr>
                <w:rFonts w:ascii="Arial" w:eastAsia="Calibri" w:hAnsi="Arial" w:cs="Arial"/>
                <w:bCs/>
                <w:szCs w:val="24"/>
              </w:rPr>
            </w:pPr>
            <w:r>
              <w:rPr>
                <w:rFonts w:ascii="Arial" w:eastAsia="Calibri" w:hAnsi="Arial" w:cs="Arial"/>
                <w:bCs/>
                <w:szCs w:val="24"/>
              </w:rPr>
              <w:t>The average sick days/FTE</w:t>
            </w:r>
            <w:r w:rsidRPr="00D44B45">
              <w:rPr>
                <w:rFonts w:ascii="Arial" w:eastAsia="Calibri" w:hAnsi="Arial" w:cs="Arial"/>
                <w:bCs/>
                <w:szCs w:val="24"/>
              </w:rPr>
              <w:t xml:space="preserve"> per employee has shown </w:t>
            </w:r>
            <w:r w:rsidR="005F2664">
              <w:rPr>
                <w:rFonts w:ascii="Arial" w:eastAsia="Calibri" w:hAnsi="Arial" w:cs="Arial"/>
                <w:bCs/>
                <w:szCs w:val="24"/>
              </w:rPr>
              <w:t>a decrease</w:t>
            </w:r>
            <w:r w:rsidRPr="00D44B45">
              <w:rPr>
                <w:rFonts w:ascii="Arial" w:eastAsia="Calibri" w:hAnsi="Arial" w:cs="Arial"/>
                <w:bCs/>
                <w:szCs w:val="24"/>
              </w:rPr>
              <w:t xml:space="preserve"> </w:t>
            </w:r>
            <w:r w:rsidRPr="006B590D">
              <w:rPr>
                <w:rFonts w:ascii="Arial" w:eastAsia="Calibri" w:hAnsi="Arial" w:cs="Arial"/>
                <w:bCs/>
                <w:szCs w:val="24"/>
              </w:rPr>
              <w:t xml:space="preserve">of </w:t>
            </w:r>
            <w:r w:rsidR="00EB2A40">
              <w:rPr>
                <w:rFonts w:ascii="Arial" w:eastAsia="Calibri" w:hAnsi="Arial" w:cs="Arial"/>
                <w:bCs/>
                <w:szCs w:val="24"/>
              </w:rPr>
              <w:t>0.</w:t>
            </w:r>
            <w:r w:rsidR="005F2664">
              <w:rPr>
                <w:rFonts w:ascii="Arial" w:eastAsia="Calibri" w:hAnsi="Arial" w:cs="Arial"/>
                <w:bCs/>
                <w:szCs w:val="24"/>
              </w:rPr>
              <w:t>48</w:t>
            </w:r>
            <w:r w:rsidR="006A38A2">
              <w:rPr>
                <w:rFonts w:ascii="Arial" w:eastAsia="Calibri" w:hAnsi="Arial" w:cs="Arial"/>
                <w:bCs/>
                <w:szCs w:val="24"/>
              </w:rPr>
              <w:t>%</w:t>
            </w:r>
            <w:r w:rsidRPr="00D44B45">
              <w:rPr>
                <w:rFonts w:ascii="Arial" w:eastAsia="Calibri" w:hAnsi="Arial" w:cs="Arial"/>
                <w:bCs/>
                <w:szCs w:val="24"/>
              </w:rPr>
              <w:t xml:space="preserve"> days</w:t>
            </w:r>
            <w:r w:rsidR="002D0DC9">
              <w:rPr>
                <w:rFonts w:ascii="Arial" w:eastAsia="Calibri" w:hAnsi="Arial" w:cs="Arial"/>
                <w:bCs/>
                <w:szCs w:val="24"/>
              </w:rPr>
              <w:t xml:space="preserve"> </w:t>
            </w:r>
            <w:r w:rsidR="003C1B3B">
              <w:rPr>
                <w:rFonts w:ascii="Arial" w:eastAsia="Calibri" w:hAnsi="Arial" w:cs="Arial"/>
                <w:bCs/>
                <w:szCs w:val="24"/>
              </w:rPr>
              <w:t xml:space="preserve">compared to </w:t>
            </w:r>
            <w:r w:rsidR="006A38A2">
              <w:rPr>
                <w:rFonts w:ascii="Arial" w:eastAsia="Calibri" w:hAnsi="Arial" w:cs="Arial"/>
                <w:bCs/>
                <w:szCs w:val="24"/>
              </w:rPr>
              <w:t xml:space="preserve">Quarter </w:t>
            </w:r>
            <w:r w:rsidR="005F2664">
              <w:rPr>
                <w:rFonts w:ascii="Arial" w:eastAsia="Calibri" w:hAnsi="Arial" w:cs="Arial"/>
                <w:bCs/>
                <w:szCs w:val="24"/>
              </w:rPr>
              <w:t xml:space="preserve">1 </w:t>
            </w:r>
            <w:r w:rsidR="006A38A2">
              <w:rPr>
                <w:rFonts w:ascii="Arial" w:eastAsia="Calibri" w:hAnsi="Arial" w:cs="Arial"/>
                <w:bCs/>
                <w:szCs w:val="24"/>
              </w:rPr>
              <w:t xml:space="preserve">of </w:t>
            </w:r>
            <w:r w:rsidR="005F2664">
              <w:rPr>
                <w:rFonts w:ascii="Arial" w:eastAsia="Calibri" w:hAnsi="Arial" w:cs="Arial"/>
                <w:bCs/>
                <w:szCs w:val="24"/>
              </w:rPr>
              <w:t>2019/20</w:t>
            </w:r>
            <w:r w:rsidR="003C1B3B">
              <w:rPr>
                <w:rFonts w:ascii="Arial" w:eastAsia="Calibri" w:hAnsi="Arial" w:cs="Arial"/>
                <w:bCs/>
                <w:szCs w:val="24"/>
              </w:rPr>
              <w:t>.</w:t>
            </w:r>
            <w:r w:rsidR="009E26DF">
              <w:rPr>
                <w:rFonts w:ascii="Arial" w:eastAsia="Calibri" w:hAnsi="Arial" w:cs="Arial"/>
                <w:bCs/>
                <w:szCs w:val="24"/>
              </w:rPr>
              <w:t xml:space="preserve"> </w:t>
            </w:r>
          </w:p>
          <w:p w:rsidR="00B007BE" w:rsidRPr="00D44B45" w:rsidRDefault="00B007BE" w:rsidP="009E26DF">
            <w:pPr>
              <w:spacing w:line="276" w:lineRule="auto"/>
              <w:jc w:val="both"/>
              <w:rPr>
                <w:rFonts w:ascii="Arial" w:eastAsia="Calibri" w:hAnsi="Arial" w:cs="Arial"/>
                <w:bCs/>
                <w:szCs w:val="24"/>
              </w:rPr>
            </w:pPr>
          </w:p>
        </w:tc>
      </w:tr>
      <w:tr w:rsidR="00725EC8" w:rsidRPr="007214D1" w:rsidTr="00835331">
        <w:trPr>
          <w:trHeight w:val="426"/>
        </w:trPr>
        <w:tc>
          <w:tcPr>
            <w:tcW w:w="959" w:type="dxa"/>
          </w:tcPr>
          <w:p w:rsidR="00725EC8" w:rsidRDefault="0049451D" w:rsidP="0049451D">
            <w:pPr>
              <w:rPr>
                <w:rFonts w:ascii="Arial" w:hAnsi="Arial" w:cs="Arial"/>
                <w:szCs w:val="24"/>
              </w:rPr>
            </w:pPr>
            <w:r>
              <w:rPr>
                <w:rFonts w:ascii="Arial" w:hAnsi="Arial" w:cs="Arial"/>
                <w:szCs w:val="24"/>
              </w:rPr>
              <w:t>3.2.</w:t>
            </w:r>
            <w:r w:rsidR="00BB3F9D">
              <w:rPr>
                <w:rFonts w:ascii="Arial" w:hAnsi="Arial" w:cs="Arial"/>
                <w:szCs w:val="24"/>
              </w:rPr>
              <w:t>8</w:t>
            </w:r>
          </w:p>
        </w:tc>
        <w:tc>
          <w:tcPr>
            <w:tcW w:w="8505" w:type="dxa"/>
          </w:tcPr>
          <w:p w:rsidR="002E6BF4" w:rsidRPr="00CD553A" w:rsidRDefault="00CD553A" w:rsidP="002E6BF4">
            <w:pPr>
              <w:jc w:val="both"/>
              <w:rPr>
                <w:rFonts w:ascii="Arial" w:hAnsi="Arial" w:cs="Arial"/>
              </w:rPr>
            </w:pPr>
            <w:proofErr w:type="gramStart"/>
            <w:r w:rsidRPr="00CD553A">
              <w:rPr>
                <w:rFonts w:ascii="Arial" w:eastAsia="Calibri" w:hAnsi="Arial" w:cs="Arial"/>
                <w:bCs/>
                <w:szCs w:val="24"/>
              </w:rPr>
              <w:t>A number of</w:t>
            </w:r>
            <w:proofErr w:type="gramEnd"/>
            <w:r w:rsidRPr="00CD553A">
              <w:rPr>
                <w:rFonts w:ascii="Arial" w:eastAsia="Calibri" w:hAnsi="Arial" w:cs="Arial"/>
                <w:bCs/>
                <w:szCs w:val="24"/>
              </w:rPr>
              <w:t xml:space="preserve"> issues resulting in significant long</w:t>
            </w:r>
            <w:r w:rsidR="007B1176">
              <w:rPr>
                <w:rFonts w:ascii="Arial" w:eastAsia="Calibri" w:hAnsi="Arial" w:cs="Arial"/>
                <w:bCs/>
                <w:szCs w:val="24"/>
              </w:rPr>
              <w:t>-t</w:t>
            </w:r>
            <w:r w:rsidRPr="00CD553A">
              <w:rPr>
                <w:rFonts w:ascii="Arial" w:eastAsia="Calibri" w:hAnsi="Arial" w:cs="Arial"/>
                <w:bCs/>
                <w:szCs w:val="24"/>
              </w:rPr>
              <w:t xml:space="preserve">erm absences over Q1 and Q2 particularly within the Adult, Archives and Youth teams have now been resolved or have come to an end in Q3 with either a return to work, retirement or resignation. </w:t>
            </w:r>
          </w:p>
          <w:p w:rsidR="00725EC8" w:rsidRPr="00CD553A" w:rsidRDefault="0049451D" w:rsidP="002E6BF4">
            <w:pPr>
              <w:jc w:val="both"/>
              <w:rPr>
                <w:rFonts w:ascii="Arial" w:eastAsia="Calibri" w:hAnsi="Arial" w:cs="Arial"/>
                <w:szCs w:val="24"/>
                <w:lang w:eastAsia="en-US"/>
              </w:rPr>
            </w:pPr>
            <w:r w:rsidRPr="00CD553A">
              <w:rPr>
                <w:rFonts w:ascii="Arial" w:eastAsia="Calibri" w:hAnsi="Arial" w:cs="Arial"/>
                <w:bCs/>
                <w:szCs w:val="24"/>
              </w:rPr>
              <w:t xml:space="preserve"> </w:t>
            </w:r>
          </w:p>
        </w:tc>
      </w:tr>
      <w:tr w:rsidR="002E6BF4" w:rsidRPr="007214D1" w:rsidTr="00835331">
        <w:trPr>
          <w:trHeight w:val="426"/>
        </w:trPr>
        <w:tc>
          <w:tcPr>
            <w:tcW w:w="959" w:type="dxa"/>
          </w:tcPr>
          <w:p w:rsidR="002E6BF4" w:rsidRDefault="002E6BF4" w:rsidP="0049451D">
            <w:pPr>
              <w:rPr>
                <w:rFonts w:ascii="Arial" w:hAnsi="Arial" w:cs="Arial"/>
                <w:szCs w:val="24"/>
              </w:rPr>
            </w:pPr>
            <w:r>
              <w:rPr>
                <w:rFonts w:ascii="Arial" w:hAnsi="Arial" w:cs="Arial"/>
                <w:szCs w:val="24"/>
              </w:rPr>
              <w:t>3.2.</w:t>
            </w:r>
            <w:r w:rsidR="00BB3F9D">
              <w:rPr>
                <w:rFonts w:ascii="Arial" w:hAnsi="Arial" w:cs="Arial"/>
                <w:szCs w:val="24"/>
              </w:rPr>
              <w:t>9</w:t>
            </w:r>
          </w:p>
        </w:tc>
        <w:tc>
          <w:tcPr>
            <w:tcW w:w="8505" w:type="dxa"/>
          </w:tcPr>
          <w:p w:rsidR="001866ED" w:rsidRPr="008F18C3" w:rsidRDefault="002E6BF4" w:rsidP="002E6BF4">
            <w:pPr>
              <w:jc w:val="both"/>
              <w:rPr>
                <w:rFonts w:ascii="Arial" w:eastAsia="Calibri" w:hAnsi="Arial" w:cs="Arial"/>
                <w:bCs/>
                <w:szCs w:val="24"/>
              </w:rPr>
            </w:pPr>
            <w:r w:rsidRPr="008F18C3">
              <w:rPr>
                <w:rFonts w:ascii="Arial" w:eastAsia="Calibri" w:hAnsi="Arial" w:cs="Arial"/>
                <w:bCs/>
                <w:szCs w:val="24"/>
              </w:rPr>
              <w:t xml:space="preserve">HR </w:t>
            </w:r>
            <w:r w:rsidR="008F18C3">
              <w:rPr>
                <w:rFonts w:ascii="Arial" w:eastAsia="Calibri" w:hAnsi="Arial" w:cs="Arial"/>
                <w:bCs/>
                <w:szCs w:val="24"/>
              </w:rPr>
              <w:t xml:space="preserve">continues to </w:t>
            </w:r>
            <w:r w:rsidRPr="008F18C3">
              <w:rPr>
                <w:rFonts w:ascii="Arial" w:eastAsia="Calibri" w:hAnsi="Arial" w:cs="Arial"/>
                <w:bCs/>
                <w:szCs w:val="24"/>
              </w:rPr>
              <w:t xml:space="preserve">work closely with managers and employees to find opportunities to encourage earlier returns to work for some </w:t>
            </w:r>
            <w:proofErr w:type="gramStart"/>
            <w:r w:rsidRPr="008F18C3">
              <w:rPr>
                <w:rFonts w:ascii="Arial" w:eastAsia="Calibri" w:hAnsi="Arial" w:cs="Arial"/>
                <w:bCs/>
                <w:szCs w:val="24"/>
              </w:rPr>
              <w:t>long</w:t>
            </w:r>
            <w:r w:rsidR="00D73FED">
              <w:rPr>
                <w:rFonts w:ascii="Arial" w:eastAsia="Calibri" w:hAnsi="Arial" w:cs="Arial"/>
                <w:bCs/>
                <w:szCs w:val="24"/>
              </w:rPr>
              <w:t xml:space="preserve"> </w:t>
            </w:r>
            <w:r w:rsidRPr="008F18C3">
              <w:rPr>
                <w:rFonts w:ascii="Arial" w:eastAsia="Calibri" w:hAnsi="Arial" w:cs="Arial"/>
                <w:bCs/>
                <w:szCs w:val="24"/>
              </w:rPr>
              <w:t>term</w:t>
            </w:r>
            <w:proofErr w:type="gramEnd"/>
            <w:r w:rsidRPr="008F18C3">
              <w:rPr>
                <w:rFonts w:ascii="Arial" w:eastAsia="Calibri" w:hAnsi="Arial" w:cs="Arial"/>
                <w:bCs/>
                <w:szCs w:val="24"/>
              </w:rPr>
              <w:t xml:space="preserve"> absences where temporary redeployments or lighter/different duties may be appropriate.</w:t>
            </w:r>
            <w:r w:rsidR="004F24D2" w:rsidRPr="008F18C3">
              <w:rPr>
                <w:rFonts w:ascii="Arial" w:eastAsia="Calibri" w:hAnsi="Arial" w:cs="Arial"/>
                <w:bCs/>
                <w:szCs w:val="24"/>
              </w:rPr>
              <w:t xml:space="preserve"> Managers are being encouraged to consider alternative options for employees who are or are likely to be medically certified to be absent from work for a potentially prolonged </w:t>
            </w:r>
            <w:proofErr w:type="gramStart"/>
            <w:r w:rsidR="004F24D2" w:rsidRPr="008F18C3">
              <w:rPr>
                <w:rFonts w:ascii="Arial" w:eastAsia="Calibri" w:hAnsi="Arial" w:cs="Arial"/>
                <w:bCs/>
                <w:szCs w:val="24"/>
              </w:rPr>
              <w:t>period of time</w:t>
            </w:r>
            <w:proofErr w:type="gramEnd"/>
            <w:r w:rsidR="004F24D2" w:rsidRPr="008F18C3">
              <w:rPr>
                <w:rFonts w:ascii="Arial" w:eastAsia="Calibri" w:hAnsi="Arial" w:cs="Arial"/>
                <w:bCs/>
                <w:szCs w:val="24"/>
              </w:rPr>
              <w:t>.</w:t>
            </w:r>
            <w:r w:rsidR="001866ED" w:rsidRPr="008F18C3">
              <w:rPr>
                <w:rFonts w:ascii="Arial" w:eastAsia="Calibri" w:hAnsi="Arial" w:cs="Arial"/>
                <w:bCs/>
                <w:szCs w:val="24"/>
              </w:rPr>
              <w:t xml:space="preserve"> Directors should note that a supportive but robust approach is being adopted in </w:t>
            </w:r>
            <w:r w:rsidR="004F24D2" w:rsidRPr="008F18C3">
              <w:rPr>
                <w:rFonts w:ascii="Arial" w:eastAsia="Calibri" w:hAnsi="Arial" w:cs="Arial"/>
                <w:bCs/>
                <w:szCs w:val="24"/>
              </w:rPr>
              <w:t>any</w:t>
            </w:r>
            <w:r w:rsidR="001866ED" w:rsidRPr="008F18C3">
              <w:rPr>
                <w:rFonts w:ascii="Arial" w:eastAsia="Calibri" w:hAnsi="Arial" w:cs="Arial"/>
                <w:bCs/>
                <w:szCs w:val="24"/>
              </w:rPr>
              <w:t xml:space="preserve"> such cases.</w:t>
            </w:r>
          </w:p>
          <w:p w:rsidR="002E6BF4" w:rsidRPr="005F2664" w:rsidRDefault="002E6BF4" w:rsidP="002E6BF4">
            <w:pPr>
              <w:jc w:val="both"/>
              <w:rPr>
                <w:rFonts w:ascii="Arial" w:eastAsia="Calibri" w:hAnsi="Arial" w:cs="Arial"/>
                <w:bCs/>
                <w:szCs w:val="24"/>
                <w:highlight w:val="yellow"/>
              </w:rPr>
            </w:pPr>
            <w:r w:rsidRPr="005F2664">
              <w:rPr>
                <w:rFonts w:ascii="Arial" w:eastAsia="Calibri" w:hAnsi="Arial" w:cs="Arial"/>
                <w:bCs/>
                <w:szCs w:val="24"/>
                <w:highlight w:val="yellow"/>
              </w:rPr>
              <w:t xml:space="preserve"> </w:t>
            </w:r>
          </w:p>
        </w:tc>
      </w:tr>
      <w:tr w:rsidR="009B7A20" w:rsidRPr="007214D1" w:rsidTr="00835331">
        <w:trPr>
          <w:trHeight w:val="80"/>
        </w:trPr>
        <w:tc>
          <w:tcPr>
            <w:tcW w:w="959" w:type="dxa"/>
          </w:tcPr>
          <w:p w:rsidR="009B7A20" w:rsidRDefault="00F370F9" w:rsidP="00DD3B83">
            <w:pPr>
              <w:rPr>
                <w:rFonts w:ascii="Arial" w:hAnsi="Arial" w:cs="Arial"/>
                <w:szCs w:val="24"/>
              </w:rPr>
            </w:pPr>
            <w:r w:rsidRPr="003E159A">
              <w:rPr>
                <w:rFonts w:ascii="Arial" w:hAnsi="Arial" w:cs="Arial"/>
                <w:szCs w:val="24"/>
              </w:rPr>
              <w:t>3.</w:t>
            </w:r>
            <w:r w:rsidR="00DD3B83">
              <w:rPr>
                <w:rFonts w:ascii="Arial" w:hAnsi="Arial" w:cs="Arial"/>
                <w:szCs w:val="24"/>
              </w:rPr>
              <w:t>3</w:t>
            </w:r>
          </w:p>
          <w:p w:rsidR="00A8515A" w:rsidRDefault="00A8515A" w:rsidP="00DD3B83">
            <w:pPr>
              <w:rPr>
                <w:rFonts w:ascii="Arial" w:hAnsi="Arial" w:cs="Arial"/>
                <w:szCs w:val="24"/>
              </w:rPr>
            </w:pPr>
          </w:p>
          <w:p w:rsidR="00A8515A" w:rsidRPr="003E159A" w:rsidRDefault="00A8515A" w:rsidP="00DD3B83">
            <w:pPr>
              <w:rPr>
                <w:rFonts w:ascii="Arial" w:hAnsi="Arial" w:cs="Arial"/>
                <w:szCs w:val="24"/>
              </w:rPr>
            </w:pPr>
          </w:p>
        </w:tc>
        <w:tc>
          <w:tcPr>
            <w:tcW w:w="8505" w:type="dxa"/>
          </w:tcPr>
          <w:p w:rsidR="009B7A20" w:rsidRPr="003E159A" w:rsidRDefault="009B7A20" w:rsidP="00E75F39">
            <w:pPr>
              <w:jc w:val="both"/>
              <w:rPr>
                <w:rFonts w:ascii="Arial" w:eastAsia="Calibri" w:hAnsi="Arial" w:cs="Arial"/>
                <w:szCs w:val="24"/>
                <w:u w:val="single"/>
                <w:lang w:eastAsia="en-US"/>
              </w:rPr>
            </w:pPr>
            <w:r w:rsidRPr="003E159A">
              <w:rPr>
                <w:rFonts w:ascii="Arial" w:eastAsia="Calibri" w:hAnsi="Arial" w:cs="Arial"/>
                <w:szCs w:val="24"/>
                <w:u w:val="single"/>
                <w:lang w:eastAsia="en-US"/>
              </w:rPr>
              <w:t>Staff Turnover</w:t>
            </w:r>
          </w:p>
          <w:p w:rsidR="009B7A20" w:rsidRPr="003E159A" w:rsidRDefault="009B7A20" w:rsidP="009B7A20">
            <w:pPr>
              <w:jc w:val="both"/>
              <w:rPr>
                <w:rFonts w:ascii="Arial" w:eastAsia="Calibri" w:hAnsi="Arial" w:cs="Arial"/>
                <w:szCs w:val="24"/>
              </w:rPr>
            </w:pPr>
          </w:p>
          <w:p w:rsidR="002E6BF4" w:rsidRDefault="009B7A20" w:rsidP="005A2986">
            <w:pPr>
              <w:jc w:val="both"/>
              <w:rPr>
                <w:rFonts w:ascii="Arial" w:eastAsia="Calibri" w:hAnsi="Arial" w:cs="Arial"/>
                <w:szCs w:val="24"/>
              </w:rPr>
            </w:pPr>
            <w:r w:rsidRPr="003E159A">
              <w:rPr>
                <w:rFonts w:ascii="Arial" w:eastAsia="Calibri" w:hAnsi="Arial" w:cs="Arial"/>
                <w:szCs w:val="24"/>
              </w:rPr>
              <w:t xml:space="preserve">Resignations in Quarter </w:t>
            </w:r>
            <w:r w:rsidR="00CD553A">
              <w:rPr>
                <w:rFonts w:ascii="Arial" w:eastAsia="Calibri" w:hAnsi="Arial" w:cs="Arial"/>
                <w:szCs w:val="24"/>
              </w:rPr>
              <w:t>2</w:t>
            </w:r>
            <w:r w:rsidRPr="003E159A">
              <w:rPr>
                <w:rFonts w:ascii="Arial" w:eastAsia="Calibri" w:hAnsi="Arial" w:cs="Arial"/>
                <w:szCs w:val="24"/>
              </w:rPr>
              <w:t xml:space="preserve"> as a percentage of the number of posts and resignations </w:t>
            </w:r>
            <w:r w:rsidR="005A2986">
              <w:rPr>
                <w:rFonts w:ascii="Arial" w:eastAsia="Calibri" w:hAnsi="Arial" w:cs="Arial"/>
                <w:szCs w:val="24"/>
              </w:rPr>
              <w:t>was</w:t>
            </w:r>
            <w:r w:rsidRPr="003E159A">
              <w:rPr>
                <w:rFonts w:ascii="Arial" w:eastAsia="Calibri" w:hAnsi="Arial" w:cs="Arial"/>
                <w:szCs w:val="24"/>
              </w:rPr>
              <w:t xml:space="preserve"> </w:t>
            </w:r>
            <w:r w:rsidR="00A5134F">
              <w:rPr>
                <w:rFonts w:ascii="Arial" w:eastAsia="Calibri" w:hAnsi="Arial" w:cs="Arial"/>
                <w:szCs w:val="24"/>
              </w:rPr>
              <w:t>2.6</w:t>
            </w:r>
            <w:r w:rsidRPr="00121552">
              <w:rPr>
                <w:rFonts w:ascii="Arial" w:eastAsia="Calibri" w:hAnsi="Arial" w:cs="Arial"/>
                <w:szCs w:val="24"/>
              </w:rPr>
              <w:t>%</w:t>
            </w:r>
            <w:r w:rsidRPr="003E159A">
              <w:rPr>
                <w:rFonts w:ascii="Arial" w:eastAsia="Calibri" w:hAnsi="Arial" w:cs="Arial"/>
                <w:szCs w:val="24"/>
              </w:rPr>
              <w:t xml:space="preserve"> equating to an average of </w:t>
            </w:r>
            <w:r w:rsidR="00A5134F">
              <w:rPr>
                <w:rFonts w:ascii="Arial" w:eastAsia="Calibri" w:hAnsi="Arial" w:cs="Arial"/>
                <w:szCs w:val="24"/>
              </w:rPr>
              <w:t>10</w:t>
            </w:r>
            <w:r w:rsidR="005F2A13" w:rsidRPr="003E159A">
              <w:rPr>
                <w:rFonts w:ascii="Arial" w:eastAsia="Calibri" w:hAnsi="Arial" w:cs="Arial"/>
                <w:szCs w:val="24"/>
              </w:rPr>
              <w:t xml:space="preserve"> </w:t>
            </w:r>
            <w:r w:rsidRPr="003E159A">
              <w:rPr>
                <w:rFonts w:ascii="Arial" w:eastAsia="Calibri" w:hAnsi="Arial" w:cs="Arial"/>
                <w:szCs w:val="24"/>
              </w:rPr>
              <w:t>resignations a month</w:t>
            </w:r>
            <w:r w:rsidR="00C427F8">
              <w:rPr>
                <w:rFonts w:ascii="Arial" w:eastAsia="Calibri" w:hAnsi="Arial" w:cs="Arial"/>
                <w:szCs w:val="24"/>
              </w:rPr>
              <w:t xml:space="preserve"> across the whole organisation</w:t>
            </w:r>
            <w:r w:rsidRPr="003E159A">
              <w:rPr>
                <w:rFonts w:ascii="Arial" w:eastAsia="Calibri" w:hAnsi="Arial" w:cs="Arial"/>
                <w:szCs w:val="24"/>
              </w:rPr>
              <w:t>.</w:t>
            </w:r>
            <w:r w:rsidR="00413B84" w:rsidRPr="003E159A">
              <w:rPr>
                <w:rFonts w:ascii="Arial" w:eastAsia="Calibri" w:hAnsi="Arial" w:cs="Arial"/>
                <w:szCs w:val="24"/>
              </w:rPr>
              <w:t xml:space="preserve"> </w:t>
            </w:r>
          </w:p>
          <w:p w:rsidR="005A2986" w:rsidRPr="003E159A" w:rsidRDefault="005A2986" w:rsidP="005A2986">
            <w:pPr>
              <w:jc w:val="both"/>
              <w:rPr>
                <w:rFonts w:ascii="Arial" w:eastAsia="Calibri" w:hAnsi="Arial" w:cs="Arial"/>
                <w:szCs w:val="24"/>
                <w:u w:val="single"/>
                <w:lang w:eastAsia="en-US"/>
              </w:rPr>
            </w:pPr>
          </w:p>
        </w:tc>
      </w:tr>
      <w:tr w:rsidR="00CB268B" w:rsidRPr="007214D1" w:rsidTr="00835331">
        <w:trPr>
          <w:trHeight w:val="80"/>
        </w:trPr>
        <w:tc>
          <w:tcPr>
            <w:tcW w:w="959" w:type="dxa"/>
          </w:tcPr>
          <w:p w:rsidR="00CB268B" w:rsidRDefault="00CB268B" w:rsidP="00DD3B83">
            <w:pPr>
              <w:rPr>
                <w:rFonts w:ascii="Arial" w:hAnsi="Arial" w:cs="Arial"/>
                <w:szCs w:val="24"/>
              </w:rPr>
            </w:pPr>
            <w:r>
              <w:rPr>
                <w:rFonts w:ascii="Arial" w:hAnsi="Arial" w:cs="Arial"/>
                <w:szCs w:val="24"/>
              </w:rPr>
              <w:t>3.3.</w:t>
            </w:r>
            <w:r w:rsidR="003F2745">
              <w:rPr>
                <w:rFonts w:ascii="Arial" w:hAnsi="Arial" w:cs="Arial"/>
                <w:szCs w:val="24"/>
              </w:rPr>
              <w:t>1</w:t>
            </w:r>
          </w:p>
          <w:p w:rsidR="00835331" w:rsidRPr="003E159A" w:rsidRDefault="00835331" w:rsidP="00DD3B83">
            <w:pPr>
              <w:rPr>
                <w:rFonts w:ascii="Arial" w:hAnsi="Arial" w:cs="Arial"/>
                <w:szCs w:val="24"/>
              </w:rPr>
            </w:pPr>
          </w:p>
        </w:tc>
        <w:tc>
          <w:tcPr>
            <w:tcW w:w="8505" w:type="dxa"/>
          </w:tcPr>
          <w:p w:rsidR="00CB268B" w:rsidRPr="003E159A" w:rsidRDefault="00CB268B" w:rsidP="00CB268B">
            <w:pPr>
              <w:jc w:val="both"/>
              <w:rPr>
                <w:rFonts w:ascii="Arial" w:eastAsia="Calibri" w:hAnsi="Arial" w:cs="Arial"/>
                <w:szCs w:val="24"/>
              </w:rPr>
            </w:pPr>
            <w:r w:rsidRPr="00E4402F">
              <w:rPr>
                <w:rFonts w:ascii="Arial" w:eastAsia="Calibri" w:hAnsi="Arial" w:cs="Arial"/>
                <w:szCs w:val="24"/>
              </w:rPr>
              <w:t>Staff turnover remains i</w:t>
            </w:r>
            <w:bookmarkStart w:id="0" w:name="_GoBack"/>
            <w:bookmarkEnd w:id="0"/>
            <w:r w:rsidRPr="00E4402F">
              <w:rPr>
                <w:rFonts w:ascii="Arial" w:eastAsia="Calibri" w:hAnsi="Arial" w:cs="Arial"/>
                <w:szCs w:val="24"/>
              </w:rPr>
              <w:t>n a ‘</w:t>
            </w:r>
            <w:r w:rsidRPr="00E4402F">
              <w:rPr>
                <w:rFonts w:ascii="Arial" w:eastAsia="Calibri" w:hAnsi="Arial" w:cs="Arial"/>
                <w:b/>
                <w:szCs w:val="24"/>
              </w:rPr>
              <w:t>green</w:t>
            </w:r>
            <w:r w:rsidRPr="00E4402F">
              <w:rPr>
                <w:rFonts w:ascii="Arial" w:eastAsia="Calibri" w:hAnsi="Arial" w:cs="Arial"/>
                <w:szCs w:val="24"/>
              </w:rPr>
              <w:t>’ RAG-rated status in terms of the Charity’s performance reporting and therefore does not present any current ongoing concerns for HLH.</w:t>
            </w:r>
          </w:p>
          <w:p w:rsidR="00CB268B" w:rsidRPr="003E159A" w:rsidRDefault="00CB268B" w:rsidP="00E75F39">
            <w:pPr>
              <w:jc w:val="both"/>
              <w:rPr>
                <w:rFonts w:ascii="Arial" w:eastAsia="Calibri" w:hAnsi="Arial" w:cs="Arial"/>
                <w:szCs w:val="24"/>
                <w:u w:val="single"/>
                <w:lang w:eastAsia="en-US"/>
              </w:rPr>
            </w:pPr>
          </w:p>
        </w:tc>
      </w:tr>
      <w:tr w:rsidR="00835331" w:rsidRPr="007214D1" w:rsidTr="00835331">
        <w:trPr>
          <w:trHeight w:val="80"/>
        </w:trPr>
        <w:tc>
          <w:tcPr>
            <w:tcW w:w="959" w:type="dxa"/>
          </w:tcPr>
          <w:p w:rsidR="00835331" w:rsidRDefault="00835331" w:rsidP="00EA30B4">
            <w:pPr>
              <w:rPr>
                <w:rFonts w:ascii="Arial" w:hAnsi="Arial" w:cs="Arial"/>
                <w:szCs w:val="24"/>
              </w:rPr>
            </w:pPr>
            <w:r>
              <w:rPr>
                <w:rFonts w:ascii="Arial" w:hAnsi="Arial" w:cs="Arial"/>
                <w:szCs w:val="24"/>
              </w:rPr>
              <w:t>3.4</w:t>
            </w: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r>
              <w:rPr>
                <w:rFonts w:ascii="Arial" w:hAnsi="Arial" w:cs="Arial"/>
                <w:szCs w:val="24"/>
              </w:rPr>
              <w:t>3.5</w:t>
            </w: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p>
          <w:p w:rsidR="00835331" w:rsidRDefault="00835331" w:rsidP="00EA30B4">
            <w:pPr>
              <w:rPr>
                <w:rFonts w:ascii="Arial" w:hAnsi="Arial" w:cs="Arial"/>
                <w:szCs w:val="24"/>
              </w:rPr>
            </w:pPr>
            <w:r>
              <w:rPr>
                <w:rFonts w:ascii="Arial" w:hAnsi="Arial" w:cs="Arial"/>
                <w:szCs w:val="24"/>
              </w:rPr>
              <w:t>3.6</w:t>
            </w:r>
          </w:p>
          <w:p w:rsidR="00835331" w:rsidRDefault="00835331" w:rsidP="00835331">
            <w:pPr>
              <w:rPr>
                <w:rFonts w:ascii="Arial" w:hAnsi="Arial" w:cs="Arial"/>
                <w:szCs w:val="24"/>
              </w:rPr>
            </w:pPr>
          </w:p>
        </w:tc>
        <w:tc>
          <w:tcPr>
            <w:tcW w:w="8505" w:type="dxa"/>
          </w:tcPr>
          <w:p w:rsidR="00835331" w:rsidRPr="009C1F2A" w:rsidRDefault="00835331" w:rsidP="00D44B45">
            <w:pPr>
              <w:jc w:val="both"/>
              <w:rPr>
                <w:rFonts w:ascii="Arial" w:hAnsi="Arial" w:cs="Arial"/>
                <w:szCs w:val="24"/>
                <w:u w:val="single"/>
              </w:rPr>
            </w:pPr>
            <w:r>
              <w:rPr>
                <w:rFonts w:ascii="Arial" w:hAnsi="Arial" w:cs="Arial"/>
                <w:szCs w:val="24"/>
                <w:u w:val="single"/>
              </w:rPr>
              <w:t>Use of the charity disciplinary processes</w:t>
            </w:r>
          </w:p>
          <w:p w:rsidR="00835331" w:rsidRPr="009C1F2A" w:rsidRDefault="00835331" w:rsidP="00D44B45">
            <w:pPr>
              <w:jc w:val="both"/>
              <w:rPr>
                <w:rFonts w:ascii="Arial" w:hAnsi="Arial" w:cs="Arial"/>
                <w:szCs w:val="24"/>
              </w:rPr>
            </w:pPr>
          </w:p>
          <w:p w:rsidR="00835331" w:rsidRPr="007B5E32" w:rsidRDefault="00835331" w:rsidP="00D44B45">
            <w:pPr>
              <w:jc w:val="both"/>
              <w:rPr>
                <w:rFonts w:ascii="Arial" w:hAnsi="Arial" w:cs="Arial"/>
              </w:rPr>
            </w:pPr>
            <w:r>
              <w:rPr>
                <w:rFonts w:ascii="Arial" w:hAnsi="Arial" w:cs="Arial"/>
              </w:rPr>
              <w:t>There were three</w:t>
            </w:r>
            <w:r w:rsidRPr="009C1F2A">
              <w:rPr>
                <w:rFonts w:ascii="Arial" w:hAnsi="Arial" w:cs="Arial"/>
              </w:rPr>
              <w:t xml:space="preserve"> </w:t>
            </w:r>
            <w:r>
              <w:rPr>
                <w:rFonts w:ascii="Arial" w:hAnsi="Arial" w:cs="Arial"/>
              </w:rPr>
              <w:t xml:space="preserve">new </w:t>
            </w:r>
            <w:r w:rsidRPr="009C1F2A">
              <w:rPr>
                <w:rFonts w:ascii="Arial" w:hAnsi="Arial" w:cs="Arial"/>
              </w:rPr>
              <w:t>issue</w:t>
            </w:r>
            <w:r>
              <w:rPr>
                <w:rFonts w:ascii="Arial" w:hAnsi="Arial" w:cs="Arial"/>
              </w:rPr>
              <w:t>s considered under the C</w:t>
            </w:r>
            <w:r w:rsidRPr="009C1F2A">
              <w:rPr>
                <w:rFonts w:ascii="Arial" w:hAnsi="Arial" w:cs="Arial"/>
              </w:rPr>
              <w:t>harity’s disciplinary process in Q</w:t>
            </w:r>
            <w:r>
              <w:rPr>
                <w:rFonts w:ascii="Arial" w:hAnsi="Arial" w:cs="Arial"/>
              </w:rPr>
              <w:t>2</w:t>
            </w:r>
            <w:r w:rsidRPr="009C1F2A">
              <w:rPr>
                <w:rFonts w:ascii="Arial" w:hAnsi="Arial" w:cs="Arial"/>
              </w:rPr>
              <w:t xml:space="preserve"> </w:t>
            </w:r>
            <w:r>
              <w:rPr>
                <w:rFonts w:ascii="Arial" w:hAnsi="Arial" w:cs="Arial"/>
              </w:rPr>
              <w:t>19/20</w:t>
            </w:r>
            <w:r w:rsidRPr="009C1F2A">
              <w:rPr>
                <w:rFonts w:ascii="Arial" w:hAnsi="Arial" w:cs="Arial"/>
              </w:rPr>
              <w:t xml:space="preserve">, </w:t>
            </w:r>
            <w:r>
              <w:rPr>
                <w:rFonts w:ascii="Arial" w:hAnsi="Arial" w:cs="Arial"/>
              </w:rPr>
              <w:t xml:space="preserve">all of which were resolved. </w:t>
            </w:r>
          </w:p>
          <w:p w:rsidR="00835331" w:rsidRDefault="00835331" w:rsidP="00D44B45">
            <w:pPr>
              <w:jc w:val="both"/>
              <w:rPr>
                <w:rFonts w:ascii="Arial" w:hAnsi="Arial" w:cs="Arial"/>
                <w:szCs w:val="24"/>
                <w:u w:val="single"/>
              </w:rPr>
            </w:pPr>
          </w:p>
          <w:p w:rsidR="00835331" w:rsidRPr="009C1F2A" w:rsidRDefault="00835331" w:rsidP="00D44B45">
            <w:pPr>
              <w:jc w:val="both"/>
              <w:rPr>
                <w:rFonts w:ascii="Arial" w:hAnsi="Arial" w:cs="Arial"/>
                <w:szCs w:val="24"/>
                <w:u w:val="single"/>
              </w:rPr>
            </w:pPr>
            <w:r>
              <w:rPr>
                <w:rFonts w:ascii="Arial" w:hAnsi="Arial" w:cs="Arial"/>
                <w:szCs w:val="24"/>
                <w:u w:val="single"/>
              </w:rPr>
              <w:t>Use of the charity grievance processes</w:t>
            </w:r>
          </w:p>
          <w:p w:rsidR="00835331" w:rsidRPr="009C1F2A" w:rsidRDefault="00835331" w:rsidP="00D44B45">
            <w:pPr>
              <w:jc w:val="both"/>
              <w:rPr>
                <w:rFonts w:ascii="Arial" w:hAnsi="Arial" w:cs="Arial"/>
                <w:szCs w:val="24"/>
              </w:rPr>
            </w:pPr>
          </w:p>
          <w:p w:rsidR="00835331" w:rsidRPr="009C1F2A" w:rsidRDefault="00835331" w:rsidP="00D44B45">
            <w:pPr>
              <w:pStyle w:val="CommentText"/>
              <w:jc w:val="both"/>
              <w:rPr>
                <w:rFonts w:ascii="Arial" w:hAnsi="Arial" w:cs="Arial"/>
                <w:sz w:val="24"/>
                <w:szCs w:val="24"/>
              </w:rPr>
            </w:pPr>
            <w:r w:rsidRPr="009C1F2A">
              <w:rPr>
                <w:rFonts w:ascii="Arial" w:hAnsi="Arial" w:cs="Arial"/>
                <w:sz w:val="24"/>
                <w:szCs w:val="24"/>
              </w:rPr>
              <w:t xml:space="preserve">There </w:t>
            </w:r>
            <w:r>
              <w:rPr>
                <w:rFonts w:ascii="Arial" w:hAnsi="Arial" w:cs="Arial"/>
                <w:sz w:val="24"/>
                <w:szCs w:val="24"/>
              </w:rPr>
              <w:t xml:space="preserve">was one new </w:t>
            </w:r>
            <w:r w:rsidRPr="009C1F2A">
              <w:rPr>
                <w:rFonts w:ascii="Arial" w:hAnsi="Arial" w:cs="Arial"/>
                <w:sz w:val="24"/>
                <w:szCs w:val="24"/>
              </w:rPr>
              <w:t>matter considered under the chari</w:t>
            </w:r>
            <w:r>
              <w:rPr>
                <w:rFonts w:ascii="Arial" w:hAnsi="Arial" w:cs="Arial"/>
                <w:sz w:val="24"/>
                <w:szCs w:val="24"/>
              </w:rPr>
              <w:t>ty’s grievance procedure in Q2</w:t>
            </w:r>
            <w:r w:rsidRPr="009C1F2A">
              <w:rPr>
                <w:rFonts w:ascii="Arial" w:hAnsi="Arial" w:cs="Arial"/>
                <w:sz w:val="24"/>
                <w:szCs w:val="24"/>
              </w:rPr>
              <w:t xml:space="preserve"> 20</w:t>
            </w:r>
            <w:r>
              <w:rPr>
                <w:rFonts w:ascii="Arial" w:hAnsi="Arial" w:cs="Arial"/>
                <w:sz w:val="24"/>
                <w:szCs w:val="24"/>
              </w:rPr>
              <w:t>19</w:t>
            </w:r>
            <w:r w:rsidRPr="009C1F2A">
              <w:rPr>
                <w:rFonts w:ascii="Arial" w:hAnsi="Arial" w:cs="Arial"/>
                <w:sz w:val="24"/>
                <w:szCs w:val="24"/>
              </w:rPr>
              <w:t>/</w:t>
            </w:r>
            <w:r>
              <w:rPr>
                <w:rFonts w:ascii="Arial" w:hAnsi="Arial" w:cs="Arial"/>
                <w:sz w:val="24"/>
                <w:szCs w:val="24"/>
              </w:rPr>
              <w:t>20</w:t>
            </w:r>
            <w:r w:rsidRPr="009C1F2A">
              <w:rPr>
                <w:rFonts w:ascii="Arial" w:hAnsi="Arial" w:cs="Arial"/>
                <w:sz w:val="24"/>
                <w:szCs w:val="24"/>
              </w:rPr>
              <w:t xml:space="preserve">. </w:t>
            </w:r>
            <w:r>
              <w:rPr>
                <w:rFonts w:ascii="Arial" w:hAnsi="Arial" w:cs="Arial"/>
                <w:sz w:val="24"/>
                <w:szCs w:val="24"/>
              </w:rPr>
              <w:t xml:space="preserve">The grievance was resolved and is now closed. </w:t>
            </w:r>
          </w:p>
          <w:p w:rsidR="00835331" w:rsidRDefault="00835331" w:rsidP="00D44B45">
            <w:pPr>
              <w:jc w:val="both"/>
              <w:rPr>
                <w:rFonts w:ascii="Arial" w:hAnsi="Arial" w:cs="Arial"/>
                <w:szCs w:val="24"/>
                <w:u w:val="single"/>
              </w:rPr>
            </w:pPr>
          </w:p>
          <w:p w:rsidR="00835331" w:rsidRPr="00C8333C" w:rsidRDefault="00835331" w:rsidP="00D44B45">
            <w:pPr>
              <w:jc w:val="both"/>
              <w:rPr>
                <w:rFonts w:ascii="Arial" w:hAnsi="Arial" w:cs="Arial"/>
                <w:szCs w:val="24"/>
                <w:u w:val="single"/>
              </w:rPr>
            </w:pPr>
            <w:r w:rsidRPr="00C8333C">
              <w:rPr>
                <w:rFonts w:ascii="Arial" w:hAnsi="Arial" w:cs="Arial"/>
                <w:szCs w:val="24"/>
                <w:u w:val="single"/>
              </w:rPr>
              <w:t>Harassment</w:t>
            </w:r>
          </w:p>
          <w:p w:rsidR="00835331" w:rsidRPr="009C1F2A" w:rsidRDefault="00835331" w:rsidP="00D44B45">
            <w:pPr>
              <w:jc w:val="both"/>
              <w:rPr>
                <w:rFonts w:ascii="Arial" w:hAnsi="Arial" w:cs="Arial"/>
                <w:b/>
                <w:szCs w:val="24"/>
              </w:rPr>
            </w:pPr>
          </w:p>
          <w:p w:rsidR="00835331" w:rsidRDefault="00835331" w:rsidP="005A2986">
            <w:pPr>
              <w:jc w:val="both"/>
              <w:rPr>
                <w:rFonts w:ascii="Arial" w:hAnsi="Arial" w:cs="Arial"/>
                <w:szCs w:val="24"/>
              </w:rPr>
            </w:pPr>
            <w:r w:rsidRPr="009C1F2A">
              <w:rPr>
                <w:rFonts w:ascii="Arial" w:hAnsi="Arial" w:cs="Arial"/>
                <w:szCs w:val="24"/>
              </w:rPr>
              <w:t>There were no harassment issues raised during Q</w:t>
            </w:r>
            <w:r>
              <w:rPr>
                <w:rFonts w:ascii="Arial" w:hAnsi="Arial" w:cs="Arial"/>
                <w:szCs w:val="24"/>
              </w:rPr>
              <w:t>2</w:t>
            </w:r>
            <w:r w:rsidRPr="009C1F2A">
              <w:rPr>
                <w:rFonts w:ascii="Arial" w:hAnsi="Arial" w:cs="Arial"/>
                <w:szCs w:val="24"/>
              </w:rPr>
              <w:t xml:space="preserve"> in 20</w:t>
            </w:r>
            <w:r>
              <w:rPr>
                <w:rFonts w:ascii="Arial" w:hAnsi="Arial" w:cs="Arial"/>
                <w:szCs w:val="24"/>
              </w:rPr>
              <w:t>19</w:t>
            </w:r>
            <w:r w:rsidRPr="009C1F2A">
              <w:rPr>
                <w:rFonts w:ascii="Arial" w:hAnsi="Arial" w:cs="Arial"/>
                <w:szCs w:val="24"/>
              </w:rPr>
              <w:t>/</w:t>
            </w:r>
            <w:r>
              <w:rPr>
                <w:rFonts w:ascii="Arial" w:hAnsi="Arial" w:cs="Arial"/>
                <w:szCs w:val="24"/>
              </w:rPr>
              <w:t>20</w:t>
            </w:r>
            <w:r w:rsidRPr="009C1F2A">
              <w:rPr>
                <w:rFonts w:ascii="Arial" w:hAnsi="Arial" w:cs="Arial"/>
                <w:szCs w:val="24"/>
              </w:rPr>
              <w:t>.</w:t>
            </w:r>
          </w:p>
          <w:p w:rsidR="00835331" w:rsidRPr="00835331" w:rsidRDefault="00835331" w:rsidP="005A2986">
            <w:pPr>
              <w:jc w:val="both"/>
              <w:rPr>
                <w:rFonts w:ascii="Arial" w:hAnsi="Arial" w:cs="Arial"/>
                <w:szCs w:val="24"/>
              </w:rPr>
            </w:pPr>
          </w:p>
        </w:tc>
      </w:tr>
      <w:tr w:rsidR="00835331" w:rsidRPr="007214D1" w:rsidTr="00835331">
        <w:trPr>
          <w:trHeight w:val="80"/>
        </w:trPr>
        <w:tc>
          <w:tcPr>
            <w:tcW w:w="959" w:type="dxa"/>
          </w:tcPr>
          <w:p w:rsidR="00835331" w:rsidRDefault="00835331" w:rsidP="00EA30B4">
            <w:pPr>
              <w:rPr>
                <w:rFonts w:ascii="Arial" w:hAnsi="Arial" w:cs="Arial"/>
                <w:szCs w:val="24"/>
              </w:rPr>
            </w:pPr>
            <w:r>
              <w:rPr>
                <w:rFonts w:ascii="Arial" w:hAnsi="Arial" w:cs="Arial"/>
                <w:szCs w:val="24"/>
              </w:rPr>
              <w:lastRenderedPageBreak/>
              <w:t>3.7</w:t>
            </w:r>
          </w:p>
        </w:tc>
        <w:tc>
          <w:tcPr>
            <w:tcW w:w="8505" w:type="dxa"/>
          </w:tcPr>
          <w:p w:rsidR="00835331" w:rsidRPr="00265F13" w:rsidRDefault="00835331" w:rsidP="005E442C">
            <w:pPr>
              <w:jc w:val="both"/>
              <w:rPr>
                <w:rFonts w:ascii="Arial" w:hAnsi="Arial" w:cs="Arial"/>
                <w:szCs w:val="24"/>
                <w:u w:val="single"/>
              </w:rPr>
            </w:pPr>
            <w:r w:rsidRPr="00265F13">
              <w:rPr>
                <w:rFonts w:ascii="Arial" w:hAnsi="Arial" w:cs="Arial"/>
                <w:szCs w:val="24"/>
                <w:u w:val="single"/>
              </w:rPr>
              <w:t xml:space="preserve">Employee relations </w:t>
            </w:r>
          </w:p>
          <w:p w:rsidR="00835331" w:rsidRDefault="00835331" w:rsidP="005E442C">
            <w:pPr>
              <w:jc w:val="both"/>
              <w:rPr>
                <w:rFonts w:ascii="Arial" w:hAnsi="Arial" w:cs="Arial"/>
                <w:szCs w:val="24"/>
              </w:rPr>
            </w:pPr>
          </w:p>
          <w:p w:rsidR="00835331" w:rsidRDefault="00835331" w:rsidP="00380CDF">
            <w:pPr>
              <w:jc w:val="both"/>
              <w:rPr>
                <w:rFonts w:ascii="Arial" w:hAnsi="Arial" w:cs="Arial"/>
                <w:szCs w:val="24"/>
              </w:rPr>
            </w:pPr>
            <w:r>
              <w:rPr>
                <w:rFonts w:ascii="Arial" w:hAnsi="Arial" w:cs="Arial"/>
                <w:szCs w:val="24"/>
              </w:rPr>
              <w:t xml:space="preserve">The Charity has engaged with the four Trade Unions (TUs) representing members within the organisation, namely Unison, Unite, GMB and EIS.  The Charity deals with the TUs formally through the Joint Consultation Forum (JCF) which meets quarterly, the last meeting </w:t>
            </w:r>
            <w:r w:rsidRPr="008A57F3">
              <w:rPr>
                <w:rFonts w:ascii="Arial" w:hAnsi="Arial" w:cs="Arial"/>
                <w:szCs w:val="24"/>
              </w:rPr>
              <w:t>was held on</w:t>
            </w:r>
            <w:r>
              <w:rPr>
                <w:rFonts w:ascii="Arial" w:hAnsi="Arial" w:cs="Arial"/>
                <w:szCs w:val="24"/>
              </w:rPr>
              <w:t xml:space="preserve"> </w:t>
            </w:r>
            <w:r w:rsidR="005D4D8D">
              <w:rPr>
                <w:rFonts w:ascii="Arial" w:hAnsi="Arial" w:cs="Arial"/>
                <w:szCs w:val="24"/>
              </w:rPr>
              <w:t>3 October</w:t>
            </w:r>
            <w:r>
              <w:rPr>
                <w:rFonts w:ascii="Arial" w:hAnsi="Arial" w:cs="Arial"/>
                <w:szCs w:val="24"/>
              </w:rPr>
              <w:t xml:space="preserve"> 2019</w:t>
            </w:r>
          </w:p>
          <w:p w:rsidR="00835331" w:rsidRDefault="00835331" w:rsidP="00380CDF">
            <w:pPr>
              <w:jc w:val="both"/>
              <w:rPr>
                <w:rFonts w:ascii="Arial" w:hAnsi="Arial" w:cs="Arial"/>
                <w:szCs w:val="24"/>
              </w:rPr>
            </w:pPr>
          </w:p>
          <w:p w:rsidR="00835331" w:rsidRPr="00462977" w:rsidRDefault="00835331" w:rsidP="00380CDF">
            <w:pPr>
              <w:jc w:val="both"/>
              <w:rPr>
                <w:rFonts w:ascii="Arial" w:hAnsi="Arial" w:cs="Arial"/>
                <w:szCs w:val="24"/>
              </w:rPr>
            </w:pPr>
            <w:r w:rsidRPr="00462977">
              <w:rPr>
                <w:rFonts w:ascii="Arial" w:hAnsi="Arial" w:cs="Arial"/>
                <w:szCs w:val="24"/>
              </w:rPr>
              <w:t>The main discussion areas at this meeting were:</w:t>
            </w:r>
          </w:p>
          <w:p w:rsidR="00835331" w:rsidRPr="00462977" w:rsidRDefault="00835331" w:rsidP="00380CDF">
            <w:pPr>
              <w:jc w:val="both"/>
              <w:rPr>
                <w:rFonts w:ascii="Arial" w:hAnsi="Arial" w:cs="Arial"/>
                <w:szCs w:val="24"/>
              </w:rPr>
            </w:pPr>
          </w:p>
          <w:p w:rsidR="00835331" w:rsidRPr="005D4D8D" w:rsidRDefault="00835331" w:rsidP="00121552">
            <w:pPr>
              <w:pStyle w:val="ListParagraph"/>
              <w:numPr>
                <w:ilvl w:val="0"/>
                <w:numId w:val="5"/>
              </w:numPr>
              <w:spacing w:after="0"/>
              <w:rPr>
                <w:rFonts w:ascii="Arial" w:hAnsi="Arial" w:cs="Arial"/>
                <w:sz w:val="24"/>
                <w:szCs w:val="24"/>
              </w:rPr>
            </w:pPr>
            <w:r w:rsidRPr="005D4D8D">
              <w:rPr>
                <w:rFonts w:ascii="Arial" w:hAnsi="Arial" w:cs="Arial"/>
                <w:sz w:val="24"/>
                <w:szCs w:val="24"/>
              </w:rPr>
              <w:t>Changes to swim teacher qualifications</w:t>
            </w:r>
            <w:r w:rsidR="005D4D8D" w:rsidRPr="005D4D8D">
              <w:rPr>
                <w:rFonts w:ascii="Arial" w:hAnsi="Arial" w:cs="Arial"/>
                <w:sz w:val="24"/>
                <w:szCs w:val="24"/>
              </w:rPr>
              <w:t xml:space="preserve"> and implications for existing staff</w:t>
            </w:r>
            <w:r w:rsidR="007B1176">
              <w:rPr>
                <w:rFonts w:ascii="Arial" w:hAnsi="Arial" w:cs="Arial"/>
                <w:sz w:val="24"/>
                <w:szCs w:val="24"/>
              </w:rPr>
              <w:t>;</w:t>
            </w:r>
          </w:p>
          <w:p w:rsidR="00835331" w:rsidRPr="005D4D8D" w:rsidRDefault="005D4D8D" w:rsidP="005D4D8D">
            <w:pPr>
              <w:pStyle w:val="ListParagraph"/>
              <w:numPr>
                <w:ilvl w:val="0"/>
                <w:numId w:val="5"/>
              </w:numPr>
              <w:spacing w:after="0"/>
              <w:rPr>
                <w:rFonts w:ascii="Arial" w:hAnsi="Arial" w:cs="Arial"/>
                <w:sz w:val="24"/>
                <w:szCs w:val="24"/>
              </w:rPr>
            </w:pPr>
            <w:r w:rsidRPr="005D4D8D">
              <w:rPr>
                <w:rFonts w:ascii="Arial" w:hAnsi="Arial" w:cs="Arial"/>
                <w:sz w:val="24"/>
                <w:szCs w:val="24"/>
              </w:rPr>
              <w:t>Staff Survey &amp; Gender Pay Gap</w:t>
            </w:r>
            <w:r w:rsidR="007B1176">
              <w:rPr>
                <w:rFonts w:ascii="Arial" w:hAnsi="Arial" w:cs="Arial"/>
                <w:sz w:val="24"/>
                <w:szCs w:val="24"/>
              </w:rPr>
              <w:t>; and</w:t>
            </w:r>
          </w:p>
          <w:p w:rsidR="005D4D8D" w:rsidRDefault="005D4D8D" w:rsidP="005D4D8D">
            <w:pPr>
              <w:pStyle w:val="ListParagraph"/>
              <w:numPr>
                <w:ilvl w:val="0"/>
                <w:numId w:val="5"/>
              </w:numPr>
              <w:spacing w:after="0"/>
              <w:rPr>
                <w:rFonts w:ascii="Arial" w:hAnsi="Arial" w:cs="Arial"/>
                <w:szCs w:val="24"/>
              </w:rPr>
            </w:pPr>
            <w:r w:rsidRPr="005D4D8D">
              <w:rPr>
                <w:rFonts w:ascii="Arial" w:hAnsi="Arial" w:cs="Arial"/>
                <w:sz w:val="24"/>
                <w:szCs w:val="24"/>
              </w:rPr>
              <w:t>Holiday Flex Scheme and pension implications</w:t>
            </w:r>
          </w:p>
        </w:tc>
      </w:tr>
      <w:tr w:rsidR="00835331" w:rsidRPr="007214D1" w:rsidTr="00835331">
        <w:trPr>
          <w:trHeight w:val="80"/>
        </w:trPr>
        <w:tc>
          <w:tcPr>
            <w:tcW w:w="959" w:type="dxa"/>
          </w:tcPr>
          <w:p w:rsidR="00835331" w:rsidRDefault="00835331" w:rsidP="00B007BE">
            <w:pPr>
              <w:rPr>
                <w:rFonts w:ascii="Arial" w:hAnsi="Arial" w:cs="Arial"/>
                <w:szCs w:val="24"/>
              </w:rPr>
            </w:pPr>
          </w:p>
          <w:p w:rsidR="00FE1C80" w:rsidRDefault="00FE1C80" w:rsidP="00B007BE">
            <w:pPr>
              <w:rPr>
                <w:rFonts w:ascii="Arial" w:hAnsi="Arial" w:cs="Arial"/>
                <w:szCs w:val="24"/>
              </w:rPr>
            </w:pPr>
            <w:r>
              <w:rPr>
                <w:rFonts w:ascii="Arial" w:hAnsi="Arial" w:cs="Arial"/>
                <w:szCs w:val="24"/>
              </w:rPr>
              <w:t>3.7.1</w:t>
            </w:r>
          </w:p>
        </w:tc>
        <w:tc>
          <w:tcPr>
            <w:tcW w:w="8505" w:type="dxa"/>
          </w:tcPr>
          <w:p w:rsidR="005D4D8D" w:rsidRDefault="005D4D8D" w:rsidP="00C8333C">
            <w:pPr>
              <w:jc w:val="both"/>
              <w:rPr>
                <w:rFonts w:ascii="Arial" w:hAnsi="Arial" w:cs="Arial"/>
                <w:szCs w:val="24"/>
              </w:rPr>
            </w:pPr>
          </w:p>
          <w:p w:rsidR="00835331" w:rsidRDefault="00835331" w:rsidP="00C8333C">
            <w:pPr>
              <w:jc w:val="both"/>
              <w:rPr>
                <w:rFonts w:ascii="Arial" w:hAnsi="Arial" w:cs="Arial"/>
                <w:szCs w:val="24"/>
              </w:rPr>
            </w:pPr>
            <w:r w:rsidRPr="004438C9">
              <w:rPr>
                <w:rFonts w:ascii="Arial" w:hAnsi="Arial" w:cs="Arial"/>
                <w:szCs w:val="24"/>
              </w:rPr>
              <w:t>In addition, the</w:t>
            </w:r>
            <w:r>
              <w:rPr>
                <w:rFonts w:ascii="Arial" w:hAnsi="Arial" w:cs="Arial"/>
                <w:szCs w:val="24"/>
              </w:rPr>
              <w:t xml:space="preserve"> above</w:t>
            </w:r>
            <w:r w:rsidRPr="004438C9">
              <w:rPr>
                <w:rFonts w:ascii="Arial" w:hAnsi="Arial" w:cs="Arial"/>
                <w:szCs w:val="24"/>
              </w:rPr>
              <w:t xml:space="preserve"> </w:t>
            </w:r>
            <w:r>
              <w:rPr>
                <w:rFonts w:ascii="Arial" w:hAnsi="Arial" w:cs="Arial"/>
                <w:szCs w:val="24"/>
              </w:rPr>
              <w:t>T</w:t>
            </w:r>
            <w:r w:rsidRPr="004438C9">
              <w:rPr>
                <w:rFonts w:ascii="Arial" w:hAnsi="Arial" w:cs="Arial"/>
                <w:szCs w:val="24"/>
              </w:rPr>
              <w:t xml:space="preserve">rade </w:t>
            </w:r>
            <w:r>
              <w:rPr>
                <w:rFonts w:ascii="Arial" w:hAnsi="Arial" w:cs="Arial"/>
                <w:szCs w:val="24"/>
              </w:rPr>
              <w:t>U</w:t>
            </w:r>
            <w:r w:rsidRPr="004438C9">
              <w:rPr>
                <w:rFonts w:ascii="Arial" w:hAnsi="Arial" w:cs="Arial"/>
                <w:szCs w:val="24"/>
              </w:rPr>
              <w:t>nions are</w:t>
            </w:r>
            <w:r>
              <w:rPr>
                <w:rFonts w:ascii="Arial" w:hAnsi="Arial" w:cs="Arial"/>
                <w:szCs w:val="24"/>
              </w:rPr>
              <w:t xml:space="preserve"> invited to be</w:t>
            </w:r>
            <w:r w:rsidRPr="004438C9">
              <w:rPr>
                <w:rFonts w:ascii="Arial" w:hAnsi="Arial" w:cs="Arial"/>
                <w:szCs w:val="24"/>
              </w:rPr>
              <w:t xml:space="preserve"> represented on the staff Health and Safety Committee.</w:t>
            </w:r>
            <w:r>
              <w:rPr>
                <w:rFonts w:ascii="Arial" w:hAnsi="Arial" w:cs="Arial"/>
                <w:szCs w:val="24"/>
              </w:rPr>
              <w:t xml:space="preserve">  </w:t>
            </w:r>
          </w:p>
          <w:p w:rsidR="00835331" w:rsidDel="00C83D2B" w:rsidRDefault="00835331" w:rsidP="00C83D2B">
            <w:pPr>
              <w:jc w:val="both"/>
              <w:rPr>
                <w:rFonts w:ascii="Arial" w:eastAsia="Calibri" w:hAnsi="Arial" w:cs="Arial"/>
                <w:szCs w:val="24"/>
                <w:lang w:eastAsia="en-US"/>
              </w:rPr>
            </w:pPr>
          </w:p>
        </w:tc>
      </w:tr>
      <w:tr w:rsidR="00835331" w:rsidRPr="00DB7D86" w:rsidTr="00835331">
        <w:trPr>
          <w:trHeight w:val="80"/>
        </w:trPr>
        <w:tc>
          <w:tcPr>
            <w:tcW w:w="959" w:type="dxa"/>
          </w:tcPr>
          <w:p w:rsidR="00835331" w:rsidRDefault="00FE1C80" w:rsidP="00B007BE">
            <w:pPr>
              <w:rPr>
                <w:rFonts w:ascii="Arial" w:hAnsi="Arial" w:cs="Arial"/>
                <w:szCs w:val="24"/>
              </w:rPr>
            </w:pPr>
            <w:r>
              <w:rPr>
                <w:rFonts w:ascii="Arial" w:hAnsi="Arial" w:cs="Arial"/>
                <w:szCs w:val="24"/>
              </w:rPr>
              <w:t>3.7.2</w:t>
            </w:r>
          </w:p>
        </w:tc>
        <w:tc>
          <w:tcPr>
            <w:tcW w:w="8505" w:type="dxa"/>
          </w:tcPr>
          <w:p w:rsidR="00835331" w:rsidRDefault="00835331" w:rsidP="00C8333C">
            <w:pPr>
              <w:jc w:val="both"/>
              <w:rPr>
                <w:rFonts w:ascii="Arial" w:hAnsi="Arial" w:cs="Arial"/>
                <w:szCs w:val="24"/>
              </w:rPr>
            </w:pPr>
            <w:r>
              <w:rPr>
                <w:rFonts w:ascii="Arial" w:hAnsi="Arial" w:cs="Arial"/>
                <w:szCs w:val="24"/>
              </w:rPr>
              <w:t>Management and representatives of HR also discuss with the Trade Unions individual issues as and when required.</w:t>
            </w:r>
          </w:p>
          <w:p w:rsidR="00835331" w:rsidRPr="000C1BF4" w:rsidRDefault="00835331" w:rsidP="001077A9">
            <w:pPr>
              <w:jc w:val="both"/>
              <w:rPr>
                <w:rFonts w:ascii="Arial" w:eastAsia="Calibri" w:hAnsi="Arial" w:cs="Arial"/>
                <w:szCs w:val="24"/>
                <w:lang w:eastAsia="en-US"/>
              </w:rPr>
            </w:pPr>
          </w:p>
        </w:tc>
      </w:tr>
      <w:tr w:rsidR="00835331" w:rsidRPr="00717E7E" w:rsidTr="00835331">
        <w:trPr>
          <w:trHeight w:val="80"/>
        </w:trPr>
        <w:tc>
          <w:tcPr>
            <w:tcW w:w="959" w:type="dxa"/>
          </w:tcPr>
          <w:p w:rsidR="00835331" w:rsidRPr="00C8333C" w:rsidRDefault="00835331" w:rsidP="00DD3B83">
            <w:pPr>
              <w:rPr>
                <w:rFonts w:ascii="Arial" w:hAnsi="Arial" w:cs="Arial"/>
                <w:szCs w:val="24"/>
              </w:rPr>
            </w:pPr>
          </w:p>
        </w:tc>
        <w:tc>
          <w:tcPr>
            <w:tcW w:w="8505" w:type="dxa"/>
          </w:tcPr>
          <w:p w:rsidR="00835331" w:rsidRDefault="00835331" w:rsidP="00FB7551">
            <w:pPr>
              <w:autoSpaceDE w:val="0"/>
              <w:autoSpaceDN w:val="0"/>
              <w:adjustRightInd w:val="0"/>
              <w:rPr>
                <w:rFonts w:ascii="Arial" w:hAnsi="Arial" w:cs="Arial"/>
                <w:b/>
              </w:rPr>
            </w:pPr>
          </w:p>
        </w:tc>
      </w:tr>
      <w:tr w:rsidR="00835331" w:rsidRPr="00717E7E" w:rsidTr="00835331">
        <w:trPr>
          <w:trHeight w:val="80"/>
        </w:trPr>
        <w:tc>
          <w:tcPr>
            <w:tcW w:w="959" w:type="dxa"/>
          </w:tcPr>
          <w:p w:rsidR="00835331" w:rsidRDefault="00835331" w:rsidP="00DD3B83">
            <w:pPr>
              <w:rPr>
                <w:rFonts w:ascii="Arial" w:hAnsi="Arial" w:cs="Arial"/>
                <w:szCs w:val="24"/>
              </w:rPr>
            </w:pPr>
            <w:r w:rsidRPr="00DB7D86">
              <w:rPr>
                <w:rFonts w:ascii="Arial" w:hAnsi="Arial" w:cs="Arial"/>
                <w:szCs w:val="24"/>
              </w:rPr>
              <w:t>4.</w:t>
            </w:r>
            <w:r w:rsidR="00D47971">
              <w:rPr>
                <w:rFonts w:ascii="Arial" w:hAnsi="Arial" w:cs="Arial"/>
                <w:szCs w:val="24"/>
              </w:rPr>
              <w:t>0</w:t>
            </w:r>
          </w:p>
          <w:p w:rsidR="00FE1C80" w:rsidRDefault="00FE1C80" w:rsidP="00DD3B83">
            <w:pPr>
              <w:rPr>
                <w:rFonts w:ascii="Arial" w:hAnsi="Arial" w:cs="Arial"/>
                <w:szCs w:val="24"/>
              </w:rPr>
            </w:pPr>
          </w:p>
          <w:p w:rsidR="00FE1C80" w:rsidRDefault="00FE1C80" w:rsidP="00DD3B83">
            <w:pPr>
              <w:rPr>
                <w:rFonts w:ascii="Arial" w:hAnsi="Arial" w:cs="Arial"/>
                <w:szCs w:val="24"/>
              </w:rPr>
            </w:pPr>
            <w:r>
              <w:rPr>
                <w:rFonts w:ascii="Arial" w:hAnsi="Arial" w:cs="Arial"/>
                <w:szCs w:val="24"/>
              </w:rPr>
              <w:t>4.1</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Default="00FE1C80" w:rsidP="00DD3B83">
            <w:pPr>
              <w:rPr>
                <w:rFonts w:ascii="Arial" w:hAnsi="Arial" w:cs="Arial"/>
                <w:szCs w:val="24"/>
              </w:rPr>
            </w:pPr>
            <w:r>
              <w:rPr>
                <w:rFonts w:ascii="Arial" w:hAnsi="Arial" w:cs="Arial"/>
                <w:szCs w:val="24"/>
              </w:rPr>
              <w:t>4.2</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Default="00FE1C80" w:rsidP="00DD3B83">
            <w:pPr>
              <w:rPr>
                <w:rFonts w:ascii="Arial" w:hAnsi="Arial" w:cs="Arial"/>
                <w:szCs w:val="24"/>
              </w:rPr>
            </w:pPr>
            <w:r>
              <w:rPr>
                <w:rFonts w:ascii="Arial" w:hAnsi="Arial" w:cs="Arial"/>
                <w:szCs w:val="24"/>
              </w:rPr>
              <w:t>4.3</w:t>
            </w:r>
          </w:p>
          <w:p w:rsidR="00FE1C80" w:rsidRDefault="00FE1C80" w:rsidP="00DD3B83">
            <w:pPr>
              <w:rPr>
                <w:rFonts w:ascii="Arial" w:hAnsi="Arial" w:cs="Arial"/>
                <w:szCs w:val="24"/>
              </w:rPr>
            </w:pPr>
          </w:p>
          <w:p w:rsidR="00FE1C80" w:rsidRDefault="00FE1C80" w:rsidP="00DD3B83">
            <w:pPr>
              <w:rPr>
                <w:rFonts w:ascii="Arial" w:hAnsi="Arial" w:cs="Arial"/>
                <w:szCs w:val="24"/>
              </w:rPr>
            </w:pPr>
          </w:p>
          <w:p w:rsidR="00FE1C80" w:rsidRPr="00DB7D86" w:rsidRDefault="00FE1C80" w:rsidP="00DD3B83">
            <w:pPr>
              <w:rPr>
                <w:rFonts w:ascii="Arial" w:hAnsi="Arial" w:cs="Arial"/>
                <w:szCs w:val="24"/>
              </w:rPr>
            </w:pPr>
            <w:r>
              <w:rPr>
                <w:rFonts w:ascii="Arial" w:hAnsi="Arial" w:cs="Arial"/>
                <w:szCs w:val="24"/>
              </w:rPr>
              <w:t>4.4</w:t>
            </w:r>
          </w:p>
        </w:tc>
        <w:tc>
          <w:tcPr>
            <w:tcW w:w="8505" w:type="dxa"/>
          </w:tcPr>
          <w:p w:rsidR="00835331" w:rsidRDefault="00835331" w:rsidP="005F2A13">
            <w:pPr>
              <w:autoSpaceDE w:val="0"/>
              <w:autoSpaceDN w:val="0"/>
              <w:adjustRightInd w:val="0"/>
              <w:jc w:val="both"/>
              <w:rPr>
                <w:rFonts w:ascii="Arial" w:hAnsi="Arial" w:cs="Arial"/>
                <w:b/>
              </w:rPr>
            </w:pPr>
            <w:r w:rsidRPr="00751A5C">
              <w:rPr>
                <w:rFonts w:ascii="Arial" w:hAnsi="Arial" w:cs="Arial"/>
                <w:b/>
              </w:rPr>
              <w:t>Implications</w:t>
            </w:r>
          </w:p>
          <w:p w:rsidR="00835331" w:rsidRDefault="00835331" w:rsidP="005F2A13">
            <w:pPr>
              <w:autoSpaceDE w:val="0"/>
              <w:autoSpaceDN w:val="0"/>
              <w:adjustRightInd w:val="0"/>
              <w:jc w:val="both"/>
              <w:rPr>
                <w:rFonts w:ascii="Arial" w:hAnsi="Arial" w:cs="Arial"/>
                <w:b/>
              </w:rPr>
            </w:pPr>
          </w:p>
          <w:p w:rsidR="00835331" w:rsidRDefault="00835331" w:rsidP="005F2A13">
            <w:pPr>
              <w:autoSpaceDE w:val="0"/>
              <w:autoSpaceDN w:val="0"/>
              <w:adjustRightInd w:val="0"/>
              <w:jc w:val="both"/>
              <w:rPr>
                <w:rFonts w:ascii="Arial" w:hAnsi="Arial" w:cs="Arial"/>
              </w:rPr>
            </w:pPr>
            <w:r>
              <w:rPr>
                <w:rFonts w:ascii="Arial" w:hAnsi="Arial" w:cs="Arial"/>
              </w:rPr>
              <w:t>Resource Implications – there are no new resource implications arising from the recommendations of this report.</w:t>
            </w:r>
          </w:p>
          <w:p w:rsidR="00835331" w:rsidRDefault="00835331" w:rsidP="005F2A13">
            <w:pPr>
              <w:autoSpaceDE w:val="0"/>
              <w:autoSpaceDN w:val="0"/>
              <w:adjustRightInd w:val="0"/>
              <w:jc w:val="both"/>
              <w:rPr>
                <w:rFonts w:ascii="Arial" w:hAnsi="Arial" w:cs="Arial"/>
              </w:rPr>
            </w:pPr>
          </w:p>
          <w:p w:rsidR="00835331" w:rsidRDefault="00835331" w:rsidP="005F2A13">
            <w:pPr>
              <w:autoSpaceDE w:val="0"/>
              <w:autoSpaceDN w:val="0"/>
              <w:adjustRightInd w:val="0"/>
              <w:jc w:val="both"/>
              <w:rPr>
                <w:rFonts w:ascii="Arial" w:hAnsi="Arial" w:cs="Arial"/>
              </w:rPr>
            </w:pPr>
            <w:r>
              <w:rPr>
                <w:rFonts w:ascii="Arial" w:hAnsi="Arial" w:cs="Arial"/>
              </w:rPr>
              <w:t>Legal Implications – there are no new legal implications arising from the recommendations of this report.</w:t>
            </w:r>
          </w:p>
          <w:p w:rsidR="00835331" w:rsidRDefault="00835331" w:rsidP="00AB2B69">
            <w:pPr>
              <w:autoSpaceDE w:val="0"/>
              <w:autoSpaceDN w:val="0"/>
              <w:adjustRightInd w:val="0"/>
              <w:spacing w:before="100" w:beforeAutospacing="1" w:after="100" w:afterAutospacing="1"/>
              <w:jc w:val="both"/>
              <w:rPr>
                <w:rFonts w:ascii="Arial" w:hAnsi="Arial" w:cs="Arial"/>
              </w:rPr>
            </w:pPr>
            <w:r>
              <w:rPr>
                <w:rFonts w:ascii="Arial" w:hAnsi="Arial" w:cs="Arial"/>
              </w:rPr>
              <w:t>Equality Implications – there are no new equality implications arising from the recommendations of this report.</w:t>
            </w:r>
          </w:p>
          <w:p w:rsidR="00835331" w:rsidRPr="00DB7D86" w:rsidRDefault="00835331" w:rsidP="002D009F">
            <w:pPr>
              <w:jc w:val="both"/>
              <w:rPr>
                <w:rFonts w:ascii="Arial" w:hAnsi="Arial" w:cs="Arial"/>
                <w:szCs w:val="24"/>
                <w:u w:val="single"/>
              </w:rPr>
            </w:pPr>
            <w:r>
              <w:rPr>
                <w:rFonts w:ascii="Arial" w:hAnsi="Arial" w:cs="Arial"/>
              </w:rPr>
              <w:t>Risk Implications – there are no new risks arising from the recommendations of this report.</w:t>
            </w:r>
          </w:p>
        </w:tc>
      </w:tr>
      <w:tr w:rsidR="00835331" w:rsidRPr="00717E7E" w:rsidTr="00835331">
        <w:trPr>
          <w:trHeight w:val="80"/>
        </w:trPr>
        <w:tc>
          <w:tcPr>
            <w:tcW w:w="959" w:type="dxa"/>
          </w:tcPr>
          <w:p w:rsidR="00835331" w:rsidRDefault="00835331" w:rsidP="00DD3B83">
            <w:pPr>
              <w:rPr>
                <w:rFonts w:ascii="Arial" w:hAnsi="Arial" w:cs="Arial"/>
                <w:b/>
                <w:szCs w:val="24"/>
              </w:rPr>
            </w:pPr>
          </w:p>
        </w:tc>
        <w:tc>
          <w:tcPr>
            <w:tcW w:w="8505" w:type="dxa"/>
          </w:tcPr>
          <w:p w:rsidR="00835331" w:rsidRPr="00DB7D86" w:rsidRDefault="00835331" w:rsidP="00CC466A">
            <w:pPr>
              <w:jc w:val="both"/>
              <w:rPr>
                <w:rFonts w:ascii="Arial" w:hAnsi="Arial" w:cs="Arial"/>
                <w:szCs w:val="24"/>
              </w:rPr>
            </w:pPr>
          </w:p>
        </w:tc>
      </w:tr>
      <w:tr w:rsidR="00835331" w:rsidRPr="007214D1" w:rsidTr="008353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464" w:type="dxa"/>
            <w:gridSpan w:val="2"/>
          </w:tcPr>
          <w:p w:rsidR="004319E3" w:rsidRPr="001866ED" w:rsidRDefault="004319E3" w:rsidP="004319E3">
            <w:pPr>
              <w:jc w:val="both"/>
              <w:rPr>
                <w:rFonts w:ascii="Arial" w:hAnsi="Arial" w:cs="Arial"/>
                <w:szCs w:val="24"/>
              </w:rPr>
            </w:pPr>
            <w:r w:rsidRPr="001866ED">
              <w:rPr>
                <w:rFonts w:ascii="Arial" w:hAnsi="Arial" w:cs="Arial"/>
                <w:szCs w:val="24"/>
              </w:rPr>
              <w:t>It is recommended that Directors</w:t>
            </w:r>
            <w:r>
              <w:rPr>
                <w:rFonts w:ascii="Arial" w:hAnsi="Arial" w:cs="Arial"/>
                <w:szCs w:val="24"/>
              </w:rPr>
              <w:t xml:space="preserve"> note and comment on</w:t>
            </w:r>
            <w:r w:rsidRPr="001866ED">
              <w:rPr>
                <w:rFonts w:ascii="Arial" w:hAnsi="Arial" w:cs="Arial"/>
                <w:szCs w:val="24"/>
              </w:rPr>
              <w:t xml:space="preserve">: </w:t>
            </w:r>
          </w:p>
          <w:p w:rsidR="004319E3" w:rsidRPr="001866ED" w:rsidRDefault="004319E3" w:rsidP="004319E3">
            <w:pPr>
              <w:jc w:val="both"/>
              <w:rPr>
                <w:rFonts w:ascii="Arial" w:hAnsi="Arial" w:cs="Arial"/>
                <w:szCs w:val="24"/>
              </w:rPr>
            </w:pPr>
          </w:p>
          <w:p w:rsidR="00835331" w:rsidRPr="00CC5DB0" w:rsidRDefault="004319E3" w:rsidP="004319E3">
            <w:pPr>
              <w:pStyle w:val="ListParagraph"/>
              <w:numPr>
                <w:ilvl w:val="0"/>
                <w:numId w:val="3"/>
              </w:numPr>
              <w:jc w:val="both"/>
              <w:rPr>
                <w:rFonts w:ascii="Arial" w:hAnsi="Arial" w:cs="Arial"/>
                <w:szCs w:val="24"/>
              </w:rPr>
            </w:pPr>
            <w:r w:rsidRPr="001866ED">
              <w:rPr>
                <w:rFonts w:ascii="Arial" w:hAnsi="Arial" w:cs="Arial"/>
                <w:sz w:val="24"/>
                <w:szCs w:val="24"/>
              </w:rPr>
              <w:t>the content of the quarterly HR report including the update on the staffing establishment</w:t>
            </w:r>
            <w:r>
              <w:rPr>
                <w:rFonts w:ascii="Arial" w:hAnsi="Arial" w:cs="Arial"/>
                <w:sz w:val="24"/>
                <w:szCs w:val="24"/>
              </w:rPr>
              <w:t>.</w:t>
            </w:r>
          </w:p>
        </w:tc>
      </w:tr>
    </w:tbl>
    <w:p w:rsidR="008E3C2A" w:rsidRDefault="008E3C2A" w:rsidP="00416BFF">
      <w:pPr>
        <w:rPr>
          <w:rFonts w:ascii="Arial" w:hAnsi="Arial" w:cs="Arial"/>
          <w:szCs w:val="24"/>
        </w:rPr>
      </w:pPr>
    </w:p>
    <w:p w:rsidR="0039450A" w:rsidRPr="007214D1" w:rsidRDefault="0039450A" w:rsidP="00416BFF">
      <w:pPr>
        <w:rPr>
          <w:rFonts w:ascii="Arial" w:hAnsi="Arial" w:cs="Arial"/>
          <w:szCs w:val="24"/>
        </w:rPr>
      </w:pPr>
      <w:r w:rsidRPr="007214D1">
        <w:rPr>
          <w:rFonts w:ascii="Arial" w:hAnsi="Arial" w:cs="Arial"/>
          <w:szCs w:val="24"/>
        </w:rPr>
        <w:t>Designation:</w:t>
      </w:r>
      <w:r w:rsidR="0067538A">
        <w:rPr>
          <w:rFonts w:ascii="Arial" w:hAnsi="Arial" w:cs="Arial"/>
          <w:szCs w:val="24"/>
        </w:rPr>
        <w:tab/>
        <w:t>Chief Executive</w:t>
      </w:r>
    </w:p>
    <w:p w:rsidR="0039450A" w:rsidRPr="007214D1" w:rsidRDefault="0039450A" w:rsidP="00416BFF">
      <w:pPr>
        <w:rPr>
          <w:rFonts w:ascii="Arial" w:hAnsi="Arial" w:cs="Arial"/>
          <w:szCs w:val="24"/>
        </w:rPr>
      </w:pPr>
    </w:p>
    <w:p w:rsidR="008B36C4" w:rsidRDefault="0039450A" w:rsidP="00380CDF">
      <w:pPr>
        <w:rPr>
          <w:rFonts w:ascii="Arial" w:hAnsi="Arial" w:cs="Arial"/>
          <w:szCs w:val="24"/>
        </w:rPr>
      </w:pPr>
      <w:r w:rsidRPr="007214D1">
        <w:rPr>
          <w:rFonts w:ascii="Arial" w:hAnsi="Arial" w:cs="Arial"/>
          <w:szCs w:val="24"/>
        </w:rPr>
        <w:t>Date:</w:t>
      </w:r>
      <w:r w:rsidRPr="007214D1">
        <w:rPr>
          <w:rFonts w:ascii="Arial" w:hAnsi="Arial" w:cs="Arial"/>
          <w:szCs w:val="24"/>
        </w:rPr>
        <w:tab/>
      </w:r>
      <w:r w:rsidR="001A7AF1">
        <w:rPr>
          <w:rFonts w:ascii="Arial" w:hAnsi="Arial" w:cs="Arial"/>
          <w:szCs w:val="24"/>
        </w:rPr>
        <w:tab/>
      </w:r>
      <w:r w:rsidR="004319E3">
        <w:rPr>
          <w:rFonts w:ascii="Arial" w:hAnsi="Arial" w:cs="Arial"/>
          <w:szCs w:val="24"/>
        </w:rPr>
        <w:t>19 November</w:t>
      </w:r>
      <w:r w:rsidR="00142251">
        <w:rPr>
          <w:rFonts w:ascii="Arial" w:hAnsi="Arial" w:cs="Arial"/>
          <w:szCs w:val="24"/>
        </w:rPr>
        <w:t xml:space="preserve"> 2019</w:t>
      </w:r>
    </w:p>
    <w:p w:rsidR="008B36C4" w:rsidRDefault="008B36C4">
      <w:pPr>
        <w:rPr>
          <w:rFonts w:ascii="Arial" w:hAnsi="Arial" w:cs="Arial"/>
          <w:szCs w:val="24"/>
        </w:rPr>
      </w:pPr>
      <w:r>
        <w:rPr>
          <w:rFonts w:ascii="Arial" w:hAnsi="Arial" w:cs="Arial"/>
          <w:szCs w:val="24"/>
        </w:rPr>
        <w:br w:type="page"/>
      </w:r>
    </w:p>
    <w:p w:rsidR="00AB4988" w:rsidRDefault="00AB4988" w:rsidP="00380CDF">
      <w:pPr>
        <w:rPr>
          <w:rFonts w:ascii="Arial" w:hAnsi="Arial" w:cs="Arial"/>
          <w:szCs w:val="24"/>
        </w:rPr>
      </w:pPr>
    </w:p>
    <w:p w:rsidR="00AB4988" w:rsidRDefault="00AB4988" w:rsidP="00380CDF">
      <w:pPr>
        <w:rPr>
          <w:rFonts w:ascii="Arial" w:hAnsi="Arial" w:cs="Arial"/>
          <w:szCs w:val="24"/>
        </w:rPr>
      </w:pPr>
    </w:p>
    <w:p w:rsidR="000B6190" w:rsidRDefault="00C8333C" w:rsidP="00C8333C">
      <w:pPr>
        <w:jc w:val="right"/>
        <w:rPr>
          <w:rFonts w:ascii="Arial" w:hAnsi="Arial" w:cs="Arial"/>
          <w:b/>
          <w:szCs w:val="24"/>
        </w:rPr>
      </w:pPr>
      <w:r>
        <w:rPr>
          <w:rFonts w:ascii="Arial" w:hAnsi="Arial" w:cs="Arial"/>
          <w:b/>
          <w:szCs w:val="24"/>
        </w:rPr>
        <w:t>APPENDIX A</w:t>
      </w:r>
    </w:p>
    <w:p w:rsidR="00C8333C" w:rsidRDefault="00C8333C">
      <w:pPr>
        <w:rPr>
          <w:rFonts w:ascii="Arial" w:hAnsi="Arial" w:cs="Arial"/>
          <w:b/>
          <w:szCs w:val="24"/>
        </w:rPr>
      </w:pPr>
    </w:p>
    <w:p w:rsidR="003C1B3B" w:rsidRDefault="00AB4988">
      <w:pPr>
        <w:rPr>
          <w:rFonts w:ascii="Arial" w:hAnsi="Arial" w:cs="Arial"/>
          <w:b/>
          <w:szCs w:val="24"/>
        </w:rPr>
      </w:pPr>
      <w:r>
        <w:rPr>
          <w:rFonts w:ascii="Arial" w:hAnsi="Arial" w:cs="Arial"/>
          <w:b/>
          <w:szCs w:val="24"/>
        </w:rPr>
        <w:t xml:space="preserve">CHANGES TO STAFFING ESTABLISHMENT IN QUARTER </w:t>
      </w:r>
      <w:r w:rsidR="004319E3">
        <w:rPr>
          <w:rFonts w:ascii="Arial" w:hAnsi="Arial" w:cs="Arial"/>
          <w:b/>
          <w:szCs w:val="24"/>
        </w:rPr>
        <w:t>2</w:t>
      </w:r>
    </w:p>
    <w:p w:rsidR="00AB4988" w:rsidRDefault="00AB4988">
      <w:pPr>
        <w:rPr>
          <w:rFonts w:ascii="Arial" w:hAnsi="Arial" w:cs="Arial"/>
          <w:b/>
          <w:szCs w:val="24"/>
        </w:rPr>
      </w:pPr>
      <w:r>
        <w:rPr>
          <w:rFonts w:ascii="Arial" w:hAnsi="Arial" w:cs="Arial"/>
          <w:b/>
          <w:szCs w:val="24"/>
        </w:rPr>
        <w:t>(</w:t>
      </w:r>
      <w:r w:rsidR="004319E3">
        <w:rPr>
          <w:rFonts w:ascii="Arial" w:hAnsi="Arial" w:cs="Arial"/>
          <w:b/>
          <w:szCs w:val="24"/>
        </w:rPr>
        <w:t>JULY</w:t>
      </w:r>
      <w:r w:rsidR="00516D9F">
        <w:rPr>
          <w:rFonts w:ascii="Arial" w:hAnsi="Arial" w:cs="Arial"/>
          <w:b/>
          <w:szCs w:val="24"/>
        </w:rPr>
        <w:t xml:space="preserve"> - </w:t>
      </w:r>
      <w:r w:rsidR="004319E3">
        <w:rPr>
          <w:rFonts w:ascii="Arial" w:hAnsi="Arial" w:cs="Arial"/>
          <w:b/>
          <w:szCs w:val="24"/>
        </w:rPr>
        <w:t>SEPTEMBER</w:t>
      </w:r>
      <w:r w:rsidR="00C42FCC">
        <w:rPr>
          <w:rFonts w:ascii="Arial" w:hAnsi="Arial" w:cs="Arial"/>
          <w:b/>
          <w:szCs w:val="24"/>
        </w:rPr>
        <w:t xml:space="preserve"> 2019</w:t>
      </w:r>
      <w:r w:rsidR="007A0AAC">
        <w:rPr>
          <w:rFonts w:ascii="Arial" w:hAnsi="Arial" w:cs="Arial"/>
          <w:b/>
          <w:szCs w:val="24"/>
        </w:rPr>
        <w:t>)</w:t>
      </w:r>
    </w:p>
    <w:p w:rsidR="004319E3" w:rsidRDefault="004319E3">
      <w:pPr>
        <w:rPr>
          <w:rFonts w:ascii="Arial" w:hAnsi="Arial" w:cs="Arial"/>
          <w:b/>
          <w:szCs w:val="24"/>
        </w:rPr>
      </w:pPr>
    </w:p>
    <w:p w:rsidR="004319E3" w:rsidRDefault="004319E3">
      <w:pPr>
        <w:rPr>
          <w:rFonts w:ascii="Arial" w:hAnsi="Arial" w:cs="Arial"/>
          <w:b/>
          <w:szCs w:val="24"/>
        </w:rPr>
      </w:pPr>
    </w:p>
    <w:tbl>
      <w:tblPr>
        <w:tblW w:w="9042" w:type="dxa"/>
        <w:tblInd w:w="108" w:type="dxa"/>
        <w:tblLook w:val="04A0" w:firstRow="1" w:lastRow="0" w:firstColumn="1" w:lastColumn="0" w:noHBand="0" w:noVBand="1"/>
      </w:tblPr>
      <w:tblGrid>
        <w:gridCol w:w="3261"/>
        <w:gridCol w:w="3685"/>
        <w:gridCol w:w="2096"/>
      </w:tblGrid>
      <w:tr w:rsidR="004319E3" w:rsidRPr="002B4037" w:rsidTr="004319E3">
        <w:trPr>
          <w:trHeight w:val="301"/>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rPr>
                <w:rFonts w:ascii="Arial" w:hAnsi="Arial" w:cs="Arial"/>
                <w:b/>
                <w:color w:val="000000"/>
                <w:szCs w:val="24"/>
              </w:rPr>
            </w:pPr>
            <w:r w:rsidRPr="004319E3">
              <w:rPr>
                <w:rFonts w:ascii="Arial" w:hAnsi="Arial" w:cs="Arial"/>
                <w:b/>
                <w:color w:val="000000"/>
                <w:szCs w:val="24"/>
              </w:rPr>
              <w:t>Post</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rPr>
                <w:rFonts w:ascii="Arial" w:hAnsi="Arial" w:cs="Arial"/>
                <w:b/>
                <w:color w:val="000000"/>
                <w:szCs w:val="24"/>
              </w:rPr>
            </w:pPr>
            <w:r w:rsidRPr="004319E3">
              <w:rPr>
                <w:rFonts w:ascii="Arial" w:hAnsi="Arial" w:cs="Arial"/>
                <w:b/>
                <w:color w:val="000000"/>
                <w:szCs w:val="24"/>
              </w:rPr>
              <w:t>Location</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19E3" w:rsidRPr="004319E3" w:rsidRDefault="004319E3" w:rsidP="004319E3">
            <w:pPr>
              <w:jc w:val="center"/>
              <w:rPr>
                <w:rFonts w:ascii="Arial" w:hAnsi="Arial" w:cs="Arial"/>
                <w:b/>
                <w:color w:val="000000"/>
                <w:szCs w:val="24"/>
              </w:rPr>
            </w:pPr>
            <w:r w:rsidRPr="004319E3">
              <w:rPr>
                <w:rFonts w:ascii="Arial" w:hAnsi="Arial" w:cs="Arial"/>
                <w:b/>
                <w:color w:val="000000"/>
                <w:szCs w:val="24"/>
              </w:rPr>
              <w:t>FTE</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Assistant Youth Worker (Unqualified)</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Wick</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0.5</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Assistant Youth Worker (Unqualified)</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Wick</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1</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Caretaker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Canal Park, Inverness</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Pr>
                <w:rFonts w:ascii="Arial" w:hAnsi="Arial" w:cs="Arial"/>
                <w:color w:val="000000"/>
                <w:szCs w:val="24"/>
              </w:rPr>
              <w:t>0.49</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Assistant Manager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Canal Park, Inverness</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0.57</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Music Instructor (Musician in Residence)</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Inverness</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w:t>
            </w:r>
            <w:r>
              <w:rPr>
                <w:rFonts w:ascii="Arial" w:hAnsi="Arial" w:cs="Arial"/>
                <w:color w:val="000000"/>
                <w:szCs w:val="24"/>
              </w:rPr>
              <w:t>8</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Centre Co-ordinator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MacPhail Centre</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-0.5</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2"/>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Facilities Manager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proofErr w:type="spellStart"/>
            <w:r w:rsidRPr="004319E3">
              <w:rPr>
                <w:rFonts w:ascii="Arial" w:hAnsi="Arial" w:cs="Arial"/>
                <w:color w:val="000000"/>
                <w:szCs w:val="24"/>
              </w:rPr>
              <w:t>Gairloch</w:t>
            </w:r>
            <w:proofErr w:type="spellEnd"/>
            <w:r w:rsidRPr="004319E3">
              <w:rPr>
                <w:rFonts w:ascii="Arial" w:hAnsi="Arial" w:cs="Arial"/>
                <w:color w:val="000000"/>
                <w:szCs w:val="24"/>
              </w:rPr>
              <w:t xml:space="preserve"> LC &amp; </w:t>
            </w:r>
            <w:proofErr w:type="spellStart"/>
            <w:r w:rsidRPr="004319E3">
              <w:rPr>
                <w:rFonts w:ascii="Arial" w:hAnsi="Arial" w:cs="Arial"/>
                <w:color w:val="000000"/>
                <w:szCs w:val="24"/>
              </w:rPr>
              <w:t>Poolewe</w:t>
            </w:r>
            <w:proofErr w:type="spellEnd"/>
            <w:r w:rsidRPr="004319E3">
              <w:rPr>
                <w:rFonts w:ascii="Arial" w:hAnsi="Arial" w:cs="Arial"/>
                <w:color w:val="000000"/>
                <w:szCs w:val="24"/>
              </w:rPr>
              <w:t xml:space="preserve"> SP</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0.5</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Leisure Supervisor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Culloden Academy Leisure Centre</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0.0</w:t>
            </w:r>
            <w:r>
              <w:rPr>
                <w:rFonts w:ascii="Arial" w:hAnsi="Arial" w:cs="Arial"/>
                <w:color w:val="000000"/>
                <w:szCs w:val="24"/>
              </w:rPr>
              <w:t>4</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Leisure Assistant</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Culloden Academy Leisure Centre</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w:t>
            </w:r>
            <w:r>
              <w:rPr>
                <w:rFonts w:ascii="Arial" w:hAnsi="Arial" w:cs="Arial"/>
                <w:color w:val="000000"/>
                <w:szCs w:val="24"/>
              </w:rPr>
              <w:t>08</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Music Instructor (Kodaly Skills)</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Various School</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0.2</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Catering Assistant</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Canal Park Pavilion</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0.14</w:t>
            </w:r>
          </w:p>
        </w:tc>
      </w:tr>
      <w:tr w:rsidR="004319E3"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Chef/Kitchen Supervisor</w:t>
            </w:r>
          </w:p>
        </w:tc>
        <w:tc>
          <w:tcPr>
            <w:tcW w:w="3685" w:type="dxa"/>
            <w:shd w:val="clear" w:color="auto" w:fill="auto"/>
            <w:noWrap/>
            <w:vAlign w:val="center"/>
            <w:hideMark/>
          </w:tcPr>
          <w:p w:rsidR="004319E3" w:rsidRPr="004319E3" w:rsidRDefault="004319E3" w:rsidP="004319E3">
            <w:pPr>
              <w:rPr>
                <w:rFonts w:ascii="Arial" w:hAnsi="Arial" w:cs="Arial"/>
                <w:color w:val="000000"/>
                <w:szCs w:val="24"/>
              </w:rPr>
            </w:pPr>
            <w:r w:rsidRPr="004319E3">
              <w:rPr>
                <w:rFonts w:ascii="Arial" w:hAnsi="Arial" w:cs="Arial"/>
                <w:color w:val="000000"/>
                <w:szCs w:val="24"/>
              </w:rPr>
              <w:t>Canal Park Pavilion</w:t>
            </w:r>
          </w:p>
        </w:tc>
        <w:tc>
          <w:tcPr>
            <w:tcW w:w="2096" w:type="dxa"/>
            <w:shd w:val="clear" w:color="auto" w:fill="auto"/>
            <w:noWrap/>
            <w:vAlign w:val="center"/>
            <w:hideMark/>
          </w:tcPr>
          <w:p w:rsidR="004319E3" w:rsidRPr="004319E3" w:rsidRDefault="004319E3" w:rsidP="004319E3">
            <w:pPr>
              <w:jc w:val="center"/>
              <w:rPr>
                <w:rFonts w:ascii="Arial" w:hAnsi="Arial" w:cs="Arial"/>
                <w:color w:val="000000"/>
                <w:szCs w:val="24"/>
              </w:rPr>
            </w:pPr>
            <w:r w:rsidRPr="004319E3">
              <w:rPr>
                <w:rFonts w:ascii="Arial" w:hAnsi="Arial" w:cs="Arial"/>
                <w:color w:val="000000"/>
                <w:szCs w:val="24"/>
              </w:rPr>
              <w:t>0.93</w:t>
            </w:r>
          </w:p>
        </w:tc>
      </w:tr>
      <w:tr w:rsidR="00305BC2" w:rsidRPr="004319E3" w:rsidTr="004319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trPr>
        <w:tc>
          <w:tcPr>
            <w:tcW w:w="3261" w:type="dxa"/>
            <w:shd w:val="clear" w:color="auto" w:fill="auto"/>
            <w:noWrap/>
            <w:vAlign w:val="center"/>
          </w:tcPr>
          <w:p w:rsidR="00305BC2" w:rsidRPr="00305BC2" w:rsidRDefault="00305BC2" w:rsidP="004319E3">
            <w:pPr>
              <w:rPr>
                <w:rFonts w:ascii="Arial" w:hAnsi="Arial" w:cs="Arial"/>
                <w:b/>
                <w:color w:val="000000"/>
                <w:szCs w:val="24"/>
              </w:rPr>
            </w:pPr>
            <w:r w:rsidRPr="00305BC2">
              <w:rPr>
                <w:rFonts w:ascii="Arial" w:hAnsi="Arial" w:cs="Arial"/>
                <w:b/>
                <w:color w:val="000000"/>
                <w:szCs w:val="24"/>
              </w:rPr>
              <w:t>TOTAL</w:t>
            </w:r>
          </w:p>
        </w:tc>
        <w:tc>
          <w:tcPr>
            <w:tcW w:w="3685" w:type="dxa"/>
            <w:shd w:val="clear" w:color="auto" w:fill="auto"/>
            <w:noWrap/>
            <w:vAlign w:val="center"/>
          </w:tcPr>
          <w:p w:rsidR="00305BC2" w:rsidRPr="00305BC2" w:rsidRDefault="00305BC2" w:rsidP="004319E3">
            <w:pPr>
              <w:rPr>
                <w:rFonts w:ascii="Arial" w:hAnsi="Arial" w:cs="Arial"/>
                <w:b/>
                <w:color w:val="000000"/>
                <w:szCs w:val="24"/>
              </w:rPr>
            </w:pPr>
          </w:p>
        </w:tc>
        <w:tc>
          <w:tcPr>
            <w:tcW w:w="2096" w:type="dxa"/>
            <w:shd w:val="clear" w:color="auto" w:fill="auto"/>
            <w:noWrap/>
            <w:vAlign w:val="center"/>
          </w:tcPr>
          <w:p w:rsidR="00305BC2" w:rsidRPr="00305BC2" w:rsidRDefault="00305BC2" w:rsidP="004319E3">
            <w:pPr>
              <w:jc w:val="center"/>
              <w:rPr>
                <w:rFonts w:ascii="Arial" w:hAnsi="Arial" w:cs="Arial"/>
                <w:b/>
                <w:color w:val="000000"/>
                <w:szCs w:val="24"/>
              </w:rPr>
            </w:pPr>
            <w:r w:rsidRPr="00305BC2">
              <w:rPr>
                <w:rFonts w:ascii="Arial" w:hAnsi="Arial" w:cs="Arial"/>
                <w:b/>
                <w:color w:val="000000"/>
                <w:szCs w:val="24"/>
              </w:rPr>
              <w:t>4.75</w:t>
            </w:r>
          </w:p>
        </w:tc>
      </w:tr>
    </w:tbl>
    <w:p w:rsidR="004319E3" w:rsidRDefault="004319E3">
      <w:pPr>
        <w:rPr>
          <w:rFonts w:ascii="Arial" w:hAnsi="Arial" w:cs="Arial"/>
          <w:b/>
          <w:szCs w:val="24"/>
        </w:rPr>
      </w:pPr>
    </w:p>
    <w:p w:rsidR="00C437C7" w:rsidRDefault="00C437C7">
      <w:pPr>
        <w:rPr>
          <w:rFonts w:ascii="Arial" w:hAnsi="Arial" w:cs="Arial"/>
          <w:szCs w:val="24"/>
        </w:rPr>
      </w:pPr>
    </w:p>
    <w:sectPr w:rsidR="00C437C7" w:rsidSect="00544D61">
      <w:pgSz w:w="11906" w:h="16838"/>
      <w:pgMar w:top="851"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4F4" w:rsidRDefault="00A004F4">
      <w:r>
        <w:separator/>
      </w:r>
    </w:p>
  </w:endnote>
  <w:endnote w:type="continuationSeparator" w:id="0">
    <w:p w:rsidR="00A004F4" w:rsidRDefault="00A0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4F4" w:rsidRDefault="00A004F4">
      <w:r>
        <w:separator/>
      </w:r>
    </w:p>
  </w:footnote>
  <w:footnote w:type="continuationSeparator" w:id="0">
    <w:p w:rsidR="00A004F4" w:rsidRDefault="00A0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7C1"/>
    <w:multiLevelType w:val="hybridMultilevel"/>
    <w:tmpl w:val="38E65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0FE7"/>
    <w:multiLevelType w:val="hybridMultilevel"/>
    <w:tmpl w:val="A97A19C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 w15:restartNumberingAfterBreak="0">
    <w:nsid w:val="0EE75665"/>
    <w:multiLevelType w:val="hybridMultilevel"/>
    <w:tmpl w:val="5FC2E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8623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BB069A"/>
    <w:multiLevelType w:val="multilevel"/>
    <w:tmpl w:val="D0E0B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D1145"/>
    <w:multiLevelType w:val="hybridMultilevel"/>
    <w:tmpl w:val="A1D63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C7731F"/>
    <w:multiLevelType w:val="hybridMultilevel"/>
    <w:tmpl w:val="9F7839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08B0604"/>
    <w:multiLevelType w:val="hybridMultilevel"/>
    <w:tmpl w:val="EAC2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3C1BF0"/>
    <w:multiLevelType w:val="hybridMultilevel"/>
    <w:tmpl w:val="1C8E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01366"/>
    <w:multiLevelType w:val="hybridMultilevel"/>
    <w:tmpl w:val="E238FD3E"/>
    <w:lvl w:ilvl="0" w:tplc="0809000F">
      <w:start w:val="1"/>
      <w:numFmt w:val="decimal"/>
      <w:lvlText w:val="%1."/>
      <w:lvlJc w:val="left"/>
      <w:pPr>
        <w:ind w:left="720" w:hanging="360"/>
      </w:pPr>
    </w:lvl>
    <w:lvl w:ilvl="1" w:tplc="0809001B">
      <w:start w:val="1"/>
      <w:numFmt w:val="lowerRoman"/>
      <w:lvlText w:val="%2."/>
      <w:lvlJc w:val="right"/>
      <w:pPr>
        <w:ind w:left="1440" w:hanging="360"/>
      </w:pPr>
      <w:rPr>
        <w:rFonts w:hint="default"/>
      </w:rPr>
    </w:lvl>
    <w:lvl w:ilvl="2" w:tplc="08090001">
      <w:start w:val="1"/>
      <w:numFmt w:val="bullet"/>
      <w:lvlText w:val=""/>
      <w:lvlJc w:val="left"/>
      <w:pPr>
        <w:ind w:left="2160" w:hanging="180"/>
      </w:pPr>
      <w:rPr>
        <w:rFonts w:ascii="Symbol" w:hAnsi="Symbol"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581624"/>
    <w:multiLevelType w:val="hybridMultilevel"/>
    <w:tmpl w:val="1234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AB5238"/>
    <w:multiLevelType w:val="hybridMultilevel"/>
    <w:tmpl w:val="E9C4A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65F4F"/>
    <w:multiLevelType w:val="hybridMultilevel"/>
    <w:tmpl w:val="D1B48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BC6913"/>
    <w:multiLevelType w:val="hybridMultilevel"/>
    <w:tmpl w:val="789EE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C411B"/>
    <w:multiLevelType w:val="hybridMultilevel"/>
    <w:tmpl w:val="B4E41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22161F"/>
    <w:multiLevelType w:val="hybridMultilevel"/>
    <w:tmpl w:val="8BF4808A"/>
    <w:lvl w:ilvl="0" w:tplc="72FEDC64">
      <w:numFmt w:val="bullet"/>
      <w:lvlText w:val="•"/>
      <w:lvlJc w:val="left"/>
      <w:pPr>
        <w:ind w:left="725" w:hanging="408"/>
      </w:pPr>
      <w:rPr>
        <w:rFonts w:ascii="Arial" w:eastAsia="Times New Roman" w:hAnsi="Arial" w:cs="Aria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6" w15:restartNumberingAfterBreak="0">
    <w:nsid w:val="6EAF0858"/>
    <w:multiLevelType w:val="hybridMultilevel"/>
    <w:tmpl w:val="B6BE3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C84343"/>
    <w:multiLevelType w:val="hybridMultilevel"/>
    <w:tmpl w:val="5C2C5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BA3DAD"/>
    <w:multiLevelType w:val="hybridMultilevel"/>
    <w:tmpl w:val="EBD2642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87736"/>
    <w:multiLevelType w:val="hybridMultilevel"/>
    <w:tmpl w:val="1846A1E4"/>
    <w:lvl w:ilvl="0" w:tplc="56660C6E">
      <w:start w:val="1"/>
      <w:numFmt w:val="decimal"/>
      <w:lvlText w:val="%1."/>
      <w:lvlJc w:val="left"/>
      <w:pPr>
        <w:ind w:left="819" w:hanging="360"/>
      </w:pPr>
    </w:lvl>
    <w:lvl w:ilvl="1" w:tplc="08090019">
      <w:start w:val="1"/>
      <w:numFmt w:val="lowerLetter"/>
      <w:lvlText w:val="%2."/>
      <w:lvlJc w:val="left"/>
      <w:pPr>
        <w:ind w:left="1539" w:hanging="360"/>
      </w:pPr>
    </w:lvl>
    <w:lvl w:ilvl="2" w:tplc="0809001B">
      <w:start w:val="1"/>
      <w:numFmt w:val="lowerRoman"/>
      <w:lvlText w:val="%3."/>
      <w:lvlJc w:val="right"/>
      <w:pPr>
        <w:ind w:left="2259" w:hanging="180"/>
      </w:pPr>
    </w:lvl>
    <w:lvl w:ilvl="3" w:tplc="0809000F">
      <w:start w:val="1"/>
      <w:numFmt w:val="decimal"/>
      <w:lvlText w:val="%4."/>
      <w:lvlJc w:val="left"/>
      <w:pPr>
        <w:ind w:left="2979" w:hanging="360"/>
      </w:pPr>
    </w:lvl>
    <w:lvl w:ilvl="4" w:tplc="08090019">
      <w:start w:val="1"/>
      <w:numFmt w:val="lowerLetter"/>
      <w:lvlText w:val="%5."/>
      <w:lvlJc w:val="left"/>
      <w:pPr>
        <w:ind w:left="3699" w:hanging="360"/>
      </w:pPr>
    </w:lvl>
    <w:lvl w:ilvl="5" w:tplc="0809001B">
      <w:start w:val="1"/>
      <w:numFmt w:val="lowerRoman"/>
      <w:lvlText w:val="%6."/>
      <w:lvlJc w:val="right"/>
      <w:pPr>
        <w:ind w:left="4419" w:hanging="180"/>
      </w:pPr>
    </w:lvl>
    <w:lvl w:ilvl="6" w:tplc="0809000F">
      <w:start w:val="1"/>
      <w:numFmt w:val="decimal"/>
      <w:lvlText w:val="%7."/>
      <w:lvlJc w:val="left"/>
      <w:pPr>
        <w:ind w:left="5139" w:hanging="360"/>
      </w:pPr>
    </w:lvl>
    <w:lvl w:ilvl="7" w:tplc="08090019">
      <w:start w:val="1"/>
      <w:numFmt w:val="lowerLetter"/>
      <w:lvlText w:val="%8."/>
      <w:lvlJc w:val="left"/>
      <w:pPr>
        <w:ind w:left="5859" w:hanging="360"/>
      </w:pPr>
    </w:lvl>
    <w:lvl w:ilvl="8" w:tplc="0809001B">
      <w:start w:val="1"/>
      <w:numFmt w:val="lowerRoman"/>
      <w:lvlText w:val="%9."/>
      <w:lvlJc w:val="right"/>
      <w:pPr>
        <w:ind w:left="6579" w:hanging="180"/>
      </w:pPr>
    </w:lvl>
  </w:abstractNum>
  <w:num w:numId="1">
    <w:abstractNumId w:val="19"/>
  </w:num>
  <w:num w:numId="2">
    <w:abstractNumId w:val="18"/>
  </w:num>
  <w:num w:numId="3">
    <w:abstractNumId w:val="3"/>
  </w:num>
  <w:num w:numId="4">
    <w:abstractNumId w:val="8"/>
  </w:num>
  <w:num w:numId="5">
    <w:abstractNumId w:val="13"/>
  </w:num>
  <w:num w:numId="6">
    <w:abstractNumId w:val="16"/>
  </w:num>
  <w:num w:numId="7">
    <w:abstractNumId w:val="12"/>
  </w:num>
  <w:num w:numId="8">
    <w:abstractNumId w:val="0"/>
  </w:num>
  <w:num w:numId="9">
    <w:abstractNumId w:val="6"/>
  </w:num>
  <w:num w:numId="10">
    <w:abstractNumId w:val="17"/>
  </w:num>
  <w:num w:numId="11">
    <w:abstractNumId w:val="5"/>
  </w:num>
  <w:num w:numId="12">
    <w:abstractNumId w:val="9"/>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0"/>
  </w:num>
  <w:num w:numId="16">
    <w:abstractNumId w:val="7"/>
  </w:num>
  <w:num w:numId="17">
    <w:abstractNumId w:val="14"/>
  </w:num>
  <w:num w:numId="18">
    <w:abstractNumId w:val="11"/>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0A"/>
    <w:rsid w:val="00003FEE"/>
    <w:rsid w:val="00004D29"/>
    <w:rsid w:val="000125A3"/>
    <w:rsid w:val="00015F4F"/>
    <w:rsid w:val="00017D2E"/>
    <w:rsid w:val="00021173"/>
    <w:rsid w:val="0002128B"/>
    <w:rsid w:val="00026EA5"/>
    <w:rsid w:val="0003553F"/>
    <w:rsid w:val="00042D0F"/>
    <w:rsid w:val="0005088A"/>
    <w:rsid w:val="00050D79"/>
    <w:rsid w:val="00052C00"/>
    <w:rsid w:val="00053FE4"/>
    <w:rsid w:val="00054DE1"/>
    <w:rsid w:val="000620A6"/>
    <w:rsid w:val="000631BD"/>
    <w:rsid w:val="000764B4"/>
    <w:rsid w:val="00077197"/>
    <w:rsid w:val="000817F9"/>
    <w:rsid w:val="0008795E"/>
    <w:rsid w:val="00087CCD"/>
    <w:rsid w:val="00097529"/>
    <w:rsid w:val="000975F9"/>
    <w:rsid w:val="000A6A1A"/>
    <w:rsid w:val="000B0D29"/>
    <w:rsid w:val="000B6190"/>
    <w:rsid w:val="000B744A"/>
    <w:rsid w:val="000C1BF4"/>
    <w:rsid w:val="000C6FDE"/>
    <w:rsid w:val="000C71AB"/>
    <w:rsid w:val="000D0794"/>
    <w:rsid w:val="000D245B"/>
    <w:rsid w:val="000D5427"/>
    <w:rsid w:val="000D616A"/>
    <w:rsid w:val="000D620F"/>
    <w:rsid w:val="000D6CAA"/>
    <w:rsid w:val="000D7731"/>
    <w:rsid w:val="000E00E2"/>
    <w:rsid w:val="000E0C6D"/>
    <w:rsid w:val="000E16F2"/>
    <w:rsid w:val="000E5B8A"/>
    <w:rsid w:val="000E6453"/>
    <w:rsid w:val="000F274B"/>
    <w:rsid w:val="000F5A33"/>
    <w:rsid w:val="000F6071"/>
    <w:rsid w:val="000F6FD8"/>
    <w:rsid w:val="000F7512"/>
    <w:rsid w:val="000F78D3"/>
    <w:rsid w:val="001065FE"/>
    <w:rsid w:val="001072B4"/>
    <w:rsid w:val="0010757C"/>
    <w:rsid w:val="001077A9"/>
    <w:rsid w:val="001100A3"/>
    <w:rsid w:val="00116689"/>
    <w:rsid w:val="00120225"/>
    <w:rsid w:val="00121552"/>
    <w:rsid w:val="00124C17"/>
    <w:rsid w:val="0012567C"/>
    <w:rsid w:val="00132839"/>
    <w:rsid w:val="00141185"/>
    <w:rsid w:val="00141508"/>
    <w:rsid w:val="00142251"/>
    <w:rsid w:val="00144164"/>
    <w:rsid w:val="001448BE"/>
    <w:rsid w:val="00153171"/>
    <w:rsid w:val="0015326F"/>
    <w:rsid w:val="0017031E"/>
    <w:rsid w:val="00176013"/>
    <w:rsid w:val="00177A7B"/>
    <w:rsid w:val="0018152E"/>
    <w:rsid w:val="001866ED"/>
    <w:rsid w:val="00186DF3"/>
    <w:rsid w:val="00190BC9"/>
    <w:rsid w:val="00192FBE"/>
    <w:rsid w:val="001A7AF1"/>
    <w:rsid w:val="001B1FC0"/>
    <w:rsid w:val="001B55F1"/>
    <w:rsid w:val="001C15DE"/>
    <w:rsid w:val="001C29E2"/>
    <w:rsid w:val="001C380A"/>
    <w:rsid w:val="001C41BF"/>
    <w:rsid w:val="001C52A6"/>
    <w:rsid w:val="001C7E6F"/>
    <w:rsid w:val="001D1D38"/>
    <w:rsid w:val="001D2FE9"/>
    <w:rsid w:val="001D541F"/>
    <w:rsid w:val="001E41AE"/>
    <w:rsid w:val="001F2FFC"/>
    <w:rsid w:val="001F7122"/>
    <w:rsid w:val="002029D7"/>
    <w:rsid w:val="0021160B"/>
    <w:rsid w:val="00220164"/>
    <w:rsid w:val="00220978"/>
    <w:rsid w:val="00223DB5"/>
    <w:rsid w:val="002245D8"/>
    <w:rsid w:val="00227DC9"/>
    <w:rsid w:val="00232563"/>
    <w:rsid w:val="00240268"/>
    <w:rsid w:val="0024033E"/>
    <w:rsid w:val="00241F01"/>
    <w:rsid w:val="00244480"/>
    <w:rsid w:val="00247212"/>
    <w:rsid w:val="00255A31"/>
    <w:rsid w:val="00256CC8"/>
    <w:rsid w:val="0026117D"/>
    <w:rsid w:val="00261D72"/>
    <w:rsid w:val="00261E11"/>
    <w:rsid w:val="00262480"/>
    <w:rsid w:val="00263F37"/>
    <w:rsid w:val="002654E9"/>
    <w:rsid w:val="00265F13"/>
    <w:rsid w:val="00277B5F"/>
    <w:rsid w:val="00282805"/>
    <w:rsid w:val="002829AC"/>
    <w:rsid w:val="00284D5A"/>
    <w:rsid w:val="00286A03"/>
    <w:rsid w:val="00293E6F"/>
    <w:rsid w:val="002967A3"/>
    <w:rsid w:val="002A1B27"/>
    <w:rsid w:val="002A5188"/>
    <w:rsid w:val="002A57F2"/>
    <w:rsid w:val="002B086D"/>
    <w:rsid w:val="002B0A2F"/>
    <w:rsid w:val="002B36C8"/>
    <w:rsid w:val="002B4037"/>
    <w:rsid w:val="002B7DC4"/>
    <w:rsid w:val="002C4B6B"/>
    <w:rsid w:val="002C60C2"/>
    <w:rsid w:val="002C6BFA"/>
    <w:rsid w:val="002D009F"/>
    <w:rsid w:val="002D0DC9"/>
    <w:rsid w:val="002D1539"/>
    <w:rsid w:val="002D5EDE"/>
    <w:rsid w:val="002D7DD6"/>
    <w:rsid w:val="002E0015"/>
    <w:rsid w:val="002E6BF4"/>
    <w:rsid w:val="002E6C9F"/>
    <w:rsid w:val="002E7918"/>
    <w:rsid w:val="002F215D"/>
    <w:rsid w:val="002F4DC9"/>
    <w:rsid w:val="002F66DC"/>
    <w:rsid w:val="00303143"/>
    <w:rsid w:val="00304F4D"/>
    <w:rsid w:val="0030579B"/>
    <w:rsid w:val="00305BC2"/>
    <w:rsid w:val="003114C4"/>
    <w:rsid w:val="0031243E"/>
    <w:rsid w:val="00313EC9"/>
    <w:rsid w:val="00314658"/>
    <w:rsid w:val="00314D66"/>
    <w:rsid w:val="003251E1"/>
    <w:rsid w:val="00325295"/>
    <w:rsid w:val="0032786E"/>
    <w:rsid w:val="00331186"/>
    <w:rsid w:val="00334B2E"/>
    <w:rsid w:val="00344062"/>
    <w:rsid w:val="00344849"/>
    <w:rsid w:val="0034569A"/>
    <w:rsid w:val="00345B42"/>
    <w:rsid w:val="00347328"/>
    <w:rsid w:val="00347734"/>
    <w:rsid w:val="0035282E"/>
    <w:rsid w:val="00354C5E"/>
    <w:rsid w:val="003551D4"/>
    <w:rsid w:val="00355775"/>
    <w:rsid w:val="00356B53"/>
    <w:rsid w:val="00360402"/>
    <w:rsid w:val="003649D9"/>
    <w:rsid w:val="003702A5"/>
    <w:rsid w:val="00371EFA"/>
    <w:rsid w:val="00372702"/>
    <w:rsid w:val="00373E7E"/>
    <w:rsid w:val="00380A34"/>
    <w:rsid w:val="00380CDF"/>
    <w:rsid w:val="00381B81"/>
    <w:rsid w:val="00383500"/>
    <w:rsid w:val="0038355A"/>
    <w:rsid w:val="003917DC"/>
    <w:rsid w:val="0039450A"/>
    <w:rsid w:val="003964ED"/>
    <w:rsid w:val="003A069E"/>
    <w:rsid w:val="003A19F1"/>
    <w:rsid w:val="003A4B9C"/>
    <w:rsid w:val="003A5434"/>
    <w:rsid w:val="003A7DB0"/>
    <w:rsid w:val="003B3A9B"/>
    <w:rsid w:val="003B62D6"/>
    <w:rsid w:val="003C1B3B"/>
    <w:rsid w:val="003C4EA9"/>
    <w:rsid w:val="003C6779"/>
    <w:rsid w:val="003C7AFE"/>
    <w:rsid w:val="003D2CBE"/>
    <w:rsid w:val="003D5C03"/>
    <w:rsid w:val="003E0170"/>
    <w:rsid w:val="003E159A"/>
    <w:rsid w:val="003E4183"/>
    <w:rsid w:val="003F2745"/>
    <w:rsid w:val="003F321A"/>
    <w:rsid w:val="00403CDA"/>
    <w:rsid w:val="00405EBC"/>
    <w:rsid w:val="00407982"/>
    <w:rsid w:val="004115FF"/>
    <w:rsid w:val="004120A6"/>
    <w:rsid w:val="00413B84"/>
    <w:rsid w:val="00416BFF"/>
    <w:rsid w:val="0042698E"/>
    <w:rsid w:val="004319E3"/>
    <w:rsid w:val="00432FF9"/>
    <w:rsid w:val="004375DD"/>
    <w:rsid w:val="004403F8"/>
    <w:rsid w:val="0044083B"/>
    <w:rsid w:val="004438C9"/>
    <w:rsid w:val="00444E77"/>
    <w:rsid w:val="00445A72"/>
    <w:rsid w:val="00447C8A"/>
    <w:rsid w:val="0045207E"/>
    <w:rsid w:val="0045580C"/>
    <w:rsid w:val="00455913"/>
    <w:rsid w:val="0045618C"/>
    <w:rsid w:val="00460DE4"/>
    <w:rsid w:val="00462977"/>
    <w:rsid w:val="00465229"/>
    <w:rsid w:val="00465FB3"/>
    <w:rsid w:val="00466CDA"/>
    <w:rsid w:val="00474274"/>
    <w:rsid w:val="00477C58"/>
    <w:rsid w:val="0048062D"/>
    <w:rsid w:val="004843C9"/>
    <w:rsid w:val="00484E83"/>
    <w:rsid w:val="0049451D"/>
    <w:rsid w:val="004A5372"/>
    <w:rsid w:val="004A5E30"/>
    <w:rsid w:val="004A7F5F"/>
    <w:rsid w:val="004B2287"/>
    <w:rsid w:val="004B292E"/>
    <w:rsid w:val="004B58CE"/>
    <w:rsid w:val="004B6573"/>
    <w:rsid w:val="004B7E68"/>
    <w:rsid w:val="004C1ADD"/>
    <w:rsid w:val="004C3A30"/>
    <w:rsid w:val="004C4336"/>
    <w:rsid w:val="004D02E4"/>
    <w:rsid w:val="004D6EED"/>
    <w:rsid w:val="004D776E"/>
    <w:rsid w:val="004E08EF"/>
    <w:rsid w:val="004E23C6"/>
    <w:rsid w:val="004E241D"/>
    <w:rsid w:val="004E5019"/>
    <w:rsid w:val="004F08B1"/>
    <w:rsid w:val="004F24D2"/>
    <w:rsid w:val="004F2C6F"/>
    <w:rsid w:val="004F5E0A"/>
    <w:rsid w:val="004F64EA"/>
    <w:rsid w:val="00501B18"/>
    <w:rsid w:val="00503FD6"/>
    <w:rsid w:val="005047A4"/>
    <w:rsid w:val="005047F6"/>
    <w:rsid w:val="0050754F"/>
    <w:rsid w:val="0051080D"/>
    <w:rsid w:val="0051107E"/>
    <w:rsid w:val="00511496"/>
    <w:rsid w:val="005123FB"/>
    <w:rsid w:val="00516D9F"/>
    <w:rsid w:val="005179D9"/>
    <w:rsid w:val="00521295"/>
    <w:rsid w:val="005258F0"/>
    <w:rsid w:val="00526DF1"/>
    <w:rsid w:val="0053594A"/>
    <w:rsid w:val="00544A3E"/>
    <w:rsid w:val="00544D61"/>
    <w:rsid w:val="00550DE1"/>
    <w:rsid w:val="005540B4"/>
    <w:rsid w:val="0055493F"/>
    <w:rsid w:val="00555643"/>
    <w:rsid w:val="00563DC7"/>
    <w:rsid w:val="00570EC5"/>
    <w:rsid w:val="00570FC5"/>
    <w:rsid w:val="00571309"/>
    <w:rsid w:val="00571965"/>
    <w:rsid w:val="00576B2E"/>
    <w:rsid w:val="00581032"/>
    <w:rsid w:val="00590C36"/>
    <w:rsid w:val="00592045"/>
    <w:rsid w:val="00592F39"/>
    <w:rsid w:val="0059426B"/>
    <w:rsid w:val="005950EE"/>
    <w:rsid w:val="005A2986"/>
    <w:rsid w:val="005B4C3A"/>
    <w:rsid w:val="005B6EDC"/>
    <w:rsid w:val="005C565B"/>
    <w:rsid w:val="005C6B41"/>
    <w:rsid w:val="005C76D1"/>
    <w:rsid w:val="005C7755"/>
    <w:rsid w:val="005D0401"/>
    <w:rsid w:val="005D450E"/>
    <w:rsid w:val="005D4C2B"/>
    <w:rsid w:val="005D4D8D"/>
    <w:rsid w:val="005D5563"/>
    <w:rsid w:val="005D56E3"/>
    <w:rsid w:val="005D58DB"/>
    <w:rsid w:val="005D6F6C"/>
    <w:rsid w:val="005E23D5"/>
    <w:rsid w:val="005E442C"/>
    <w:rsid w:val="005E5FCC"/>
    <w:rsid w:val="005E74DC"/>
    <w:rsid w:val="005E77BC"/>
    <w:rsid w:val="005F09BC"/>
    <w:rsid w:val="005F24B2"/>
    <w:rsid w:val="005F2664"/>
    <w:rsid w:val="005F268F"/>
    <w:rsid w:val="005F296B"/>
    <w:rsid w:val="005F2A13"/>
    <w:rsid w:val="005F4B50"/>
    <w:rsid w:val="0060090F"/>
    <w:rsid w:val="00600CE7"/>
    <w:rsid w:val="00605C08"/>
    <w:rsid w:val="0060608D"/>
    <w:rsid w:val="00610457"/>
    <w:rsid w:val="006130E7"/>
    <w:rsid w:val="00616E6F"/>
    <w:rsid w:val="00617AB9"/>
    <w:rsid w:val="006207E6"/>
    <w:rsid w:val="00623941"/>
    <w:rsid w:val="006240C2"/>
    <w:rsid w:val="006314BD"/>
    <w:rsid w:val="00647FE6"/>
    <w:rsid w:val="0065745A"/>
    <w:rsid w:val="00660A42"/>
    <w:rsid w:val="00663093"/>
    <w:rsid w:val="006658B6"/>
    <w:rsid w:val="00665BD4"/>
    <w:rsid w:val="0067538A"/>
    <w:rsid w:val="00682545"/>
    <w:rsid w:val="00682E0E"/>
    <w:rsid w:val="00684594"/>
    <w:rsid w:val="00690634"/>
    <w:rsid w:val="0069225C"/>
    <w:rsid w:val="006925F5"/>
    <w:rsid w:val="00693BFC"/>
    <w:rsid w:val="00694065"/>
    <w:rsid w:val="006A1248"/>
    <w:rsid w:val="006A164D"/>
    <w:rsid w:val="006A38A2"/>
    <w:rsid w:val="006A3AC2"/>
    <w:rsid w:val="006A7897"/>
    <w:rsid w:val="006B06E6"/>
    <w:rsid w:val="006B3C26"/>
    <w:rsid w:val="006B590D"/>
    <w:rsid w:val="006B6421"/>
    <w:rsid w:val="006B67F8"/>
    <w:rsid w:val="006C09E9"/>
    <w:rsid w:val="006C0AEA"/>
    <w:rsid w:val="006C2F41"/>
    <w:rsid w:val="006C36C3"/>
    <w:rsid w:val="006C7C0A"/>
    <w:rsid w:val="006D0028"/>
    <w:rsid w:val="006D3293"/>
    <w:rsid w:val="006D44D7"/>
    <w:rsid w:val="006F04E6"/>
    <w:rsid w:val="006F3879"/>
    <w:rsid w:val="006F4934"/>
    <w:rsid w:val="006F5801"/>
    <w:rsid w:val="006F5F8F"/>
    <w:rsid w:val="00703673"/>
    <w:rsid w:val="007053BE"/>
    <w:rsid w:val="00705B99"/>
    <w:rsid w:val="00707C87"/>
    <w:rsid w:val="00710B7E"/>
    <w:rsid w:val="00711367"/>
    <w:rsid w:val="007127E4"/>
    <w:rsid w:val="00717E7E"/>
    <w:rsid w:val="00720B5B"/>
    <w:rsid w:val="007214D1"/>
    <w:rsid w:val="00721569"/>
    <w:rsid w:val="0072164F"/>
    <w:rsid w:val="0072257C"/>
    <w:rsid w:val="00725270"/>
    <w:rsid w:val="00725EC8"/>
    <w:rsid w:val="00726B31"/>
    <w:rsid w:val="00727D67"/>
    <w:rsid w:val="007310D7"/>
    <w:rsid w:val="00731E93"/>
    <w:rsid w:val="00742B9E"/>
    <w:rsid w:val="0074360E"/>
    <w:rsid w:val="00750AED"/>
    <w:rsid w:val="00751A5C"/>
    <w:rsid w:val="00754394"/>
    <w:rsid w:val="00755820"/>
    <w:rsid w:val="00766BAD"/>
    <w:rsid w:val="00766EF9"/>
    <w:rsid w:val="00772596"/>
    <w:rsid w:val="00776348"/>
    <w:rsid w:val="00777F11"/>
    <w:rsid w:val="00782718"/>
    <w:rsid w:val="00783F85"/>
    <w:rsid w:val="00784401"/>
    <w:rsid w:val="0078733B"/>
    <w:rsid w:val="00791D36"/>
    <w:rsid w:val="00794A0C"/>
    <w:rsid w:val="007A0AAC"/>
    <w:rsid w:val="007A2F50"/>
    <w:rsid w:val="007A3904"/>
    <w:rsid w:val="007A7EBB"/>
    <w:rsid w:val="007B1176"/>
    <w:rsid w:val="007B3C3E"/>
    <w:rsid w:val="007B3DC7"/>
    <w:rsid w:val="007B5E32"/>
    <w:rsid w:val="007B64B5"/>
    <w:rsid w:val="007C13C5"/>
    <w:rsid w:val="007C60A1"/>
    <w:rsid w:val="007C6D32"/>
    <w:rsid w:val="007C7B5A"/>
    <w:rsid w:val="007D1832"/>
    <w:rsid w:val="007D4675"/>
    <w:rsid w:val="007E7860"/>
    <w:rsid w:val="007F0BFD"/>
    <w:rsid w:val="007F17B4"/>
    <w:rsid w:val="007F468C"/>
    <w:rsid w:val="007F57B7"/>
    <w:rsid w:val="007F78AE"/>
    <w:rsid w:val="00804BA5"/>
    <w:rsid w:val="00805D7B"/>
    <w:rsid w:val="00810982"/>
    <w:rsid w:val="00816302"/>
    <w:rsid w:val="00816E35"/>
    <w:rsid w:val="00823029"/>
    <w:rsid w:val="008249DA"/>
    <w:rsid w:val="00825FD9"/>
    <w:rsid w:val="00826907"/>
    <w:rsid w:val="00830CD4"/>
    <w:rsid w:val="00834A8E"/>
    <w:rsid w:val="00834E2D"/>
    <w:rsid w:val="00835331"/>
    <w:rsid w:val="008363B0"/>
    <w:rsid w:val="00841643"/>
    <w:rsid w:val="00841F81"/>
    <w:rsid w:val="0084209E"/>
    <w:rsid w:val="00842A9A"/>
    <w:rsid w:val="00843EEF"/>
    <w:rsid w:val="00847811"/>
    <w:rsid w:val="00867BF5"/>
    <w:rsid w:val="008837D3"/>
    <w:rsid w:val="00896987"/>
    <w:rsid w:val="00897566"/>
    <w:rsid w:val="008978D2"/>
    <w:rsid w:val="008A0E3E"/>
    <w:rsid w:val="008A1F14"/>
    <w:rsid w:val="008A3FB6"/>
    <w:rsid w:val="008A57F3"/>
    <w:rsid w:val="008B36C4"/>
    <w:rsid w:val="008B3E56"/>
    <w:rsid w:val="008B4E68"/>
    <w:rsid w:val="008C03E3"/>
    <w:rsid w:val="008C1B47"/>
    <w:rsid w:val="008C3C98"/>
    <w:rsid w:val="008D5929"/>
    <w:rsid w:val="008D61AA"/>
    <w:rsid w:val="008D64EF"/>
    <w:rsid w:val="008E16E5"/>
    <w:rsid w:val="008E3C2A"/>
    <w:rsid w:val="008F18C3"/>
    <w:rsid w:val="008F41D8"/>
    <w:rsid w:val="008F5A22"/>
    <w:rsid w:val="008F66E6"/>
    <w:rsid w:val="008F74CA"/>
    <w:rsid w:val="00902A9A"/>
    <w:rsid w:val="00905E89"/>
    <w:rsid w:val="00912498"/>
    <w:rsid w:val="009151B3"/>
    <w:rsid w:val="00920271"/>
    <w:rsid w:val="00920970"/>
    <w:rsid w:val="00924053"/>
    <w:rsid w:val="00926C4E"/>
    <w:rsid w:val="00931C91"/>
    <w:rsid w:val="00931E33"/>
    <w:rsid w:val="00933183"/>
    <w:rsid w:val="00935BDF"/>
    <w:rsid w:val="00935FC7"/>
    <w:rsid w:val="00941073"/>
    <w:rsid w:val="009430F2"/>
    <w:rsid w:val="009526B8"/>
    <w:rsid w:val="00962E81"/>
    <w:rsid w:val="00976F24"/>
    <w:rsid w:val="00985181"/>
    <w:rsid w:val="00985CFD"/>
    <w:rsid w:val="00985DE5"/>
    <w:rsid w:val="00987DFB"/>
    <w:rsid w:val="00990CFB"/>
    <w:rsid w:val="00991247"/>
    <w:rsid w:val="00995C74"/>
    <w:rsid w:val="00997203"/>
    <w:rsid w:val="0099723B"/>
    <w:rsid w:val="009A09D4"/>
    <w:rsid w:val="009A2020"/>
    <w:rsid w:val="009B7A20"/>
    <w:rsid w:val="009C0A57"/>
    <w:rsid w:val="009C1F2A"/>
    <w:rsid w:val="009C29D8"/>
    <w:rsid w:val="009C631C"/>
    <w:rsid w:val="009C6666"/>
    <w:rsid w:val="009C6DDB"/>
    <w:rsid w:val="009C7634"/>
    <w:rsid w:val="009C77CF"/>
    <w:rsid w:val="009D078F"/>
    <w:rsid w:val="009D3236"/>
    <w:rsid w:val="009D49AE"/>
    <w:rsid w:val="009D691A"/>
    <w:rsid w:val="009D6A45"/>
    <w:rsid w:val="009D6FD0"/>
    <w:rsid w:val="009D7511"/>
    <w:rsid w:val="009E0A66"/>
    <w:rsid w:val="009E1C50"/>
    <w:rsid w:val="009E26DF"/>
    <w:rsid w:val="009E5EB5"/>
    <w:rsid w:val="009E7291"/>
    <w:rsid w:val="009E7E1D"/>
    <w:rsid w:val="009F0139"/>
    <w:rsid w:val="009F4896"/>
    <w:rsid w:val="00A004F4"/>
    <w:rsid w:val="00A01760"/>
    <w:rsid w:val="00A035C1"/>
    <w:rsid w:val="00A03B68"/>
    <w:rsid w:val="00A06051"/>
    <w:rsid w:val="00A067FA"/>
    <w:rsid w:val="00A06B88"/>
    <w:rsid w:val="00A06F5D"/>
    <w:rsid w:val="00A1003D"/>
    <w:rsid w:val="00A105B9"/>
    <w:rsid w:val="00A15484"/>
    <w:rsid w:val="00A1733F"/>
    <w:rsid w:val="00A23EF2"/>
    <w:rsid w:val="00A252F3"/>
    <w:rsid w:val="00A265AA"/>
    <w:rsid w:val="00A27D3B"/>
    <w:rsid w:val="00A3006B"/>
    <w:rsid w:val="00A33E17"/>
    <w:rsid w:val="00A34C35"/>
    <w:rsid w:val="00A36747"/>
    <w:rsid w:val="00A44B54"/>
    <w:rsid w:val="00A44C7B"/>
    <w:rsid w:val="00A45F54"/>
    <w:rsid w:val="00A47A09"/>
    <w:rsid w:val="00A47AAF"/>
    <w:rsid w:val="00A506DE"/>
    <w:rsid w:val="00A5134F"/>
    <w:rsid w:val="00A60358"/>
    <w:rsid w:val="00A701E8"/>
    <w:rsid w:val="00A75273"/>
    <w:rsid w:val="00A813FC"/>
    <w:rsid w:val="00A8159A"/>
    <w:rsid w:val="00A8515A"/>
    <w:rsid w:val="00A852FC"/>
    <w:rsid w:val="00A95347"/>
    <w:rsid w:val="00AA15DA"/>
    <w:rsid w:val="00AA6A6A"/>
    <w:rsid w:val="00AB2B69"/>
    <w:rsid w:val="00AB3D83"/>
    <w:rsid w:val="00AB4988"/>
    <w:rsid w:val="00AB5455"/>
    <w:rsid w:val="00AC5BBD"/>
    <w:rsid w:val="00AD0D67"/>
    <w:rsid w:val="00AD33D1"/>
    <w:rsid w:val="00AE3455"/>
    <w:rsid w:val="00AE44B9"/>
    <w:rsid w:val="00AE69D4"/>
    <w:rsid w:val="00AF02B6"/>
    <w:rsid w:val="00AF5408"/>
    <w:rsid w:val="00AF60F3"/>
    <w:rsid w:val="00B0019E"/>
    <w:rsid w:val="00B007BE"/>
    <w:rsid w:val="00B06F13"/>
    <w:rsid w:val="00B142D1"/>
    <w:rsid w:val="00B143C6"/>
    <w:rsid w:val="00B15C2E"/>
    <w:rsid w:val="00B21BA2"/>
    <w:rsid w:val="00B237C2"/>
    <w:rsid w:val="00B26FB4"/>
    <w:rsid w:val="00B32ECC"/>
    <w:rsid w:val="00B356DC"/>
    <w:rsid w:val="00B35E26"/>
    <w:rsid w:val="00B3785C"/>
    <w:rsid w:val="00B4511E"/>
    <w:rsid w:val="00B45128"/>
    <w:rsid w:val="00B47D2F"/>
    <w:rsid w:val="00B50D69"/>
    <w:rsid w:val="00B50E9D"/>
    <w:rsid w:val="00B547EA"/>
    <w:rsid w:val="00B56CDC"/>
    <w:rsid w:val="00B61410"/>
    <w:rsid w:val="00B6149F"/>
    <w:rsid w:val="00B62B17"/>
    <w:rsid w:val="00B67AEB"/>
    <w:rsid w:val="00B76CAE"/>
    <w:rsid w:val="00B84929"/>
    <w:rsid w:val="00B859CD"/>
    <w:rsid w:val="00B86838"/>
    <w:rsid w:val="00B87B5D"/>
    <w:rsid w:val="00B90704"/>
    <w:rsid w:val="00BA01AD"/>
    <w:rsid w:val="00BA0979"/>
    <w:rsid w:val="00BA2BC7"/>
    <w:rsid w:val="00BB3F9D"/>
    <w:rsid w:val="00BB4A08"/>
    <w:rsid w:val="00BC1EB4"/>
    <w:rsid w:val="00BD48D1"/>
    <w:rsid w:val="00BD7355"/>
    <w:rsid w:val="00BE1206"/>
    <w:rsid w:val="00BE477C"/>
    <w:rsid w:val="00BE6360"/>
    <w:rsid w:val="00C02142"/>
    <w:rsid w:val="00C14B28"/>
    <w:rsid w:val="00C15B6B"/>
    <w:rsid w:val="00C173F4"/>
    <w:rsid w:val="00C214F8"/>
    <w:rsid w:val="00C3461A"/>
    <w:rsid w:val="00C351C8"/>
    <w:rsid w:val="00C360E6"/>
    <w:rsid w:val="00C427F8"/>
    <w:rsid w:val="00C42FCC"/>
    <w:rsid w:val="00C437C7"/>
    <w:rsid w:val="00C43F06"/>
    <w:rsid w:val="00C44DE0"/>
    <w:rsid w:val="00C456FE"/>
    <w:rsid w:val="00C55881"/>
    <w:rsid w:val="00C60663"/>
    <w:rsid w:val="00C61237"/>
    <w:rsid w:val="00C71EF3"/>
    <w:rsid w:val="00C72B73"/>
    <w:rsid w:val="00C75691"/>
    <w:rsid w:val="00C8005D"/>
    <w:rsid w:val="00C8211A"/>
    <w:rsid w:val="00C82A93"/>
    <w:rsid w:val="00C8333C"/>
    <w:rsid w:val="00C83D2B"/>
    <w:rsid w:val="00C84BD3"/>
    <w:rsid w:val="00C93AA4"/>
    <w:rsid w:val="00C973BB"/>
    <w:rsid w:val="00C978E0"/>
    <w:rsid w:val="00CA4B02"/>
    <w:rsid w:val="00CA6AB3"/>
    <w:rsid w:val="00CB268B"/>
    <w:rsid w:val="00CB5374"/>
    <w:rsid w:val="00CB56B9"/>
    <w:rsid w:val="00CB7017"/>
    <w:rsid w:val="00CC466A"/>
    <w:rsid w:val="00CC5DB0"/>
    <w:rsid w:val="00CD2306"/>
    <w:rsid w:val="00CD357D"/>
    <w:rsid w:val="00CD3985"/>
    <w:rsid w:val="00CD553A"/>
    <w:rsid w:val="00CE68AE"/>
    <w:rsid w:val="00CF6DD7"/>
    <w:rsid w:val="00D00039"/>
    <w:rsid w:val="00D00618"/>
    <w:rsid w:val="00D022B2"/>
    <w:rsid w:val="00D02AE4"/>
    <w:rsid w:val="00D03451"/>
    <w:rsid w:val="00D038C4"/>
    <w:rsid w:val="00D03E5F"/>
    <w:rsid w:val="00D05169"/>
    <w:rsid w:val="00D11FA1"/>
    <w:rsid w:val="00D12180"/>
    <w:rsid w:val="00D20EFC"/>
    <w:rsid w:val="00D230BF"/>
    <w:rsid w:val="00D23370"/>
    <w:rsid w:val="00D23435"/>
    <w:rsid w:val="00D30472"/>
    <w:rsid w:val="00D3078D"/>
    <w:rsid w:val="00D409D2"/>
    <w:rsid w:val="00D44B45"/>
    <w:rsid w:val="00D45787"/>
    <w:rsid w:val="00D4627A"/>
    <w:rsid w:val="00D46356"/>
    <w:rsid w:val="00D47971"/>
    <w:rsid w:val="00D47C49"/>
    <w:rsid w:val="00D54670"/>
    <w:rsid w:val="00D57CDF"/>
    <w:rsid w:val="00D6031D"/>
    <w:rsid w:val="00D604A7"/>
    <w:rsid w:val="00D655B8"/>
    <w:rsid w:val="00D658D1"/>
    <w:rsid w:val="00D65A67"/>
    <w:rsid w:val="00D66EB1"/>
    <w:rsid w:val="00D66EB7"/>
    <w:rsid w:val="00D71DD2"/>
    <w:rsid w:val="00D73FED"/>
    <w:rsid w:val="00D74F5F"/>
    <w:rsid w:val="00D75611"/>
    <w:rsid w:val="00D75FE6"/>
    <w:rsid w:val="00D75FFC"/>
    <w:rsid w:val="00D82ADF"/>
    <w:rsid w:val="00D842DB"/>
    <w:rsid w:val="00D906F4"/>
    <w:rsid w:val="00D916D2"/>
    <w:rsid w:val="00D92CE0"/>
    <w:rsid w:val="00D93D96"/>
    <w:rsid w:val="00DA1988"/>
    <w:rsid w:val="00DB0F9C"/>
    <w:rsid w:val="00DB3601"/>
    <w:rsid w:val="00DB3CD6"/>
    <w:rsid w:val="00DB7D86"/>
    <w:rsid w:val="00DC01DD"/>
    <w:rsid w:val="00DC17DA"/>
    <w:rsid w:val="00DC4937"/>
    <w:rsid w:val="00DD0516"/>
    <w:rsid w:val="00DD0581"/>
    <w:rsid w:val="00DD3547"/>
    <w:rsid w:val="00DD3B83"/>
    <w:rsid w:val="00DD5D75"/>
    <w:rsid w:val="00DD614F"/>
    <w:rsid w:val="00DD6371"/>
    <w:rsid w:val="00DE07A3"/>
    <w:rsid w:val="00DE1942"/>
    <w:rsid w:val="00DE1E6C"/>
    <w:rsid w:val="00DE2B44"/>
    <w:rsid w:val="00DE2E0D"/>
    <w:rsid w:val="00DE5F32"/>
    <w:rsid w:val="00DF1F68"/>
    <w:rsid w:val="00DF3520"/>
    <w:rsid w:val="00DF462B"/>
    <w:rsid w:val="00DF55D6"/>
    <w:rsid w:val="00DF6E1D"/>
    <w:rsid w:val="00E0196C"/>
    <w:rsid w:val="00E04193"/>
    <w:rsid w:val="00E064A6"/>
    <w:rsid w:val="00E10E07"/>
    <w:rsid w:val="00E11B89"/>
    <w:rsid w:val="00E11BD9"/>
    <w:rsid w:val="00E1395A"/>
    <w:rsid w:val="00E15CE1"/>
    <w:rsid w:val="00E16021"/>
    <w:rsid w:val="00E16703"/>
    <w:rsid w:val="00E216D0"/>
    <w:rsid w:val="00E25B8B"/>
    <w:rsid w:val="00E25FDA"/>
    <w:rsid w:val="00E26CEE"/>
    <w:rsid w:val="00E3069B"/>
    <w:rsid w:val="00E345B1"/>
    <w:rsid w:val="00E355EE"/>
    <w:rsid w:val="00E42F84"/>
    <w:rsid w:val="00E4402F"/>
    <w:rsid w:val="00E45F94"/>
    <w:rsid w:val="00E523CD"/>
    <w:rsid w:val="00E52B44"/>
    <w:rsid w:val="00E52BA0"/>
    <w:rsid w:val="00E61239"/>
    <w:rsid w:val="00E66429"/>
    <w:rsid w:val="00E74E2C"/>
    <w:rsid w:val="00E75F39"/>
    <w:rsid w:val="00E75F6B"/>
    <w:rsid w:val="00E92F59"/>
    <w:rsid w:val="00EA2EBC"/>
    <w:rsid w:val="00EA30B4"/>
    <w:rsid w:val="00EA6559"/>
    <w:rsid w:val="00EA6C6E"/>
    <w:rsid w:val="00EB228F"/>
    <w:rsid w:val="00EB2A40"/>
    <w:rsid w:val="00EC095C"/>
    <w:rsid w:val="00EC259F"/>
    <w:rsid w:val="00EC47E3"/>
    <w:rsid w:val="00EC6323"/>
    <w:rsid w:val="00ED2EFE"/>
    <w:rsid w:val="00ED6A31"/>
    <w:rsid w:val="00ED7383"/>
    <w:rsid w:val="00EE4C7B"/>
    <w:rsid w:val="00EE5FC4"/>
    <w:rsid w:val="00EE63AE"/>
    <w:rsid w:val="00EF3BF8"/>
    <w:rsid w:val="00EF45E6"/>
    <w:rsid w:val="00EF4F9D"/>
    <w:rsid w:val="00F00F06"/>
    <w:rsid w:val="00F06261"/>
    <w:rsid w:val="00F1364E"/>
    <w:rsid w:val="00F148EC"/>
    <w:rsid w:val="00F20271"/>
    <w:rsid w:val="00F2111F"/>
    <w:rsid w:val="00F25E7E"/>
    <w:rsid w:val="00F27088"/>
    <w:rsid w:val="00F31E35"/>
    <w:rsid w:val="00F32954"/>
    <w:rsid w:val="00F370F9"/>
    <w:rsid w:val="00F42CF3"/>
    <w:rsid w:val="00F469C4"/>
    <w:rsid w:val="00F503ED"/>
    <w:rsid w:val="00F55F2F"/>
    <w:rsid w:val="00F60031"/>
    <w:rsid w:val="00F6026F"/>
    <w:rsid w:val="00F63B22"/>
    <w:rsid w:val="00F63E64"/>
    <w:rsid w:val="00F76AA4"/>
    <w:rsid w:val="00F76C2A"/>
    <w:rsid w:val="00F77121"/>
    <w:rsid w:val="00F839E2"/>
    <w:rsid w:val="00F858E0"/>
    <w:rsid w:val="00FA053D"/>
    <w:rsid w:val="00FA5259"/>
    <w:rsid w:val="00FA5C28"/>
    <w:rsid w:val="00FA7DA7"/>
    <w:rsid w:val="00FB0F87"/>
    <w:rsid w:val="00FB17D4"/>
    <w:rsid w:val="00FB7551"/>
    <w:rsid w:val="00FC0CB0"/>
    <w:rsid w:val="00FC1D3E"/>
    <w:rsid w:val="00FC2545"/>
    <w:rsid w:val="00FC2B80"/>
    <w:rsid w:val="00FC370E"/>
    <w:rsid w:val="00FC52DF"/>
    <w:rsid w:val="00FD2BFB"/>
    <w:rsid w:val="00FD3F7E"/>
    <w:rsid w:val="00FE1C80"/>
    <w:rsid w:val="00FE4D79"/>
    <w:rsid w:val="00FE65CF"/>
    <w:rsid w:val="00FF110F"/>
    <w:rsid w:val="00FF79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A3799"/>
  <w15:docId w15:val="{4D6EC18A-124B-4C8A-BCF8-D9DB9F0AF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character" w:styleId="FollowedHyperlink">
    <w:name w:val="FollowedHyperlink"/>
    <w:uiPriority w:val="99"/>
    <w:semiHidden/>
    <w:unhideWhenUsed/>
    <w:rsid w:val="00460DE4"/>
    <w:rPr>
      <w:color w:val="800080"/>
      <w:u w:val="single"/>
    </w:rPr>
  </w:style>
  <w:style w:type="paragraph" w:styleId="ListParagraph">
    <w:name w:val="List Paragraph"/>
    <w:basedOn w:val="Normal"/>
    <w:uiPriority w:val="34"/>
    <w:qFormat/>
    <w:rsid w:val="00460DE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EA6559"/>
    <w:rPr>
      <w:rFonts w:ascii="Tahoma" w:hAnsi="Tahoma" w:cs="Tahoma"/>
      <w:sz w:val="16"/>
      <w:szCs w:val="16"/>
    </w:rPr>
  </w:style>
  <w:style w:type="character" w:customStyle="1" w:styleId="BalloonTextChar">
    <w:name w:val="Balloon Text Char"/>
    <w:link w:val="BalloonText"/>
    <w:uiPriority w:val="99"/>
    <w:semiHidden/>
    <w:rsid w:val="00EA6559"/>
    <w:rPr>
      <w:rFonts w:ascii="Tahoma" w:hAnsi="Tahoma" w:cs="Tahoma"/>
      <w:sz w:val="16"/>
      <w:szCs w:val="16"/>
    </w:rPr>
  </w:style>
  <w:style w:type="table" w:styleId="TableGrid">
    <w:name w:val="Table Grid"/>
    <w:basedOn w:val="TableNormal"/>
    <w:uiPriority w:val="59"/>
    <w:rsid w:val="005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523CD"/>
    <w:rPr>
      <w:sz w:val="16"/>
      <w:szCs w:val="16"/>
    </w:rPr>
  </w:style>
  <w:style w:type="paragraph" w:styleId="CommentText">
    <w:name w:val="annotation text"/>
    <w:basedOn w:val="Normal"/>
    <w:link w:val="CommentTextChar"/>
    <w:uiPriority w:val="99"/>
    <w:semiHidden/>
    <w:unhideWhenUsed/>
    <w:rsid w:val="00E523CD"/>
    <w:rPr>
      <w:sz w:val="20"/>
    </w:rPr>
  </w:style>
  <w:style w:type="character" w:customStyle="1" w:styleId="CommentTextChar">
    <w:name w:val="Comment Text Char"/>
    <w:basedOn w:val="DefaultParagraphFont"/>
    <w:link w:val="CommentText"/>
    <w:uiPriority w:val="99"/>
    <w:semiHidden/>
    <w:rsid w:val="00E523CD"/>
  </w:style>
  <w:style w:type="paragraph" w:styleId="CommentSubject">
    <w:name w:val="annotation subject"/>
    <w:basedOn w:val="CommentText"/>
    <w:next w:val="CommentText"/>
    <w:link w:val="CommentSubjectChar"/>
    <w:uiPriority w:val="99"/>
    <w:semiHidden/>
    <w:unhideWhenUsed/>
    <w:rsid w:val="00E523CD"/>
    <w:rPr>
      <w:b/>
      <w:bCs/>
    </w:rPr>
  </w:style>
  <w:style w:type="character" w:customStyle="1" w:styleId="CommentSubjectChar">
    <w:name w:val="Comment Subject Char"/>
    <w:link w:val="CommentSubject"/>
    <w:uiPriority w:val="99"/>
    <w:semiHidden/>
    <w:rsid w:val="00E523CD"/>
    <w:rPr>
      <w:b/>
      <w:bCs/>
    </w:rPr>
  </w:style>
  <w:style w:type="table" w:customStyle="1" w:styleId="TableGrid1">
    <w:name w:val="Table Grid1"/>
    <w:basedOn w:val="TableNormal"/>
    <w:next w:val="TableGrid"/>
    <w:uiPriority w:val="59"/>
    <w:rsid w:val="005C6B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03F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3FD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0B6190"/>
    <w:pPr>
      <w:spacing w:after="160" w:line="240" w:lineRule="exact"/>
    </w:pPr>
    <w:rPr>
      <w:rFonts w:ascii="Verdana" w:hAnsi="Verdana"/>
      <w:b/>
      <w:sz w:val="20"/>
      <w:lang w:val="en-US" w:eastAsia="en-US"/>
    </w:rPr>
  </w:style>
  <w:style w:type="paragraph" w:customStyle="1" w:styleId="Default">
    <w:name w:val="Default"/>
    <w:rsid w:val="000B6190"/>
    <w:pPr>
      <w:autoSpaceDE w:val="0"/>
      <w:autoSpaceDN w:val="0"/>
      <w:adjustRightInd w:val="0"/>
    </w:pPr>
    <w:rPr>
      <w:rFonts w:ascii="Arial" w:eastAsia="Calibri" w:hAnsi="Arial" w:cs="Arial"/>
      <w:color w:val="000000"/>
      <w:sz w:val="24"/>
      <w:szCs w:val="24"/>
      <w:lang w:eastAsia="en-US"/>
    </w:rPr>
  </w:style>
  <w:style w:type="paragraph" w:styleId="NoSpacing">
    <w:name w:val="No Spacing"/>
    <w:uiPriority w:val="1"/>
    <w:qFormat/>
    <w:rsid w:val="009D7511"/>
    <w:rPr>
      <w:sz w:val="24"/>
    </w:rPr>
  </w:style>
  <w:style w:type="character" w:customStyle="1" w:styleId="Heading2Char">
    <w:name w:val="Heading 2 Char"/>
    <w:basedOn w:val="DefaultParagraphFont"/>
    <w:link w:val="Heading2"/>
    <w:rsid w:val="00AF60F3"/>
    <w:rPr>
      <w:sz w:val="24"/>
      <w:u w:val="single"/>
    </w:rPr>
  </w:style>
  <w:style w:type="table" w:customStyle="1" w:styleId="TableGrid12">
    <w:name w:val="Table Grid12"/>
    <w:basedOn w:val="TableNormal"/>
    <w:next w:val="TableGrid"/>
    <w:uiPriority w:val="59"/>
    <w:rsid w:val="008975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141508"/>
  </w:style>
  <w:style w:type="paragraph" w:customStyle="1" w:styleId="gmail-m-2413756141062360564msolistparagraph">
    <w:name w:val="gmail-m_-2413756141062360564msolistparagraph"/>
    <w:basedOn w:val="Normal"/>
    <w:rsid w:val="00CD357D"/>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3420">
      <w:bodyDiv w:val="1"/>
      <w:marLeft w:val="0"/>
      <w:marRight w:val="0"/>
      <w:marTop w:val="0"/>
      <w:marBottom w:val="0"/>
      <w:divBdr>
        <w:top w:val="none" w:sz="0" w:space="0" w:color="auto"/>
        <w:left w:val="none" w:sz="0" w:space="0" w:color="auto"/>
        <w:bottom w:val="none" w:sz="0" w:space="0" w:color="auto"/>
        <w:right w:val="none" w:sz="0" w:space="0" w:color="auto"/>
      </w:divBdr>
    </w:div>
    <w:div w:id="14431476">
      <w:bodyDiv w:val="1"/>
      <w:marLeft w:val="0"/>
      <w:marRight w:val="0"/>
      <w:marTop w:val="0"/>
      <w:marBottom w:val="0"/>
      <w:divBdr>
        <w:top w:val="none" w:sz="0" w:space="0" w:color="auto"/>
        <w:left w:val="none" w:sz="0" w:space="0" w:color="auto"/>
        <w:bottom w:val="none" w:sz="0" w:space="0" w:color="auto"/>
        <w:right w:val="none" w:sz="0" w:space="0" w:color="auto"/>
      </w:divBdr>
    </w:div>
    <w:div w:id="24642014">
      <w:bodyDiv w:val="1"/>
      <w:marLeft w:val="0"/>
      <w:marRight w:val="0"/>
      <w:marTop w:val="0"/>
      <w:marBottom w:val="0"/>
      <w:divBdr>
        <w:top w:val="none" w:sz="0" w:space="0" w:color="auto"/>
        <w:left w:val="none" w:sz="0" w:space="0" w:color="auto"/>
        <w:bottom w:val="none" w:sz="0" w:space="0" w:color="auto"/>
        <w:right w:val="none" w:sz="0" w:space="0" w:color="auto"/>
      </w:divBdr>
    </w:div>
    <w:div w:id="101416518">
      <w:bodyDiv w:val="1"/>
      <w:marLeft w:val="0"/>
      <w:marRight w:val="0"/>
      <w:marTop w:val="0"/>
      <w:marBottom w:val="0"/>
      <w:divBdr>
        <w:top w:val="none" w:sz="0" w:space="0" w:color="auto"/>
        <w:left w:val="none" w:sz="0" w:space="0" w:color="auto"/>
        <w:bottom w:val="none" w:sz="0" w:space="0" w:color="auto"/>
        <w:right w:val="none" w:sz="0" w:space="0" w:color="auto"/>
      </w:divBdr>
    </w:div>
    <w:div w:id="107050238">
      <w:bodyDiv w:val="1"/>
      <w:marLeft w:val="0"/>
      <w:marRight w:val="0"/>
      <w:marTop w:val="0"/>
      <w:marBottom w:val="0"/>
      <w:divBdr>
        <w:top w:val="none" w:sz="0" w:space="0" w:color="auto"/>
        <w:left w:val="none" w:sz="0" w:space="0" w:color="auto"/>
        <w:bottom w:val="none" w:sz="0" w:space="0" w:color="auto"/>
        <w:right w:val="none" w:sz="0" w:space="0" w:color="auto"/>
      </w:divBdr>
    </w:div>
    <w:div w:id="154079766">
      <w:bodyDiv w:val="1"/>
      <w:marLeft w:val="0"/>
      <w:marRight w:val="0"/>
      <w:marTop w:val="0"/>
      <w:marBottom w:val="0"/>
      <w:divBdr>
        <w:top w:val="none" w:sz="0" w:space="0" w:color="auto"/>
        <w:left w:val="none" w:sz="0" w:space="0" w:color="auto"/>
        <w:bottom w:val="none" w:sz="0" w:space="0" w:color="auto"/>
        <w:right w:val="none" w:sz="0" w:space="0" w:color="auto"/>
      </w:divBdr>
    </w:div>
    <w:div w:id="260840048">
      <w:bodyDiv w:val="1"/>
      <w:marLeft w:val="0"/>
      <w:marRight w:val="0"/>
      <w:marTop w:val="0"/>
      <w:marBottom w:val="0"/>
      <w:divBdr>
        <w:top w:val="none" w:sz="0" w:space="0" w:color="auto"/>
        <w:left w:val="none" w:sz="0" w:space="0" w:color="auto"/>
        <w:bottom w:val="none" w:sz="0" w:space="0" w:color="auto"/>
        <w:right w:val="none" w:sz="0" w:space="0" w:color="auto"/>
      </w:divBdr>
    </w:div>
    <w:div w:id="273640247">
      <w:bodyDiv w:val="1"/>
      <w:marLeft w:val="0"/>
      <w:marRight w:val="0"/>
      <w:marTop w:val="0"/>
      <w:marBottom w:val="0"/>
      <w:divBdr>
        <w:top w:val="none" w:sz="0" w:space="0" w:color="auto"/>
        <w:left w:val="none" w:sz="0" w:space="0" w:color="auto"/>
        <w:bottom w:val="none" w:sz="0" w:space="0" w:color="auto"/>
        <w:right w:val="none" w:sz="0" w:space="0" w:color="auto"/>
      </w:divBdr>
    </w:div>
    <w:div w:id="308294205">
      <w:bodyDiv w:val="1"/>
      <w:marLeft w:val="0"/>
      <w:marRight w:val="0"/>
      <w:marTop w:val="0"/>
      <w:marBottom w:val="0"/>
      <w:divBdr>
        <w:top w:val="none" w:sz="0" w:space="0" w:color="auto"/>
        <w:left w:val="none" w:sz="0" w:space="0" w:color="auto"/>
        <w:bottom w:val="none" w:sz="0" w:space="0" w:color="auto"/>
        <w:right w:val="none" w:sz="0" w:space="0" w:color="auto"/>
      </w:divBdr>
    </w:div>
    <w:div w:id="322658764">
      <w:bodyDiv w:val="1"/>
      <w:marLeft w:val="0"/>
      <w:marRight w:val="0"/>
      <w:marTop w:val="0"/>
      <w:marBottom w:val="0"/>
      <w:divBdr>
        <w:top w:val="none" w:sz="0" w:space="0" w:color="auto"/>
        <w:left w:val="none" w:sz="0" w:space="0" w:color="auto"/>
        <w:bottom w:val="none" w:sz="0" w:space="0" w:color="auto"/>
        <w:right w:val="none" w:sz="0" w:space="0" w:color="auto"/>
      </w:divBdr>
    </w:div>
    <w:div w:id="369113319">
      <w:bodyDiv w:val="1"/>
      <w:marLeft w:val="0"/>
      <w:marRight w:val="0"/>
      <w:marTop w:val="0"/>
      <w:marBottom w:val="0"/>
      <w:divBdr>
        <w:top w:val="none" w:sz="0" w:space="0" w:color="auto"/>
        <w:left w:val="none" w:sz="0" w:space="0" w:color="auto"/>
        <w:bottom w:val="none" w:sz="0" w:space="0" w:color="auto"/>
        <w:right w:val="none" w:sz="0" w:space="0" w:color="auto"/>
      </w:divBdr>
    </w:div>
    <w:div w:id="422343013">
      <w:bodyDiv w:val="1"/>
      <w:marLeft w:val="0"/>
      <w:marRight w:val="0"/>
      <w:marTop w:val="0"/>
      <w:marBottom w:val="0"/>
      <w:divBdr>
        <w:top w:val="none" w:sz="0" w:space="0" w:color="auto"/>
        <w:left w:val="none" w:sz="0" w:space="0" w:color="auto"/>
        <w:bottom w:val="none" w:sz="0" w:space="0" w:color="auto"/>
        <w:right w:val="none" w:sz="0" w:space="0" w:color="auto"/>
      </w:divBdr>
    </w:div>
    <w:div w:id="432356953">
      <w:bodyDiv w:val="1"/>
      <w:marLeft w:val="0"/>
      <w:marRight w:val="0"/>
      <w:marTop w:val="0"/>
      <w:marBottom w:val="0"/>
      <w:divBdr>
        <w:top w:val="none" w:sz="0" w:space="0" w:color="auto"/>
        <w:left w:val="none" w:sz="0" w:space="0" w:color="auto"/>
        <w:bottom w:val="none" w:sz="0" w:space="0" w:color="auto"/>
        <w:right w:val="none" w:sz="0" w:space="0" w:color="auto"/>
      </w:divBdr>
    </w:div>
    <w:div w:id="508452244">
      <w:bodyDiv w:val="1"/>
      <w:marLeft w:val="0"/>
      <w:marRight w:val="0"/>
      <w:marTop w:val="0"/>
      <w:marBottom w:val="0"/>
      <w:divBdr>
        <w:top w:val="none" w:sz="0" w:space="0" w:color="auto"/>
        <w:left w:val="none" w:sz="0" w:space="0" w:color="auto"/>
        <w:bottom w:val="none" w:sz="0" w:space="0" w:color="auto"/>
        <w:right w:val="none" w:sz="0" w:space="0" w:color="auto"/>
      </w:divBdr>
    </w:div>
    <w:div w:id="534732745">
      <w:bodyDiv w:val="1"/>
      <w:marLeft w:val="0"/>
      <w:marRight w:val="0"/>
      <w:marTop w:val="0"/>
      <w:marBottom w:val="0"/>
      <w:divBdr>
        <w:top w:val="none" w:sz="0" w:space="0" w:color="auto"/>
        <w:left w:val="none" w:sz="0" w:space="0" w:color="auto"/>
        <w:bottom w:val="none" w:sz="0" w:space="0" w:color="auto"/>
        <w:right w:val="none" w:sz="0" w:space="0" w:color="auto"/>
      </w:divBdr>
    </w:div>
    <w:div w:id="573856565">
      <w:bodyDiv w:val="1"/>
      <w:marLeft w:val="0"/>
      <w:marRight w:val="0"/>
      <w:marTop w:val="0"/>
      <w:marBottom w:val="0"/>
      <w:divBdr>
        <w:top w:val="none" w:sz="0" w:space="0" w:color="auto"/>
        <w:left w:val="none" w:sz="0" w:space="0" w:color="auto"/>
        <w:bottom w:val="none" w:sz="0" w:space="0" w:color="auto"/>
        <w:right w:val="none" w:sz="0" w:space="0" w:color="auto"/>
      </w:divBdr>
    </w:div>
    <w:div w:id="631595056">
      <w:bodyDiv w:val="1"/>
      <w:marLeft w:val="0"/>
      <w:marRight w:val="0"/>
      <w:marTop w:val="0"/>
      <w:marBottom w:val="0"/>
      <w:divBdr>
        <w:top w:val="none" w:sz="0" w:space="0" w:color="auto"/>
        <w:left w:val="none" w:sz="0" w:space="0" w:color="auto"/>
        <w:bottom w:val="none" w:sz="0" w:space="0" w:color="auto"/>
        <w:right w:val="none" w:sz="0" w:space="0" w:color="auto"/>
      </w:divBdr>
    </w:div>
    <w:div w:id="743185016">
      <w:bodyDiv w:val="1"/>
      <w:marLeft w:val="0"/>
      <w:marRight w:val="0"/>
      <w:marTop w:val="0"/>
      <w:marBottom w:val="0"/>
      <w:divBdr>
        <w:top w:val="none" w:sz="0" w:space="0" w:color="auto"/>
        <w:left w:val="none" w:sz="0" w:space="0" w:color="auto"/>
        <w:bottom w:val="none" w:sz="0" w:space="0" w:color="auto"/>
        <w:right w:val="none" w:sz="0" w:space="0" w:color="auto"/>
      </w:divBdr>
      <w:divsChild>
        <w:div w:id="995650879">
          <w:marLeft w:val="0"/>
          <w:marRight w:val="0"/>
          <w:marTop w:val="0"/>
          <w:marBottom w:val="0"/>
          <w:divBdr>
            <w:top w:val="none" w:sz="0" w:space="0" w:color="auto"/>
            <w:left w:val="none" w:sz="0" w:space="0" w:color="auto"/>
            <w:bottom w:val="none" w:sz="0" w:space="0" w:color="auto"/>
            <w:right w:val="none" w:sz="0" w:space="0" w:color="auto"/>
          </w:divBdr>
          <w:divsChild>
            <w:div w:id="640116501">
              <w:marLeft w:val="0"/>
              <w:marRight w:val="0"/>
              <w:marTop w:val="0"/>
              <w:marBottom w:val="0"/>
              <w:divBdr>
                <w:top w:val="none" w:sz="0" w:space="0" w:color="auto"/>
                <w:left w:val="none" w:sz="0" w:space="0" w:color="auto"/>
                <w:bottom w:val="none" w:sz="0" w:space="0" w:color="auto"/>
                <w:right w:val="none" w:sz="0" w:space="0" w:color="auto"/>
              </w:divBdr>
              <w:divsChild>
                <w:div w:id="774251220">
                  <w:marLeft w:val="0"/>
                  <w:marRight w:val="0"/>
                  <w:marTop w:val="0"/>
                  <w:marBottom w:val="0"/>
                  <w:divBdr>
                    <w:top w:val="none" w:sz="0" w:space="0" w:color="auto"/>
                    <w:left w:val="none" w:sz="0" w:space="0" w:color="auto"/>
                    <w:bottom w:val="none" w:sz="0" w:space="0" w:color="auto"/>
                    <w:right w:val="none" w:sz="0" w:space="0" w:color="auto"/>
                  </w:divBdr>
                  <w:divsChild>
                    <w:div w:id="1190100975">
                      <w:marLeft w:val="0"/>
                      <w:marRight w:val="0"/>
                      <w:marTop w:val="0"/>
                      <w:marBottom w:val="0"/>
                      <w:divBdr>
                        <w:top w:val="none" w:sz="0" w:space="0" w:color="auto"/>
                        <w:left w:val="none" w:sz="0" w:space="0" w:color="auto"/>
                        <w:bottom w:val="none" w:sz="0" w:space="0" w:color="auto"/>
                        <w:right w:val="none" w:sz="0" w:space="0" w:color="auto"/>
                      </w:divBdr>
                      <w:divsChild>
                        <w:div w:id="1226839420">
                          <w:marLeft w:val="0"/>
                          <w:marRight w:val="0"/>
                          <w:marTop w:val="0"/>
                          <w:marBottom w:val="0"/>
                          <w:divBdr>
                            <w:top w:val="none" w:sz="0" w:space="0" w:color="auto"/>
                            <w:left w:val="none" w:sz="0" w:space="0" w:color="auto"/>
                            <w:bottom w:val="none" w:sz="0" w:space="0" w:color="auto"/>
                            <w:right w:val="none" w:sz="0" w:space="0" w:color="auto"/>
                          </w:divBdr>
                          <w:divsChild>
                            <w:div w:id="1475440970">
                              <w:marLeft w:val="0"/>
                              <w:marRight w:val="0"/>
                              <w:marTop w:val="0"/>
                              <w:marBottom w:val="0"/>
                              <w:divBdr>
                                <w:top w:val="none" w:sz="0" w:space="0" w:color="auto"/>
                                <w:left w:val="none" w:sz="0" w:space="0" w:color="auto"/>
                                <w:bottom w:val="none" w:sz="0" w:space="0" w:color="auto"/>
                                <w:right w:val="none" w:sz="0" w:space="0" w:color="auto"/>
                              </w:divBdr>
                              <w:divsChild>
                                <w:div w:id="818182722">
                                  <w:marLeft w:val="0"/>
                                  <w:marRight w:val="0"/>
                                  <w:marTop w:val="0"/>
                                  <w:marBottom w:val="0"/>
                                  <w:divBdr>
                                    <w:top w:val="none" w:sz="0" w:space="0" w:color="auto"/>
                                    <w:left w:val="none" w:sz="0" w:space="0" w:color="auto"/>
                                    <w:bottom w:val="none" w:sz="0" w:space="0" w:color="auto"/>
                                    <w:right w:val="none" w:sz="0" w:space="0" w:color="auto"/>
                                  </w:divBdr>
                                  <w:divsChild>
                                    <w:div w:id="58214249">
                                      <w:marLeft w:val="-225"/>
                                      <w:marRight w:val="-225"/>
                                      <w:marTop w:val="0"/>
                                      <w:marBottom w:val="0"/>
                                      <w:divBdr>
                                        <w:top w:val="none" w:sz="0" w:space="0" w:color="auto"/>
                                        <w:left w:val="none" w:sz="0" w:space="0" w:color="auto"/>
                                        <w:bottom w:val="none" w:sz="0" w:space="0" w:color="auto"/>
                                        <w:right w:val="none" w:sz="0" w:space="0" w:color="auto"/>
                                      </w:divBdr>
                                      <w:divsChild>
                                        <w:div w:id="783502321">
                                          <w:marLeft w:val="0"/>
                                          <w:marRight w:val="0"/>
                                          <w:marTop w:val="0"/>
                                          <w:marBottom w:val="0"/>
                                          <w:divBdr>
                                            <w:top w:val="none" w:sz="0" w:space="0" w:color="auto"/>
                                            <w:left w:val="none" w:sz="0" w:space="0" w:color="auto"/>
                                            <w:bottom w:val="none" w:sz="0" w:space="0" w:color="auto"/>
                                            <w:right w:val="none" w:sz="0" w:space="0" w:color="auto"/>
                                          </w:divBdr>
                                          <w:divsChild>
                                            <w:div w:id="596064421">
                                              <w:marLeft w:val="0"/>
                                              <w:marRight w:val="0"/>
                                              <w:marTop w:val="0"/>
                                              <w:marBottom w:val="450"/>
                                              <w:divBdr>
                                                <w:top w:val="none" w:sz="0" w:space="0" w:color="auto"/>
                                                <w:left w:val="none" w:sz="0" w:space="0" w:color="auto"/>
                                                <w:bottom w:val="none" w:sz="0" w:space="0" w:color="auto"/>
                                                <w:right w:val="none" w:sz="0" w:space="0" w:color="auto"/>
                                              </w:divBdr>
                                              <w:divsChild>
                                                <w:div w:id="376395216">
                                                  <w:marLeft w:val="0"/>
                                                  <w:marRight w:val="0"/>
                                                  <w:marTop w:val="0"/>
                                                  <w:marBottom w:val="75"/>
                                                  <w:divBdr>
                                                    <w:top w:val="none" w:sz="0" w:space="0" w:color="auto"/>
                                                    <w:left w:val="none" w:sz="0" w:space="0" w:color="auto"/>
                                                    <w:bottom w:val="none" w:sz="0" w:space="0" w:color="auto"/>
                                                    <w:right w:val="none" w:sz="0" w:space="0" w:color="auto"/>
                                                  </w:divBdr>
                                                  <w:divsChild>
                                                    <w:div w:id="18991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6746344">
      <w:bodyDiv w:val="1"/>
      <w:marLeft w:val="0"/>
      <w:marRight w:val="0"/>
      <w:marTop w:val="0"/>
      <w:marBottom w:val="0"/>
      <w:divBdr>
        <w:top w:val="none" w:sz="0" w:space="0" w:color="auto"/>
        <w:left w:val="none" w:sz="0" w:space="0" w:color="auto"/>
        <w:bottom w:val="none" w:sz="0" w:space="0" w:color="auto"/>
        <w:right w:val="none" w:sz="0" w:space="0" w:color="auto"/>
      </w:divBdr>
    </w:div>
    <w:div w:id="944724699">
      <w:bodyDiv w:val="1"/>
      <w:marLeft w:val="0"/>
      <w:marRight w:val="0"/>
      <w:marTop w:val="0"/>
      <w:marBottom w:val="0"/>
      <w:divBdr>
        <w:top w:val="none" w:sz="0" w:space="0" w:color="auto"/>
        <w:left w:val="none" w:sz="0" w:space="0" w:color="auto"/>
        <w:bottom w:val="none" w:sz="0" w:space="0" w:color="auto"/>
        <w:right w:val="none" w:sz="0" w:space="0" w:color="auto"/>
      </w:divBdr>
    </w:div>
    <w:div w:id="963193837">
      <w:bodyDiv w:val="1"/>
      <w:marLeft w:val="0"/>
      <w:marRight w:val="0"/>
      <w:marTop w:val="0"/>
      <w:marBottom w:val="0"/>
      <w:divBdr>
        <w:top w:val="none" w:sz="0" w:space="0" w:color="auto"/>
        <w:left w:val="none" w:sz="0" w:space="0" w:color="auto"/>
        <w:bottom w:val="none" w:sz="0" w:space="0" w:color="auto"/>
        <w:right w:val="none" w:sz="0" w:space="0" w:color="auto"/>
      </w:divBdr>
    </w:div>
    <w:div w:id="965308548">
      <w:bodyDiv w:val="1"/>
      <w:marLeft w:val="0"/>
      <w:marRight w:val="0"/>
      <w:marTop w:val="0"/>
      <w:marBottom w:val="0"/>
      <w:divBdr>
        <w:top w:val="none" w:sz="0" w:space="0" w:color="auto"/>
        <w:left w:val="none" w:sz="0" w:space="0" w:color="auto"/>
        <w:bottom w:val="none" w:sz="0" w:space="0" w:color="auto"/>
        <w:right w:val="none" w:sz="0" w:space="0" w:color="auto"/>
      </w:divBdr>
    </w:div>
    <w:div w:id="1078988741">
      <w:bodyDiv w:val="1"/>
      <w:marLeft w:val="0"/>
      <w:marRight w:val="0"/>
      <w:marTop w:val="0"/>
      <w:marBottom w:val="0"/>
      <w:divBdr>
        <w:top w:val="none" w:sz="0" w:space="0" w:color="auto"/>
        <w:left w:val="none" w:sz="0" w:space="0" w:color="auto"/>
        <w:bottom w:val="none" w:sz="0" w:space="0" w:color="auto"/>
        <w:right w:val="none" w:sz="0" w:space="0" w:color="auto"/>
      </w:divBdr>
    </w:div>
    <w:div w:id="1134644174">
      <w:bodyDiv w:val="1"/>
      <w:marLeft w:val="0"/>
      <w:marRight w:val="0"/>
      <w:marTop w:val="0"/>
      <w:marBottom w:val="0"/>
      <w:divBdr>
        <w:top w:val="none" w:sz="0" w:space="0" w:color="auto"/>
        <w:left w:val="none" w:sz="0" w:space="0" w:color="auto"/>
        <w:bottom w:val="none" w:sz="0" w:space="0" w:color="auto"/>
        <w:right w:val="none" w:sz="0" w:space="0" w:color="auto"/>
      </w:divBdr>
    </w:div>
    <w:div w:id="1495100710">
      <w:bodyDiv w:val="1"/>
      <w:marLeft w:val="0"/>
      <w:marRight w:val="0"/>
      <w:marTop w:val="0"/>
      <w:marBottom w:val="0"/>
      <w:divBdr>
        <w:top w:val="none" w:sz="0" w:space="0" w:color="auto"/>
        <w:left w:val="none" w:sz="0" w:space="0" w:color="auto"/>
        <w:bottom w:val="none" w:sz="0" w:space="0" w:color="auto"/>
        <w:right w:val="none" w:sz="0" w:space="0" w:color="auto"/>
      </w:divBdr>
    </w:div>
    <w:div w:id="1696419892">
      <w:bodyDiv w:val="1"/>
      <w:marLeft w:val="0"/>
      <w:marRight w:val="0"/>
      <w:marTop w:val="0"/>
      <w:marBottom w:val="0"/>
      <w:divBdr>
        <w:top w:val="none" w:sz="0" w:space="0" w:color="auto"/>
        <w:left w:val="none" w:sz="0" w:space="0" w:color="auto"/>
        <w:bottom w:val="none" w:sz="0" w:space="0" w:color="auto"/>
        <w:right w:val="none" w:sz="0" w:space="0" w:color="auto"/>
      </w:divBdr>
    </w:div>
    <w:div w:id="1696804777">
      <w:bodyDiv w:val="1"/>
      <w:marLeft w:val="0"/>
      <w:marRight w:val="0"/>
      <w:marTop w:val="0"/>
      <w:marBottom w:val="0"/>
      <w:divBdr>
        <w:top w:val="none" w:sz="0" w:space="0" w:color="auto"/>
        <w:left w:val="none" w:sz="0" w:space="0" w:color="auto"/>
        <w:bottom w:val="none" w:sz="0" w:space="0" w:color="auto"/>
        <w:right w:val="none" w:sz="0" w:space="0" w:color="auto"/>
      </w:divBdr>
    </w:div>
    <w:div w:id="1724712928">
      <w:bodyDiv w:val="1"/>
      <w:marLeft w:val="0"/>
      <w:marRight w:val="0"/>
      <w:marTop w:val="0"/>
      <w:marBottom w:val="0"/>
      <w:divBdr>
        <w:top w:val="none" w:sz="0" w:space="0" w:color="auto"/>
        <w:left w:val="none" w:sz="0" w:space="0" w:color="auto"/>
        <w:bottom w:val="none" w:sz="0" w:space="0" w:color="auto"/>
        <w:right w:val="none" w:sz="0" w:space="0" w:color="auto"/>
      </w:divBdr>
      <w:divsChild>
        <w:div w:id="877164909">
          <w:marLeft w:val="0"/>
          <w:marRight w:val="0"/>
          <w:marTop w:val="0"/>
          <w:marBottom w:val="0"/>
          <w:divBdr>
            <w:top w:val="none" w:sz="0" w:space="0" w:color="auto"/>
            <w:left w:val="none" w:sz="0" w:space="0" w:color="auto"/>
            <w:bottom w:val="none" w:sz="0" w:space="0" w:color="auto"/>
            <w:right w:val="none" w:sz="0" w:space="0" w:color="auto"/>
          </w:divBdr>
          <w:divsChild>
            <w:div w:id="1160578383">
              <w:marLeft w:val="0"/>
              <w:marRight w:val="0"/>
              <w:marTop w:val="0"/>
              <w:marBottom w:val="0"/>
              <w:divBdr>
                <w:top w:val="none" w:sz="0" w:space="0" w:color="auto"/>
                <w:left w:val="none" w:sz="0" w:space="0" w:color="auto"/>
                <w:bottom w:val="none" w:sz="0" w:space="0" w:color="auto"/>
                <w:right w:val="none" w:sz="0" w:space="0" w:color="auto"/>
              </w:divBdr>
              <w:divsChild>
                <w:div w:id="648747115">
                  <w:marLeft w:val="0"/>
                  <w:marRight w:val="0"/>
                  <w:marTop w:val="0"/>
                  <w:marBottom w:val="0"/>
                  <w:divBdr>
                    <w:top w:val="none" w:sz="0" w:space="0" w:color="auto"/>
                    <w:left w:val="none" w:sz="0" w:space="0" w:color="auto"/>
                    <w:bottom w:val="none" w:sz="0" w:space="0" w:color="auto"/>
                    <w:right w:val="none" w:sz="0" w:space="0" w:color="auto"/>
                  </w:divBdr>
                  <w:divsChild>
                    <w:div w:id="53893841">
                      <w:marLeft w:val="0"/>
                      <w:marRight w:val="0"/>
                      <w:marTop w:val="0"/>
                      <w:marBottom w:val="0"/>
                      <w:divBdr>
                        <w:top w:val="none" w:sz="0" w:space="0" w:color="auto"/>
                        <w:left w:val="none" w:sz="0" w:space="0" w:color="auto"/>
                        <w:bottom w:val="none" w:sz="0" w:space="0" w:color="auto"/>
                        <w:right w:val="none" w:sz="0" w:space="0" w:color="auto"/>
                      </w:divBdr>
                      <w:divsChild>
                        <w:div w:id="289239485">
                          <w:marLeft w:val="0"/>
                          <w:marRight w:val="0"/>
                          <w:marTop w:val="0"/>
                          <w:marBottom w:val="0"/>
                          <w:divBdr>
                            <w:top w:val="none" w:sz="0" w:space="0" w:color="auto"/>
                            <w:left w:val="none" w:sz="0" w:space="0" w:color="auto"/>
                            <w:bottom w:val="none" w:sz="0" w:space="0" w:color="auto"/>
                            <w:right w:val="none" w:sz="0" w:space="0" w:color="auto"/>
                          </w:divBdr>
                          <w:divsChild>
                            <w:div w:id="397557097">
                              <w:marLeft w:val="0"/>
                              <w:marRight w:val="0"/>
                              <w:marTop w:val="0"/>
                              <w:marBottom w:val="0"/>
                              <w:divBdr>
                                <w:top w:val="none" w:sz="0" w:space="0" w:color="auto"/>
                                <w:left w:val="none" w:sz="0" w:space="0" w:color="auto"/>
                                <w:bottom w:val="none" w:sz="0" w:space="0" w:color="auto"/>
                                <w:right w:val="none" w:sz="0" w:space="0" w:color="auto"/>
                              </w:divBdr>
                              <w:divsChild>
                                <w:div w:id="1268732707">
                                  <w:marLeft w:val="0"/>
                                  <w:marRight w:val="0"/>
                                  <w:marTop w:val="0"/>
                                  <w:marBottom w:val="0"/>
                                  <w:divBdr>
                                    <w:top w:val="none" w:sz="0" w:space="0" w:color="auto"/>
                                    <w:left w:val="none" w:sz="0" w:space="0" w:color="auto"/>
                                    <w:bottom w:val="none" w:sz="0" w:space="0" w:color="auto"/>
                                    <w:right w:val="none" w:sz="0" w:space="0" w:color="auto"/>
                                  </w:divBdr>
                                  <w:divsChild>
                                    <w:div w:id="250702824">
                                      <w:marLeft w:val="0"/>
                                      <w:marRight w:val="0"/>
                                      <w:marTop w:val="0"/>
                                      <w:marBottom w:val="0"/>
                                      <w:divBdr>
                                        <w:top w:val="none" w:sz="0" w:space="0" w:color="auto"/>
                                        <w:left w:val="none" w:sz="0" w:space="0" w:color="auto"/>
                                        <w:bottom w:val="none" w:sz="0" w:space="0" w:color="auto"/>
                                        <w:right w:val="none" w:sz="0" w:space="0" w:color="auto"/>
                                      </w:divBdr>
                                      <w:divsChild>
                                        <w:div w:id="1826504976">
                                          <w:marLeft w:val="0"/>
                                          <w:marRight w:val="0"/>
                                          <w:marTop w:val="0"/>
                                          <w:marBottom w:val="0"/>
                                          <w:divBdr>
                                            <w:top w:val="none" w:sz="0" w:space="0" w:color="auto"/>
                                            <w:left w:val="none" w:sz="0" w:space="0" w:color="auto"/>
                                            <w:bottom w:val="none" w:sz="0" w:space="0" w:color="auto"/>
                                            <w:right w:val="none" w:sz="0" w:space="0" w:color="auto"/>
                                          </w:divBdr>
                                          <w:divsChild>
                                            <w:div w:id="36900427">
                                              <w:marLeft w:val="0"/>
                                              <w:marRight w:val="0"/>
                                              <w:marTop w:val="0"/>
                                              <w:marBottom w:val="0"/>
                                              <w:divBdr>
                                                <w:top w:val="none" w:sz="0" w:space="0" w:color="auto"/>
                                                <w:left w:val="none" w:sz="0" w:space="0" w:color="auto"/>
                                                <w:bottom w:val="none" w:sz="0" w:space="0" w:color="auto"/>
                                                <w:right w:val="none" w:sz="0" w:space="0" w:color="auto"/>
                                              </w:divBdr>
                                              <w:divsChild>
                                                <w:div w:id="230627853">
                                                  <w:marLeft w:val="0"/>
                                                  <w:marRight w:val="0"/>
                                                  <w:marTop w:val="0"/>
                                                  <w:marBottom w:val="0"/>
                                                  <w:divBdr>
                                                    <w:top w:val="none" w:sz="0" w:space="0" w:color="auto"/>
                                                    <w:left w:val="none" w:sz="0" w:space="0" w:color="auto"/>
                                                    <w:bottom w:val="none" w:sz="0" w:space="0" w:color="auto"/>
                                                    <w:right w:val="none" w:sz="0" w:space="0" w:color="auto"/>
                                                  </w:divBdr>
                                                  <w:divsChild>
                                                    <w:div w:id="479228679">
                                                      <w:marLeft w:val="0"/>
                                                      <w:marRight w:val="0"/>
                                                      <w:marTop w:val="0"/>
                                                      <w:marBottom w:val="0"/>
                                                      <w:divBdr>
                                                        <w:top w:val="none" w:sz="0" w:space="0" w:color="auto"/>
                                                        <w:left w:val="none" w:sz="0" w:space="0" w:color="auto"/>
                                                        <w:bottom w:val="none" w:sz="0" w:space="0" w:color="auto"/>
                                                        <w:right w:val="none" w:sz="0" w:space="0" w:color="auto"/>
                                                      </w:divBdr>
                                                      <w:divsChild>
                                                        <w:div w:id="1143890972">
                                                          <w:marLeft w:val="0"/>
                                                          <w:marRight w:val="0"/>
                                                          <w:marTop w:val="0"/>
                                                          <w:marBottom w:val="0"/>
                                                          <w:divBdr>
                                                            <w:top w:val="none" w:sz="0" w:space="0" w:color="auto"/>
                                                            <w:left w:val="none" w:sz="0" w:space="0" w:color="auto"/>
                                                            <w:bottom w:val="none" w:sz="0" w:space="0" w:color="auto"/>
                                                            <w:right w:val="none" w:sz="0" w:space="0" w:color="auto"/>
                                                          </w:divBdr>
                                                          <w:divsChild>
                                                            <w:div w:id="50690008">
                                                              <w:marLeft w:val="0"/>
                                                              <w:marRight w:val="0"/>
                                                              <w:marTop w:val="0"/>
                                                              <w:marBottom w:val="0"/>
                                                              <w:divBdr>
                                                                <w:top w:val="none" w:sz="0" w:space="0" w:color="auto"/>
                                                                <w:left w:val="none" w:sz="0" w:space="0" w:color="auto"/>
                                                                <w:bottom w:val="none" w:sz="0" w:space="0" w:color="auto"/>
                                                                <w:right w:val="none" w:sz="0" w:space="0" w:color="auto"/>
                                                              </w:divBdr>
                                                              <w:divsChild>
                                                                <w:div w:id="19722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3628">
                                                          <w:marLeft w:val="0"/>
                                                          <w:marRight w:val="0"/>
                                                          <w:marTop w:val="0"/>
                                                          <w:marBottom w:val="0"/>
                                                          <w:divBdr>
                                                            <w:top w:val="none" w:sz="0" w:space="0" w:color="auto"/>
                                                            <w:left w:val="none" w:sz="0" w:space="0" w:color="auto"/>
                                                            <w:bottom w:val="none" w:sz="0" w:space="0" w:color="auto"/>
                                                            <w:right w:val="none" w:sz="0" w:space="0" w:color="auto"/>
                                                          </w:divBdr>
                                                          <w:divsChild>
                                                            <w:div w:id="7367657">
                                                              <w:marLeft w:val="0"/>
                                                              <w:marRight w:val="0"/>
                                                              <w:marTop w:val="0"/>
                                                              <w:marBottom w:val="0"/>
                                                              <w:divBdr>
                                                                <w:top w:val="none" w:sz="0" w:space="0" w:color="auto"/>
                                                                <w:left w:val="none" w:sz="0" w:space="0" w:color="auto"/>
                                                                <w:bottom w:val="none" w:sz="0" w:space="0" w:color="auto"/>
                                                                <w:right w:val="none" w:sz="0" w:space="0" w:color="auto"/>
                                                              </w:divBdr>
                                                              <w:divsChild>
                                                                <w:div w:id="7261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96680">
                                                          <w:marLeft w:val="0"/>
                                                          <w:marRight w:val="0"/>
                                                          <w:marTop w:val="0"/>
                                                          <w:marBottom w:val="0"/>
                                                          <w:divBdr>
                                                            <w:top w:val="none" w:sz="0" w:space="0" w:color="auto"/>
                                                            <w:left w:val="none" w:sz="0" w:space="0" w:color="auto"/>
                                                            <w:bottom w:val="none" w:sz="0" w:space="0" w:color="auto"/>
                                                            <w:right w:val="none" w:sz="0" w:space="0" w:color="auto"/>
                                                          </w:divBdr>
                                                          <w:divsChild>
                                                            <w:div w:id="1625041398">
                                                              <w:marLeft w:val="0"/>
                                                              <w:marRight w:val="0"/>
                                                              <w:marTop w:val="0"/>
                                                              <w:marBottom w:val="0"/>
                                                              <w:divBdr>
                                                                <w:top w:val="none" w:sz="0" w:space="0" w:color="auto"/>
                                                                <w:left w:val="none" w:sz="0" w:space="0" w:color="auto"/>
                                                                <w:bottom w:val="none" w:sz="0" w:space="0" w:color="auto"/>
                                                                <w:right w:val="none" w:sz="0" w:space="0" w:color="auto"/>
                                                              </w:divBdr>
                                                              <w:divsChild>
                                                                <w:div w:id="115376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0507">
                                                          <w:marLeft w:val="0"/>
                                                          <w:marRight w:val="0"/>
                                                          <w:marTop w:val="0"/>
                                                          <w:marBottom w:val="0"/>
                                                          <w:divBdr>
                                                            <w:top w:val="none" w:sz="0" w:space="0" w:color="auto"/>
                                                            <w:left w:val="none" w:sz="0" w:space="0" w:color="auto"/>
                                                            <w:bottom w:val="none" w:sz="0" w:space="0" w:color="auto"/>
                                                            <w:right w:val="none" w:sz="0" w:space="0" w:color="auto"/>
                                                          </w:divBdr>
                                                          <w:divsChild>
                                                            <w:div w:id="9466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3720332">
      <w:bodyDiv w:val="1"/>
      <w:marLeft w:val="0"/>
      <w:marRight w:val="0"/>
      <w:marTop w:val="0"/>
      <w:marBottom w:val="0"/>
      <w:divBdr>
        <w:top w:val="none" w:sz="0" w:space="0" w:color="auto"/>
        <w:left w:val="none" w:sz="0" w:space="0" w:color="auto"/>
        <w:bottom w:val="none" w:sz="0" w:space="0" w:color="auto"/>
        <w:right w:val="none" w:sz="0" w:space="0" w:color="auto"/>
      </w:divBdr>
    </w:div>
    <w:div w:id="1775200755">
      <w:bodyDiv w:val="1"/>
      <w:marLeft w:val="0"/>
      <w:marRight w:val="0"/>
      <w:marTop w:val="0"/>
      <w:marBottom w:val="0"/>
      <w:divBdr>
        <w:top w:val="none" w:sz="0" w:space="0" w:color="auto"/>
        <w:left w:val="none" w:sz="0" w:space="0" w:color="auto"/>
        <w:bottom w:val="none" w:sz="0" w:space="0" w:color="auto"/>
        <w:right w:val="none" w:sz="0" w:space="0" w:color="auto"/>
      </w:divBdr>
    </w:div>
    <w:div w:id="1846555998">
      <w:bodyDiv w:val="1"/>
      <w:marLeft w:val="0"/>
      <w:marRight w:val="0"/>
      <w:marTop w:val="0"/>
      <w:marBottom w:val="0"/>
      <w:divBdr>
        <w:top w:val="none" w:sz="0" w:space="0" w:color="auto"/>
        <w:left w:val="none" w:sz="0" w:space="0" w:color="auto"/>
        <w:bottom w:val="none" w:sz="0" w:space="0" w:color="auto"/>
        <w:right w:val="none" w:sz="0" w:space="0" w:color="auto"/>
      </w:divBdr>
    </w:div>
    <w:div w:id="1914199858">
      <w:bodyDiv w:val="1"/>
      <w:marLeft w:val="0"/>
      <w:marRight w:val="0"/>
      <w:marTop w:val="0"/>
      <w:marBottom w:val="0"/>
      <w:divBdr>
        <w:top w:val="none" w:sz="0" w:space="0" w:color="auto"/>
        <w:left w:val="none" w:sz="0" w:space="0" w:color="auto"/>
        <w:bottom w:val="none" w:sz="0" w:space="0" w:color="auto"/>
        <w:right w:val="none" w:sz="0" w:space="0" w:color="auto"/>
      </w:divBdr>
    </w:div>
    <w:div w:id="2027175744">
      <w:bodyDiv w:val="1"/>
      <w:marLeft w:val="0"/>
      <w:marRight w:val="0"/>
      <w:marTop w:val="0"/>
      <w:marBottom w:val="0"/>
      <w:divBdr>
        <w:top w:val="none" w:sz="0" w:space="0" w:color="auto"/>
        <w:left w:val="none" w:sz="0" w:space="0" w:color="auto"/>
        <w:bottom w:val="none" w:sz="0" w:space="0" w:color="auto"/>
        <w:right w:val="none" w:sz="0" w:space="0" w:color="auto"/>
      </w:divBdr>
    </w:div>
    <w:div w:id="204906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21A08-1E96-4E77-B9A8-BEFE35424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5</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Hendry</cp:lastModifiedBy>
  <cp:revision>10</cp:revision>
  <cp:lastPrinted>2019-11-25T12:09:00Z</cp:lastPrinted>
  <dcterms:created xsi:type="dcterms:W3CDTF">2019-11-18T12:26:00Z</dcterms:created>
  <dcterms:modified xsi:type="dcterms:W3CDTF">2019-12-02T13:07:00Z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-2102732883</vt:i4>
  </property>
  <property fmtid="{D5CDD505-2E9C-101B-9397-08002B2CF9AE}" pid="3" name="_NewReviewCycle">
    <vt:lpwstr/>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-2102732883</vt:i4>
  </property>
</Properties>
</file>