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89449E" w:rsidTr="00DE1E6C">
        <w:trPr>
          <w:cantSplit/>
          <w:trHeight w:val="993"/>
        </w:trPr>
        <w:tc>
          <w:tcPr>
            <w:tcW w:w="6629"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A31759" w:rsidP="002B7DC4">
            <w:pPr>
              <w:pStyle w:val="BodyText"/>
              <w:jc w:val="left"/>
              <w:rPr>
                <w:rFonts w:ascii="Arial" w:hAnsi="Arial" w:cs="Arial"/>
                <w:szCs w:val="24"/>
              </w:rPr>
            </w:pPr>
            <w:r>
              <w:rPr>
                <w:rFonts w:ascii="Arial" w:hAnsi="Arial" w:cs="Arial"/>
                <w:szCs w:val="24"/>
              </w:rPr>
              <w:t>19</w:t>
            </w:r>
            <w:r w:rsidR="00257BA7">
              <w:rPr>
                <w:rFonts w:ascii="Arial" w:hAnsi="Arial" w:cs="Arial"/>
                <w:szCs w:val="24"/>
              </w:rPr>
              <w:t xml:space="preserve"> </w:t>
            </w:r>
            <w:r>
              <w:rPr>
                <w:rFonts w:ascii="Arial" w:hAnsi="Arial" w:cs="Arial"/>
                <w:szCs w:val="24"/>
              </w:rPr>
              <w:t>M</w:t>
            </w:r>
            <w:r w:rsidR="00257BA7">
              <w:rPr>
                <w:rFonts w:ascii="Arial" w:hAnsi="Arial" w:cs="Arial"/>
                <w:szCs w:val="24"/>
              </w:rPr>
              <w:t>arch 2020</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rsidR="00B84929" w:rsidRPr="0089449E" w:rsidRDefault="00B84929" w:rsidP="00615DE0">
            <w:pPr>
              <w:rPr>
                <w:rFonts w:ascii="Arial" w:hAnsi="Arial" w:cs="Arial"/>
                <w:szCs w:val="24"/>
              </w:rPr>
            </w:pPr>
            <w:r w:rsidRPr="0089449E">
              <w:rPr>
                <w:rFonts w:ascii="Arial" w:hAnsi="Arial" w:cs="Arial"/>
                <w:szCs w:val="24"/>
              </w:rPr>
              <w:t>AGENDA ITEM</w:t>
            </w:r>
            <w:r w:rsidR="00306BAA">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 xml:space="preserve">    REPORT No </w:t>
            </w:r>
            <w:proofErr w:type="gramStart"/>
            <w:r w:rsidRPr="0089449E">
              <w:rPr>
                <w:rFonts w:ascii="Arial" w:hAnsi="Arial" w:cs="Arial"/>
                <w:szCs w:val="24"/>
              </w:rPr>
              <w:t>HLH</w:t>
            </w:r>
            <w:r w:rsidR="00615DE0">
              <w:rPr>
                <w:rFonts w:ascii="Arial" w:hAnsi="Arial" w:cs="Arial"/>
                <w:szCs w:val="24"/>
              </w:rPr>
              <w:t xml:space="preserve">  </w:t>
            </w:r>
            <w:r w:rsidRPr="0089449E">
              <w:rPr>
                <w:rFonts w:ascii="Arial" w:hAnsi="Arial" w:cs="Arial"/>
                <w:szCs w:val="24"/>
              </w:rPr>
              <w:t>/</w:t>
            </w:r>
            <w:proofErr w:type="gramEnd"/>
            <w:r w:rsidR="00257BA7">
              <w:rPr>
                <w:rFonts w:ascii="Arial" w:hAnsi="Arial" w:cs="Arial"/>
                <w:szCs w:val="24"/>
              </w:rPr>
              <w:t>20</w:t>
            </w:r>
          </w:p>
        </w:tc>
      </w:tr>
    </w:tbl>
    <w:p w:rsidR="0039450A" w:rsidRPr="0089449E" w:rsidRDefault="008A4B33" w:rsidP="00DE1E6C">
      <w:pPr>
        <w:pStyle w:val="Heading2"/>
        <w:rPr>
          <w:rFonts w:ascii="Arial" w:hAnsi="Arial" w:cs="Arial"/>
          <w:b/>
          <w:szCs w:val="24"/>
          <w:u w:val="none"/>
        </w:rPr>
      </w:pPr>
      <w:r>
        <w:rPr>
          <w:rFonts w:ascii="Arial" w:hAnsi="Arial" w:cs="Arial"/>
          <w:b/>
          <w:caps/>
          <w:szCs w:val="24"/>
          <w:u w:val="none"/>
        </w:rPr>
        <w:t xml:space="preserve">ORGANISATIONAL </w:t>
      </w:r>
      <w:r w:rsidR="00E32AFC">
        <w:rPr>
          <w:rFonts w:ascii="Arial" w:hAnsi="Arial" w:cs="Arial"/>
          <w:b/>
          <w:caps/>
          <w:szCs w:val="24"/>
          <w:u w:val="none"/>
        </w:rPr>
        <w:t>RESTRUCTURE</w:t>
      </w:r>
      <w:r w:rsidR="00CE6A5E">
        <w:rPr>
          <w:rFonts w:ascii="Arial" w:hAnsi="Arial" w:cs="Arial"/>
          <w:b/>
          <w:caps/>
          <w:szCs w:val="24"/>
          <w:u w:val="none"/>
        </w:rPr>
        <w:t xml:space="preserve"> UPDATE</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rsidR="002B7DC4" w:rsidRPr="0089449E" w:rsidRDefault="002B7DC4" w:rsidP="002B7DC4">
            <w:pPr>
              <w:rPr>
                <w:rFonts w:ascii="Arial" w:hAnsi="Arial" w:cs="Arial"/>
              </w:rPr>
            </w:pPr>
          </w:p>
          <w:p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w:t>
            </w:r>
            <w:r w:rsidR="0091488D">
              <w:rPr>
                <w:rFonts w:ascii="Arial" w:hAnsi="Arial" w:cs="Arial"/>
                <w:szCs w:val="24"/>
              </w:rPr>
              <w:t>an update to the organisational restructure initiated following discussions at the December 2019 HLH Board meeting</w:t>
            </w:r>
            <w:r w:rsidR="00E46BFC" w:rsidRPr="00E74557">
              <w:rPr>
                <w:rFonts w:ascii="Arial" w:hAnsi="Arial" w:cs="Arial"/>
              </w:rPr>
              <w:t xml:space="preserve"> </w:t>
            </w:r>
            <w:r w:rsidR="0041542B">
              <w:rPr>
                <w:rFonts w:ascii="Arial" w:hAnsi="Arial" w:cs="Arial"/>
              </w:rPr>
              <w:t xml:space="preserve">needed to </w:t>
            </w:r>
            <w:r w:rsidR="00E46BFC" w:rsidRPr="00E74557">
              <w:rPr>
                <w:rFonts w:ascii="Arial" w:hAnsi="Arial" w:cs="Arial"/>
              </w:rPr>
              <w:t xml:space="preserve">create additional capacity to </w:t>
            </w:r>
            <w:r w:rsidR="00E46BFC">
              <w:rPr>
                <w:rFonts w:ascii="Arial" w:hAnsi="Arial" w:cs="Arial"/>
              </w:rPr>
              <w:t>support the programme of change required to meet the challenge presented by budget cuts and continue to grow HLH as</w:t>
            </w:r>
            <w:r w:rsidR="00E46BFC" w:rsidRPr="00E74557">
              <w:rPr>
                <w:rFonts w:ascii="Arial" w:hAnsi="Arial" w:cs="Arial"/>
              </w:rPr>
              <w:t xml:space="preserve"> an organisation and secure a sustainable future</w:t>
            </w:r>
            <w:r w:rsidR="0091488D">
              <w:rPr>
                <w:rFonts w:ascii="Arial" w:hAnsi="Arial" w:cs="Arial"/>
                <w:szCs w:val="24"/>
              </w:rPr>
              <w:t>.</w:t>
            </w:r>
          </w:p>
          <w:p w:rsidR="00790E27" w:rsidRPr="00B12C74" w:rsidRDefault="00790E27" w:rsidP="00050D22">
            <w:pPr>
              <w:jc w:val="both"/>
              <w:rPr>
                <w:rFonts w:ascii="Arial" w:hAnsi="Arial" w:cs="Arial"/>
                <w:szCs w:val="24"/>
              </w:rPr>
            </w:pPr>
          </w:p>
          <w:p w:rsidR="00690507" w:rsidRDefault="00690507" w:rsidP="00E32AFC">
            <w:pPr>
              <w:jc w:val="both"/>
              <w:rPr>
                <w:rFonts w:ascii="Arial" w:hAnsi="Arial" w:cs="Arial"/>
                <w:szCs w:val="24"/>
              </w:rPr>
            </w:pPr>
            <w:r>
              <w:rPr>
                <w:rFonts w:ascii="Arial" w:hAnsi="Arial" w:cs="Arial"/>
                <w:szCs w:val="24"/>
              </w:rPr>
              <w:t>It is recommended Directors</w:t>
            </w:r>
            <w:r w:rsidR="00E32AFC">
              <w:rPr>
                <w:rFonts w:ascii="Arial" w:hAnsi="Arial" w:cs="Arial"/>
                <w:szCs w:val="24"/>
              </w:rPr>
              <w:t xml:space="preserve"> note the update</w:t>
            </w:r>
            <w:r w:rsidR="00E46BFC">
              <w:rPr>
                <w:rFonts w:ascii="Arial" w:hAnsi="Arial" w:cs="Arial"/>
                <w:szCs w:val="24"/>
              </w:rPr>
              <w:t xml:space="preserve"> and appointment </w:t>
            </w:r>
            <w:r w:rsidR="00104AC2">
              <w:rPr>
                <w:rFonts w:ascii="Arial" w:hAnsi="Arial" w:cs="Arial"/>
                <w:szCs w:val="24"/>
              </w:rPr>
              <w:t>to the Corporate Programme Manager post.</w:t>
            </w:r>
          </w:p>
          <w:p w:rsidR="00E32AFC" w:rsidRPr="0036252C" w:rsidRDefault="00E32AFC" w:rsidP="00E32AFC">
            <w:pPr>
              <w:jc w:val="both"/>
              <w:rPr>
                <w:rFonts w:ascii="Arial" w:hAnsi="Arial" w:cs="Arial"/>
                <w:szCs w:val="24"/>
              </w:rPr>
            </w:pPr>
          </w:p>
        </w:tc>
      </w:tr>
    </w:tbl>
    <w:p w:rsidR="0097099E" w:rsidRPr="0089449E"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6D4204">
            <w:pPr>
              <w:rPr>
                <w:rFonts w:ascii="Arial" w:hAnsi="Arial" w:cs="Arial"/>
                <w:b/>
              </w:rPr>
            </w:pPr>
            <w:r w:rsidRPr="0089449E">
              <w:rPr>
                <w:rFonts w:ascii="Arial" w:hAnsi="Arial" w:cs="Arial"/>
                <w:b/>
              </w:rPr>
              <w:t>Business Plan Contribution</w:t>
            </w:r>
          </w:p>
          <w:p w:rsidR="00A53534" w:rsidRPr="0089449E" w:rsidRDefault="00A53534" w:rsidP="006D4204">
            <w:pPr>
              <w:rPr>
                <w:rFonts w:ascii="Arial" w:hAnsi="Arial" w:cs="Arial"/>
                <w:szCs w:val="24"/>
              </w:rPr>
            </w:pPr>
          </w:p>
        </w:tc>
      </w:tr>
      <w:tr w:rsidR="00A53534" w:rsidRPr="0089449E">
        <w:tc>
          <w:tcPr>
            <w:tcW w:w="817" w:type="dxa"/>
          </w:tcPr>
          <w:p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rsidR="00B26FE3" w:rsidRPr="00E32AFC" w:rsidRDefault="00B26FE3" w:rsidP="00540480">
            <w:pPr>
              <w:jc w:val="both"/>
              <w:rPr>
                <w:rFonts w:ascii="Arial" w:hAnsi="Arial" w:cs="Arial"/>
              </w:rPr>
            </w:pPr>
          </w:p>
          <w:p w:rsidR="004A104C" w:rsidRPr="00E32AFC" w:rsidRDefault="004A104C" w:rsidP="004A104C">
            <w:pPr>
              <w:pStyle w:val="ListParagraph"/>
              <w:numPr>
                <w:ilvl w:val="0"/>
                <w:numId w:val="1"/>
              </w:numPr>
              <w:spacing w:after="0" w:line="240" w:lineRule="auto"/>
              <w:jc w:val="both"/>
              <w:rPr>
                <w:rFonts w:ascii="Arial" w:hAnsi="Arial" w:cs="Arial"/>
                <w:bCs/>
                <w:sz w:val="24"/>
                <w:szCs w:val="24"/>
              </w:rPr>
            </w:pPr>
            <w:r w:rsidRPr="00E32AFC">
              <w:rPr>
                <w:rFonts w:ascii="Arial" w:hAnsi="Arial" w:cs="Arial"/>
                <w:bCs/>
                <w:sz w:val="24"/>
                <w:szCs w:val="24"/>
              </w:rPr>
              <w:t>Sustain a high standard of health and safety, and environmental performance</w:t>
            </w:r>
          </w:p>
          <w:p w:rsidR="004A104C" w:rsidRPr="00E32AFC" w:rsidRDefault="004A104C" w:rsidP="004A104C">
            <w:pPr>
              <w:pStyle w:val="ListParagraph"/>
              <w:numPr>
                <w:ilvl w:val="0"/>
                <w:numId w:val="1"/>
              </w:numPr>
              <w:spacing w:after="0" w:line="240" w:lineRule="auto"/>
              <w:jc w:val="both"/>
              <w:rPr>
                <w:rFonts w:ascii="Arial" w:hAnsi="Arial" w:cs="Arial"/>
                <w:bCs/>
                <w:sz w:val="24"/>
                <w:szCs w:val="24"/>
              </w:rPr>
            </w:pPr>
            <w:r w:rsidRPr="00E32AFC">
              <w:rPr>
                <w:rFonts w:ascii="Arial" w:hAnsi="Arial" w:cs="Arial"/>
                <w:bCs/>
                <w:sz w:val="24"/>
                <w:szCs w:val="24"/>
              </w:rPr>
              <w:t>Implement the Service Delivery Contract with THC</w:t>
            </w:r>
          </w:p>
          <w:p w:rsidR="004A104C" w:rsidRPr="00E32AFC" w:rsidRDefault="004A104C" w:rsidP="004A104C">
            <w:pPr>
              <w:pStyle w:val="ListParagraph"/>
              <w:numPr>
                <w:ilvl w:val="0"/>
                <w:numId w:val="1"/>
              </w:numPr>
              <w:spacing w:after="0" w:line="240" w:lineRule="auto"/>
              <w:jc w:val="both"/>
              <w:rPr>
                <w:rFonts w:ascii="Arial" w:hAnsi="Arial" w:cs="Arial"/>
                <w:b/>
                <w:bCs/>
                <w:sz w:val="24"/>
                <w:szCs w:val="24"/>
              </w:rPr>
            </w:pPr>
            <w:r w:rsidRPr="00E32AFC">
              <w:rPr>
                <w:rFonts w:ascii="Arial" w:hAnsi="Arial" w:cs="Arial"/>
                <w:b/>
                <w:bCs/>
                <w:sz w:val="24"/>
                <w:szCs w:val="24"/>
              </w:rPr>
              <w:t>Improving customer engagement and satisfaction</w:t>
            </w:r>
          </w:p>
          <w:p w:rsidR="004A104C" w:rsidRPr="00E32AFC" w:rsidRDefault="004A104C" w:rsidP="004A104C">
            <w:pPr>
              <w:pStyle w:val="ListParagraph"/>
              <w:numPr>
                <w:ilvl w:val="0"/>
                <w:numId w:val="1"/>
              </w:numPr>
              <w:spacing w:after="0" w:line="240" w:lineRule="auto"/>
              <w:jc w:val="both"/>
              <w:rPr>
                <w:rFonts w:ascii="Arial" w:hAnsi="Arial" w:cs="Arial"/>
                <w:b/>
                <w:bCs/>
                <w:sz w:val="24"/>
                <w:szCs w:val="24"/>
              </w:rPr>
            </w:pPr>
            <w:r w:rsidRPr="00E32AFC">
              <w:rPr>
                <w:rFonts w:ascii="Arial" w:hAnsi="Arial" w:cs="Arial"/>
                <w:b/>
                <w:bCs/>
                <w:sz w:val="24"/>
                <w:szCs w:val="24"/>
              </w:rPr>
              <w:t>Improving staff engagement and satisfaction</w:t>
            </w:r>
          </w:p>
          <w:p w:rsidR="004A104C" w:rsidRPr="00E32AFC" w:rsidRDefault="004A104C" w:rsidP="004A104C">
            <w:pPr>
              <w:pStyle w:val="ListParagraph"/>
              <w:numPr>
                <w:ilvl w:val="0"/>
                <w:numId w:val="1"/>
              </w:numPr>
              <w:spacing w:after="0" w:line="240" w:lineRule="auto"/>
              <w:jc w:val="both"/>
              <w:rPr>
                <w:rFonts w:ascii="Arial" w:hAnsi="Arial" w:cs="Arial"/>
                <w:b/>
                <w:bCs/>
                <w:sz w:val="24"/>
                <w:szCs w:val="24"/>
              </w:rPr>
            </w:pPr>
            <w:r w:rsidRPr="00E32AFC">
              <w:rPr>
                <w:rFonts w:ascii="Arial" w:hAnsi="Arial" w:cs="Arial"/>
                <w:b/>
                <w:bCs/>
                <w:sz w:val="24"/>
                <w:szCs w:val="24"/>
              </w:rPr>
              <w:t>Enhance the positive charity image</w:t>
            </w:r>
          </w:p>
          <w:p w:rsidR="004A104C" w:rsidRPr="00E32AFC" w:rsidRDefault="004A104C" w:rsidP="004A104C">
            <w:pPr>
              <w:pStyle w:val="ListParagraph"/>
              <w:numPr>
                <w:ilvl w:val="0"/>
                <w:numId w:val="1"/>
              </w:numPr>
              <w:spacing w:after="0" w:line="240" w:lineRule="auto"/>
              <w:jc w:val="both"/>
              <w:rPr>
                <w:rFonts w:ascii="Arial" w:hAnsi="Arial" w:cs="Arial"/>
                <w:b/>
                <w:bCs/>
                <w:sz w:val="24"/>
                <w:szCs w:val="24"/>
              </w:rPr>
            </w:pPr>
            <w:r w:rsidRPr="00E32AFC">
              <w:rPr>
                <w:rFonts w:ascii="Arial" w:hAnsi="Arial" w:cs="Arial"/>
                <w:b/>
                <w:bCs/>
                <w:sz w:val="24"/>
                <w:szCs w:val="24"/>
              </w:rPr>
              <w:t>Be a trusted and effective partner</w:t>
            </w:r>
          </w:p>
          <w:p w:rsidR="004A104C" w:rsidRPr="00E32AFC" w:rsidRDefault="004A104C" w:rsidP="004A104C">
            <w:pPr>
              <w:pStyle w:val="ListParagraph"/>
              <w:numPr>
                <w:ilvl w:val="0"/>
                <w:numId w:val="1"/>
              </w:numPr>
              <w:spacing w:after="0" w:line="240" w:lineRule="auto"/>
              <w:jc w:val="both"/>
              <w:rPr>
                <w:rFonts w:ascii="Arial" w:hAnsi="Arial" w:cs="Arial"/>
                <w:b/>
                <w:bCs/>
                <w:sz w:val="24"/>
                <w:szCs w:val="24"/>
              </w:rPr>
            </w:pPr>
            <w:r w:rsidRPr="00E32AFC">
              <w:rPr>
                <w:rFonts w:ascii="Arial" w:hAnsi="Arial" w:cs="Arial"/>
                <w:b/>
                <w:bCs/>
                <w:sz w:val="24"/>
                <w:szCs w:val="24"/>
              </w:rPr>
              <w:t>Achieve sustainable growth across the organisation</w:t>
            </w:r>
          </w:p>
          <w:p w:rsidR="004A104C" w:rsidRPr="00E32AFC" w:rsidRDefault="004A104C" w:rsidP="004A104C">
            <w:pPr>
              <w:pStyle w:val="ListParagraph"/>
              <w:numPr>
                <w:ilvl w:val="0"/>
                <w:numId w:val="1"/>
              </w:numPr>
              <w:spacing w:after="0" w:line="240" w:lineRule="auto"/>
              <w:jc w:val="both"/>
              <w:rPr>
                <w:rFonts w:ascii="Arial" w:hAnsi="Arial" w:cs="Arial"/>
                <w:bCs/>
                <w:sz w:val="24"/>
                <w:szCs w:val="24"/>
              </w:rPr>
            </w:pPr>
            <w:r w:rsidRPr="00E32AFC">
              <w:rPr>
                <w:rFonts w:ascii="Arial" w:hAnsi="Arial" w:cs="Arial"/>
                <w:bCs/>
                <w:sz w:val="24"/>
                <w:szCs w:val="24"/>
              </w:rPr>
              <w:t>Develop health and wellbeing across Highland communities</w:t>
            </w:r>
          </w:p>
          <w:p w:rsidR="004A104C" w:rsidRPr="00E32AFC" w:rsidRDefault="004A104C" w:rsidP="004A104C">
            <w:pPr>
              <w:pStyle w:val="ListParagraph"/>
              <w:numPr>
                <w:ilvl w:val="0"/>
                <w:numId w:val="1"/>
              </w:numPr>
              <w:spacing w:after="0" w:line="240" w:lineRule="auto"/>
              <w:jc w:val="both"/>
              <w:rPr>
                <w:rFonts w:ascii="Arial" w:hAnsi="Arial" w:cs="Arial"/>
                <w:b/>
                <w:bCs/>
                <w:sz w:val="24"/>
                <w:szCs w:val="24"/>
              </w:rPr>
            </w:pPr>
            <w:r w:rsidRPr="00E32AFC">
              <w:rPr>
                <w:rFonts w:ascii="Arial" w:hAnsi="Arial" w:cs="Arial"/>
                <w:b/>
                <w:bCs/>
                <w:sz w:val="24"/>
                <w:szCs w:val="24"/>
              </w:rPr>
              <w:t>Develop and promote the High Life brand</w:t>
            </w:r>
          </w:p>
          <w:p w:rsidR="002A11C0" w:rsidRPr="0089449E" w:rsidRDefault="002A11C0" w:rsidP="004A104C">
            <w:pPr>
              <w:pStyle w:val="ListParagraph"/>
              <w:spacing w:after="0" w:line="240" w:lineRule="auto"/>
              <w:ind w:left="819"/>
              <w:jc w:val="both"/>
              <w:rPr>
                <w:rFonts w:ascii="Arial" w:hAnsi="Arial" w:cs="Arial"/>
                <w:b/>
              </w:rPr>
            </w:pPr>
          </w:p>
        </w:tc>
      </w:tr>
      <w:tr w:rsidR="00A53534" w:rsidRPr="0089449E">
        <w:tc>
          <w:tcPr>
            <w:tcW w:w="817" w:type="dxa"/>
          </w:tcPr>
          <w:p w:rsidR="00A53534" w:rsidRPr="0089449E" w:rsidRDefault="00257BA7" w:rsidP="00416BFF">
            <w:pPr>
              <w:rPr>
                <w:rFonts w:ascii="Arial" w:hAnsi="Arial" w:cs="Arial"/>
                <w:b/>
                <w:szCs w:val="24"/>
              </w:rPr>
            </w:pPr>
            <w:r>
              <w:rPr>
                <w:rFonts w:ascii="Arial" w:hAnsi="Arial" w:cs="Arial"/>
                <w:b/>
                <w:szCs w:val="24"/>
              </w:rPr>
              <w:t>2</w:t>
            </w:r>
            <w:r w:rsidR="008B4D54">
              <w:rPr>
                <w:rFonts w:ascii="Arial" w:hAnsi="Arial" w:cs="Arial"/>
                <w:b/>
                <w:szCs w:val="24"/>
              </w:rPr>
              <w:t>.</w:t>
            </w:r>
          </w:p>
        </w:tc>
        <w:tc>
          <w:tcPr>
            <w:tcW w:w="8647" w:type="dxa"/>
          </w:tcPr>
          <w:p w:rsidR="00A53534" w:rsidRDefault="00E32AFC" w:rsidP="002F6788">
            <w:pPr>
              <w:snapToGrid w:val="0"/>
              <w:rPr>
                <w:rFonts w:ascii="Arial" w:hAnsi="Arial" w:cs="Arial"/>
                <w:b/>
              </w:rPr>
            </w:pPr>
            <w:r>
              <w:rPr>
                <w:rFonts w:ascii="Arial" w:hAnsi="Arial" w:cs="Arial"/>
                <w:b/>
              </w:rPr>
              <w:t>Background</w:t>
            </w:r>
          </w:p>
          <w:p w:rsidR="00DA5818" w:rsidRPr="0089449E" w:rsidRDefault="00DA5818" w:rsidP="002F6788">
            <w:pPr>
              <w:snapToGrid w:val="0"/>
              <w:rPr>
                <w:rFonts w:ascii="Arial" w:hAnsi="Arial" w:cs="Arial"/>
                <w:szCs w:val="24"/>
              </w:rPr>
            </w:pPr>
          </w:p>
        </w:tc>
      </w:tr>
      <w:tr w:rsidR="00306BAA" w:rsidRPr="0089449E">
        <w:tc>
          <w:tcPr>
            <w:tcW w:w="817" w:type="dxa"/>
          </w:tcPr>
          <w:p w:rsidR="00306BAA" w:rsidRDefault="00257BA7" w:rsidP="007F5C39">
            <w:pPr>
              <w:rPr>
                <w:rFonts w:ascii="Arial" w:hAnsi="Arial" w:cs="Arial"/>
                <w:szCs w:val="24"/>
              </w:rPr>
            </w:pPr>
            <w:r>
              <w:rPr>
                <w:rFonts w:ascii="Arial" w:hAnsi="Arial" w:cs="Arial"/>
                <w:szCs w:val="24"/>
              </w:rPr>
              <w:t>2</w:t>
            </w:r>
            <w:r w:rsidR="00306BAA">
              <w:rPr>
                <w:rFonts w:ascii="Arial" w:hAnsi="Arial" w:cs="Arial"/>
                <w:szCs w:val="24"/>
              </w:rPr>
              <w:t>.</w:t>
            </w:r>
            <w:r w:rsidR="007F5C39">
              <w:rPr>
                <w:rFonts w:ascii="Arial" w:hAnsi="Arial" w:cs="Arial"/>
                <w:szCs w:val="24"/>
              </w:rPr>
              <w:t>1</w:t>
            </w:r>
          </w:p>
          <w:p w:rsidR="00E46BFC" w:rsidRDefault="00E46BFC" w:rsidP="007F5C39">
            <w:pPr>
              <w:rPr>
                <w:rFonts w:ascii="Arial" w:hAnsi="Arial" w:cs="Arial"/>
                <w:szCs w:val="24"/>
              </w:rPr>
            </w:pPr>
          </w:p>
          <w:p w:rsidR="00E46BFC" w:rsidRDefault="00E46BFC" w:rsidP="007F5C39">
            <w:pPr>
              <w:rPr>
                <w:rFonts w:ascii="Arial" w:hAnsi="Arial" w:cs="Arial"/>
                <w:szCs w:val="24"/>
              </w:rPr>
            </w:pPr>
          </w:p>
          <w:p w:rsidR="00E46BFC" w:rsidRDefault="00E46BFC" w:rsidP="007F5C39">
            <w:pPr>
              <w:rPr>
                <w:rFonts w:ascii="Arial" w:hAnsi="Arial" w:cs="Arial"/>
                <w:szCs w:val="24"/>
              </w:rPr>
            </w:pPr>
          </w:p>
          <w:p w:rsidR="00E46BFC" w:rsidRDefault="00E46BFC" w:rsidP="007F5C39">
            <w:pPr>
              <w:rPr>
                <w:rFonts w:ascii="Arial" w:hAnsi="Arial" w:cs="Arial"/>
                <w:szCs w:val="24"/>
              </w:rPr>
            </w:pPr>
            <w:r>
              <w:rPr>
                <w:rFonts w:ascii="Arial" w:hAnsi="Arial" w:cs="Arial"/>
                <w:szCs w:val="24"/>
              </w:rPr>
              <w:t>2.2</w:t>
            </w:r>
          </w:p>
          <w:p w:rsidR="00E46BFC" w:rsidRDefault="00E46BFC" w:rsidP="007F5C39">
            <w:pPr>
              <w:rPr>
                <w:rFonts w:ascii="Arial" w:hAnsi="Arial" w:cs="Arial"/>
                <w:szCs w:val="24"/>
              </w:rPr>
            </w:pPr>
          </w:p>
          <w:p w:rsidR="00E46BFC" w:rsidRDefault="00E46BFC" w:rsidP="007F5C39">
            <w:pPr>
              <w:rPr>
                <w:rFonts w:ascii="Arial" w:hAnsi="Arial" w:cs="Arial"/>
                <w:szCs w:val="24"/>
              </w:rPr>
            </w:pPr>
          </w:p>
          <w:p w:rsidR="00E46BFC" w:rsidRDefault="00E46BFC" w:rsidP="007F5C39">
            <w:pPr>
              <w:rPr>
                <w:rFonts w:ascii="Arial" w:hAnsi="Arial" w:cs="Arial"/>
                <w:szCs w:val="24"/>
              </w:rPr>
            </w:pPr>
          </w:p>
          <w:p w:rsidR="00E46BFC" w:rsidRDefault="00E46BFC" w:rsidP="007F5C39">
            <w:pPr>
              <w:rPr>
                <w:rFonts w:ascii="Arial" w:hAnsi="Arial" w:cs="Arial"/>
                <w:szCs w:val="24"/>
              </w:rPr>
            </w:pPr>
            <w:r>
              <w:rPr>
                <w:rFonts w:ascii="Arial" w:hAnsi="Arial" w:cs="Arial"/>
                <w:szCs w:val="24"/>
              </w:rPr>
              <w:t>2.3</w:t>
            </w: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Pr="00306BAA" w:rsidRDefault="008E51F4" w:rsidP="007970F2">
            <w:pPr>
              <w:rPr>
                <w:rFonts w:ascii="Arial" w:hAnsi="Arial" w:cs="Arial"/>
                <w:szCs w:val="24"/>
              </w:rPr>
            </w:pPr>
          </w:p>
        </w:tc>
        <w:tc>
          <w:tcPr>
            <w:tcW w:w="8647" w:type="dxa"/>
          </w:tcPr>
          <w:p w:rsidR="00E46BFC" w:rsidRDefault="0091488D" w:rsidP="0091488D">
            <w:pPr>
              <w:jc w:val="both"/>
              <w:rPr>
                <w:rFonts w:ascii="Arial" w:hAnsi="Arial" w:cs="Arial"/>
              </w:rPr>
            </w:pPr>
            <w:r w:rsidRPr="00E74557">
              <w:rPr>
                <w:rFonts w:ascii="Arial" w:hAnsi="Arial" w:cs="Arial"/>
              </w:rPr>
              <w:t xml:space="preserve">The HLH Board </w:t>
            </w:r>
            <w:r w:rsidR="00E46BFC">
              <w:rPr>
                <w:rFonts w:ascii="Arial" w:hAnsi="Arial" w:cs="Arial"/>
              </w:rPr>
              <w:t>at their meeting on 11 December 2019</w:t>
            </w:r>
            <w:r w:rsidRPr="00E74557">
              <w:rPr>
                <w:rFonts w:ascii="Arial" w:hAnsi="Arial" w:cs="Arial"/>
              </w:rPr>
              <w:t xml:space="preserve"> raised concerns that despite over 40 new services having been absorbed into </w:t>
            </w:r>
            <w:r w:rsidR="00E46BFC">
              <w:rPr>
                <w:rFonts w:ascii="Arial" w:hAnsi="Arial" w:cs="Arial"/>
              </w:rPr>
              <w:t xml:space="preserve">HLH, </w:t>
            </w:r>
            <w:r w:rsidRPr="00E74557">
              <w:rPr>
                <w:rFonts w:ascii="Arial" w:hAnsi="Arial" w:cs="Arial"/>
              </w:rPr>
              <w:t xml:space="preserve">the Senior Management structure had not changed since the </w:t>
            </w:r>
            <w:r w:rsidR="00E46BFC">
              <w:rPr>
                <w:rFonts w:ascii="Arial" w:hAnsi="Arial" w:cs="Arial"/>
              </w:rPr>
              <w:t>charity</w:t>
            </w:r>
            <w:r w:rsidRPr="00E74557">
              <w:rPr>
                <w:rFonts w:ascii="Arial" w:hAnsi="Arial" w:cs="Arial"/>
              </w:rPr>
              <w:t xml:space="preserve"> was formed in 2011. </w:t>
            </w:r>
          </w:p>
          <w:p w:rsidR="00E46BFC" w:rsidRDefault="00E46BFC"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This has been a corporate risk (HLH05) for a significant period of time</w:t>
            </w:r>
            <w:r w:rsidR="00E81E8A">
              <w:rPr>
                <w:rFonts w:ascii="Arial" w:hAnsi="Arial" w:cs="Arial"/>
              </w:rPr>
              <w:t xml:space="preserve">, </w:t>
            </w:r>
            <w:r w:rsidRPr="00E74557">
              <w:rPr>
                <w:rFonts w:ascii="Arial" w:hAnsi="Arial" w:cs="Arial"/>
              </w:rPr>
              <w:t xml:space="preserve">specifically captured in the risk register as ‘over-reaching and over-commitment leading to failure of significant projects and pressure on central services.’ </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 xml:space="preserve">At the December </w:t>
            </w:r>
            <w:r w:rsidR="00E81E8A">
              <w:rPr>
                <w:rFonts w:ascii="Arial" w:hAnsi="Arial" w:cs="Arial"/>
              </w:rPr>
              <w:t>B</w:t>
            </w:r>
            <w:r w:rsidRPr="00E74557">
              <w:rPr>
                <w:rFonts w:ascii="Arial" w:hAnsi="Arial" w:cs="Arial"/>
              </w:rPr>
              <w:t>oard</w:t>
            </w:r>
            <w:r w:rsidR="00E46BFC">
              <w:rPr>
                <w:rFonts w:ascii="Arial" w:hAnsi="Arial" w:cs="Arial"/>
              </w:rPr>
              <w:t xml:space="preserve"> meeting</w:t>
            </w:r>
            <w:r w:rsidRPr="00E74557">
              <w:rPr>
                <w:rFonts w:ascii="Arial" w:hAnsi="Arial" w:cs="Arial"/>
              </w:rPr>
              <w:t xml:space="preserve">, </w:t>
            </w:r>
            <w:r w:rsidR="00E46BFC">
              <w:rPr>
                <w:rFonts w:ascii="Arial" w:hAnsi="Arial" w:cs="Arial"/>
              </w:rPr>
              <w:t xml:space="preserve">the Chief Executive </w:t>
            </w:r>
            <w:r w:rsidRPr="00E74557">
              <w:rPr>
                <w:rFonts w:ascii="Arial" w:hAnsi="Arial" w:cs="Arial"/>
              </w:rPr>
              <w:t xml:space="preserve">undertook to conduct a review to seek solutions that would create additional capacity to </w:t>
            </w:r>
            <w:r w:rsidR="00E46BFC">
              <w:rPr>
                <w:rFonts w:ascii="Arial" w:hAnsi="Arial" w:cs="Arial"/>
              </w:rPr>
              <w:t>support the programme of change required to meet the challenge presented by budget cuts and continue to grow HLH as</w:t>
            </w:r>
            <w:r w:rsidRPr="00E74557">
              <w:rPr>
                <w:rFonts w:ascii="Arial" w:hAnsi="Arial" w:cs="Arial"/>
              </w:rPr>
              <w:t xml:space="preserve"> an organisation and secure a sustainable future. </w:t>
            </w:r>
          </w:p>
          <w:p w:rsidR="0091488D" w:rsidRPr="0091488D" w:rsidRDefault="0091488D" w:rsidP="0091488D">
            <w:pPr>
              <w:snapToGrid w:val="0"/>
              <w:jc w:val="both"/>
              <w:rPr>
                <w:rFonts w:ascii="Arial" w:hAnsi="Arial" w:cs="Arial"/>
                <w:szCs w:val="24"/>
              </w:rPr>
            </w:pPr>
          </w:p>
        </w:tc>
      </w:tr>
      <w:tr w:rsidR="00A545B8" w:rsidRPr="0089449E">
        <w:tc>
          <w:tcPr>
            <w:tcW w:w="817" w:type="dxa"/>
          </w:tcPr>
          <w:p w:rsidR="00A545B8" w:rsidRPr="007970F2" w:rsidRDefault="00A545B8" w:rsidP="00CE65B3">
            <w:pPr>
              <w:autoSpaceDE w:val="0"/>
              <w:autoSpaceDN w:val="0"/>
              <w:adjustRightInd w:val="0"/>
              <w:rPr>
                <w:rFonts w:ascii="Arial" w:hAnsi="Arial" w:cs="Arial"/>
              </w:rPr>
            </w:pPr>
            <w:r w:rsidRPr="007970F2">
              <w:rPr>
                <w:rFonts w:ascii="Arial" w:hAnsi="Arial" w:cs="Arial"/>
              </w:rPr>
              <w:t>2.</w:t>
            </w:r>
            <w:r w:rsidR="00E46BFC">
              <w:rPr>
                <w:rFonts w:ascii="Arial" w:hAnsi="Arial" w:cs="Arial"/>
              </w:rPr>
              <w:t>4</w:t>
            </w:r>
          </w:p>
        </w:tc>
        <w:tc>
          <w:tcPr>
            <w:tcW w:w="8647" w:type="dxa"/>
          </w:tcPr>
          <w:p w:rsidR="00E46BFC" w:rsidRPr="007970F2" w:rsidRDefault="00E46BFC" w:rsidP="00F3785F">
            <w:pPr>
              <w:snapToGrid w:val="0"/>
              <w:jc w:val="both"/>
              <w:rPr>
                <w:rFonts w:ascii="Arial" w:hAnsi="Arial" w:cs="Arial"/>
              </w:rPr>
            </w:pPr>
            <w:r>
              <w:rPr>
                <w:rFonts w:ascii="Arial" w:hAnsi="Arial" w:cs="Arial"/>
              </w:rPr>
              <w:t>Although authority to implement a management restructure is delegated to the Chief Executive, a paper (</w:t>
            </w:r>
            <w:r w:rsidRPr="00E46BFC">
              <w:rPr>
                <w:rFonts w:ascii="Arial" w:hAnsi="Arial" w:cs="Arial"/>
                <w:b/>
              </w:rPr>
              <w:t>Appendix A</w:t>
            </w:r>
            <w:r>
              <w:rPr>
                <w:rFonts w:ascii="Arial" w:hAnsi="Arial" w:cs="Arial"/>
              </w:rPr>
              <w:t xml:space="preserve">) was circulated to Directors in early February for consideration and any feedback and ensuring the Board were fully </w:t>
            </w:r>
            <w:r>
              <w:rPr>
                <w:rFonts w:ascii="Arial" w:hAnsi="Arial" w:cs="Arial"/>
              </w:rPr>
              <w:lastRenderedPageBreak/>
              <w:t>informed of the rationale behind changes and the process for implementation (</w:t>
            </w:r>
            <w:r w:rsidRPr="00E46BFC">
              <w:rPr>
                <w:rFonts w:ascii="Arial" w:hAnsi="Arial" w:cs="Arial"/>
                <w:b/>
              </w:rPr>
              <w:t>Appendix B</w:t>
            </w:r>
            <w:r>
              <w:rPr>
                <w:rFonts w:ascii="Arial" w:hAnsi="Arial" w:cs="Arial"/>
              </w:rPr>
              <w:t>).</w:t>
            </w:r>
            <w:r w:rsidR="0041542B">
              <w:rPr>
                <w:rFonts w:ascii="Arial" w:hAnsi="Arial" w:cs="Arial"/>
              </w:rPr>
              <w:t xml:space="preserve">  </w:t>
            </w:r>
            <w:r w:rsidR="0041542B" w:rsidRPr="00F3785F">
              <w:rPr>
                <w:rFonts w:ascii="Arial" w:hAnsi="Arial" w:cs="Arial"/>
              </w:rPr>
              <w:t>Since the circulation there has been one further change in post title with all Heads of Service being re</w:t>
            </w:r>
            <w:r w:rsidR="00F3785F" w:rsidRPr="00F3785F">
              <w:rPr>
                <w:rFonts w:ascii="Arial" w:hAnsi="Arial" w:cs="Arial"/>
              </w:rPr>
              <w:t>-</w:t>
            </w:r>
            <w:r w:rsidR="0041542B" w:rsidRPr="00F3785F">
              <w:rPr>
                <w:rFonts w:ascii="Arial" w:hAnsi="Arial" w:cs="Arial"/>
              </w:rPr>
              <w:t xml:space="preserve">designated </w:t>
            </w:r>
            <w:r w:rsidR="001013C9">
              <w:rPr>
                <w:rFonts w:ascii="Arial" w:hAnsi="Arial" w:cs="Arial"/>
              </w:rPr>
              <w:t xml:space="preserve">as </w:t>
            </w:r>
            <w:r w:rsidR="0041542B" w:rsidRPr="00F3785F">
              <w:rPr>
                <w:rFonts w:ascii="Arial" w:hAnsi="Arial" w:cs="Arial"/>
              </w:rPr>
              <w:t>Director</w:t>
            </w:r>
            <w:r w:rsidR="001013C9">
              <w:rPr>
                <w:rFonts w:ascii="Arial" w:hAnsi="Arial" w:cs="Arial"/>
              </w:rPr>
              <w:t>s</w:t>
            </w:r>
            <w:r w:rsidR="007212F2">
              <w:rPr>
                <w:rFonts w:ascii="Arial" w:hAnsi="Arial" w:cs="Arial"/>
              </w:rPr>
              <w:t xml:space="preserve"> (see </w:t>
            </w:r>
            <w:r w:rsidR="007212F2" w:rsidRPr="007212F2">
              <w:rPr>
                <w:rFonts w:ascii="Arial" w:hAnsi="Arial" w:cs="Arial"/>
                <w:b/>
              </w:rPr>
              <w:t xml:space="preserve">Appendix </w:t>
            </w:r>
            <w:proofErr w:type="gramStart"/>
            <w:r w:rsidR="007212F2" w:rsidRPr="007212F2">
              <w:rPr>
                <w:rFonts w:ascii="Arial" w:hAnsi="Arial" w:cs="Arial"/>
                <w:b/>
              </w:rPr>
              <w:t>A(</w:t>
            </w:r>
            <w:proofErr w:type="gramEnd"/>
            <w:r w:rsidR="007212F2" w:rsidRPr="007212F2">
              <w:rPr>
                <w:rFonts w:ascii="Arial" w:hAnsi="Arial" w:cs="Arial"/>
                <w:b/>
              </w:rPr>
              <w:t>1)</w:t>
            </w:r>
            <w:r w:rsidR="007212F2">
              <w:rPr>
                <w:rFonts w:ascii="Arial" w:hAnsi="Arial" w:cs="Arial"/>
              </w:rPr>
              <w:t>)</w:t>
            </w:r>
            <w:r w:rsidR="0041542B" w:rsidRPr="00F3785F">
              <w:rPr>
                <w:rFonts w:ascii="Arial" w:hAnsi="Arial" w:cs="Arial"/>
              </w:rPr>
              <w:t>.</w:t>
            </w:r>
          </w:p>
        </w:tc>
      </w:tr>
      <w:tr w:rsidR="00370BBD" w:rsidRPr="0089449E">
        <w:tc>
          <w:tcPr>
            <w:tcW w:w="817" w:type="dxa"/>
          </w:tcPr>
          <w:p w:rsidR="00370BBD" w:rsidRPr="00370BBD" w:rsidRDefault="00370BBD" w:rsidP="00CE65B3">
            <w:pPr>
              <w:autoSpaceDE w:val="0"/>
              <w:autoSpaceDN w:val="0"/>
              <w:adjustRightInd w:val="0"/>
              <w:rPr>
                <w:rFonts w:ascii="Arial" w:hAnsi="Arial" w:cs="Arial"/>
                <w:color w:val="FF0000"/>
              </w:rPr>
            </w:pPr>
          </w:p>
        </w:tc>
        <w:tc>
          <w:tcPr>
            <w:tcW w:w="8647" w:type="dxa"/>
          </w:tcPr>
          <w:p w:rsidR="00370BBD" w:rsidRPr="00370BBD" w:rsidRDefault="00370BBD" w:rsidP="00F3785F">
            <w:pPr>
              <w:rPr>
                <w:rFonts w:ascii="Arial" w:hAnsi="Arial" w:cs="Arial"/>
                <w:color w:val="FF0000"/>
              </w:rPr>
            </w:pPr>
          </w:p>
        </w:tc>
      </w:tr>
      <w:tr w:rsidR="00652BC4" w:rsidRPr="0089449E">
        <w:tc>
          <w:tcPr>
            <w:tcW w:w="817" w:type="dxa"/>
          </w:tcPr>
          <w:p w:rsidR="00652BC4" w:rsidRDefault="00257BA7" w:rsidP="00CE65B3">
            <w:pPr>
              <w:autoSpaceDE w:val="0"/>
              <w:autoSpaceDN w:val="0"/>
              <w:adjustRightInd w:val="0"/>
              <w:rPr>
                <w:rFonts w:ascii="Arial" w:hAnsi="Arial" w:cs="Arial"/>
                <w:b/>
              </w:rPr>
            </w:pPr>
            <w:r>
              <w:rPr>
                <w:rFonts w:ascii="Arial" w:hAnsi="Arial" w:cs="Arial"/>
                <w:b/>
              </w:rPr>
              <w:t>3</w:t>
            </w:r>
          </w:p>
        </w:tc>
        <w:tc>
          <w:tcPr>
            <w:tcW w:w="8647" w:type="dxa"/>
          </w:tcPr>
          <w:p w:rsidR="0041542B" w:rsidRDefault="0041542B" w:rsidP="00E46BFC">
            <w:pPr>
              <w:rPr>
                <w:rFonts w:ascii="Arial" w:hAnsi="Arial" w:cs="Arial"/>
                <w:b/>
              </w:rPr>
            </w:pPr>
            <w:r>
              <w:rPr>
                <w:rFonts w:ascii="Arial" w:hAnsi="Arial" w:cs="Arial"/>
                <w:b/>
              </w:rPr>
              <w:t>Appointments and Review of Changes</w:t>
            </w:r>
          </w:p>
          <w:p w:rsidR="0041542B" w:rsidRDefault="0041542B" w:rsidP="00E46BFC">
            <w:pPr>
              <w:rPr>
                <w:rFonts w:ascii="Arial" w:hAnsi="Arial" w:cs="Arial"/>
                <w:b/>
              </w:rPr>
            </w:pPr>
          </w:p>
        </w:tc>
      </w:tr>
      <w:tr w:rsidR="00EA6D79" w:rsidRPr="0089449E" w:rsidTr="00013078">
        <w:trPr>
          <w:trHeight w:val="1323"/>
        </w:trPr>
        <w:tc>
          <w:tcPr>
            <w:tcW w:w="817" w:type="dxa"/>
          </w:tcPr>
          <w:p w:rsidR="00623273" w:rsidRDefault="00257BA7" w:rsidP="00CE65B3">
            <w:pPr>
              <w:autoSpaceDE w:val="0"/>
              <w:autoSpaceDN w:val="0"/>
              <w:adjustRightInd w:val="0"/>
              <w:rPr>
                <w:rFonts w:ascii="Arial" w:hAnsi="Arial" w:cs="Arial"/>
              </w:rPr>
            </w:pPr>
            <w:r>
              <w:rPr>
                <w:rFonts w:ascii="Arial" w:hAnsi="Arial" w:cs="Arial"/>
              </w:rPr>
              <w:t>3</w:t>
            </w:r>
            <w:r w:rsidR="00BE155F">
              <w:rPr>
                <w:rFonts w:ascii="Arial" w:hAnsi="Arial" w:cs="Arial"/>
              </w:rPr>
              <w:t>.1</w:t>
            </w:r>
          </w:p>
          <w:p w:rsidR="0041542B" w:rsidRDefault="0041542B" w:rsidP="00CE65B3">
            <w:pPr>
              <w:autoSpaceDE w:val="0"/>
              <w:autoSpaceDN w:val="0"/>
              <w:adjustRightInd w:val="0"/>
              <w:rPr>
                <w:rFonts w:ascii="Arial" w:hAnsi="Arial" w:cs="Arial"/>
              </w:rPr>
            </w:pPr>
          </w:p>
          <w:p w:rsidR="00623273" w:rsidRPr="00AC77DC" w:rsidRDefault="00623273" w:rsidP="00647D1E">
            <w:pPr>
              <w:autoSpaceDE w:val="0"/>
              <w:autoSpaceDN w:val="0"/>
              <w:adjustRightInd w:val="0"/>
              <w:rPr>
                <w:rFonts w:ascii="Arial" w:hAnsi="Arial" w:cs="Arial"/>
              </w:rPr>
            </w:pPr>
          </w:p>
        </w:tc>
        <w:tc>
          <w:tcPr>
            <w:tcW w:w="8647" w:type="dxa"/>
          </w:tcPr>
          <w:p w:rsidR="0041542B" w:rsidRPr="0089449E" w:rsidRDefault="0041542B" w:rsidP="00F3785F">
            <w:pPr>
              <w:jc w:val="both"/>
              <w:rPr>
                <w:rFonts w:ascii="Arial" w:hAnsi="Arial" w:cs="Arial"/>
                <w:szCs w:val="24"/>
              </w:rPr>
            </w:pPr>
            <w:r>
              <w:rPr>
                <w:rFonts w:ascii="Arial" w:hAnsi="Arial" w:cs="Arial"/>
                <w:szCs w:val="24"/>
              </w:rPr>
              <w:t xml:space="preserve">Following interviews on 3 March 2020, </w:t>
            </w:r>
            <w:r w:rsidR="00F3785F">
              <w:rPr>
                <w:rFonts w:ascii="Arial" w:hAnsi="Arial" w:cs="Arial"/>
                <w:szCs w:val="24"/>
              </w:rPr>
              <w:t>Simon Swanson</w:t>
            </w:r>
            <w:r>
              <w:rPr>
                <w:rFonts w:ascii="Arial" w:hAnsi="Arial" w:cs="Arial"/>
                <w:szCs w:val="24"/>
              </w:rPr>
              <w:t xml:space="preserve"> was appointed to the new Corporate Programme Manager position </w:t>
            </w:r>
            <w:r w:rsidR="00104AC2">
              <w:rPr>
                <w:rFonts w:ascii="Arial" w:hAnsi="Arial" w:cs="Arial"/>
                <w:szCs w:val="24"/>
              </w:rPr>
              <w:t xml:space="preserve">and takes up position </w:t>
            </w:r>
            <w:r w:rsidR="00F3785F">
              <w:rPr>
                <w:rFonts w:ascii="Arial" w:hAnsi="Arial" w:cs="Arial"/>
                <w:szCs w:val="24"/>
              </w:rPr>
              <w:t xml:space="preserve">in March. </w:t>
            </w:r>
            <w:r>
              <w:rPr>
                <w:rFonts w:ascii="Arial" w:hAnsi="Arial" w:cs="Arial"/>
                <w:szCs w:val="24"/>
              </w:rPr>
              <w:t xml:space="preserve">A full review of progress and testing of effectiveness of </w:t>
            </w:r>
            <w:r w:rsidR="00104AC2">
              <w:rPr>
                <w:rFonts w:ascii="Arial" w:hAnsi="Arial" w:cs="Arial"/>
                <w:szCs w:val="24"/>
              </w:rPr>
              <w:t xml:space="preserve">all </w:t>
            </w:r>
            <w:r>
              <w:rPr>
                <w:rFonts w:ascii="Arial" w:hAnsi="Arial" w:cs="Arial"/>
                <w:szCs w:val="24"/>
              </w:rPr>
              <w:t>these changes is scheduled for October 2020.</w:t>
            </w:r>
          </w:p>
        </w:tc>
      </w:tr>
      <w:tr w:rsidR="008F163E" w:rsidRPr="0089449E">
        <w:tc>
          <w:tcPr>
            <w:tcW w:w="817" w:type="dxa"/>
          </w:tcPr>
          <w:p w:rsidR="008F163E" w:rsidRPr="00652BC4" w:rsidRDefault="0041542B" w:rsidP="008F163E">
            <w:pPr>
              <w:autoSpaceDE w:val="0"/>
              <w:autoSpaceDN w:val="0"/>
              <w:adjustRightInd w:val="0"/>
              <w:rPr>
                <w:rFonts w:ascii="Arial" w:hAnsi="Arial" w:cs="Arial"/>
                <w:b/>
              </w:rPr>
            </w:pPr>
            <w:r>
              <w:rPr>
                <w:rFonts w:ascii="Arial" w:hAnsi="Arial" w:cs="Arial"/>
                <w:b/>
              </w:rPr>
              <w:t>4</w:t>
            </w:r>
            <w:r w:rsidR="008F163E">
              <w:rPr>
                <w:rFonts w:ascii="Arial" w:hAnsi="Arial" w:cs="Arial"/>
                <w:b/>
              </w:rPr>
              <w:t>.</w:t>
            </w:r>
          </w:p>
        </w:tc>
        <w:tc>
          <w:tcPr>
            <w:tcW w:w="8647" w:type="dxa"/>
          </w:tcPr>
          <w:p w:rsidR="008F163E" w:rsidRDefault="008F163E" w:rsidP="008F163E">
            <w:pPr>
              <w:autoSpaceDE w:val="0"/>
              <w:autoSpaceDN w:val="0"/>
              <w:adjustRightInd w:val="0"/>
              <w:jc w:val="both"/>
              <w:rPr>
                <w:rFonts w:ascii="Arial" w:hAnsi="Arial" w:cs="Arial"/>
                <w:b/>
              </w:rPr>
            </w:pPr>
            <w:r w:rsidRPr="00652BC4">
              <w:rPr>
                <w:rFonts w:ascii="Arial" w:hAnsi="Arial" w:cs="Arial"/>
                <w:b/>
              </w:rPr>
              <w:t>Implications</w:t>
            </w:r>
          </w:p>
          <w:p w:rsidR="008F163E" w:rsidRPr="00652BC4" w:rsidRDefault="008F163E" w:rsidP="008F163E">
            <w:pPr>
              <w:autoSpaceDE w:val="0"/>
              <w:autoSpaceDN w:val="0"/>
              <w:adjustRightInd w:val="0"/>
              <w:jc w:val="both"/>
              <w:rPr>
                <w:rFonts w:ascii="Arial" w:hAnsi="Arial" w:cs="Arial"/>
                <w:b/>
              </w:rPr>
            </w:pPr>
          </w:p>
        </w:tc>
      </w:tr>
      <w:tr w:rsidR="008F163E" w:rsidRPr="0089449E">
        <w:tc>
          <w:tcPr>
            <w:tcW w:w="817" w:type="dxa"/>
          </w:tcPr>
          <w:p w:rsidR="008F163E" w:rsidRPr="00280008" w:rsidRDefault="0041542B" w:rsidP="008F163E">
            <w:pPr>
              <w:autoSpaceDE w:val="0"/>
              <w:autoSpaceDN w:val="0"/>
              <w:adjustRightInd w:val="0"/>
              <w:rPr>
                <w:rFonts w:ascii="Arial" w:hAnsi="Arial" w:cs="Arial"/>
              </w:rPr>
            </w:pPr>
            <w:r>
              <w:rPr>
                <w:rFonts w:ascii="Arial" w:hAnsi="Arial" w:cs="Arial"/>
              </w:rPr>
              <w:t>4</w:t>
            </w:r>
            <w:r w:rsidR="008F163E" w:rsidRPr="00280008">
              <w:rPr>
                <w:rFonts w:ascii="Arial" w:hAnsi="Arial" w:cs="Arial"/>
              </w:rPr>
              <w:t>.1</w:t>
            </w:r>
          </w:p>
        </w:tc>
        <w:tc>
          <w:tcPr>
            <w:tcW w:w="8647" w:type="dxa"/>
          </w:tcPr>
          <w:p w:rsidR="008F163E" w:rsidRDefault="008F163E" w:rsidP="008F163E">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rsidR="008F163E" w:rsidRPr="006F3071" w:rsidRDefault="008F163E" w:rsidP="008F163E">
            <w:pPr>
              <w:jc w:val="both"/>
              <w:rPr>
                <w:rFonts w:ascii="Arial" w:hAnsi="Arial" w:cs="Arial"/>
                <w:highlight w:val="yellow"/>
              </w:rPr>
            </w:pPr>
          </w:p>
        </w:tc>
      </w:tr>
      <w:tr w:rsidR="008F163E" w:rsidRPr="0089449E">
        <w:tc>
          <w:tcPr>
            <w:tcW w:w="817" w:type="dxa"/>
          </w:tcPr>
          <w:p w:rsidR="008F163E" w:rsidRPr="00280008" w:rsidRDefault="0041542B" w:rsidP="008F163E">
            <w:pPr>
              <w:autoSpaceDE w:val="0"/>
              <w:autoSpaceDN w:val="0"/>
              <w:adjustRightInd w:val="0"/>
              <w:rPr>
                <w:rFonts w:ascii="Arial" w:hAnsi="Arial" w:cs="Arial"/>
              </w:rPr>
            </w:pPr>
            <w:r>
              <w:rPr>
                <w:rFonts w:ascii="Arial" w:hAnsi="Arial" w:cs="Arial"/>
              </w:rPr>
              <w:t>4</w:t>
            </w:r>
            <w:r w:rsidR="008F163E" w:rsidRPr="00280008">
              <w:rPr>
                <w:rFonts w:ascii="Arial" w:hAnsi="Arial" w:cs="Arial"/>
              </w:rPr>
              <w:t>.2</w:t>
            </w:r>
          </w:p>
        </w:tc>
        <w:tc>
          <w:tcPr>
            <w:tcW w:w="8647" w:type="dxa"/>
          </w:tcPr>
          <w:p w:rsidR="008F163E" w:rsidRDefault="008F163E" w:rsidP="008F163E">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rsidR="008F163E" w:rsidRDefault="008F163E" w:rsidP="008F163E">
            <w:pPr>
              <w:autoSpaceDE w:val="0"/>
              <w:autoSpaceDN w:val="0"/>
              <w:adjustRightInd w:val="0"/>
              <w:jc w:val="both"/>
              <w:rPr>
                <w:rFonts w:ascii="Arial" w:hAnsi="Arial" w:cs="Arial"/>
              </w:rPr>
            </w:pPr>
          </w:p>
        </w:tc>
      </w:tr>
      <w:tr w:rsidR="008F163E" w:rsidRPr="0089449E">
        <w:tc>
          <w:tcPr>
            <w:tcW w:w="817" w:type="dxa"/>
          </w:tcPr>
          <w:p w:rsidR="008F163E" w:rsidRDefault="0041542B" w:rsidP="008F163E">
            <w:pPr>
              <w:autoSpaceDE w:val="0"/>
              <w:autoSpaceDN w:val="0"/>
              <w:adjustRightInd w:val="0"/>
              <w:rPr>
                <w:rFonts w:ascii="Arial" w:hAnsi="Arial" w:cs="Arial"/>
              </w:rPr>
            </w:pPr>
            <w:r>
              <w:rPr>
                <w:rFonts w:ascii="Arial" w:hAnsi="Arial" w:cs="Arial"/>
              </w:rPr>
              <w:t>4</w:t>
            </w:r>
            <w:r w:rsidR="008F163E">
              <w:rPr>
                <w:rFonts w:ascii="Arial" w:hAnsi="Arial" w:cs="Arial"/>
              </w:rPr>
              <w:t>.3</w:t>
            </w:r>
          </w:p>
          <w:p w:rsidR="008F163E" w:rsidRDefault="008F163E" w:rsidP="008F163E">
            <w:pPr>
              <w:autoSpaceDE w:val="0"/>
              <w:autoSpaceDN w:val="0"/>
              <w:adjustRightInd w:val="0"/>
              <w:rPr>
                <w:rFonts w:ascii="Arial" w:hAnsi="Arial" w:cs="Arial"/>
                <w:b/>
              </w:rPr>
            </w:pPr>
          </w:p>
        </w:tc>
        <w:tc>
          <w:tcPr>
            <w:tcW w:w="8647" w:type="dxa"/>
          </w:tcPr>
          <w:p w:rsidR="008F163E" w:rsidRDefault="008F163E" w:rsidP="008F163E">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rsidR="008F163E" w:rsidRPr="00280008" w:rsidRDefault="008F163E" w:rsidP="008F163E">
            <w:pPr>
              <w:autoSpaceDE w:val="0"/>
              <w:autoSpaceDN w:val="0"/>
              <w:adjustRightInd w:val="0"/>
              <w:jc w:val="both"/>
              <w:rPr>
                <w:rFonts w:ascii="Arial" w:hAnsi="Arial" w:cs="Arial"/>
              </w:rPr>
            </w:pPr>
          </w:p>
        </w:tc>
      </w:tr>
      <w:tr w:rsidR="008F163E" w:rsidRPr="0089449E">
        <w:tc>
          <w:tcPr>
            <w:tcW w:w="817" w:type="dxa"/>
          </w:tcPr>
          <w:p w:rsidR="008F163E" w:rsidRPr="00280008" w:rsidRDefault="0041542B" w:rsidP="008F163E">
            <w:pPr>
              <w:autoSpaceDE w:val="0"/>
              <w:autoSpaceDN w:val="0"/>
              <w:adjustRightInd w:val="0"/>
              <w:rPr>
                <w:rFonts w:ascii="Arial" w:hAnsi="Arial" w:cs="Arial"/>
              </w:rPr>
            </w:pPr>
            <w:r>
              <w:rPr>
                <w:rFonts w:ascii="Arial" w:hAnsi="Arial" w:cs="Arial"/>
              </w:rPr>
              <w:t>4</w:t>
            </w:r>
            <w:r w:rsidR="008F163E">
              <w:rPr>
                <w:rFonts w:ascii="Arial" w:hAnsi="Arial" w:cs="Arial"/>
              </w:rPr>
              <w:t>.4</w:t>
            </w:r>
          </w:p>
          <w:p w:rsidR="008F163E" w:rsidRPr="00280008" w:rsidRDefault="008F163E" w:rsidP="008F163E">
            <w:pPr>
              <w:autoSpaceDE w:val="0"/>
              <w:autoSpaceDN w:val="0"/>
              <w:adjustRightInd w:val="0"/>
              <w:rPr>
                <w:rFonts w:ascii="Arial" w:hAnsi="Arial" w:cs="Arial"/>
              </w:rPr>
            </w:pPr>
          </w:p>
        </w:tc>
        <w:tc>
          <w:tcPr>
            <w:tcW w:w="8647" w:type="dxa"/>
          </w:tcPr>
          <w:p w:rsidR="008F163E" w:rsidRDefault="008F163E" w:rsidP="008F163E">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rsidR="008F163E" w:rsidRPr="0089449E" w:rsidRDefault="008F163E" w:rsidP="008F163E">
            <w:pPr>
              <w:autoSpaceDE w:val="0"/>
              <w:autoSpaceDN w:val="0"/>
              <w:adjustRightInd w:val="0"/>
              <w:jc w:val="both"/>
              <w:rPr>
                <w:rFonts w:ascii="Arial" w:hAnsi="Arial" w:cs="Arial"/>
                <w:b/>
              </w:rPr>
            </w:pPr>
          </w:p>
        </w:tc>
      </w:tr>
    </w:tbl>
    <w:p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rsidTr="00555FC1">
        <w:trPr>
          <w:cantSplit/>
        </w:trPr>
        <w:tc>
          <w:tcPr>
            <w:tcW w:w="9464" w:type="dxa"/>
          </w:tcPr>
          <w:p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rsidR="00555FC1" w:rsidRPr="00B12C74" w:rsidRDefault="00555FC1" w:rsidP="00555FC1">
            <w:pPr>
              <w:jc w:val="both"/>
              <w:rPr>
                <w:rFonts w:ascii="Arial" w:hAnsi="Arial" w:cs="Arial"/>
                <w:szCs w:val="24"/>
              </w:rPr>
            </w:pPr>
          </w:p>
          <w:p w:rsidR="0036252C" w:rsidRPr="0036252C" w:rsidRDefault="0036252C" w:rsidP="0036252C">
            <w:pPr>
              <w:jc w:val="both"/>
              <w:rPr>
                <w:rFonts w:ascii="Arial" w:hAnsi="Arial" w:cs="Arial"/>
                <w:szCs w:val="24"/>
              </w:rPr>
            </w:pPr>
            <w:r>
              <w:rPr>
                <w:rFonts w:ascii="Arial" w:hAnsi="Arial" w:cs="Arial"/>
                <w:szCs w:val="24"/>
              </w:rPr>
              <w:t>It is recommended Directors</w:t>
            </w:r>
            <w:r w:rsidR="00E32AFC">
              <w:rPr>
                <w:rFonts w:ascii="Arial" w:hAnsi="Arial" w:cs="Arial"/>
                <w:szCs w:val="24"/>
              </w:rPr>
              <w:t xml:space="preserve"> note the update</w:t>
            </w:r>
            <w:r w:rsidR="00E46BFC">
              <w:rPr>
                <w:rFonts w:ascii="Arial" w:hAnsi="Arial" w:cs="Arial"/>
                <w:szCs w:val="24"/>
              </w:rPr>
              <w:t xml:space="preserve"> and the appointment </w:t>
            </w:r>
            <w:r w:rsidR="00104AC2">
              <w:rPr>
                <w:rFonts w:ascii="Arial" w:hAnsi="Arial" w:cs="Arial"/>
                <w:szCs w:val="24"/>
              </w:rPr>
              <w:t>to the Corporate Programme Manager post.</w:t>
            </w:r>
          </w:p>
          <w:p w:rsidR="00690507" w:rsidRPr="00E32AFC" w:rsidRDefault="00690507" w:rsidP="00E32AFC">
            <w:pPr>
              <w:jc w:val="both"/>
              <w:rPr>
                <w:rFonts w:ascii="Arial" w:hAnsi="Arial" w:cs="Arial"/>
                <w:szCs w:val="24"/>
              </w:rPr>
            </w:pPr>
          </w:p>
        </w:tc>
      </w:tr>
    </w:tbl>
    <w:p w:rsidR="00555FC1" w:rsidRPr="0089449E" w:rsidRDefault="00555FC1" w:rsidP="00416BFF">
      <w:pPr>
        <w:rPr>
          <w:rFonts w:ascii="Arial" w:hAnsi="Arial" w:cs="Arial"/>
          <w:szCs w:val="24"/>
        </w:rPr>
      </w:pPr>
    </w:p>
    <w:p w:rsidR="0039450A"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rsidR="00E32AFC" w:rsidRPr="0089449E" w:rsidRDefault="00E32AFC" w:rsidP="00416BFF">
      <w:pPr>
        <w:rPr>
          <w:rFonts w:ascii="Arial" w:hAnsi="Arial" w:cs="Arial"/>
          <w:szCs w:val="24"/>
        </w:rPr>
      </w:pPr>
    </w:p>
    <w:p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502875">
        <w:rPr>
          <w:rFonts w:ascii="Arial" w:hAnsi="Arial" w:cs="Arial"/>
          <w:szCs w:val="24"/>
        </w:rPr>
        <w:t>9</w:t>
      </w:r>
      <w:bookmarkStart w:id="0" w:name="_GoBack"/>
      <w:bookmarkEnd w:id="0"/>
      <w:r w:rsidR="00FB7E75">
        <w:rPr>
          <w:rFonts w:ascii="Arial" w:hAnsi="Arial" w:cs="Arial"/>
          <w:szCs w:val="24"/>
        </w:rPr>
        <w:t xml:space="preserve"> March 2020</w:t>
      </w:r>
    </w:p>
    <w:p w:rsidR="00E32AFC" w:rsidRDefault="00E32AFC">
      <w:pPr>
        <w:rPr>
          <w:rFonts w:ascii="Arial" w:hAnsi="Arial" w:cs="Arial"/>
          <w:szCs w:val="24"/>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91488D" w:rsidRDefault="0091488D" w:rsidP="0091488D">
      <w:pPr>
        <w:rPr>
          <w:rFonts w:ascii="Arial" w:hAnsi="Arial" w:cs="Arial"/>
          <w:b/>
        </w:rPr>
      </w:pPr>
    </w:p>
    <w:p w:rsidR="00F30487" w:rsidRDefault="00F30487" w:rsidP="0091488D">
      <w:pPr>
        <w:jc w:val="right"/>
        <w:rPr>
          <w:rFonts w:ascii="Arial" w:hAnsi="Arial" w:cs="Arial"/>
          <w:b/>
        </w:rPr>
      </w:pPr>
    </w:p>
    <w:p w:rsidR="00F30487" w:rsidRDefault="00F30487" w:rsidP="0091488D">
      <w:pPr>
        <w:jc w:val="right"/>
        <w:rPr>
          <w:rFonts w:ascii="Arial" w:hAnsi="Arial" w:cs="Arial"/>
          <w:b/>
        </w:rPr>
      </w:pPr>
    </w:p>
    <w:p w:rsidR="00F30487" w:rsidRDefault="00F30487" w:rsidP="0091488D">
      <w:pPr>
        <w:jc w:val="right"/>
        <w:rPr>
          <w:rFonts w:ascii="Arial" w:hAnsi="Arial" w:cs="Arial"/>
          <w:b/>
        </w:rPr>
      </w:pPr>
    </w:p>
    <w:p w:rsidR="0091488D" w:rsidRDefault="0091488D" w:rsidP="0091488D">
      <w:pPr>
        <w:jc w:val="right"/>
        <w:rPr>
          <w:rFonts w:ascii="Arial" w:hAnsi="Arial" w:cs="Arial"/>
          <w:b/>
        </w:rPr>
      </w:pPr>
      <w:r>
        <w:rPr>
          <w:rFonts w:ascii="Arial" w:hAnsi="Arial" w:cs="Arial"/>
          <w:b/>
        </w:rPr>
        <w:lastRenderedPageBreak/>
        <w:t>Appendix A</w:t>
      </w:r>
    </w:p>
    <w:p w:rsidR="00F30487" w:rsidRDefault="00F30487" w:rsidP="0091488D">
      <w:pPr>
        <w:rPr>
          <w:rFonts w:ascii="Arial" w:hAnsi="Arial" w:cs="Arial"/>
          <w:b/>
        </w:rPr>
      </w:pPr>
    </w:p>
    <w:p w:rsidR="00F30487" w:rsidRDefault="00F30487" w:rsidP="0091488D">
      <w:pPr>
        <w:rPr>
          <w:rFonts w:ascii="Arial" w:hAnsi="Arial" w:cs="Arial"/>
          <w:b/>
        </w:rPr>
      </w:pPr>
    </w:p>
    <w:p w:rsidR="0091488D" w:rsidRDefault="0091488D" w:rsidP="0091488D">
      <w:pPr>
        <w:rPr>
          <w:rFonts w:ascii="Arial" w:hAnsi="Arial" w:cs="Arial"/>
          <w:b/>
        </w:rPr>
      </w:pPr>
      <w:r>
        <w:rPr>
          <w:rFonts w:ascii="Arial" w:hAnsi="Arial" w:cs="Arial"/>
          <w:b/>
        </w:rPr>
        <w:t>BRIEFING NOTE TO HIGH LIFE HIGHLAND BOARD</w:t>
      </w:r>
    </w:p>
    <w:p w:rsidR="0091488D" w:rsidRDefault="0091488D" w:rsidP="0091488D">
      <w:pPr>
        <w:rPr>
          <w:rFonts w:ascii="Arial" w:hAnsi="Arial" w:cs="Arial"/>
          <w:b/>
        </w:rPr>
      </w:pPr>
    </w:p>
    <w:p w:rsidR="0091488D" w:rsidRPr="00BB69C5" w:rsidRDefault="0091488D" w:rsidP="0091488D">
      <w:pPr>
        <w:rPr>
          <w:rFonts w:ascii="Arial" w:hAnsi="Arial" w:cs="Arial"/>
          <w:b/>
        </w:rPr>
      </w:pPr>
      <w:r w:rsidRPr="00BB69C5">
        <w:rPr>
          <w:rFonts w:ascii="Arial" w:hAnsi="Arial" w:cs="Arial"/>
          <w:b/>
        </w:rPr>
        <w:t>Introduction</w:t>
      </w:r>
    </w:p>
    <w:p w:rsidR="0091488D" w:rsidRDefault="0091488D" w:rsidP="0091488D"/>
    <w:p w:rsidR="0091488D" w:rsidRPr="00E74557" w:rsidRDefault="0091488D" w:rsidP="0091488D">
      <w:pPr>
        <w:jc w:val="both"/>
        <w:rPr>
          <w:rFonts w:ascii="Arial" w:hAnsi="Arial" w:cs="Arial"/>
        </w:rPr>
      </w:pPr>
      <w:r>
        <w:rPr>
          <w:rFonts w:ascii="Arial" w:hAnsi="Arial" w:cs="Arial"/>
        </w:rPr>
        <w:t>T</w:t>
      </w:r>
      <w:r w:rsidRPr="00E74557">
        <w:rPr>
          <w:rFonts w:ascii="Arial" w:hAnsi="Arial" w:cs="Arial"/>
        </w:rPr>
        <w:t xml:space="preserve">his paper </w:t>
      </w:r>
      <w:r>
        <w:rPr>
          <w:rFonts w:ascii="Arial" w:hAnsi="Arial" w:cs="Arial"/>
        </w:rPr>
        <w:t>pr</w:t>
      </w:r>
      <w:r w:rsidRPr="00E74557">
        <w:rPr>
          <w:rFonts w:ascii="Arial" w:hAnsi="Arial" w:cs="Arial"/>
        </w:rPr>
        <w:t>ovide</w:t>
      </w:r>
      <w:r>
        <w:rPr>
          <w:rFonts w:ascii="Arial" w:hAnsi="Arial" w:cs="Arial"/>
        </w:rPr>
        <w:t>s</w:t>
      </w:r>
      <w:r w:rsidRPr="00E74557">
        <w:rPr>
          <w:rFonts w:ascii="Arial" w:hAnsi="Arial" w:cs="Arial"/>
        </w:rPr>
        <w:t xml:space="preserve"> an update to the High Life Highland Board with respect to service organisational re-structure.  </w:t>
      </w:r>
      <w:r>
        <w:rPr>
          <w:rFonts w:ascii="Arial" w:hAnsi="Arial" w:cs="Arial"/>
        </w:rPr>
        <w:t xml:space="preserve">Although authority to implement a management re-structure is delegated to the Chief Executive, the purpose of this paper is </w:t>
      </w:r>
      <w:proofErr w:type="gramStart"/>
      <w:r>
        <w:rPr>
          <w:rFonts w:ascii="Arial" w:hAnsi="Arial" w:cs="Arial"/>
        </w:rPr>
        <w:t>ensure</w:t>
      </w:r>
      <w:proofErr w:type="gramEnd"/>
      <w:r>
        <w:rPr>
          <w:rFonts w:ascii="Arial" w:hAnsi="Arial" w:cs="Arial"/>
        </w:rPr>
        <w:t xml:space="preserve"> that the Board are fully informed of the rationale behind the changes and the process for implementation.</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b/>
        </w:rPr>
      </w:pPr>
      <w:r w:rsidRPr="00E74557">
        <w:rPr>
          <w:rFonts w:ascii="Arial" w:hAnsi="Arial" w:cs="Arial"/>
          <w:b/>
        </w:rPr>
        <w:t>Background</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The HLH Board on 11 Dec</w:t>
      </w:r>
      <w:r w:rsidR="00E81E8A">
        <w:rPr>
          <w:rFonts w:ascii="Arial" w:hAnsi="Arial" w:cs="Arial"/>
        </w:rPr>
        <w:t>ember</w:t>
      </w:r>
      <w:r w:rsidRPr="00E74557">
        <w:rPr>
          <w:rFonts w:ascii="Arial" w:hAnsi="Arial" w:cs="Arial"/>
        </w:rPr>
        <w:t xml:space="preserve"> </w:t>
      </w:r>
      <w:r w:rsidR="00E81E8A">
        <w:rPr>
          <w:rFonts w:ascii="Arial" w:hAnsi="Arial" w:cs="Arial"/>
        </w:rPr>
        <w:t>20</w:t>
      </w:r>
      <w:r w:rsidRPr="00E74557">
        <w:rPr>
          <w:rFonts w:ascii="Arial" w:hAnsi="Arial" w:cs="Arial"/>
        </w:rPr>
        <w:t>19 raised concerns that despite over 40 new services having been absorbed into the Trust, the Senior Management structure had not changed since the Trust was formed in 2011. This has been a corporate risk (HLH05) for a significant period of time</w:t>
      </w:r>
      <w:r w:rsidR="00E81E8A">
        <w:rPr>
          <w:rFonts w:ascii="Arial" w:hAnsi="Arial" w:cs="Arial"/>
        </w:rPr>
        <w:t>,</w:t>
      </w:r>
      <w:r w:rsidRPr="00E74557">
        <w:rPr>
          <w:rFonts w:ascii="Arial" w:hAnsi="Arial" w:cs="Arial"/>
        </w:rPr>
        <w:t xml:space="preserve"> specifically captured in the risk register as ‘over-reaching and over-commitment leading to failure of significant projects and pressure on central services.’ </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 xml:space="preserve">At the December </w:t>
      </w:r>
      <w:r w:rsidR="00E81E8A">
        <w:rPr>
          <w:rFonts w:ascii="Arial" w:hAnsi="Arial" w:cs="Arial"/>
        </w:rPr>
        <w:t>B</w:t>
      </w:r>
      <w:r w:rsidRPr="00E74557">
        <w:rPr>
          <w:rFonts w:ascii="Arial" w:hAnsi="Arial" w:cs="Arial"/>
        </w:rPr>
        <w:t xml:space="preserve">oard, </w:t>
      </w:r>
      <w:r w:rsidR="00E81E8A">
        <w:rPr>
          <w:rFonts w:ascii="Arial" w:hAnsi="Arial" w:cs="Arial"/>
        </w:rPr>
        <w:t>t</w:t>
      </w:r>
      <w:r w:rsidRPr="00E74557">
        <w:rPr>
          <w:rFonts w:ascii="Arial" w:hAnsi="Arial" w:cs="Arial"/>
        </w:rPr>
        <w:t xml:space="preserve">he CE undertook to conduct a review to seek solutions that would create additional capacity to undertake the work required to continue to grow HLH as an organisation and secure a sustainable future. </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A Heads of Service away day was held in early January 20</w:t>
      </w:r>
      <w:r w:rsidR="00E81E8A">
        <w:rPr>
          <w:rFonts w:ascii="Arial" w:hAnsi="Arial" w:cs="Arial"/>
        </w:rPr>
        <w:t>20</w:t>
      </w:r>
      <w:r w:rsidRPr="00E74557">
        <w:rPr>
          <w:rFonts w:ascii="Arial" w:hAnsi="Arial" w:cs="Arial"/>
        </w:rPr>
        <w:t xml:space="preserve"> where a series of workshops were conducted to address the challenge and create capacity to undertake the initiatives required to deliver efficiencies, grow the business and develop strategies. It was also acknowledged that more recently, increased workload from the Inverness Castle Project has led to a significant resource pressure across services that needed to be addressed with some urgency. In addition to the extant business plan requirements, the key high-level deliverables that were assessed as requiring additional capacity were:</w:t>
      </w:r>
    </w:p>
    <w:p w:rsidR="0091488D" w:rsidRPr="00E74557" w:rsidRDefault="0091488D" w:rsidP="0091488D">
      <w:pPr>
        <w:jc w:val="both"/>
        <w:rPr>
          <w:rFonts w:ascii="Arial" w:hAnsi="Arial" w:cs="Arial"/>
        </w:rPr>
      </w:pPr>
    </w:p>
    <w:p w:rsidR="0091488D" w:rsidRPr="00E74557" w:rsidRDefault="0091488D" w:rsidP="0091488D">
      <w:pPr>
        <w:pStyle w:val="ListParagraph"/>
        <w:numPr>
          <w:ilvl w:val="0"/>
          <w:numId w:val="8"/>
        </w:numPr>
        <w:spacing w:after="0" w:line="240" w:lineRule="auto"/>
        <w:contextualSpacing w:val="0"/>
        <w:jc w:val="both"/>
        <w:rPr>
          <w:rFonts w:ascii="Arial" w:eastAsia="Times New Roman" w:hAnsi="Arial" w:cs="Arial"/>
        </w:rPr>
      </w:pPr>
      <w:r w:rsidRPr="00E74557">
        <w:rPr>
          <w:rFonts w:ascii="Arial" w:eastAsia="Times New Roman" w:hAnsi="Arial" w:cs="Arial"/>
        </w:rPr>
        <w:t xml:space="preserve">Castle Project </w:t>
      </w:r>
    </w:p>
    <w:p w:rsidR="0091488D" w:rsidRPr="00E74557" w:rsidRDefault="0091488D" w:rsidP="0091488D">
      <w:pPr>
        <w:pStyle w:val="ListParagraph"/>
        <w:numPr>
          <w:ilvl w:val="0"/>
          <w:numId w:val="8"/>
        </w:numPr>
        <w:spacing w:after="0" w:line="240" w:lineRule="auto"/>
        <w:contextualSpacing w:val="0"/>
        <w:jc w:val="both"/>
        <w:rPr>
          <w:rFonts w:ascii="Arial" w:eastAsia="Times New Roman" w:hAnsi="Arial" w:cs="Arial"/>
        </w:rPr>
      </w:pPr>
      <w:r w:rsidRPr="00E74557">
        <w:rPr>
          <w:rFonts w:ascii="Arial" w:eastAsia="Times New Roman" w:hAnsi="Arial" w:cs="Arial"/>
        </w:rPr>
        <w:t>Investment – Leisure</w:t>
      </w:r>
    </w:p>
    <w:p w:rsidR="0091488D" w:rsidRPr="00E74557" w:rsidRDefault="0091488D" w:rsidP="0091488D">
      <w:pPr>
        <w:pStyle w:val="ListParagraph"/>
        <w:numPr>
          <w:ilvl w:val="0"/>
          <w:numId w:val="8"/>
        </w:numPr>
        <w:spacing w:after="0" w:line="240" w:lineRule="auto"/>
        <w:contextualSpacing w:val="0"/>
        <w:jc w:val="both"/>
        <w:rPr>
          <w:rFonts w:ascii="Arial" w:eastAsia="Times New Roman" w:hAnsi="Arial" w:cs="Arial"/>
        </w:rPr>
      </w:pPr>
      <w:r w:rsidRPr="00E74557">
        <w:rPr>
          <w:rFonts w:ascii="Arial" w:eastAsia="Times New Roman" w:hAnsi="Arial" w:cs="Arial"/>
        </w:rPr>
        <w:t>Investment – Marketing &amp; Comms</w:t>
      </w:r>
    </w:p>
    <w:p w:rsidR="0091488D" w:rsidRPr="00E74557" w:rsidRDefault="0091488D" w:rsidP="0091488D">
      <w:pPr>
        <w:pStyle w:val="ListParagraph"/>
        <w:numPr>
          <w:ilvl w:val="0"/>
          <w:numId w:val="8"/>
        </w:numPr>
        <w:spacing w:after="0" w:line="240" w:lineRule="auto"/>
        <w:contextualSpacing w:val="0"/>
        <w:jc w:val="both"/>
        <w:rPr>
          <w:rFonts w:ascii="Arial" w:eastAsia="Times New Roman" w:hAnsi="Arial" w:cs="Arial"/>
        </w:rPr>
      </w:pPr>
      <w:r w:rsidRPr="00E74557">
        <w:rPr>
          <w:rFonts w:ascii="Arial" w:eastAsia="Times New Roman" w:hAnsi="Arial" w:cs="Arial"/>
        </w:rPr>
        <w:t xml:space="preserve">Pricing &amp; Charging Review </w:t>
      </w:r>
    </w:p>
    <w:p w:rsidR="0091488D" w:rsidRPr="00E74557" w:rsidRDefault="0091488D" w:rsidP="0091488D">
      <w:pPr>
        <w:pStyle w:val="ListParagraph"/>
        <w:numPr>
          <w:ilvl w:val="0"/>
          <w:numId w:val="8"/>
        </w:numPr>
        <w:spacing w:after="0" w:line="240" w:lineRule="auto"/>
        <w:contextualSpacing w:val="0"/>
        <w:jc w:val="both"/>
        <w:rPr>
          <w:rFonts w:ascii="Arial" w:eastAsia="Times New Roman" w:hAnsi="Arial" w:cs="Arial"/>
        </w:rPr>
      </w:pPr>
      <w:r w:rsidRPr="00E74557">
        <w:rPr>
          <w:rFonts w:ascii="Arial" w:eastAsia="Times New Roman" w:hAnsi="Arial" w:cs="Arial"/>
        </w:rPr>
        <w:t>Workforce Planning</w:t>
      </w:r>
    </w:p>
    <w:p w:rsidR="0091488D" w:rsidRPr="00E74557" w:rsidRDefault="0091488D" w:rsidP="0091488D">
      <w:pPr>
        <w:pStyle w:val="ListParagraph"/>
        <w:numPr>
          <w:ilvl w:val="0"/>
          <w:numId w:val="8"/>
        </w:numPr>
        <w:spacing w:after="0" w:line="240" w:lineRule="auto"/>
        <w:contextualSpacing w:val="0"/>
        <w:jc w:val="both"/>
        <w:rPr>
          <w:rFonts w:ascii="Arial" w:eastAsia="Times New Roman" w:hAnsi="Arial" w:cs="Arial"/>
        </w:rPr>
      </w:pPr>
      <w:r w:rsidRPr="00E74557">
        <w:rPr>
          <w:rFonts w:ascii="Arial" w:eastAsia="Times New Roman" w:hAnsi="Arial" w:cs="Arial"/>
        </w:rPr>
        <w:t>New facilities (</w:t>
      </w:r>
      <w:proofErr w:type="spellStart"/>
      <w:r w:rsidRPr="00E74557">
        <w:rPr>
          <w:rFonts w:ascii="Arial" w:eastAsia="Times New Roman" w:hAnsi="Arial" w:cs="Arial"/>
        </w:rPr>
        <w:t>Strathpeffer</w:t>
      </w:r>
      <w:proofErr w:type="spellEnd"/>
      <w:r w:rsidRPr="00E74557">
        <w:rPr>
          <w:rFonts w:ascii="Arial" w:eastAsia="Times New Roman" w:hAnsi="Arial" w:cs="Arial"/>
        </w:rPr>
        <w:t xml:space="preserve"> / Caithness – with possibly </w:t>
      </w:r>
      <w:proofErr w:type="spellStart"/>
      <w:r w:rsidRPr="00E74557">
        <w:rPr>
          <w:rFonts w:ascii="Arial" w:eastAsia="Times New Roman" w:hAnsi="Arial" w:cs="Arial"/>
        </w:rPr>
        <w:t>Lochalsh</w:t>
      </w:r>
      <w:proofErr w:type="spellEnd"/>
      <w:r w:rsidRPr="00E74557">
        <w:rPr>
          <w:rFonts w:ascii="Arial" w:eastAsia="Times New Roman" w:hAnsi="Arial" w:cs="Arial"/>
        </w:rPr>
        <w:t xml:space="preserve"> and Nevis to follow) </w:t>
      </w:r>
    </w:p>
    <w:p w:rsidR="0091488D" w:rsidRPr="00E74557" w:rsidRDefault="0091488D" w:rsidP="0091488D">
      <w:pPr>
        <w:pStyle w:val="ListParagraph"/>
        <w:numPr>
          <w:ilvl w:val="0"/>
          <w:numId w:val="8"/>
        </w:numPr>
        <w:spacing w:after="0" w:line="240" w:lineRule="auto"/>
        <w:contextualSpacing w:val="0"/>
        <w:jc w:val="both"/>
        <w:rPr>
          <w:rFonts w:ascii="Arial" w:eastAsia="Times New Roman" w:hAnsi="Arial" w:cs="Arial"/>
        </w:rPr>
      </w:pPr>
      <w:r w:rsidRPr="00E74557">
        <w:rPr>
          <w:rFonts w:ascii="Arial" w:eastAsia="Times New Roman" w:hAnsi="Arial" w:cs="Arial"/>
        </w:rPr>
        <w:t>Climate challenge</w:t>
      </w:r>
    </w:p>
    <w:p w:rsidR="0091488D" w:rsidRPr="00E74557" w:rsidRDefault="0091488D" w:rsidP="0091488D">
      <w:pPr>
        <w:pStyle w:val="ListParagraph"/>
        <w:numPr>
          <w:ilvl w:val="0"/>
          <w:numId w:val="8"/>
        </w:numPr>
        <w:spacing w:after="0" w:line="240" w:lineRule="auto"/>
        <w:contextualSpacing w:val="0"/>
        <w:jc w:val="both"/>
        <w:rPr>
          <w:rFonts w:ascii="Arial" w:eastAsia="Times New Roman" w:hAnsi="Arial" w:cs="Arial"/>
        </w:rPr>
      </w:pPr>
      <w:r w:rsidRPr="00E74557">
        <w:rPr>
          <w:rFonts w:ascii="Arial" w:eastAsia="Times New Roman" w:hAnsi="Arial" w:cs="Arial"/>
        </w:rPr>
        <w:t>Catering Strategy</w:t>
      </w:r>
    </w:p>
    <w:p w:rsidR="0091488D" w:rsidRPr="00E74557" w:rsidRDefault="0091488D" w:rsidP="0091488D">
      <w:pPr>
        <w:jc w:val="both"/>
        <w:rPr>
          <w:rFonts w:ascii="Arial" w:hAnsi="Arial" w:cs="Arial"/>
        </w:rPr>
      </w:pPr>
    </w:p>
    <w:p w:rsidR="0091488D" w:rsidRDefault="0091488D" w:rsidP="0091488D">
      <w:pPr>
        <w:jc w:val="both"/>
        <w:rPr>
          <w:rFonts w:ascii="Arial" w:hAnsi="Arial" w:cs="Arial"/>
        </w:rPr>
      </w:pPr>
      <w:r w:rsidRPr="00E74557">
        <w:rPr>
          <w:rFonts w:ascii="Arial" w:hAnsi="Arial" w:cs="Arial"/>
        </w:rPr>
        <w:t xml:space="preserve">With significant budget challenges both in-year, and for 20/21, a solution that was as close to cost-neutral as possible needed to be found. With this challenge in mind, the option of creating an additional </w:t>
      </w:r>
      <w:proofErr w:type="spellStart"/>
      <w:r w:rsidRPr="00E74557">
        <w:rPr>
          <w:rFonts w:ascii="Arial" w:hAnsi="Arial" w:cs="Arial"/>
        </w:rPr>
        <w:t>HoS</w:t>
      </w:r>
      <w:proofErr w:type="spellEnd"/>
      <w:r w:rsidRPr="00E74557">
        <w:rPr>
          <w:rFonts w:ascii="Arial" w:hAnsi="Arial" w:cs="Arial"/>
        </w:rPr>
        <w:t xml:space="preserve"> position or Depute CE were considered. However, on analysis, it was clear that the best option was to adjust the responsibilities of our current </w:t>
      </w:r>
      <w:proofErr w:type="spellStart"/>
      <w:r w:rsidRPr="00E74557">
        <w:rPr>
          <w:rFonts w:ascii="Arial" w:hAnsi="Arial" w:cs="Arial"/>
        </w:rPr>
        <w:t>HoS</w:t>
      </w:r>
      <w:proofErr w:type="spellEnd"/>
      <w:r w:rsidRPr="00E74557">
        <w:rPr>
          <w:rFonts w:ascii="Arial" w:hAnsi="Arial" w:cs="Arial"/>
        </w:rPr>
        <w:t xml:space="preserve"> and create additional capacity elsewhere. This included the establishment of a separate team to deliver the Inverness Castle Project, led on a full-time basis by the current Project Manager. </w:t>
      </w:r>
    </w:p>
    <w:p w:rsidR="0091488D" w:rsidRDefault="0091488D" w:rsidP="0091488D">
      <w:pPr>
        <w:jc w:val="both"/>
        <w:rPr>
          <w:rFonts w:ascii="Arial" w:hAnsi="Arial" w:cs="Arial"/>
        </w:rPr>
      </w:pPr>
    </w:p>
    <w:p w:rsidR="00E81E8A" w:rsidRDefault="00E81E8A" w:rsidP="0091488D">
      <w:pPr>
        <w:jc w:val="both"/>
        <w:rPr>
          <w:rFonts w:ascii="Arial" w:hAnsi="Arial" w:cs="Arial"/>
        </w:rPr>
      </w:pPr>
    </w:p>
    <w:p w:rsidR="00E81E8A" w:rsidRPr="00E74557" w:rsidRDefault="00E81E8A"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The new structure</w:t>
      </w:r>
      <w:r>
        <w:rPr>
          <w:rFonts w:ascii="Arial" w:hAnsi="Arial" w:cs="Arial"/>
        </w:rPr>
        <w:t xml:space="preserve"> at </w:t>
      </w:r>
      <w:r w:rsidRPr="00974037">
        <w:rPr>
          <w:rFonts w:ascii="Arial" w:hAnsi="Arial" w:cs="Arial"/>
          <w:b/>
        </w:rPr>
        <w:t xml:space="preserve">Appendix </w:t>
      </w:r>
      <w:proofErr w:type="gramStart"/>
      <w:r w:rsidR="00871538">
        <w:rPr>
          <w:rFonts w:ascii="Arial" w:hAnsi="Arial" w:cs="Arial"/>
          <w:b/>
        </w:rPr>
        <w:t>A(</w:t>
      </w:r>
      <w:proofErr w:type="gramEnd"/>
      <w:r w:rsidR="00370BBD">
        <w:rPr>
          <w:rFonts w:ascii="Arial" w:hAnsi="Arial" w:cs="Arial"/>
          <w:b/>
        </w:rPr>
        <w:t>1</w:t>
      </w:r>
      <w:r w:rsidR="00871538">
        <w:rPr>
          <w:rFonts w:ascii="Arial" w:hAnsi="Arial" w:cs="Arial"/>
          <w:b/>
        </w:rPr>
        <w:t>)</w:t>
      </w:r>
      <w:r w:rsidRPr="00974037">
        <w:rPr>
          <w:rFonts w:ascii="Arial" w:hAnsi="Arial" w:cs="Arial"/>
        </w:rPr>
        <w:t xml:space="preserve"> </w:t>
      </w:r>
      <w:r w:rsidRPr="00E74557">
        <w:rPr>
          <w:rFonts w:ascii="Arial" w:hAnsi="Arial" w:cs="Arial"/>
        </w:rPr>
        <w:t xml:space="preserve">includes the creation of a </w:t>
      </w:r>
      <w:r>
        <w:rPr>
          <w:rFonts w:ascii="Arial" w:hAnsi="Arial" w:cs="Arial"/>
        </w:rPr>
        <w:t xml:space="preserve">Corporate </w:t>
      </w:r>
      <w:r w:rsidRPr="00E74557">
        <w:rPr>
          <w:rFonts w:ascii="Arial" w:hAnsi="Arial" w:cs="Arial"/>
        </w:rPr>
        <w:t xml:space="preserve">Programme Manager as an additional position. The </w:t>
      </w:r>
      <w:r>
        <w:rPr>
          <w:rFonts w:ascii="Arial" w:hAnsi="Arial" w:cs="Arial"/>
        </w:rPr>
        <w:t>C</w:t>
      </w:r>
      <w:r w:rsidRPr="00E74557">
        <w:rPr>
          <w:rFonts w:ascii="Arial" w:hAnsi="Arial" w:cs="Arial"/>
        </w:rPr>
        <w:t>PM will be responsible for co-ordination, sequencing, governance, resourcing and reporting of all projects within the HLH change portfolio. This post will be mainly funded by the removal of a post within the Library Service and will be limited to internal applicants. The person and job specification for th</w:t>
      </w:r>
      <w:r>
        <w:rPr>
          <w:rFonts w:ascii="Arial" w:hAnsi="Arial" w:cs="Arial"/>
        </w:rPr>
        <w:t xml:space="preserve">is </w:t>
      </w:r>
      <w:r w:rsidRPr="00E74557">
        <w:rPr>
          <w:rFonts w:ascii="Arial" w:hAnsi="Arial" w:cs="Arial"/>
        </w:rPr>
        <w:t xml:space="preserve">post can be found at </w:t>
      </w:r>
      <w:r w:rsidRPr="00E74557">
        <w:rPr>
          <w:rFonts w:ascii="Arial" w:hAnsi="Arial" w:cs="Arial"/>
          <w:b/>
        </w:rPr>
        <w:t xml:space="preserve">Appendix </w:t>
      </w:r>
      <w:r>
        <w:rPr>
          <w:rFonts w:ascii="Arial" w:hAnsi="Arial" w:cs="Arial"/>
          <w:b/>
        </w:rPr>
        <w:t>B</w:t>
      </w:r>
      <w:r w:rsidRPr="00E74557">
        <w:rPr>
          <w:rFonts w:ascii="Arial" w:hAnsi="Arial" w:cs="Arial"/>
        </w:rPr>
        <w:t xml:space="preserve">. </w:t>
      </w:r>
    </w:p>
    <w:p w:rsidR="0091488D" w:rsidRDefault="0091488D" w:rsidP="0091488D">
      <w:pPr>
        <w:jc w:val="both"/>
        <w:rPr>
          <w:rFonts w:ascii="Arial" w:hAnsi="Arial" w:cs="Arial"/>
          <w:b/>
        </w:rPr>
      </w:pPr>
    </w:p>
    <w:p w:rsidR="0091488D" w:rsidRPr="00E74557" w:rsidRDefault="0091488D" w:rsidP="0091488D">
      <w:pPr>
        <w:jc w:val="both"/>
        <w:rPr>
          <w:rFonts w:ascii="Arial" w:hAnsi="Arial" w:cs="Arial"/>
          <w:b/>
        </w:rPr>
      </w:pPr>
      <w:r w:rsidRPr="00E74557">
        <w:rPr>
          <w:rFonts w:ascii="Arial" w:hAnsi="Arial" w:cs="Arial"/>
          <w:b/>
        </w:rPr>
        <w:t>Key points to note:</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The 3 new services will be:</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 xml:space="preserve">Corporate Services </w:t>
      </w:r>
      <w:proofErr w:type="gramStart"/>
      <w:r w:rsidRPr="00E74557">
        <w:rPr>
          <w:rFonts w:ascii="Arial" w:hAnsi="Arial" w:cs="Arial"/>
        </w:rPr>
        <w:t>–  James</w:t>
      </w:r>
      <w:proofErr w:type="gramEnd"/>
      <w:r w:rsidRPr="00E74557">
        <w:rPr>
          <w:rFonts w:ascii="Arial" w:hAnsi="Arial" w:cs="Arial"/>
        </w:rPr>
        <w:t xml:space="preserve"> Martin</w:t>
      </w:r>
    </w:p>
    <w:p w:rsidR="0091488D" w:rsidRPr="00E74557" w:rsidRDefault="0091488D" w:rsidP="0091488D">
      <w:pPr>
        <w:jc w:val="both"/>
        <w:rPr>
          <w:rFonts w:ascii="Arial" w:hAnsi="Arial" w:cs="Arial"/>
        </w:rPr>
      </w:pPr>
      <w:r w:rsidRPr="00E74557">
        <w:rPr>
          <w:rFonts w:ascii="Arial" w:hAnsi="Arial" w:cs="Arial"/>
        </w:rPr>
        <w:t xml:space="preserve">Sport and Leisure </w:t>
      </w:r>
      <w:proofErr w:type="gramStart"/>
      <w:r w:rsidRPr="00E74557">
        <w:rPr>
          <w:rFonts w:ascii="Arial" w:hAnsi="Arial" w:cs="Arial"/>
        </w:rPr>
        <w:t>–  Douglas</w:t>
      </w:r>
      <w:proofErr w:type="gramEnd"/>
      <w:r w:rsidRPr="00E74557">
        <w:rPr>
          <w:rFonts w:ascii="Arial" w:hAnsi="Arial" w:cs="Arial"/>
        </w:rPr>
        <w:t xml:space="preserve"> Wilby</w:t>
      </w:r>
    </w:p>
    <w:p w:rsidR="0091488D" w:rsidRDefault="0091488D" w:rsidP="0091488D">
      <w:pPr>
        <w:jc w:val="both"/>
        <w:rPr>
          <w:rFonts w:ascii="Arial" w:hAnsi="Arial" w:cs="Arial"/>
        </w:rPr>
      </w:pPr>
      <w:r w:rsidRPr="00E74557">
        <w:rPr>
          <w:rFonts w:ascii="Arial" w:hAnsi="Arial" w:cs="Arial"/>
        </w:rPr>
        <w:t xml:space="preserve">Culture and Learning </w:t>
      </w:r>
      <w:proofErr w:type="gramStart"/>
      <w:r w:rsidRPr="00E74557">
        <w:rPr>
          <w:rFonts w:ascii="Arial" w:hAnsi="Arial" w:cs="Arial"/>
        </w:rPr>
        <w:t>–  John</w:t>
      </w:r>
      <w:proofErr w:type="gramEnd"/>
      <w:r w:rsidRPr="00E74557">
        <w:rPr>
          <w:rFonts w:ascii="Arial" w:hAnsi="Arial" w:cs="Arial"/>
        </w:rPr>
        <w:t xml:space="preserve"> West</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 xml:space="preserve">Inverness Castle – Fiona Hampton will move full-time to lead the </w:t>
      </w:r>
      <w:r>
        <w:rPr>
          <w:rFonts w:ascii="Arial" w:hAnsi="Arial" w:cs="Arial"/>
        </w:rPr>
        <w:t>I</w:t>
      </w:r>
      <w:r w:rsidRPr="00E74557">
        <w:rPr>
          <w:rFonts w:ascii="Arial" w:hAnsi="Arial" w:cs="Arial"/>
        </w:rPr>
        <w:t xml:space="preserve">nverness Castle Project </w:t>
      </w:r>
      <w:r>
        <w:rPr>
          <w:rFonts w:ascii="Arial" w:hAnsi="Arial" w:cs="Arial"/>
        </w:rPr>
        <w:t xml:space="preserve">Development is at </w:t>
      </w:r>
      <w:r w:rsidRPr="00974037">
        <w:rPr>
          <w:rFonts w:ascii="Arial" w:hAnsi="Arial" w:cs="Arial"/>
          <w:b/>
        </w:rPr>
        <w:t>Appendix C</w:t>
      </w:r>
      <w:r>
        <w:rPr>
          <w:rFonts w:ascii="Arial" w:hAnsi="Arial" w:cs="Arial"/>
        </w:rPr>
        <w:t xml:space="preserve"> </w:t>
      </w:r>
      <w:r w:rsidRPr="00E74557">
        <w:rPr>
          <w:rFonts w:ascii="Arial" w:hAnsi="Arial" w:cs="Arial"/>
        </w:rPr>
        <w:t xml:space="preserve">and </w:t>
      </w:r>
      <w:r>
        <w:rPr>
          <w:rFonts w:ascii="Arial" w:hAnsi="Arial" w:cs="Arial"/>
        </w:rPr>
        <w:t xml:space="preserve">will over the coming months </w:t>
      </w:r>
      <w:r w:rsidRPr="00E74557">
        <w:rPr>
          <w:rFonts w:ascii="Arial" w:hAnsi="Arial" w:cs="Arial"/>
        </w:rPr>
        <w:t xml:space="preserve">establish a team of personnel solely focused on Castle business and fully funded by the Inverness Castle Project; these posts will be part of the HLH establishment. </w:t>
      </w:r>
      <w:r w:rsidR="00E81E8A">
        <w:rPr>
          <w:rFonts w:ascii="Arial" w:hAnsi="Arial" w:cs="Arial"/>
        </w:rPr>
        <w:t>T</w:t>
      </w:r>
      <w:r w:rsidRPr="00E74557">
        <w:rPr>
          <w:rFonts w:ascii="Arial" w:hAnsi="Arial" w:cs="Arial"/>
        </w:rPr>
        <w:t xml:space="preserve">his is an interim arrangement and Fiona will remain as full member of the HLH </w:t>
      </w:r>
      <w:proofErr w:type="spellStart"/>
      <w:r w:rsidRPr="00E74557">
        <w:rPr>
          <w:rFonts w:ascii="Arial" w:hAnsi="Arial" w:cs="Arial"/>
        </w:rPr>
        <w:t>HoS</w:t>
      </w:r>
      <w:proofErr w:type="spellEnd"/>
      <w:r w:rsidRPr="00E74557">
        <w:rPr>
          <w:rFonts w:ascii="Arial" w:hAnsi="Arial" w:cs="Arial"/>
        </w:rPr>
        <w:t xml:space="preserve"> team.  </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b/>
        </w:rPr>
      </w:pPr>
      <w:r w:rsidRPr="00E74557">
        <w:rPr>
          <w:rFonts w:ascii="Arial" w:hAnsi="Arial" w:cs="Arial"/>
        </w:rPr>
        <w:t xml:space="preserve">With respect to the new position of Culture and Learning, due to the material change in this position, and in the interest of a fair and transparent process, the SMT were invited to express notes of interest. No formal notes of interest were </w:t>
      </w:r>
      <w:proofErr w:type="gramStart"/>
      <w:r w:rsidRPr="00E74557">
        <w:rPr>
          <w:rFonts w:ascii="Arial" w:hAnsi="Arial" w:cs="Arial"/>
        </w:rPr>
        <w:t>received</w:t>
      </w:r>
      <w:proofErr w:type="gramEnd"/>
      <w:r w:rsidRPr="00E74557">
        <w:rPr>
          <w:rFonts w:ascii="Arial" w:hAnsi="Arial" w:cs="Arial"/>
        </w:rPr>
        <w:t xml:space="preserve"> and John West will move to 5 days /week, leading Culture and Learning.  The revised Job Specifications for the Heads of Service positions can be found at </w:t>
      </w:r>
      <w:r w:rsidRPr="00E74557">
        <w:rPr>
          <w:rFonts w:ascii="Arial" w:hAnsi="Arial" w:cs="Arial"/>
          <w:b/>
        </w:rPr>
        <w:t>Appendi</w:t>
      </w:r>
      <w:r>
        <w:rPr>
          <w:rFonts w:ascii="Arial" w:hAnsi="Arial" w:cs="Arial"/>
          <w:b/>
        </w:rPr>
        <w:t>x</w:t>
      </w:r>
      <w:r w:rsidRPr="00E74557">
        <w:rPr>
          <w:rFonts w:ascii="Arial" w:hAnsi="Arial" w:cs="Arial"/>
          <w:b/>
        </w:rPr>
        <w:t xml:space="preserve"> </w:t>
      </w:r>
      <w:r>
        <w:rPr>
          <w:rFonts w:ascii="Arial" w:hAnsi="Arial" w:cs="Arial"/>
          <w:b/>
        </w:rPr>
        <w:t>D</w:t>
      </w:r>
      <w:r w:rsidRPr="00E74557">
        <w:rPr>
          <w:rFonts w:ascii="Arial" w:hAnsi="Arial" w:cs="Arial"/>
        </w:rPr>
        <w:t>.</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 xml:space="preserve">Although line managed within Corporate Services, the Principal Business Support Manager will continue to report direct to the CE on matters of Board governance, planning and tracking.  </w:t>
      </w:r>
    </w:p>
    <w:p w:rsidR="0091488D" w:rsidRPr="0027354A" w:rsidRDefault="0091488D" w:rsidP="0091488D">
      <w:pPr>
        <w:jc w:val="both"/>
        <w:rPr>
          <w:rFonts w:ascii="Arial" w:hAnsi="Arial" w:cs="Arial"/>
          <w:b/>
          <w:color w:val="FF0000"/>
        </w:rPr>
      </w:pPr>
    </w:p>
    <w:p w:rsidR="0091488D" w:rsidRPr="00A9642E" w:rsidRDefault="0091488D" w:rsidP="0091488D">
      <w:pPr>
        <w:jc w:val="both"/>
        <w:rPr>
          <w:rFonts w:ascii="Arial" w:hAnsi="Arial" w:cs="Arial"/>
        </w:rPr>
      </w:pPr>
      <w:r w:rsidRPr="00A9642E">
        <w:rPr>
          <w:rFonts w:ascii="Arial" w:hAnsi="Arial" w:cs="Arial"/>
        </w:rPr>
        <w:t>The additional costs of creating the CPM post (</w:t>
      </w:r>
      <w:r>
        <w:rPr>
          <w:rFonts w:ascii="Arial" w:hAnsi="Arial" w:cs="Arial"/>
        </w:rPr>
        <w:t>£</w:t>
      </w:r>
      <w:r w:rsidRPr="00A9642E">
        <w:rPr>
          <w:rFonts w:ascii="Arial" w:hAnsi="Arial" w:cs="Arial"/>
        </w:rPr>
        <w:t xml:space="preserve">69722.78) will be offset by not backfilling a senior post in the Library Service (£48,530), with the remaining cost covered by the 5% recoverable from the Castle Project central costs allocation.  </w:t>
      </w:r>
    </w:p>
    <w:p w:rsidR="0091488D" w:rsidRDefault="0091488D" w:rsidP="0091488D">
      <w:pPr>
        <w:jc w:val="both"/>
        <w:rPr>
          <w:rFonts w:ascii="Arial" w:hAnsi="Arial" w:cs="Arial"/>
          <w:b/>
        </w:rPr>
      </w:pPr>
    </w:p>
    <w:p w:rsidR="0091488D" w:rsidRPr="00E74557" w:rsidRDefault="0091488D" w:rsidP="0091488D">
      <w:pPr>
        <w:jc w:val="both"/>
        <w:rPr>
          <w:rFonts w:ascii="Arial" w:hAnsi="Arial" w:cs="Arial"/>
          <w:b/>
        </w:rPr>
      </w:pPr>
      <w:r w:rsidRPr="00E74557">
        <w:rPr>
          <w:rFonts w:ascii="Arial" w:hAnsi="Arial" w:cs="Arial"/>
          <w:b/>
        </w:rPr>
        <w:t>Process</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 xml:space="preserve">The HR and engagement process for the re-structure is outlined at </w:t>
      </w:r>
      <w:r w:rsidRPr="00E74557">
        <w:rPr>
          <w:rFonts w:ascii="Arial" w:hAnsi="Arial" w:cs="Arial"/>
          <w:b/>
        </w:rPr>
        <w:t xml:space="preserve">Appendix </w:t>
      </w:r>
      <w:r>
        <w:rPr>
          <w:rFonts w:ascii="Arial" w:hAnsi="Arial" w:cs="Arial"/>
          <w:b/>
        </w:rPr>
        <w:t xml:space="preserve">E. </w:t>
      </w:r>
      <w:r w:rsidRPr="00E81E8A">
        <w:rPr>
          <w:rFonts w:ascii="Arial" w:hAnsi="Arial" w:cs="Arial"/>
        </w:rPr>
        <w:t>The</w:t>
      </w:r>
      <w:r>
        <w:rPr>
          <w:rFonts w:ascii="Arial" w:hAnsi="Arial" w:cs="Arial"/>
          <w:b/>
        </w:rPr>
        <w:t xml:space="preserve"> </w:t>
      </w:r>
      <w:r w:rsidRPr="00E74557">
        <w:rPr>
          <w:rFonts w:ascii="Arial" w:hAnsi="Arial" w:cs="Arial"/>
        </w:rPr>
        <w:t>F&amp;A Committee and the HLH Board will be kept informed of progress at the February and March meetings.  Recognised unions will be informed of the changes.</w:t>
      </w:r>
    </w:p>
    <w:p w:rsidR="0091488D" w:rsidRPr="00E74557" w:rsidRDefault="0091488D" w:rsidP="0091488D">
      <w:pPr>
        <w:jc w:val="both"/>
        <w:rPr>
          <w:rFonts w:ascii="Arial" w:hAnsi="Arial" w:cs="Arial"/>
        </w:rPr>
      </w:pPr>
    </w:p>
    <w:p w:rsidR="0091488D" w:rsidRPr="00E74557" w:rsidRDefault="0091488D" w:rsidP="0091488D">
      <w:pPr>
        <w:jc w:val="both"/>
        <w:rPr>
          <w:rFonts w:ascii="Arial" w:hAnsi="Arial" w:cs="Arial"/>
        </w:rPr>
      </w:pPr>
      <w:r w:rsidRPr="00E74557">
        <w:rPr>
          <w:rFonts w:ascii="Arial" w:hAnsi="Arial" w:cs="Arial"/>
        </w:rPr>
        <w:t xml:space="preserve">The plan will be to review the changes after a period of 6 months, including evaluation of the new </w:t>
      </w:r>
      <w:proofErr w:type="spellStart"/>
      <w:r w:rsidRPr="00E74557">
        <w:rPr>
          <w:rFonts w:ascii="Arial" w:hAnsi="Arial" w:cs="Arial"/>
        </w:rPr>
        <w:t>HoS</w:t>
      </w:r>
      <w:proofErr w:type="spellEnd"/>
      <w:r w:rsidRPr="00E74557">
        <w:rPr>
          <w:rFonts w:ascii="Arial" w:hAnsi="Arial" w:cs="Arial"/>
        </w:rPr>
        <w:t xml:space="preserve"> positions to check accuracy and test and adjust as required.</w:t>
      </w:r>
    </w:p>
    <w:p w:rsidR="0091488D" w:rsidRPr="00E74557" w:rsidRDefault="0091488D" w:rsidP="0091488D">
      <w:pPr>
        <w:jc w:val="both"/>
        <w:rPr>
          <w:rFonts w:ascii="Arial" w:hAnsi="Arial" w:cs="Arial"/>
        </w:rPr>
      </w:pPr>
    </w:p>
    <w:p w:rsidR="0041542B" w:rsidRDefault="0091488D" w:rsidP="0091488D">
      <w:pPr>
        <w:jc w:val="both"/>
        <w:rPr>
          <w:rFonts w:ascii="Arial" w:hAnsi="Arial" w:cs="Arial"/>
        </w:rPr>
        <w:sectPr w:rsidR="0041542B" w:rsidSect="008F163E">
          <w:pgSz w:w="11906" w:h="16838"/>
          <w:pgMar w:top="1276" w:right="1440" w:bottom="1135" w:left="1440" w:header="720" w:footer="720" w:gutter="0"/>
          <w:cols w:space="720"/>
          <w:docGrid w:linePitch="326"/>
        </w:sectPr>
      </w:pPr>
      <w:r w:rsidRPr="00E74557">
        <w:rPr>
          <w:rFonts w:ascii="Arial" w:hAnsi="Arial" w:cs="Arial"/>
        </w:rPr>
        <w:t>There are significant changes in line management reporting associated with this new structure. As ever, good communication and mutual respect in line with our Role Model Behaviours</w:t>
      </w:r>
      <w:r w:rsidR="00871538">
        <w:rPr>
          <w:rFonts w:ascii="Arial" w:hAnsi="Arial" w:cs="Arial"/>
        </w:rPr>
        <w:t xml:space="preserve"> </w:t>
      </w:r>
      <w:r>
        <w:rPr>
          <w:rFonts w:ascii="Arial" w:hAnsi="Arial" w:cs="Arial"/>
        </w:rPr>
        <w:t>w</w:t>
      </w:r>
      <w:r w:rsidRPr="00E74557">
        <w:rPr>
          <w:rFonts w:ascii="Arial" w:hAnsi="Arial" w:cs="Arial"/>
        </w:rPr>
        <w:t>ill help in moving to the new structure, creating capacity and moving forward in 2020 with confidence.</w:t>
      </w:r>
    </w:p>
    <w:p w:rsidR="0041542B" w:rsidRPr="00370BBD" w:rsidRDefault="00370BBD" w:rsidP="00370BBD">
      <w:pPr>
        <w:jc w:val="right"/>
        <w:rPr>
          <w:rFonts w:ascii="Arial" w:hAnsi="Arial" w:cs="Arial"/>
          <w:b/>
        </w:rPr>
      </w:pPr>
      <w:r w:rsidRPr="00370BBD">
        <w:rPr>
          <w:rFonts w:ascii="Arial" w:hAnsi="Arial" w:cs="Arial"/>
          <w:b/>
        </w:rPr>
        <w:lastRenderedPageBreak/>
        <w:t xml:space="preserve">Appendix </w:t>
      </w:r>
      <w:proofErr w:type="gramStart"/>
      <w:r>
        <w:rPr>
          <w:rFonts w:ascii="Arial" w:hAnsi="Arial" w:cs="Arial"/>
          <w:b/>
        </w:rPr>
        <w:t>A(</w:t>
      </w:r>
      <w:proofErr w:type="gramEnd"/>
      <w:r>
        <w:rPr>
          <w:rFonts w:ascii="Arial" w:hAnsi="Arial" w:cs="Arial"/>
          <w:b/>
        </w:rPr>
        <w:t>1)</w:t>
      </w:r>
    </w:p>
    <w:p w:rsidR="0041542B" w:rsidRDefault="0041542B" w:rsidP="0091488D">
      <w:pPr>
        <w:jc w:val="both"/>
        <w:rPr>
          <w:rFonts w:ascii="Arial" w:hAnsi="Arial" w:cs="Arial"/>
        </w:rPr>
      </w:pPr>
    </w:p>
    <w:p w:rsidR="0041542B" w:rsidRDefault="0041542B">
      <w:pPr>
        <w:rPr>
          <w:rFonts w:ascii="Arial" w:hAnsi="Arial" w:cs="Arial"/>
        </w:rPr>
      </w:pPr>
      <w:r>
        <w:rPr>
          <w:noProof/>
        </w:rPr>
        <w:drawing>
          <wp:inline distT="0" distB="0" distL="0" distR="0" wp14:anchorId="79D2AFFB" wp14:editId="72803CF2">
            <wp:extent cx="9161780" cy="34423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61780" cy="3442335"/>
                    </a:xfrm>
                    <a:prstGeom prst="rect">
                      <a:avLst/>
                    </a:prstGeom>
                  </pic:spPr>
                </pic:pic>
              </a:graphicData>
            </a:graphic>
          </wp:inline>
        </w:drawing>
      </w:r>
      <w:r>
        <w:rPr>
          <w:rFonts w:ascii="Arial" w:hAnsi="Arial" w:cs="Arial"/>
        </w:rPr>
        <w:t xml:space="preserve"> </w:t>
      </w:r>
      <w:r>
        <w:rPr>
          <w:rFonts w:ascii="Arial" w:hAnsi="Arial" w:cs="Arial"/>
        </w:rPr>
        <w:br w:type="page"/>
      </w:r>
    </w:p>
    <w:p w:rsidR="00E32AFC" w:rsidRDefault="00E32AFC" w:rsidP="0091488D">
      <w:pPr>
        <w:jc w:val="both"/>
        <w:rPr>
          <w:rFonts w:ascii="Arial" w:hAnsi="Arial" w:cs="Arial"/>
          <w:szCs w:val="24"/>
        </w:rPr>
        <w:sectPr w:rsidR="00E32AFC" w:rsidSect="0041542B">
          <w:pgSz w:w="16838" w:h="11906" w:orient="landscape"/>
          <w:pgMar w:top="1440" w:right="1276" w:bottom="1440" w:left="1134" w:header="720" w:footer="720" w:gutter="0"/>
          <w:cols w:space="720"/>
          <w:docGrid w:linePitch="326"/>
        </w:sectPr>
      </w:pPr>
    </w:p>
    <w:p w:rsidR="00E32AFC" w:rsidRPr="00370BBD" w:rsidRDefault="00370BBD" w:rsidP="00370BBD">
      <w:pPr>
        <w:jc w:val="right"/>
        <w:rPr>
          <w:rFonts w:ascii="Arial" w:hAnsi="Arial" w:cs="Arial"/>
          <w:b/>
          <w:szCs w:val="24"/>
        </w:rPr>
      </w:pPr>
      <w:r w:rsidRPr="00370BBD">
        <w:rPr>
          <w:rFonts w:ascii="Arial" w:hAnsi="Arial" w:cs="Arial"/>
          <w:b/>
          <w:szCs w:val="24"/>
        </w:rPr>
        <w:lastRenderedPageBreak/>
        <w:t xml:space="preserve">APPENDIX </w:t>
      </w:r>
      <w:r>
        <w:rPr>
          <w:rFonts w:ascii="Arial" w:hAnsi="Arial" w:cs="Arial"/>
          <w:b/>
          <w:szCs w:val="24"/>
        </w:rPr>
        <w:t>B</w:t>
      </w:r>
    </w:p>
    <w:tbl>
      <w:tblPr>
        <w:tblW w:w="14034" w:type="dxa"/>
        <w:tblInd w:w="-5" w:type="dxa"/>
        <w:tblLook w:val="04A0" w:firstRow="1" w:lastRow="0" w:firstColumn="1" w:lastColumn="0" w:noHBand="0" w:noVBand="1"/>
      </w:tblPr>
      <w:tblGrid>
        <w:gridCol w:w="929"/>
        <w:gridCol w:w="1146"/>
        <w:gridCol w:w="1960"/>
        <w:gridCol w:w="7589"/>
        <w:gridCol w:w="2410"/>
      </w:tblGrid>
      <w:tr w:rsidR="00E32AFC" w:rsidRPr="00E32AFC" w:rsidTr="00370BBD">
        <w:trPr>
          <w:trHeight w:val="255"/>
        </w:trPr>
        <w:tc>
          <w:tcPr>
            <w:tcW w:w="929" w:type="dxa"/>
            <w:tcBorders>
              <w:top w:val="single" w:sz="4" w:space="0" w:color="auto"/>
              <w:left w:val="single" w:sz="4" w:space="0" w:color="auto"/>
              <w:bottom w:val="single" w:sz="4" w:space="0" w:color="auto"/>
              <w:right w:val="single" w:sz="4" w:space="0" w:color="auto"/>
            </w:tcBorders>
            <w:shd w:val="clear" w:color="000000" w:fill="4F6228"/>
            <w:noWrap/>
            <w:vAlign w:val="bottom"/>
            <w:hideMark/>
          </w:tcPr>
          <w:p w:rsidR="00E32AFC" w:rsidRPr="00E32AFC" w:rsidRDefault="00E32AFC" w:rsidP="00E32AFC">
            <w:pPr>
              <w:rPr>
                <w:rFonts w:ascii="Verdana" w:hAnsi="Verdana"/>
                <w:b/>
                <w:bCs/>
                <w:color w:val="FFFFFF"/>
                <w:sz w:val="20"/>
              </w:rPr>
            </w:pPr>
            <w:r w:rsidRPr="00E32AFC">
              <w:rPr>
                <w:rFonts w:ascii="Verdana" w:hAnsi="Verdana"/>
                <w:b/>
                <w:bCs/>
                <w:color w:val="FFFFFF"/>
                <w:sz w:val="20"/>
              </w:rPr>
              <w:t>Action</w:t>
            </w:r>
          </w:p>
        </w:tc>
        <w:tc>
          <w:tcPr>
            <w:tcW w:w="1146" w:type="dxa"/>
            <w:tcBorders>
              <w:top w:val="single" w:sz="4" w:space="0" w:color="auto"/>
              <w:left w:val="nil"/>
              <w:bottom w:val="single" w:sz="4" w:space="0" w:color="auto"/>
              <w:right w:val="single" w:sz="4" w:space="0" w:color="auto"/>
            </w:tcBorders>
            <w:shd w:val="clear" w:color="000000" w:fill="4F6228"/>
            <w:noWrap/>
            <w:vAlign w:val="bottom"/>
            <w:hideMark/>
          </w:tcPr>
          <w:p w:rsidR="00E32AFC" w:rsidRPr="00E32AFC" w:rsidRDefault="00E32AFC" w:rsidP="00E32AFC">
            <w:pPr>
              <w:jc w:val="center"/>
              <w:rPr>
                <w:rFonts w:ascii="Verdana" w:hAnsi="Verdana"/>
                <w:b/>
                <w:bCs/>
                <w:color w:val="FFFFCC"/>
                <w:sz w:val="20"/>
              </w:rPr>
            </w:pPr>
            <w:r w:rsidRPr="00E32AFC">
              <w:rPr>
                <w:rFonts w:ascii="Verdana" w:hAnsi="Verdana"/>
                <w:b/>
                <w:bCs/>
                <w:color w:val="FFFFCC"/>
                <w:sz w:val="20"/>
              </w:rPr>
              <w:t>Day</w:t>
            </w:r>
          </w:p>
        </w:tc>
        <w:tc>
          <w:tcPr>
            <w:tcW w:w="1960" w:type="dxa"/>
            <w:tcBorders>
              <w:top w:val="single" w:sz="4" w:space="0" w:color="auto"/>
              <w:left w:val="nil"/>
              <w:bottom w:val="single" w:sz="4" w:space="0" w:color="auto"/>
              <w:right w:val="single" w:sz="4" w:space="0" w:color="auto"/>
            </w:tcBorders>
            <w:shd w:val="clear" w:color="000000" w:fill="4F6228"/>
            <w:noWrap/>
            <w:vAlign w:val="bottom"/>
            <w:hideMark/>
          </w:tcPr>
          <w:p w:rsidR="00E32AFC" w:rsidRPr="00E32AFC" w:rsidRDefault="00E32AFC" w:rsidP="00E32AFC">
            <w:pPr>
              <w:jc w:val="center"/>
              <w:rPr>
                <w:rFonts w:ascii="Verdana" w:hAnsi="Verdana"/>
                <w:b/>
                <w:bCs/>
                <w:color w:val="FFFFCC"/>
                <w:sz w:val="20"/>
              </w:rPr>
            </w:pPr>
            <w:r w:rsidRPr="00E32AFC">
              <w:rPr>
                <w:rFonts w:ascii="Verdana" w:hAnsi="Verdana"/>
                <w:b/>
                <w:bCs/>
                <w:color w:val="FFFFCC"/>
                <w:sz w:val="20"/>
              </w:rPr>
              <w:t>Date</w:t>
            </w:r>
          </w:p>
        </w:tc>
        <w:tc>
          <w:tcPr>
            <w:tcW w:w="7589" w:type="dxa"/>
            <w:tcBorders>
              <w:top w:val="single" w:sz="4" w:space="0" w:color="auto"/>
              <w:left w:val="nil"/>
              <w:bottom w:val="single" w:sz="4" w:space="0" w:color="auto"/>
              <w:right w:val="single" w:sz="4" w:space="0" w:color="auto"/>
            </w:tcBorders>
            <w:shd w:val="clear" w:color="000000" w:fill="4F6228"/>
            <w:noWrap/>
            <w:vAlign w:val="bottom"/>
            <w:hideMark/>
          </w:tcPr>
          <w:p w:rsidR="00E32AFC" w:rsidRPr="00E32AFC" w:rsidRDefault="00E32AFC" w:rsidP="00E32AFC">
            <w:pPr>
              <w:jc w:val="center"/>
              <w:rPr>
                <w:rFonts w:ascii="Verdana" w:hAnsi="Verdana"/>
                <w:b/>
                <w:bCs/>
                <w:color w:val="FFFFCC"/>
                <w:sz w:val="20"/>
              </w:rPr>
            </w:pPr>
            <w:r w:rsidRPr="00E32AFC">
              <w:rPr>
                <w:rFonts w:ascii="Verdana" w:hAnsi="Verdana"/>
                <w:b/>
                <w:bCs/>
                <w:color w:val="FFFFCC"/>
                <w:sz w:val="20"/>
              </w:rPr>
              <w:t>Action</w:t>
            </w:r>
          </w:p>
        </w:tc>
        <w:tc>
          <w:tcPr>
            <w:tcW w:w="2410" w:type="dxa"/>
            <w:tcBorders>
              <w:top w:val="nil"/>
              <w:left w:val="nil"/>
              <w:bottom w:val="nil"/>
              <w:right w:val="single" w:sz="4" w:space="0" w:color="auto"/>
            </w:tcBorders>
            <w:shd w:val="clear" w:color="000000" w:fill="4F6228"/>
            <w:noWrap/>
            <w:vAlign w:val="bottom"/>
            <w:hideMark/>
          </w:tcPr>
          <w:p w:rsidR="00E32AFC" w:rsidRPr="00E32AFC" w:rsidRDefault="00E32AFC" w:rsidP="00E32AFC">
            <w:pPr>
              <w:jc w:val="center"/>
              <w:rPr>
                <w:rFonts w:ascii="Verdana" w:hAnsi="Verdana"/>
                <w:b/>
                <w:bCs/>
                <w:color w:val="FFFFCC"/>
                <w:sz w:val="20"/>
              </w:rPr>
            </w:pPr>
            <w:r w:rsidRPr="00E32AFC">
              <w:rPr>
                <w:rFonts w:ascii="Verdana" w:hAnsi="Verdana"/>
                <w:b/>
                <w:bCs/>
                <w:color w:val="FFFFCC"/>
                <w:sz w:val="20"/>
              </w:rPr>
              <w:t>Lead (s)</w:t>
            </w:r>
          </w:p>
        </w:tc>
      </w:tr>
      <w:tr w:rsidR="00E32AFC" w:rsidRPr="00E32AFC" w:rsidTr="00370BBD">
        <w:trPr>
          <w:trHeight w:val="471"/>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Wed</w:t>
            </w:r>
          </w:p>
        </w:tc>
        <w:tc>
          <w:tcPr>
            <w:tcW w:w="1960" w:type="dxa"/>
            <w:tcBorders>
              <w:top w:val="nil"/>
              <w:left w:val="nil"/>
              <w:bottom w:val="single" w:sz="4" w:space="0" w:color="auto"/>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08-Jan-20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HOS meeting to consider required structure to create capacity</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CE/HOS</w:t>
            </w:r>
          </w:p>
        </w:tc>
      </w:tr>
      <w:tr w:rsidR="00E32AFC" w:rsidRPr="00E32AFC" w:rsidTr="00370BBD">
        <w:trPr>
          <w:trHeight w:val="499"/>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2</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Mon</w:t>
            </w:r>
          </w:p>
        </w:tc>
        <w:tc>
          <w:tcPr>
            <w:tcW w:w="1960" w:type="dxa"/>
            <w:tcBorders>
              <w:top w:val="nil"/>
              <w:left w:val="nil"/>
              <w:bottom w:val="single" w:sz="4" w:space="0" w:color="auto"/>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14-Jan-20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CE/HOS to communicate restructure with SMT reports</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CE/HOS</w:t>
            </w:r>
          </w:p>
        </w:tc>
      </w:tr>
      <w:tr w:rsidR="00E32AFC" w:rsidRPr="00E32AFC" w:rsidTr="00370BBD">
        <w:trPr>
          <w:trHeight w:val="563"/>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3</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Wed</w:t>
            </w:r>
          </w:p>
        </w:tc>
        <w:tc>
          <w:tcPr>
            <w:tcW w:w="1960" w:type="dxa"/>
            <w:tcBorders>
              <w:top w:val="nil"/>
              <w:left w:val="nil"/>
              <w:bottom w:val="single" w:sz="4" w:space="0" w:color="auto"/>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24-Jan-20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Expressions of interest invited for full time temporary H of C&amp;L post.</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
        </w:tc>
      </w:tr>
      <w:tr w:rsidR="00E32AFC" w:rsidRPr="00E32AFC" w:rsidTr="00370BBD">
        <w:trPr>
          <w:trHeight w:val="557"/>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4</w:t>
            </w:r>
          </w:p>
        </w:tc>
        <w:tc>
          <w:tcPr>
            <w:tcW w:w="1146" w:type="dxa"/>
            <w:tcBorders>
              <w:top w:val="nil"/>
              <w:left w:val="nil"/>
              <w:bottom w:val="nil"/>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Wed</w:t>
            </w:r>
          </w:p>
        </w:tc>
        <w:tc>
          <w:tcPr>
            <w:tcW w:w="1960" w:type="dxa"/>
            <w:tcBorders>
              <w:top w:val="nil"/>
              <w:left w:val="nil"/>
              <w:bottom w:val="nil"/>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29-Jan-20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HOS meeting to consider timeline/job specs/Board comm/approve PD post</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CE/HOS</w:t>
            </w:r>
          </w:p>
        </w:tc>
      </w:tr>
      <w:tr w:rsidR="00E32AFC" w:rsidRPr="00E32AFC" w:rsidTr="00370BBD">
        <w:trPr>
          <w:trHeight w:val="600"/>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5</w:t>
            </w:r>
          </w:p>
        </w:tc>
        <w:tc>
          <w:tcPr>
            <w:tcW w:w="1146" w:type="dxa"/>
            <w:tcBorders>
              <w:top w:val="single" w:sz="4" w:space="0" w:color="auto"/>
              <w:left w:val="nil"/>
              <w:bottom w:val="nil"/>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Wed</w:t>
            </w:r>
          </w:p>
        </w:tc>
        <w:tc>
          <w:tcPr>
            <w:tcW w:w="1960" w:type="dxa"/>
            <w:tcBorders>
              <w:top w:val="single" w:sz="4" w:space="0" w:color="auto"/>
              <w:left w:val="nil"/>
              <w:bottom w:val="nil"/>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29-Jan-20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 xml:space="preserve">Board communication re changes, attaching timeline and job and person specifications for comment by 7 Feb - </w:t>
            </w:r>
            <w:r w:rsidRPr="00E32AFC">
              <w:rPr>
                <w:rFonts w:ascii="Verdana" w:hAnsi="Verdana"/>
                <w:b/>
                <w:bCs/>
                <w:color w:val="000000"/>
                <w:sz w:val="20"/>
              </w:rPr>
              <w:t>prior to issue to staff/advert</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
        </w:tc>
      </w:tr>
      <w:tr w:rsidR="00E32AFC" w:rsidRPr="00E32AFC" w:rsidTr="00370BBD">
        <w:trPr>
          <w:trHeight w:val="1114"/>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6</w:t>
            </w:r>
          </w:p>
        </w:tc>
        <w:tc>
          <w:tcPr>
            <w:tcW w:w="1146" w:type="dxa"/>
            <w:tcBorders>
              <w:top w:val="single" w:sz="4" w:space="0" w:color="auto"/>
              <w:left w:val="nil"/>
              <w:bottom w:val="nil"/>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Friday</w:t>
            </w:r>
          </w:p>
        </w:tc>
        <w:tc>
          <w:tcPr>
            <w:tcW w:w="1960" w:type="dxa"/>
            <w:tcBorders>
              <w:top w:val="single" w:sz="4" w:space="0" w:color="auto"/>
              <w:left w:val="nil"/>
              <w:bottom w:val="nil"/>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10-Feb-20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Taking any Board comments into account, finalise paperwork for all staff communication re - JW appt/other changes (including date of implementation)/</w:t>
            </w:r>
            <w:r w:rsidRPr="00E32AFC">
              <w:rPr>
                <w:rFonts w:ascii="Verdana" w:hAnsi="Verdana"/>
                <w:i/>
                <w:iCs/>
                <w:color w:val="000000"/>
                <w:sz w:val="20"/>
              </w:rPr>
              <w:t>highlighting commencement of recruitment process including date of implementation</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
        </w:tc>
      </w:tr>
      <w:tr w:rsidR="00E32AFC" w:rsidRPr="00E32AFC" w:rsidTr="00370BBD">
        <w:trPr>
          <w:trHeight w:val="556"/>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7</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Mon</w:t>
            </w:r>
          </w:p>
        </w:tc>
        <w:tc>
          <w:tcPr>
            <w:tcW w:w="1960" w:type="dxa"/>
            <w:tcBorders>
              <w:top w:val="single" w:sz="4" w:space="0" w:color="auto"/>
              <w:left w:val="nil"/>
              <w:bottom w:val="single" w:sz="4" w:space="0" w:color="auto"/>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10-Feb-20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 xml:space="preserve">PM recruitment process commences with issue of all staff email, </w:t>
            </w:r>
            <w:r w:rsidRPr="00E32AFC">
              <w:rPr>
                <w:rFonts w:ascii="Verdana" w:hAnsi="Verdana"/>
                <w:b/>
                <w:bCs/>
                <w:color w:val="000000"/>
                <w:sz w:val="20"/>
              </w:rPr>
              <w:t>including interview date</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HRM</w:t>
            </w:r>
          </w:p>
        </w:tc>
      </w:tr>
      <w:tr w:rsidR="00E32AFC" w:rsidRPr="00E32AFC" w:rsidTr="00370BBD">
        <w:trPr>
          <w:trHeight w:val="505"/>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8</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Mon</w:t>
            </w:r>
          </w:p>
        </w:tc>
        <w:tc>
          <w:tcPr>
            <w:tcW w:w="1960" w:type="dxa"/>
            <w:tcBorders>
              <w:top w:val="nil"/>
              <w:left w:val="nil"/>
              <w:bottom w:val="single" w:sz="4" w:space="0" w:color="auto"/>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10-Feb-20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Select interview panel - CE/</w:t>
            </w:r>
            <w:proofErr w:type="spellStart"/>
            <w:r w:rsidRPr="00E32AFC">
              <w:rPr>
                <w:rFonts w:ascii="Verdana" w:hAnsi="Verdana"/>
                <w:color w:val="000000"/>
                <w:sz w:val="20"/>
              </w:rPr>
              <w:t>Dof</w:t>
            </w:r>
            <w:r w:rsidR="00370BBD">
              <w:rPr>
                <w:rFonts w:ascii="Verdana" w:hAnsi="Verdana"/>
                <w:color w:val="000000"/>
                <w:sz w:val="20"/>
              </w:rPr>
              <w:t>SL</w:t>
            </w:r>
            <w:proofErr w:type="spellEnd"/>
            <w:r w:rsidRPr="00E32AFC">
              <w:rPr>
                <w:rFonts w:ascii="Verdana" w:hAnsi="Verdana"/>
                <w:color w:val="000000"/>
                <w:sz w:val="20"/>
              </w:rPr>
              <w:t>/HRM</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
        </w:tc>
      </w:tr>
      <w:tr w:rsidR="00E32AFC" w:rsidRPr="00E32AFC" w:rsidTr="00370BBD">
        <w:trPr>
          <w:trHeight w:val="330"/>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9</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Friday</w:t>
            </w:r>
          </w:p>
        </w:tc>
        <w:tc>
          <w:tcPr>
            <w:tcW w:w="1960" w:type="dxa"/>
            <w:tcBorders>
              <w:top w:val="nil"/>
              <w:left w:val="nil"/>
              <w:bottom w:val="single" w:sz="4" w:space="0" w:color="auto"/>
              <w:right w:val="single" w:sz="4" w:space="0" w:color="auto"/>
            </w:tcBorders>
            <w:shd w:val="clear" w:color="000000" w:fill="00B050"/>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21-Feb-20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Closing Date</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HR</w:t>
            </w:r>
          </w:p>
        </w:tc>
      </w:tr>
      <w:tr w:rsidR="00E32AFC" w:rsidRPr="00E32AFC" w:rsidTr="00370BBD">
        <w:trPr>
          <w:trHeight w:val="630"/>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10</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Monday</w:t>
            </w:r>
          </w:p>
        </w:tc>
        <w:tc>
          <w:tcPr>
            <w:tcW w:w="1960" w:type="dxa"/>
            <w:tcBorders>
              <w:top w:val="nil"/>
              <w:left w:val="nil"/>
              <w:bottom w:val="single" w:sz="4" w:space="0" w:color="auto"/>
              <w:right w:val="single" w:sz="4" w:space="0" w:color="auto"/>
            </w:tcBorders>
            <w:shd w:val="clear" w:color="000000"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24-Feb-20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Update to F&amp;A Committee, include as part of Risk Register and Risk relating to overcommitment?</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
        </w:tc>
      </w:tr>
      <w:tr w:rsidR="00E32AFC" w:rsidRPr="00E32AFC" w:rsidTr="00370BBD">
        <w:trPr>
          <w:trHeight w:val="473"/>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11</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 </w:t>
            </w:r>
          </w:p>
        </w:tc>
        <w:tc>
          <w:tcPr>
            <w:tcW w:w="1960" w:type="dxa"/>
            <w:tcBorders>
              <w:top w:val="nil"/>
              <w:left w:val="nil"/>
              <w:bottom w:val="single" w:sz="4" w:space="0" w:color="auto"/>
              <w:right w:val="single" w:sz="4" w:space="0" w:color="auto"/>
            </w:tcBorders>
            <w:shd w:val="clear" w:color="000000" w:fill="00B050"/>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w/c 24 Feb 2020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proofErr w:type="spellStart"/>
            <w:r w:rsidRPr="00E32AFC">
              <w:rPr>
                <w:rFonts w:ascii="Verdana" w:hAnsi="Verdana"/>
                <w:color w:val="000000"/>
                <w:sz w:val="20"/>
              </w:rPr>
              <w:t>Shortleeting</w:t>
            </w:r>
            <w:proofErr w:type="spellEnd"/>
            <w:r w:rsidRPr="00E32AFC">
              <w:rPr>
                <w:rFonts w:ascii="Verdana" w:hAnsi="Verdana"/>
                <w:color w:val="000000"/>
                <w:sz w:val="20"/>
              </w:rPr>
              <w:t xml:space="preserve"> - date dependent on interview panel availability</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roofErr w:type="spellStart"/>
            <w:r w:rsidRPr="00E32AFC">
              <w:rPr>
                <w:rFonts w:ascii="Verdana" w:hAnsi="Verdana"/>
                <w:color w:val="000000"/>
                <w:sz w:val="20"/>
              </w:rPr>
              <w:t>DofS</w:t>
            </w:r>
            <w:r w:rsidR="00370BBD">
              <w:rPr>
                <w:rFonts w:ascii="Verdana" w:hAnsi="Verdana"/>
                <w:color w:val="000000"/>
                <w:sz w:val="20"/>
              </w:rPr>
              <w:t>L</w:t>
            </w:r>
            <w:proofErr w:type="spellEnd"/>
            <w:r w:rsidRPr="00E32AFC">
              <w:rPr>
                <w:rFonts w:ascii="Verdana" w:hAnsi="Verdana"/>
                <w:color w:val="000000"/>
                <w:sz w:val="20"/>
              </w:rPr>
              <w:t>/HRM</w:t>
            </w:r>
          </w:p>
        </w:tc>
      </w:tr>
      <w:tr w:rsidR="00E32AFC" w:rsidRPr="00E32AFC" w:rsidTr="00370BBD">
        <w:trPr>
          <w:trHeight w:val="437"/>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12</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Tuesday</w:t>
            </w:r>
          </w:p>
        </w:tc>
        <w:tc>
          <w:tcPr>
            <w:tcW w:w="1960" w:type="dxa"/>
            <w:tcBorders>
              <w:top w:val="nil"/>
              <w:left w:val="nil"/>
              <w:bottom w:val="single" w:sz="4" w:space="0" w:color="auto"/>
              <w:right w:val="single" w:sz="4" w:space="0" w:color="auto"/>
            </w:tcBorders>
            <w:shd w:val="clear" w:color="000000" w:fill="00B050"/>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03-Mar-20</w:t>
            </w:r>
          </w:p>
        </w:tc>
        <w:tc>
          <w:tcPr>
            <w:tcW w:w="7589"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Interview Date</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roofErr w:type="spellStart"/>
            <w:r w:rsidRPr="00E32AFC">
              <w:rPr>
                <w:rFonts w:ascii="Verdana" w:hAnsi="Verdana"/>
                <w:color w:val="000000"/>
                <w:sz w:val="20"/>
              </w:rPr>
              <w:t>Dof</w:t>
            </w:r>
            <w:r w:rsidR="00370BBD">
              <w:rPr>
                <w:rFonts w:ascii="Verdana" w:hAnsi="Verdana"/>
                <w:color w:val="000000"/>
                <w:sz w:val="20"/>
              </w:rPr>
              <w:t>SL</w:t>
            </w:r>
            <w:proofErr w:type="spellEnd"/>
            <w:r w:rsidRPr="00E32AFC">
              <w:rPr>
                <w:rFonts w:ascii="Verdana" w:hAnsi="Verdana"/>
                <w:color w:val="000000"/>
                <w:sz w:val="20"/>
              </w:rPr>
              <w:t>/HRM</w:t>
            </w:r>
          </w:p>
        </w:tc>
      </w:tr>
      <w:tr w:rsidR="00E32AFC" w:rsidRPr="00E32AFC" w:rsidTr="00370BBD">
        <w:trPr>
          <w:trHeight w:val="276"/>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Friday</w:t>
            </w:r>
          </w:p>
        </w:tc>
        <w:tc>
          <w:tcPr>
            <w:tcW w:w="1960" w:type="dxa"/>
            <w:tcBorders>
              <w:top w:val="nil"/>
              <w:left w:val="nil"/>
              <w:bottom w:val="single" w:sz="4" w:space="0" w:color="auto"/>
              <w:right w:val="single" w:sz="4" w:space="0" w:color="auto"/>
            </w:tcBorders>
            <w:shd w:val="clear" w:color="auto"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06-Mar-20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Staff communication re outcome</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
        </w:tc>
      </w:tr>
      <w:tr w:rsidR="00E32AFC" w:rsidRPr="00E32AFC" w:rsidTr="00104AC2">
        <w:trPr>
          <w:trHeight w:val="255"/>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14</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Thursday</w:t>
            </w:r>
          </w:p>
        </w:tc>
        <w:tc>
          <w:tcPr>
            <w:tcW w:w="1960" w:type="dxa"/>
            <w:tcBorders>
              <w:top w:val="nil"/>
              <w:left w:val="nil"/>
              <w:bottom w:val="single" w:sz="4" w:space="0" w:color="auto"/>
              <w:right w:val="single" w:sz="4" w:space="0" w:color="auto"/>
            </w:tcBorders>
            <w:shd w:val="clear" w:color="auto" w:fill="00B050"/>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19-Mar-20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Update to HLH Board in quarterly HR report.</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w:t>
            </w:r>
          </w:p>
        </w:tc>
      </w:tr>
      <w:tr w:rsidR="00E32AFC" w:rsidRPr="00E32AFC" w:rsidTr="00370BBD">
        <w:trPr>
          <w:trHeight w:val="255"/>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15</w:t>
            </w:r>
          </w:p>
        </w:tc>
        <w:tc>
          <w:tcPr>
            <w:tcW w:w="1146"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 </w:t>
            </w:r>
          </w:p>
        </w:tc>
        <w:tc>
          <w:tcPr>
            <w:tcW w:w="1960" w:type="dxa"/>
            <w:tcBorders>
              <w:top w:val="nil"/>
              <w:left w:val="nil"/>
              <w:bottom w:val="single" w:sz="4" w:space="0" w:color="auto"/>
              <w:right w:val="single" w:sz="4" w:space="0" w:color="auto"/>
            </w:tcBorders>
            <w:shd w:val="clear" w:color="auto" w:fill="FABF8F" w:themeFill="accent6" w:themeFillTint="99"/>
            <w:noWrap/>
            <w:vAlign w:val="bottom"/>
            <w:hideMark/>
          </w:tcPr>
          <w:p w:rsidR="00E32AFC" w:rsidRPr="00E32AFC" w:rsidRDefault="00E32AFC" w:rsidP="00E32AFC">
            <w:pPr>
              <w:jc w:val="right"/>
              <w:rPr>
                <w:rFonts w:ascii="Verdana" w:hAnsi="Verdana"/>
                <w:color w:val="000000"/>
                <w:sz w:val="20"/>
              </w:rPr>
            </w:pPr>
            <w:r w:rsidRPr="00E32AFC">
              <w:rPr>
                <w:rFonts w:ascii="Verdana" w:hAnsi="Verdana"/>
                <w:color w:val="000000"/>
                <w:sz w:val="20"/>
              </w:rPr>
              <w:t>Oct-20</w:t>
            </w:r>
          </w:p>
        </w:tc>
        <w:tc>
          <w:tcPr>
            <w:tcW w:w="7589" w:type="dxa"/>
            <w:tcBorders>
              <w:top w:val="nil"/>
              <w:left w:val="nil"/>
              <w:bottom w:val="single" w:sz="4" w:space="0" w:color="auto"/>
              <w:right w:val="single" w:sz="4" w:space="0" w:color="auto"/>
            </w:tcBorders>
            <w:shd w:val="clear" w:color="auto" w:fill="auto"/>
            <w:vAlign w:val="bottom"/>
            <w:hideMark/>
          </w:tcPr>
          <w:p w:rsidR="00E32AFC" w:rsidRPr="00E32AFC" w:rsidRDefault="00E32AFC" w:rsidP="00E32AFC">
            <w:pPr>
              <w:rPr>
                <w:rFonts w:ascii="Verdana" w:hAnsi="Verdana"/>
                <w:color w:val="000000"/>
                <w:sz w:val="20"/>
              </w:rPr>
            </w:pPr>
            <w:proofErr w:type="gramStart"/>
            <w:r w:rsidRPr="00E32AFC">
              <w:rPr>
                <w:rFonts w:ascii="Verdana" w:hAnsi="Verdana"/>
                <w:color w:val="000000"/>
                <w:sz w:val="20"/>
              </w:rPr>
              <w:t>6 month</w:t>
            </w:r>
            <w:proofErr w:type="gramEnd"/>
            <w:r w:rsidRPr="00E32AFC">
              <w:rPr>
                <w:rFonts w:ascii="Verdana" w:hAnsi="Verdana"/>
                <w:color w:val="000000"/>
                <w:sz w:val="20"/>
              </w:rPr>
              <w:t xml:space="preserve"> progress and testing </w:t>
            </w:r>
          </w:p>
        </w:tc>
        <w:tc>
          <w:tcPr>
            <w:tcW w:w="2410" w:type="dxa"/>
            <w:tcBorders>
              <w:top w:val="nil"/>
              <w:left w:val="nil"/>
              <w:bottom w:val="single" w:sz="4" w:space="0" w:color="auto"/>
              <w:right w:val="single" w:sz="4" w:space="0" w:color="auto"/>
            </w:tcBorders>
            <w:shd w:val="clear" w:color="auto" w:fill="auto"/>
            <w:noWrap/>
            <w:vAlign w:val="bottom"/>
            <w:hideMark/>
          </w:tcPr>
          <w:p w:rsidR="00E32AFC" w:rsidRPr="00E32AFC" w:rsidRDefault="00E32AFC" w:rsidP="00E32AFC">
            <w:pPr>
              <w:rPr>
                <w:rFonts w:ascii="Verdana" w:hAnsi="Verdana"/>
                <w:color w:val="000000"/>
                <w:sz w:val="20"/>
              </w:rPr>
            </w:pPr>
            <w:r w:rsidRPr="00E32AFC">
              <w:rPr>
                <w:rFonts w:ascii="Verdana" w:hAnsi="Verdana"/>
                <w:color w:val="000000"/>
                <w:sz w:val="20"/>
              </w:rPr>
              <w:t>CE/HOS</w:t>
            </w:r>
          </w:p>
        </w:tc>
      </w:tr>
    </w:tbl>
    <w:p w:rsidR="00E32AFC" w:rsidRDefault="00E32AFC">
      <w:pPr>
        <w:rPr>
          <w:rFonts w:ascii="Arial" w:hAnsi="Arial" w:cs="Arial"/>
          <w:szCs w:val="24"/>
        </w:rPr>
      </w:pPr>
    </w:p>
    <w:sectPr w:rsidR="00E32AFC" w:rsidSect="0041542B">
      <w:pgSz w:w="16838" w:h="11906" w:orient="landscape"/>
      <w:pgMar w:top="1440" w:right="1276" w:bottom="144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BC7" w:rsidRDefault="00C71BC7">
      <w:r>
        <w:separator/>
      </w:r>
    </w:p>
  </w:endnote>
  <w:endnote w:type="continuationSeparator" w:id="0">
    <w:p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BC7" w:rsidRDefault="00C71BC7">
      <w:r>
        <w:separator/>
      </w:r>
    </w:p>
  </w:footnote>
  <w:footnote w:type="continuationSeparator" w:id="0">
    <w:p w:rsidR="00C71BC7" w:rsidRDefault="00C7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D60"/>
    <w:multiLevelType w:val="hybridMultilevel"/>
    <w:tmpl w:val="F2902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7"/>
  </w:num>
  <w:num w:numId="2">
    <w:abstractNumId w:val="5"/>
  </w:num>
  <w:num w:numId="3">
    <w:abstractNumId w:val="1"/>
  </w:num>
  <w:num w:numId="4">
    <w:abstractNumId w:val="4"/>
  </w:num>
  <w:num w:numId="5">
    <w:abstractNumId w:val="2"/>
  </w:num>
  <w:num w:numId="6">
    <w:abstractNumId w:val="3"/>
  </w:num>
  <w:num w:numId="7">
    <w:abstractNumId w:val="6"/>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3078"/>
    <w:rsid w:val="00020B41"/>
    <w:rsid w:val="000261C0"/>
    <w:rsid w:val="00026F8A"/>
    <w:rsid w:val="0003004A"/>
    <w:rsid w:val="000330B6"/>
    <w:rsid w:val="0003591A"/>
    <w:rsid w:val="00050D22"/>
    <w:rsid w:val="00054DE1"/>
    <w:rsid w:val="000551FC"/>
    <w:rsid w:val="000554B2"/>
    <w:rsid w:val="000574B4"/>
    <w:rsid w:val="00061C9F"/>
    <w:rsid w:val="00062F53"/>
    <w:rsid w:val="00064BF3"/>
    <w:rsid w:val="00066BA2"/>
    <w:rsid w:val="00074FF1"/>
    <w:rsid w:val="00077F8B"/>
    <w:rsid w:val="00080FD0"/>
    <w:rsid w:val="00084731"/>
    <w:rsid w:val="0008589E"/>
    <w:rsid w:val="00090B05"/>
    <w:rsid w:val="00091C70"/>
    <w:rsid w:val="00093B82"/>
    <w:rsid w:val="00097000"/>
    <w:rsid w:val="000A7837"/>
    <w:rsid w:val="000B1D32"/>
    <w:rsid w:val="000B49B2"/>
    <w:rsid w:val="000B6F76"/>
    <w:rsid w:val="000C3CCE"/>
    <w:rsid w:val="000D4534"/>
    <w:rsid w:val="000D4BC9"/>
    <w:rsid w:val="000E32C5"/>
    <w:rsid w:val="000F274B"/>
    <w:rsid w:val="000F6071"/>
    <w:rsid w:val="001013C9"/>
    <w:rsid w:val="00104AC2"/>
    <w:rsid w:val="00107147"/>
    <w:rsid w:val="001072B4"/>
    <w:rsid w:val="00113A44"/>
    <w:rsid w:val="001359E1"/>
    <w:rsid w:val="00140C99"/>
    <w:rsid w:val="0015012F"/>
    <w:rsid w:val="001671A2"/>
    <w:rsid w:val="00186DF1"/>
    <w:rsid w:val="00186EB5"/>
    <w:rsid w:val="00192A32"/>
    <w:rsid w:val="00196399"/>
    <w:rsid w:val="001973D8"/>
    <w:rsid w:val="001A0567"/>
    <w:rsid w:val="001A45C4"/>
    <w:rsid w:val="001B2DDC"/>
    <w:rsid w:val="001B448B"/>
    <w:rsid w:val="001C3583"/>
    <w:rsid w:val="001C7478"/>
    <w:rsid w:val="001D1D38"/>
    <w:rsid w:val="001F261C"/>
    <w:rsid w:val="001F6978"/>
    <w:rsid w:val="00210527"/>
    <w:rsid w:val="00214A0D"/>
    <w:rsid w:val="00214EAD"/>
    <w:rsid w:val="002166BB"/>
    <w:rsid w:val="00226F57"/>
    <w:rsid w:val="00234011"/>
    <w:rsid w:val="00234F89"/>
    <w:rsid w:val="0023685D"/>
    <w:rsid w:val="00251CEC"/>
    <w:rsid w:val="0025263B"/>
    <w:rsid w:val="00257BA7"/>
    <w:rsid w:val="00263FA2"/>
    <w:rsid w:val="00267F93"/>
    <w:rsid w:val="00280008"/>
    <w:rsid w:val="00280E3B"/>
    <w:rsid w:val="00294AEC"/>
    <w:rsid w:val="00294E58"/>
    <w:rsid w:val="002A11C0"/>
    <w:rsid w:val="002A660A"/>
    <w:rsid w:val="002B1635"/>
    <w:rsid w:val="002B3430"/>
    <w:rsid w:val="002B7DC4"/>
    <w:rsid w:val="002B7E63"/>
    <w:rsid w:val="002C1270"/>
    <w:rsid w:val="002C5F24"/>
    <w:rsid w:val="002C68DB"/>
    <w:rsid w:val="002C7DD6"/>
    <w:rsid w:val="002D2844"/>
    <w:rsid w:val="002D5357"/>
    <w:rsid w:val="002D7D16"/>
    <w:rsid w:val="002E1EEF"/>
    <w:rsid w:val="002E349F"/>
    <w:rsid w:val="002E5825"/>
    <w:rsid w:val="002F2E6A"/>
    <w:rsid w:val="002F6788"/>
    <w:rsid w:val="003017DE"/>
    <w:rsid w:val="00301DED"/>
    <w:rsid w:val="00306BAA"/>
    <w:rsid w:val="00324C2E"/>
    <w:rsid w:val="00333CAD"/>
    <w:rsid w:val="0033520A"/>
    <w:rsid w:val="00341354"/>
    <w:rsid w:val="00345B42"/>
    <w:rsid w:val="00346C3E"/>
    <w:rsid w:val="0035129C"/>
    <w:rsid w:val="00356B53"/>
    <w:rsid w:val="00360BAF"/>
    <w:rsid w:val="0036252C"/>
    <w:rsid w:val="00366325"/>
    <w:rsid w:val="00370BBD"/>
    <w:rsid w:val="0037299B"/>
    <w:rsid w:val="003843D2"/>
    <w:rsid w:val="00386F23"/>
    <w:rsid w:val="003875A7"/>
    <w:rsid w:val="003924C9"/>
    <w:rsid w:val="0039450A"/>
    <w:rsid w:val="003A2DCA"/>
    <w:rsid w:val="003A7248"/>
    <w:rsid w:val="003B0FF6"/>
    <w:rsid w:val="003B11CA"/>
    <w:rsid w:val="003B1F1A"/>
    <w:rsid w:val="003B6CBF"/>
    <w:rsid w:val="003C202D"/>
    <w:rsid w:val="003D7006"/>
    <w:rsid w:val="003E4842"/>
    <w:rsid w:val="003E73BB"/>
    <w:rsid w:val="003E7C71"/>
    <w:rsid w:val="003F13BF"/>
    <w:rsid w:val="003F713F"/>
    <w:rsid w:val="00403DEA"/>
    <w:rsid w:val="00407A60"/>
    <w:rsid w:val="00413E57"/>
    <w:rsid w:val="0041542B"/>
    <w:rsid w:val="00416BFF"/>
    <w:rsid w:val="0042047A"/>
    <w:rsid w:val="00432126"/>
    <w:rsid w:val="004365EA"/>
    <w:rsid w:val="0044130C"/>
    <w:rsid w:val="004447C2"/>
    <w:rsid w:val="004455D4"/>
    <w:rsid w:val="00445D1F"/>
    <w:rsid w:val="00447094"/>
    <w:rsid w:val="004476F3"/>
    <w:rsid w:val="0045226F"/>
    <w:rsid w:val="0045351D"/>
    <w:rsid w:val="0046491F"/>
    <w:rsid w:val="0046709C"/>
    <w:rsid w:val="004704DB"/>
    <w:rsid w:val="004806EE"/>
    <w:rsid w:val="0048125E"/>
    <w:rsid w:val="00493068"/>
    <w:rsid w:val="00496280"/>
    <w:rsid w:val="004973CD"/>
    <w:rsid w:val="004A104C"/>
    <w:rsid w:val="004A1A72"/>
    <w:rsid w:val="004A2FA7"/>
    <w:rsid w:val="004A338B"/>
    <w:rsid w:val="004B7C55"/>
    <w:rsid w:val="004C4A93"/>
    <w:rsid w:val="004D0BC5"/>
    <w:rsid w:val="004D3AE1"/>
    <w:rsid w:val="004D65FA"/>
    <w:rsid w:val="004D68A8"/>
    <w:rsid w:val="004F4FE1"/>
    <w:rsid w:val="004F6740"/>
    <w:rsid w:val="004F7724"/>
    <w:rsid w:val="00502875"/>
    <w:rsid w:val="00504936"/>
    <w:rsid w:val="005058F1"/>
    <w:rsid w:val="00505D55"/>
    <w:rsid w:val="00512915"/>
    <w:rsid w:val="00516F25"/>
    <w:rsid w:val="00517046"/>
    <w:rsid w:val="005304A6"/>
    <w:rsid w:val="005307D1"/>
    <w:rsid w:val="00540480"/>
    <w:rsid w:val="00540C40"/>
    <w:rsid w:val="00541DA3"/>
    <w:rsid w:val="0054639C"/>
    <w:rsid w:val="005538D9"/>
    <w:rsid w:val="00555FC1"/>
    <w:rsid w:val="00561E6A"/>
    <w:rsid w:val="00563E8A"/>
    <w:rsid w:val="00573546"/>
    <w:rsid w:val="00574600"/>
    <w:rsid w:val="0057559C"/>
    <w:rsid w:val="005776E6"/>
    <w:rsid w:val="005857E2"/>
    <w:rsid w:val="0058658A"/>
    <w:rsid w:val="00590C36"/>
    <w:rsid w:val="0059426B"/>
    <w:rsid w:val="00596043"/>
    <w:rsid w:val="005A084E"/>
    <w:rsid w:val="005B48BE"/>
    <w:rsid w:val="005B7AD2"/>
    <w:rsid w:val="005C1095"/>
    <w:rsid w:val="005C13D9"/>
    <w:rsid w:val="005C4E47"/>
    <w:rsid w:val="005D2DA3"/>
    <w:rsid w:val="005E12D5"/>
    <w:rsid w:val="005E23D5"/>
    <w:rsid w:val="005E2417"/>
    <w:rsid w:val="005E4DC9"/>
    <w:rsid w:val="005F0414"/>
    <w:rsid w:val="00610378"/>
    <w:rsid w:val="00610F52"/>
    <w:rsid w:val="006121C6"/>
    <w:rsid w:val="0061518E"/>
    <w:rsid w:val="0061545F"/>
    <w:rsid w:val="00615DE0"/>
    <w:rsid w:val="00616348"/>
    <w:rsid w:val="00617921"/>
    <w:rsid w:val="00623273"/>
    <w:rsid w:val="00630532"/>
    <w:rsid w:val="00631A84"/>
    <w:rsid w:val="006405A1"/>
    <w:rsid w:val="00647D1E"/>
    <w:rsid w:val="00652BC4"/>
    <w:rsid w:val="00654D94"/>
    <w:rsid w:val="00663093"/>
    <w:rsid w:val="00673F0B"/>
    <w:rsid w:val="006748F2"/>
    <w:rsid w:val="0067538A"/>
    <w:rsid w:val="006769D2"/>
    <w:rsid w:val="00677D30"/>
    <w:rsid w:val="00687467"/>
    <w:rsid w:val="00690507"/>
    <w:rsid w:val="00693401"/>
    <w:rsid w:val="00696263"/>
    <w:rsid w:val="00696DD2"/>
    <w:rsid w:val="006A0F3F"/>
    <w:rsid w:val="006A10B5"/>
    <w:rsid w:val="006C4267"/>
    <w:rsid w:val="006D0028"/>
    <w:rsid w:val="006D1DA7"/>
    <w:rsid w:val="006D4204"/>
    <w:rsid w:val="006E5B0D"/>
    <w:rsid w:val="006E7A34"/>
    <w:rsid w:val="006F0B62"/>
    <w:rsid w:val="006F3071"/>
    <w:rsid w:val="006F6A8D"/>
    <w:rsid w:val="006F6DA9"/>
    <w:rsid w:val="007022A6"/>
    <w:rsid w:val="007063F6"/>
    <w:rsid w:val="00707C87"/>
    <w:rsid w:val="007161EF"/>
    <w:rsid w:val="00716A62"/>
    <w:rsid w:val="007212F2"/>
    <w:rsid w:val="007214D1"/>
    <w:rsid w:val="00724732"/>
    <w:rsid w:val="0072624F"/>
    <w:rsid w:val="00733ABF"/>
    <w:rsid w:val="00733C39"/>
    <w:rsid w:val="0074357D"/>
    <w:rsid w:val="0074360E"/>
    <w:rsid w:val="00772D75"/>
    <w:rsid w:val="00776884"/>
    <w:rsid w:val="00790204"/>
    <w:rsid w:val="0079043C"/>
    <w:rsid w:val="00790E27"/>
    <w:rsid w:val="00791761"/>
    <w:rsid w:val="007970F2"/>
    <w:rsid w:val="007A0382"/>
    <w:rsid w:val="007A4C81"/>
    <w:rsid w:val="007A4F2A"/>
    <w:rsid w:val="007A7269"/>
    <w:rsid w:val="007B04F4"/>
    <w:rsid w:val="007B28EE"/>
    <w:rsid w:val="007B6EC4"/>
    <w:rsid w:val="007B7D52"/>
    <w:rsid w:val="007C0413"/>
    <w:rsid w:val="007C25F1"/>
    <w:rsid w:val="007C4033"/>
    <w:rsid w:val="007C6B50"/>
    <w:rsid w:val="007D2AFE"/>
    <w:rsid w:val="007E5C0B"/>
    <w:rsid w:val="007E7F92"/>
    <w:rsid w:val="007F1547"/>
    <w:rsid w:val="007F1B27"/>
    <w:rsid w:val="007F474D"/>
    <w:rsid w:val="007F5A47"/>
    <w:rsid w:val="007F5C39"/>
    <w:rsid w:val="0080441F"/>
    <w:rsid w:val="0080596F"/>
    <w:rsid w:val="00807937"/>
    <w:rsid w:val="00811A6F"/>
    <w:rsid w:val="00817AAC"/>
    <w:rsid w:val="00825FD9"/>
    <w:rsid w:val="00833EB7"/>
    <w:rsid w:val="0084114E"/>
    <w:rsid w:val="00851CF2"/>
    <w:rsid w:val="0085262A"/>
    <w:rsid w:val="00861106"/>
    <w:rsid w:val="00867A34"/>
    <w:rsid w:val="00871538"/>
    <w:rsid w:val="0088587A"/>
    <w:rsid w:val="0089449E"/>
    <w:rsid w:val="0089588A"/>
    <w:rsid w:val="008A1F14"/>
    <w:rsid w:val="008A212E"/>
    <w:rsid w:val="008A4B33"/>
    <w:rsid w:val="008A51D2"/>
    <w:rsid w:val="008B2D76"/>
    <w:rsid w:val="008B4BAF"/>
    <w:rsid w:val="008B4D54"/>
    <w:rsid w:val="008D2DEE"/>
    <w:rsid w:val="008E23F2"/>
    <w:rsid w:val="008E375A"/>
    <w:rsid w:val="008E51F4"/>
    <w:rsid w:val="008F1291"/>
    <w:rsid w:val="008F163E"/>
    <w:rsid w:val="008F3159"/>
    <w:rsid w:val="008F5A22"/>
    <w:rsid w:val="0091029D"/>
    <w:rsid w:val="0091488D"/>
    <w:rsid w:val="00915C25"/>
    <w:rsid w:val="0092031D"/>
    <w:rsid w:val="009221C7"/>
    <w:rsid w:val="00931E71"/>
    <w:rsid w:val="009343A4"/>
    <w:rsid w:val="00943A99"/>
    <w:rsid w:val="00947F7B"/>
    <w:rsid w:val="00951FCB"/>
    <w:rsid w:val="00957E51"/>
    <w:rsid w:val="00963286"/>
    <w:rsid w:val="00965998"/>
    <w:rsid w:val="00967254"/>
    <w:rsid w:val="0096777A"/>
    <w:rsid w:val="009708FB"/>
    <w:rsid w:val="0097099E"/>
    <w:rsid w:val="00972093"/>
    <w:rsid w:val="00972FDE"/>
    <w:rsid w:val="00975019"/>
    <w:rsid w:val="00977CB1"/>
    <w:rsid w:val="00980EA0"/>
    <w:rsid w:val="0098449B"/>
    <w:rsid w:val="00985128"/>
    <w:rsid w:val="00991003"/>
    <w:rsid w:val="0099482F"/>
    <w:rsid w:val="0099552E"/>
    <w:rsid w:val="00996A88"/>
    <w:rsid w:val="009A08DF"/>
    <w:rsid w:val="009A1902"/>
    <w:rsid w:val="009A2DC2"/>
    <w:rsid w:val="009C27EE"/>
    <w:rsid w:val="009C6FDD"/>
    <w:rsid w:val="009C79AB"/>
    <w:rsid w:val="009D27A9"/>
    <w:rsid w:val="009D3014"/>
    <w:rsid w:val="009D4E67"/>
    <w:rsid w:val="009E0393"/>
    <w:rsid w:val="009E72FA"/>
    <w:rsid w:val="009F1DA8"/>
    <w:rsid w:val="009F6E6F"/>
    <w:rsid w:val="00A05358"/>
    <w:rsid w:val="00A129BC"/>
    <w:rsid w:val="00A15E2C"/>
    <w:rsid w:val="00A16D06"/>
    <w:rsid w:val="00A2043D"/>
    <w:rsid w:val="00A241C4"/>
    <w:rsid w:val="00A31759"/>
    <w:rsid w:val="00A31CFF"/>
    <w:rsid w:val="00A47A09"/>
    <w:rsid w:val="00A50811"/>
    <w:rsid w:val="00A50926"/>
    <w:rsid w:val="00A51C0B"/>
    <w:rsid w:val="00A53534"/>
    <w:rsid w:val="00A545B8"/>
    <w:rsid w:val="00A56513"/>
    <w:rsid w:val="00A5750F"/>
    <w:rsid w:val="00A60E0A"/>
    <w:rsid w:val="00A61311"/>
    <w:rsid w:val="00A61654"/>
    <w:rsid w:val="00A61FF9"/>
    <w:rsid w:val="00A70F7B"/>
    <w:rsid w:val="00A763BC"/>
    <w:rsid w:val="00A7787A"/>
    <w:rsid w:val="00A8159A"/>
    <w:rsid w:val="00A860E1"/>
    <w:rsid w:val="00A923FD"/>
    <w:rsid w:val="00A936EC"/>
    <w:rsid w:val="00A96568"/>
    <w:rsid w:val="00A97015"/>
    <w:rsid w:val="00AA04F3"/>
    <w:rsid w:val="00AB0ED8"/>
    <w:rsid w:val="00AB54FF"/>
    <w:rsid w:val="00AC59E8"/>
    <w:rsid w:val="00AC66C5"/>
    <w:rsid w:val="00AC77DC"/>
    <w:rsid w:val="00AD0502"/>
    <w:rsid w:val="00AD0D67"/>
    <w:rsid w:val="00AD2174"/>
    <w:rsid w:val="00AD5244"/>
    <w:rsid w:val="00AD5B55"/>
    <w:rsid w:val="00AE0E89"/>
    <w:rsid w:val="00AE43AF"/>
    <w:rsid w:val="00AF02B6"/>
    <w:rsid w:val="00AF545E"/>
    <w:rsid w:val="00B035CB"/>
    <w:rsid w:val="00B12C74"/>
    <w:rsid w:val="00B13579"/>
    <w:rsid w:val="00B13810"/>
    <w:rsid w:val="00B14C29"/>
    <w:rsid w:val="00B2443A"/>
    <w:rsid w:val="00B26FE3"/>
    <w:rsid w:val="00B31F25"/>
    <w:rsid w:val="00B33A16"/>
    <w:rsid w:val="00B41BEF"/>
    <w:rsid w:val="00B420F8"/>
    <w:rsid w:val="00B4511E"/>
    <w:rsid w:val="00B46B39"/>
    <w:rsid w:val="00B46E01"/>
    <w:rsid w:val="00B53699"/>
    <w:rsid w:val="00B56CDC"/>
    <w:rsid w:val="00B578F1"/>
    <w:rsid w:val="00B642D7"/>
    <w:rsid w:val="00B64B77"/>
    <w:rsid w:val="00B70DD8"/>
    <w:rsid w:val="00B83469"/>
    <w:rsid w:val="00B84929"/>
    <w:rsid w:val="00B850CF"/>
    <w:rsid w:val="00B90FEE"/>
    <w:rsid w:val="00BA7621"/>
    <w:rsid w:val="00BB35C1"/>
    <w:rsid w:val="00BB4484"/>
    <w:rsid w:val="00BB4A08"/>
    <w:rsid w:val="00BC0857"/>
    <w:rsid w:val="00BE155F"/>
    <w:rsid w:val="00C00E67"/>
    <w:rsid w:val="00C07C9E"/>
    <w:rsid w:val="00C15E52"/>
    <w:rsid w:val="00C23422"/>
    <w:rsid w:val="00C32A2A"/>
    <w:rsid w:val="00C34A7E"/>
    <w:rsid w:val="00C3617E"/>
    <w:rsid w:val="00C37DF3"/>
    <w:rsid w:val="00C41B87"/>
    <w:rsid w:val="00C443BA"/>
    <w:rsid w:val="00C44828"/>
    <w:rsid w:val="00C60E1C"/>
    <w:rsid w:val="00C71BC7"/>
    <w:rsid w:val="00C72600"/>
    <w:rsid w:val="00C74DC7"/>
    <w:rsid w:val="00C76C7E"/>
    <w:rsid w:val="00C8005D"/>
    <w:rsid w:val="00C86B05"/>
    <w:rsid w:val="00C97A35"/>
    <w:rsid w:val="00CA146D"/>
    <w:rsid w:val="00CB2AFA"/>
    <w:rsid w:val="00CB4C24"/>
    <w:rsid w:val="00CB7060"/>
    <w:rsid w:val="00CB774B"/>
    <w:rsid w:val="00CD63DC"/>
    <w:rsid w:val="00CE1556"/>
    <w:rsid w:val="00CE1DF3"/>
    <w:rsid w:val="00CE3065"/>
    <w:rsid w:val="00CE6A5E"/>
    <w:rsid w:val="00CF12FC"/>
    <w:rsid w:val="00CF3F3E"/>
    <w:rsid w:val="00CF6265"/>
    <w:rsid w:val="00D03F91"/>
    <w:rsid w:val="00D0526F"/>
    <w:rsid w:val="00D05BA6"/>
    <w:rsid w:val="00D15130"/>
    <w:rsid w:val="00D351F6"/>
    <w:rsid w:val="00D4539E"/>
    <w:rsid w:val="00D47B50"/>
    <w:rsid w:val="00D50FD0"/>
    <w:rsid w:val="00D540BE"/>
    <w:rsid w:val="00D57CDF"/>
    <w:rsid w:val="00D658D1"/>
    <w:rsid w:val="00D7355C"/>
    <w:rsid w:val="00D811D3"/>
    <w:rsid w:val="00D8346A"/>
    <w:rsid w:val="00D842DB"/>
    <w:rsid w:val="00D87D93"/>
    <w:rsid w:val="00D90A8D"/>
    <w:rsid w:val="00D916DE"/>
    <w:rsid w:val="00DA5818"/>
    <w:rsid w:val="00DB0815"/>
    <w:rsid w:val="00DB3601"/>
    <w:rsid w:val="00DD3C91"/>
    <w:rsid w:val="00DD3FEC"/>
    <w:rsid w:val="00DE1E6C"/>
    <w:rsid w:val="00DE203F"/>
    <w:rsid w:val="00DE272A"/>
    <w:rsid w:val="00DE4D70"/>
    <w:rsid w:val="00DE5F32"/>
    <w:rsid w:val="00DF4100"/>
    <w:rsid w:val="00DF62A8"/>
    <w:rsid w:val="00E00904"/>
    <w:rsid w:val="00E00C8A"/>
    <w:rsid w:val="00E025B8"/>
    <w:rsid w:val="00E05EF0"/>
    <w:rsid w:val="00E07DC0"/>
    <w:rsid w:val="00E123AE"/>
    <w:rsid w:val="00E159A4"/>
    <w:rsid w:val="00E236B9"/>
    <w:rsid w:val="00E25D85"/>
    <w:rsid w:val="00E304DA"/>
    <w:rsid w:val="00E32AFC"/>
    <w:rsid w:val="00E33025"/>
    <w:rsid w:val="00E345B1"/>
    <w:rsid w:val="00E45B7F"/>
    <w:rsid w:val="00E46BFC"/>
    <w:rsid w:val="00E47B0B"/>
    <w:rsid w:val="00E51AE0"/>
    <w:rsid w:val="00E57EA0"/>
    <w:rsid w:val="00E635F3"/>
    <w:rsid w:val="00E7475C"/>
    <w:rsid w:val="00E81E8A"/>
    <w:rsid w:val="00E82BE9"/>
    <w:rsid w:val="00E87480"/>
    <w:rsid w:val="00E9032E"/>
    <w:rsid w:val="00E926F1"/>
    <w:rsid w:val="00E97ABE"/>
    <w:rsid w:val="00EA1F0A"/>
    <w:rsid w:val="00EA6D79"/>
    <w:rsid w:val="00EA70C6"/>
    <w:rsid w:val="00EB0CA7"/>
    <w:rsid w:val="00EB7CC3"/>
    <w:rsid w:val="00EC455A"/>
    <w:rsid w:val="00EC4CB9"/>
    <w:rsid w:val="00ED6AD5"/>
    <w:rsid w:val="00EE12A5"/>
    <w:rsid w:val="00EF3A2D"/>
    <w:rsid w:val="00F00614"/>
    <w:rsid w:val="00F067E4"/>
    <w:rsid w:val="00F0681D"/>
    <w:rsid w:val="00F06CED"/>
    <w:rsid w:val="00F14CD9"/>
    <w:rsid w:val="00F30487"/>
    <w:rsid w:val="00F32670"/>
    <w:rsid w:val="00F3541E"/>
    <w:rsid w:val="00F3785F"/>
    <w:rsid w:val="00F458F8"/>
    <w:rsid w:val="00F50A4F"/>
    <w:rsid w:val="00F50D03"/>
    <w:rsid w:val="00F51569"/>
    <w:rsid w:val="00F54BAF"/>
    <w:rsid w:val="00F636CF"/>
    <w:rsid w:val="00F63E69"/>
    <w:rsid w:val="00F669CC"/>
    <w:rsid w:val="00F745B5"/>
    <w:rsid w:val="00F74730"/>
    <w:rsid w:val="00F8113B"/>
    <w:rsid w:val="00F8209E"/>
    <w:rsid w:val="00F87ADA"/>
    <w:rsid w:val="00F91495"/>
    <w:rsid w:val="00FA053D"/>
    <w:rsid w:val="00FB11B3"/>
    <w:rsid w:val="00FB15EC"/>
    <w:rsid w:val="00FB7E75"/>
    <w:rsid w:val="00FC03AC"/>
    <w:rsid w:val="00FC7D8F"/>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197C9"/>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18774087">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28601679">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E712-0563-48B7-B9F0-50BFBBE1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1536</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15</cp:revision>
  <cp:lastPrinted>2018-08-17T11:00:00Z</cp:lastPrinted>
  <dcterms:created xsi:type="dcterms:W3CDTF">2020-03-02T09:14:00Z</dcterms:created>
  <dcterms:modified xsi:type="dcterms:W3CDTF">2020-03-09T11:59:00Z</dcterms:modified>
</cp:coreProperties>
</file>