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062"/>
        <w:gridCol w:w="3402"/>
      </w:tblGrid>
      <w:tr w:rsidR="007D5128" w:rsidRPr="00266AC3" w:rsidTr="00B444B0">
        <w:trPr>
          <w:cantSplit/>
          <w:trHeight w:val="993"/>
        </w:trPr>
        <w:tc>
          <w:tcPr>
            <w:tcW w:w="6062" w:type="dxa"/>
          </w:tcPr>
          <w:p w:rsidR="007D5128" w:rsidRPr="00266AC3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 xml:space="preserve">HIGH LIFE HIGHLAND </w:t>
            </w:r>
          </w:p>
          <w:p w:rsidR="007D5128" w:rsidRPr="00266AC3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 xml:space="preserve">REPORT TO </w:t>
            </w:r>
            <w:r w:rsidR="00502A2D">
              <w:rPr>
                <w:rFonts w:ascii="Arial" w:hAnsi="Arial" w:cs="Arial"/>
                <w:b/>
                <w:sz w:val="24"/>
                <w:szCs w:val="24"/>
              </w:rPr>
              <w:t>BOARD OF DIRECTORS</w:t>
            </w:r>
          </w:p>
          <w:p w:rsidR="007D5128" w:rsidRPr="00266AC3" w:rsidRDefault="00D9260F" w:rsidP="00CD279F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19</w:t>
            </w:r>
            <w:r w:rsidR="00502A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60724">
              <w:rPr>
                <w:rFonts w:ascii="Arial" w:hAnsi="Arial" w:cs="Arial"/>
                <w:b/>
                <w:sz w:val="24"/>
                <w:szCs w:val="24"/>
              </w:rPr>
              <w:t xml:space="preserve">March </w:t>
            </w:r>
            <w:r w:rsidR="00551437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60724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7D5128" w:rsidRPr="00266AC3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="007D5128" w:rsidRPr="00266AC3">
              <w:rPr>
                <w:rFonts w:ascii="Arial" w:hAnsi="Arial" w:cs="Arial"/>
                <w:b/>
                <w:sz w:val="24"/>
                <w:szCs w:val="24"/>
              </w:rPr>
              <w:instrText xml:space="preserve">  </w:instrText>
            </w:r>
            <w:r w:rsidR="007D5128" w:rsidRPr="00266AC3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402" w:type="dxa"/>
          </w:tcPr>
          <w:p w:rsidR="00064112" w:rsidRDefault="007D5128" w:rsidP="0006411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 xml:space="preserve">AGENDA ITEM </w:t>
            </w:r>
          </w:p>
          <w:p w:rsidR="007D5128" w:rsidRPr="00266AC3" w:rsidRDefault="007D5128" w:rsidP="00064112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 xml:space="preserve">REPORT No </w:t>
            </w:r>
            <w:r w:rsidR="0096426A">
              <w:rPr>
                <w:rFonts w:ascii="Arial" w:hAnsi="Arial" w:cs="Arial"/>
                <w:sz w:val="24"/>
                <w:szCs w:val="24"/>
              </w:rPr>
              <w:t>HLH</w:t>
            </w:r>
            <w:r w:rsidR="00064112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22169" w:rsidRPr="000B78EB">
              <w:rPr>
                <w:rFonts w:ascii="Arial" w:hAnsi="Arial" w:cs="Arial"/>
                <w:sz w:val="24"/>
                <w:szCs w:val="24"/>
              </w:rPr>
              <w:t>/</w:t>
            </w:r>
            <w:r w:rsidR="00456C0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</w:tbl>
    <w:p w:rsidR="007D5128" w:rsidRPr="007D5128" w:rsidRDefault="007D5128" w:rsidP="007D5128">
      <w:pPr>
        <w:rPr>
          <w:rFonts w:ascii="Arial" w:hAnsi="Arial" w:cs="Arial"/>
          <w:b/>
          <w:sz w:val="24"/>
          <w:szCs w:val="24"/>
        </w:rPr>
      </w:pPr>
      <w:r w:rsidRPr="007D5128">
        <w:rPr>
          <w:rFonts w:ascii="Arial" w:hAnsi="Arial" w:cs="Arial"/>
          <w:b/>
          <w:sz w:val="24"/>
          <w:szCs w:val="24"/>
        </w:rPr>
        <w:t>FINANCE REPORT -   Report by Chief Executive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7D5128" w:rsidRPr="00266AC3" w:rsidTr="00B444B0">
        <w:trPr>
          <w:cantSplit/>
        </w:trPr>
        <w:tc>
          <w:tcPr>
            <w:tcW w:w="9464" w:type="dxa"/>
          </w:tcPr>
          <w:p w:rsidR="007D5128" w:rsidRPr="00674946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674946">
              <w:rPr>
                <w:rFonts w:ascii="Arial" w:hAnsi="Arial" w:cs="Arial"/>
                <w:b/>
                <w:sz w:val="24"/>
                <w:szCs w:val="24"/>
              </w:rPr>
              <w:fldChar w:fldCharType="begin"/>
            </w:r>
            <w:r w:rsidRPr="00674946">
              <w:rPr>
                <w:rFonts w:ascii="Arial" w:hAnsi="Arial" w:cs="Arial"/>
                <w:b/>
                <w:sz w:val="24"/>
                <w:szCs w:val="24"/>
              </w:rPr>
              <w:instrText xml:space="preserve">  </w:instrText>
            </w:r>
            <w:r w:rsidRPr="00674946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674946">
              <w:rPr>
                <w:rFonts w:ascii="Arial" w:hAnsi="Arial" w:cs="Arial"/>
                <w:b/>
                <w:sz w:val="24"/>
                <w:szCs w:val="24"/>
              </w:rPr>
              <w:t>Summary</w:t>
            </w:r>
          </w:p>
          <w:p w:rsidR="007D5128" w:rsidRPr="00674946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7D5128" w:rsidRPr="00674946" w:rsidRDefault="007D5128" w:rsidP="00D8300B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 xml:space="preserve">The purpose of this report is to </w:t>
            </w:r>
            <w:bookmarkStart w:id="0" w:name="_Hlk25575490"/>
            <w:bookmarkStart w:id="1" w:name="_Hlk17102255"/>
            <w:r w:rsidRPr="00674946">
              <w:rPr>
                <w:rFonts w:ascii="Arial" w:hAnsi="Arial" w:cs="Arial"/>
                <w:sz w:val="24"/>
                <w:szCs w:val="24"/>
              </w:rPr>
              <w:t xml:space="preserve">update </w:t>
            </w:r>
            <w:r w:rsidR="00502A2D" w:rsidRPr="00674946">
              <w:rPr>
                <w:rFonts w:ascii="Arial" w:hAnsi="Arial" w:cs="Arial"/>
                <w:sz w:val="24"/>
                <w:szCs w:val="24"/>
              </w:rPr>
              <w:t>Directors</w:t>
            </w:r>
            <w:r w:rsidRPr="00674946">
              <w:rPr>
                <w:rFonts w:ascii="Arial" w:hAnsi="Arial" w:cs="Arial"/>
                <w:sz w:val="24"/>
                <w:szCs w:val="24"/>
              </w:rPr>
              <w:t xml:space="preserve"> on the financial performance of High Life Highland </w:t>
            </w:r>
            <w:r w:rsidR="002D1684" w:rsidRPr="00674946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760724" w:rsidRPr="00674946">
              <w:rPr>
                <w:rFonts w:ascii="Arial" w:hAnsi="Arial" w:cs="Arial"/>
                <w:sz w:val="24"/>
                <w:szCs w:val="24"/>
              </w:rPr>
              <w:t>the period ending 31</w:t>
            </w:r>
            <w:r w:rsidR="00D9260F" w:rsidRPr="0067494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</w:t>
            </w:r>
            <w:r w:rsidR="00760724" w:rsidRPr="00674946">
              <w:rPr>
                <w:rFonts w:ascii="Arial" w:hAnsi="Arial" w:cs="Arial"/>
                <w:sz w:val="24"/>
                <w:szCs w:val="24"/>
              </w:rPr>
              <w:t>January 20</w:t>
            </w:r>
            <w:r w:rsidR="00B72EF8" w:rsidRPr="00674946">
              <w:rPr>
                <w:rFonts w:ascii="Arial" w:hAnsi="Arial" w:cs="Arial"/>
                <w:sz w:val="24"/>
                <w:szCs w:val="24"/>
              </w:rPr>
              <w:t>20</w:t>
            </w:r>
            <w:r w:rsidR="002D1684" w:rsidRPr="0067494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4946">
              <w:rPr>
                <w:rFonts w:ascii="Arial" w:hAnsi="Arial" w:cs="Arial"/>
                <w:sz w:val="24"/>
                <w:szCs w:val="24"/>
              </w:rPr>
              <w:t xml:space="preserve">and other </w:t>
            </w:r>
            <w:r w:rsidR="00502A2D" w:rsidRPr="00674946">
              <w:rPr>
                <w:rFonts w:ascii="Arial" w:hAnsi="Arial" w:cs="Arial"/>
                <w:sz w:val="24"/>
                <w:szCs w:val="24"/>
              </w:rPr>
              <w:t>relevant matters.</w:t>
            </w:r>
            <w:bookmarkEnd w:id="0"/>
          </w:p>
          <w:bookmarkEnd w:id="1"/>
          <w:p w:rsidR="007D5128" w:rsidRPr="00674946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D9260F" w:rsidRPr="00674946" w:rsidRDefault="007D5128" w:rsidP="00C3340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 xml:space="preserve">It is recommended that </w:t>
            </w:r>
            <w:r w:rsidR="00502A2D" w:rsidRPr="00674946">
              <w:rPr>
                <w:rFonts w:ascii="Arial" w:hAnsi="Arial" w:cs="Arial"/>
                <w:sz w:val="24"/>
                <w:szCs w:val="24"/>
              </w:rPr>
              <w:t>Directors</w:t>
            </w:r>
            <w:r w:rsidR="00D9260F" w:rsidRPr="00674946">
              <w:rPr>
                <w:rFonts w:ascii="Arial" w:hAnsi="Arial" w:cs="Arial"/>
                <w:sz w:val="24"/>
                <w:szCs w:val="24"/>
              </w:rPr>
              <w:t xml:space="preserve"> note:</w:t>
            </w:r>
          </w:p>
          <w:p w:rsidR="000B78EB" w:rsidRPr="00674946" w:rsidRDefault="000B78EB" w:rsidP="00C3340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47D82" w:rsidRPr="00674946" w:rsidRDefault="00347D82" w:rsidP="00D9260F">
            <w:pPr>
              <w:numPr>
                <w:ilvl w:val="0"/>
                <w:numId w:val="2"/>
              </w:numPr>
              <w:spacing w:after="0" w:line="240" w:lineRule="auto"/>
              <w:ind w:left="731" w:hanging="42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 xml:space="preserve">the results for the period April </w:t>
            </w:r>
            <w:r w:rsidR="00A667A6" w:rsidRPr="00674946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674946">
              <w:rPr>
                <w:rFonts w:ascii="Arial" w:hAnsi="Arial" w:cs="Arial"/>
                <w:sz w:val="24"/>
                <w:szCs w:val="24"/>
              </w:rPr>
              <w:t xml:space="preserve">to January 2020 detailed in </w:t>
            </w:r>
            <w:r w:rsidRPr="00674946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674946">
              <w:rPr>
                <w:rFonts w:ascii="Arial" w:hAnsi="Arial" w:cs="Arial"/>
                <w:sz w:val="24"/>
                <w:szCs w:val="24"/>
              </w:rPr>
              <w:t xml:space="preserve"> reports a negative variance to budget of £65K with the HLH year-end outturn forecast to be a negative variance to budget of circa £81K; </w:t>
            </w:r>
          </w:p>
          <w:p w:rsidR="00347D82" w:rsidRPr="00674946" w:rsidRDefault="00D9260F" w:rsidP="00D9260F">
            <w:pPr>
              <w:numPr>
                <w:ilvl w:val="0"/>
                <w:numId w:val="2"/>
              </w:numPr>
              <w:spacing w:after="0" w:line="240" w:lineRule="auto"/>
              <w:ind w:left="731" w:hanging="42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>th</w:t>
            </w:r>
            <w:r w:rsidR="00347D82" w:rsidRPr="00674946">
              <w:rPr>
                <w:rFonts w:ascii="Arial" w:hAnsi="Arial" w:cs="Arial"/>
                <w:sz w:val="24"/>
                <w:szCs w:val="24"/>
              </w:rPr>
              <w:t>ere has been no breach of internal controls reported in the past quarter;</w:t>
            </w:r>
          </w:p>
          <w:p w:rsidR="00347D82" w:rsidRPr="00674946" w:rsidRDefault="00347D82" w:rsidP="00D9260F">
            <w:pPr>
              <w:numPr>
                <w:ilvl w:val="0"/>
                <w:numId w:val="2"/>
              </w:numPr>
              <w:spacing w:after="0" w:line="240" w:lineRule="auto"/>
              <w:ind w:left="731" w:hanging="42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>there ha</w:t>
            </w:r>
            <w:r w:rsidR="0014144E" w:rsidRPr="00674946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Pr="00674946">
              <w:rPr>
                <w:rFonts w:ascii="Arial" w:hAnsi="Arial" w:cs="Arial"/>
                <w:sz w:val="24"/>
                <w:szCs w:val="24"/>
              </w:rPr>
              <w:t xml:space="preserve">been no data breaches reported in the last quarter; </w:t>
            </w:r>
          </w:p>
          <w:p w:rsidR="00D9260F" w:rsidRPr="00674946" w:rsidRDefault="00347D82" w:rsidP="00D926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1" w:hanging="425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 xml:space="preserve">approve the fixed asset agreement between the charity and the trading company attached in </w:t>
            </w:r>
            <w:r w:rsidRPr="00674946">
              <w:rPr>
                <w:rFonts w:ascii="Arial" w:hAnsi="Arial" w:cs="Arial"/>
                <w:b/>
                <w:sz w:val="24"/>
                <w:szCs w:val="24"/>
              </w:rPr>
              <w:t>Appendix E</w:t>
            </w:r>
            <w:r w:rsidR="00674946">
              <w:rPr>
                <w:rFonts w:ascii="Arial" w:hAnsi="Arial" w:cs="Arial"/>
                <w:sz w:val="24"/>
                <w:szCs w:val="24"/>
              </w:rPr>
              <w:t xml:space="preserve">; and </w:t>
            </w:r>
          </w:p>
          <w:p w:rsidR="002B6626" w:rsidRPr="00674946" w:rsidRDefault="00674946" w:rsidP="00D9260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31" w:hanging="425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t xml:space="preserve">the award of contracts as detailed in </w:t>
            </w:r>
            <w:r w:rsidRPr="00674946">
              <w:rPr>
                <w:rFonts w:ascii="Arial" w:hAnsi="Arial" w:cs="Arial"/>
                <w:b/>
                <w:sz w:val="24"/>
                <w:szCs w:val="24"/>
              </w:rPr>
              <w:t>paragraph 7.1.</w:t>
            </w:r>
          </w:p>
          <w:p w:rsidR="007D5128" w:rsidRPr="00674946" w:rsidRDefault="007D5128" w:rsidP="00D9260F">
            <w:pPr>
              <w:pStyle w:val="ListParagraph"/>
              <w:spacing w:after="0" w:line="240" w:lineRule="auto"/>
              <w:ind w:left="731"/>
              <w:rPr>
                <w:rFonts w:ascii="Arial" w:hAnsi="Arial" w:cs="Arial"/>
                <w:sz w:val="24"/>
                <w:szCs w:val="24"/>
              </w:rPr>
            </w:pPr>
            <w:r w:rsidRPr="00674946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674946">
              <w:rPr>
                <w:rFonts w:ascii="Arial" w:hAnsi="Arial" w:cs="Arial"/>
                <w:sz w:val="24"/>
                <w:szCs w:val="24"/>
              </w:rPr>
              <w:instrText xml:space="preserve">  </w:instrText>
            </w:r>
            <w:r w:rsidRPr="0067494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7D5128" w:rsidRPr="007D5128" w:rsidRDefault="007D5128" w:rsidP="0092216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647"/>
      </w:tblGrid>
      <w:tr w:rsidR="007D5128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5128" w:rsidRPr="00266AC3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  <w:p w:rsidR="007D5128" w:rsidRPr="00266AC3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5128" w:rsidRPr="00266AC3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D5128" w:rsidRPr="00266AC3" w:rsidRDefault="007D5128" w:rsidP="005205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>Business Plan Contribution</w:t>
            </w:r>
          </w:p>
          <w:p w:rsidR="007D5128" w:rsidRPr="00266AC3" w:rsidRDefault="007D5128" w:rsidP="005205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D5128" w:rsidRPr="00266AC3" w:rsidRDefault="007D5128" w:rsidP="005205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>This report supports the highlighted Business Outcomes from the High Life Highland (HLH) Business Plan:</w:t>
            </w:r>
          </w:p>
          <w:p w:rsidR="007D5128" w:rsidRPr="002B542C" w:rsidRDefault="007D5128" w:rsidP="005205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Cs/>
                <w:sz w:val="24"/>
                <w:szCs w:val="24"/>
              </w:rPr>
              <w:t>Sustain a high standard of health and safety, and environmental performance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/>
                <w:bCs/>
                <w:sz w:val="24"/>
                <w:szCs w:val="24"/>
              </w:rPr>
              <w:t>Implement the Service Delivery Contract with THC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Cs/>
                <w:sz w:val="24"/>
                <w:szCs w:val="24"/>
              </w:rPr>
              <w:t>Improving customer engagement and satisfaction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Cs/>
                <w:sz w:val="24"/>
                <w:szCs w:val="24"/>
              </w:rPr>
              <w:t>Improving staff engagement and satisfaction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Cs/>
                <w:sz w:val="24"/>
                <w:szCs w:val="24"/>
              </w:rPr>
              <w:t>Enhance the positive charity image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/>
                <w:bCs/>
                <w:sz w:val="24"/>
                <w:szCs w:val="24"/>
              </w:rPr>
              <w:t>Be a trusted and effective partner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/>
                <w:bCs/>
                <w:sz w:val="24"/>
                <w:szCs w:val="24"/>
              </w:rPr>
              <w:t>Achieve sustainable growth across the organisation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Cs/>
                <w:sz w:val="24"/>
                <w:szCs w:val="24"/>
              </w:rPr>
              <w:t>Develop health and wellbeing across Highland communities</w:t>
            </w:r>
          </w:p>
          <w:p w:rsidR="00F15473" w:rsidRPr="00F15473" w:rsidRDefault="00F15473" w:rsidP="00F1547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F15473">
              <w:rPr>
                <w:rFonts w:ascii="Arial" w:hAnsi="Arial" w:cs="Arial"/>
                <w:bCs/>
                <w:sz w:val="24"/>
                <w:szCs w:val="24"/>
              </w:rPr>
              <w:t>Develop and promote the High Life brand</w:t>
            </w:r>
          </w:p>
          <w:p w:rsidR="007D5128" w:rsidRPr="00266AC3" w:rsidRDefault="007D5128" w:rsidP="005205B0">
            <w:pPr>
              <w:spacing w:after="0" w:line="240" w:lineRule="auto"/>
              <w:ind w:left="720"/>
              <w:contextualSpacing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7D5128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5128" w:rsidRPr="00266AC3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D5128" w:rsidRPr="00266AC3" w:rsidRDefault="007D5128" w:rsidP="005205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>Background</w:t>
            </w:r>
          </w:p>
          <w:p w:rsidR="007D5128" w:rsidRPr="00266AC3" w:rsidRDefault="007D5128" w:rsidP="005205B0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D5128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5128" w:rsidRDefault="007D5128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>2.1</w:t>
            </w:r>
          </w:p>
          <w:p w:rsidR="008F46B3" w:rsidRDefault="008F46B3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034002" w:rsidRDefault="00034002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8F46B3" w:rsidRPr="00266AC3" w:rsidRDefault="008F46B3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F15473" w:rsidRPr="00266AC3" w:rsidRDefault="00502A2D" w:rsidP="00B72EF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Directors of HLH receive a Finance Report on a quarterly basis. The primary purpose of the report is to summarise the financial performance of the charity and its subsidiaries.</w:t>
            </w:r>
          </w:p>
        </w:tc>
      </w:tr>
      <w:tr w:rsidR="007D5128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5128" w:rsidRPr="002A05AF" w:rsidRDefault="00207799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5A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D5128" w:rsidRPr="002A05A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51003C" w:rsidRPr="002A05AF" w:rsidRDefault="0051003C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1003C" w:rsidRPr="002A05AF" w:rsidRDefault="00207799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5AF">
              <w:rPr>
                <w:rFonts w:ascii="Arial" w:hAnsi="Arial" w:cs="Arial"/>
                <w:sz w:val="24"/>
                <w:szCs w:val="24"/>
              </w:rPr>
              <w:t>3</w:t>
            </w:r>
            <w:r w:rsidR="0051003C" w:rsidRPr="002A05AF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2B2E0F" w:rsidRPr="002A05AF" w:rsidRDefault="002B2E0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0C7F" w:rsidRPr="002A05AF" w:rsidRDefault="000F0C7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0C7F" w:rsidRPr="002A05AF" w:rsidRDefault="000F0C7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0C7F" w:rsidRPr="002A05AF" w:rsidRDefault="000F0C7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2E0F" w:rsidRPr="002A05AF" w:rsidRDefault="002B2E0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5AF">
              <w:rPr>
                <w:rFonts w:ascii="Arial" w:hAnsi="Arial" w:cs="Arial"/>
                <w:sz w:val="24"/>
                <w:szCs w:val="24"/>
              </w:rPr>
              <w:t>3.2</w:t>
            </w:r>
          </w:p>
          <w:p w:rsidR="008732F0" w:rsidRPr="002A05AF" w:rsidRDefault="008732F0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22030" w:rsidRPr="002A05AF" w:rsidRDefault="00522030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50807" w:rsidRPr="002A05AF" w:rsidRDefault="00750807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F0C7F" w:rsidRPr="002A05AF" w:rsidRDefault="000F0C7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5205B0" w:rsidRPr="002A05AF" w:rsidRDefault="007E2A9C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A05AF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Financial Performance </w:t>
            </w:r>
            <w:r w:rsidR="00D9260F">
              <w:rPr>
                <w:rFonts w:ascii="Arial" w:hAnsi="Arial" w:cs="Arial"/>
                <w:b/>
                <w:sz w:val="24"/>
                <w:szCs w:val="24"/>
              </w:rPr>
              <w:t>to 31</w:t>
            </w:r>
            <w:r w:rsidR="00A667A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B2D3A">
              <w:rPr>
                <w:rFonts w:ascii="Arial" w:hAnsi="Arial" w:cs="Arial"/>
                <w:b/>
                <w:sz w:val="24"/>
                <w:szCs w:val="24"/>
              </w:rPr>
              <w:t xml:space="preserve">January </w:t>
            </w:r>
            <w:r w:rsidR="00F437DD" w:rsidRPr="002A05A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B72EF8" w:rsidRPr="002A05AF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2A05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425F6" w:rsidRPr="002A05AF" w:rsidRDefault="00A425F6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F0C7F" w:rsidRPr="002A05AF" w:rsidRDefault="009B2D3A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results </w:t>
            </w:r>
            <w:r w:rsidR="00D9260F"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or the period to </w:t>
            </w:r>
            <w:r w:rsidR="00D9260F">
              <w:rPr>
                <w:rFonts w:ascii="Arial" w:hAnsi="Arial" w:cs="Arial"/>
                <w:sz w:val="24"/>
                <w:szCs w:val="24"/>
              </w:rPr>
              <w:t xml:space="preserve">31 </w:t>
            </w:r>
            <w:r>
              <w:rPr>
                <w:rFonts w:ascii="Arial" w:hAnsi="Arial" w:cs="Arial"/>
                <w:sz w:val="24"/>
                <w:szCs w:val="24"/>
              </w:rPr>
              <w:t>January 2020 have been prepared</w:t>
            </w:r>
            <w:r w:rsidR="000F0C7F" w:rsidRPr="002A05AF">
              <w:rPr>
                <w:rFonts w:ascii="Arial" w:hAnsi="Arial" w:cs="Arial"/>
                <w:sz w:val="24"/>
                <w:szCs w:val="24"/>
              </w:rPr>
              <w:t xml:space="preserve">.  HLH’s consolidated financial performance for the period is summarised in </w:t>
            </w:r>
            <w:r w:rsidR="000F0C7F" w:rsidRPr="002A05AF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="000F0C7F" w:rsidRPr="002A05AF">
              <w:rPr>
                <w:rFonts w:ascii="Arial" w:hAnsi="Arial" w:cs="Arial"/>
                <w:sz w:val="24"/>
                <w:szCs w:val="24"/>
              </w:rPr>
              <w:t xml:space="preserve">.  The results for the period are further split by the nine business categories in </w:t>
            </w:r>
            <w:r w:rsidR="000F0C7F" w:rsidRPr="002A05AF">
              <w:rPr>
                <w:rFonts w:ascii="Arial" w:hAnsi="Arial" w:cs="Arial"/>
                <w:b/>
                <w:sz w:val="24"/>
                <w:szCs w:val="24"/>
              </w:rPr>
              <w:lastRenderedPageBreak/>
              <w:t>Appendix B</w:t>
            </w:r>
            <w:r w:rsidR="000F0C7F" w:rsidRPr="002A05AF">
              <w:rPr>
                <w:rFonts w:ascii="Arial" w:hAnsi="Arial" w:cs="Arial"/>
                <w:sz w:val="24"/>
                <w:szCs w:val="24"/>
              </w:rPr>
              <w:t xml:space="preserve"> and by cost category (income, staff costs and other costs) at </w:t>
            </w:r>
            <w:r w:rsidR="000F0C7F" w:rsidRPr="002A05AF">
              <w:rPr>
                <w:rFonts w:ascii="Arial" w:hAnsi="Arial" w:cs="Arial"/>
                <w:b/>
                <w:sz w:val="24"/>
                <w:szCs w:val="24"/>
              </w:rPr>
              <w:t>Appendix C</w:t>
            </w:r>
            <w:r w:rsidR="000F0C7F" w:rsidRPr="002A05A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0F0C7F" w:rsidRPr="002A05AF" w:rsidRDefault="000F0C7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5AF">
              <w:rPr>
                <w:rFonts w:ascii="Arial" w:hAnsi="Arial" w:cs="Arial"/>
                <w:sz w:val="24"/>
                <w:szCs w:val="24"/>
              </w:rPr>
              <w:t>The net position is a negative variance to budget of £6</w:t>
            </w:r>
            <w:r w:rsidR="009B2D3A">
              <w:rPr>
                <w:rFonts w:ascii="Arial" w:hAnsi="Arial" w:cs="Arial"/>
                <w:sz w:val="24"/>
                <w:szCs w:val="24"/>
              </w:rPr>
              <w:t>5</w:t>
            </w:r>
            <w:r w:rsidR="004F66BD">
              <w:rPr>
                <w:rFonts w:ascii="Arial" w:hAnsi="Arial" w:cs="Arial"/>
                <w:sz w:val="24"/>
                <w:szCs w:val="24"/>
              </w:rPr>
              <w:t>K</w:t>
            </w:r>
            <w:r w:rsidRPr="002A05AF">
              <w:rPr>
                <w:rFonts w:ascii="Arial" w:hAnsi="Arial" w:cs="Arial"/>
                <w:sz w:val="24"/>
                <w:szCs w:val="24"/>
              </w:rPr>
              <w:t xml:space="preserve">, with a commentary on the major variances (over £5K) provided in </w:t>
            </w:r>
            <w:r w:rsidRPr="002A05AF">
              <w:rPr>
                <w:rFonts w:ascii="Arial" w:hAnsi="Arial" w:cs="Arial"/>
                <w:b/>
                <w:sz w:val="24"/>
                <w:szCs w:val="24"/>
              </w:rPr>
              <w:t>Appendix D</w:t>
            </w:r>
            <w:r w:rsidRPr="002A05AF">
              <w:rPr>
                <w:rFonts w:ascii="Arial" w:hAnsi="Arial" w:cs="Arial"/>
                <w:sz w:val="24"/>
                <w:szCs w:val="24"/>
              </w:rPr>
              <w:t>.  The year-end forecast is negative variance to budget of circa £</w:t>
            </w:r>
            <w:r w:rsidR="009B2D3A">
              <w:rPr>
                <w:rFonts w:ascii="Arial" w:hAnsi="Arial" w:cs="Arial"/>
                <w:sz w:val="24"/>
                <w:szCs w:val="24"/>
              </w:rPr>
              <w:t>81</w:t>
            </w:r>
            <w:r w:rsidRPr="002A05AF">
              <w:rPr>
                <w:rFonts w:ascii="Arial" w:hAnsi="Arial" w:cs="Arial"/>
                <w:sz w:val="24"/>
                <w:szCs w:val="24"/>
              </w:rPr>
              <w:t>K.</w:t>
            </w:r>
            <w:r w:rsidR="009B2D3A">
              <w:rPr>
                <w:rFonts w:ascii="Arial" w:hAnsi="Arial" w:cs="Arial"/>
                <w:sz w:val="24"/>
                <w:szCs w:val="24"/>
              </w:rPr>
              <w:t xml:space="preserve">  This is an improvement of £39K on the Q2 outturn which was previously reported at £120K. </w:t>
            </w:r>
          </w:p>
          <w:p w:rsidR="00750807" w:rsidRPr="002A05AF" w:rsidRDefault="000F0C7F" w:rsidP="002A05A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A05AF"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</w:p>
        </w:tc>
      </w:tr>
      <w:tr w:rsidR="00E01B88" w:rsidRPr="00266AC3" w:rsidTr="00615439">
        <w:trPr>
          <w:trHeight w:val="436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B88" w:rsidRPr="003C5A19" w:rsidRDefault="00E01B88" w:rsidP="00C0561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C5A19"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Pr="003C5A1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01B88" w:rsidRPr="003C5A19" w:rsidRDefault="00E01B88" w:rsidP="00C0561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E01B88" w:rsidRPr="003C5A19" w:rsidRDefault="00E01B88" w:rsidP="00C0561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C5A19">
              <w:rPr>
                <w:rFonts w:ascii="Arial" w:hAnsi="Arial" w:cs="Arial"/>
                <w:sz w:val="24"/>
                <w:szCs w:val="24"/>
              </w:rPr>
              <w:t>4.1</w:t>
            </w:r>
          </w:p>
          <w:p w:rsidR="00E01B88" w:rsidRPr="003C5A19" w:rsidRDefault="00E01B88" w:rsidP="00C05616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01B88" w:rsidRPr="003C5A19" w:rsidRDefault="00E01B88" w:rsidP="00C0561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3C5A1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Internal Controls</w:t>
            </w:r>
          </w:p>
          <w:p w:rsidR="00E01B88" w:rsidRPr="003C5A19" w:rsidRDefault="00E01B88" w:rsidP="00C056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E01B88" w:rsidRPr="003C5A19" w:rsidRDefault="009C0C0F" w:rsidP="00D926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3C5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ha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 been no breach of internal co</w:t>
            </w:r>
            <w:r w:rsidRPr="003C5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ntrols reported in </w:t>
            </w:r>
            <w:r w:rsidR="004F66B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the last </w:t>
            </w:r>
            <w:r w:rsidRPr="003C5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quarter.</w:t>
            </w:r>
            <w:r w:rsidR="00E01B88" w:rsidRPr="003C5A19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E01B88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B88" w:rsidRPr="00542F39" w:rsidRDefault="00E01B88" w:rsidP="00C05616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  <w:p w:rsidR="00E01B88" w:rsidRPr="00274F98" w:rsidRDefault="00E01B88" w:rsidP="00C05616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E01B88" w:rsidRDefault="007D201A" w:rsidP="00C05616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D</w:t>
            </w:r>
            <w:r w:rsidR="009C0C0F" w:rsidRPr="009C0C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ata Breaches </w:t>
            </w:r>
          </w:p>
        </w:tc>
      </w:tr>
      <w:tr w:rsidR="00E01B88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B88" w:rsidRDefault="00E01B88" w:rsidP="00C056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  <w:p w:rsidR="00CC5A8A" w:rsidRDefault="00CC5A8A" w:rsidP="00C05616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05475" w:rsidRPr="00597575" w:rsidRDefault="00005475" w:rsidP="00005475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9C0C0F" w:rsidRDefault="007D201A" w:rsidP="009C0C0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7D201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There have been no data breaches reported in the last quarter.  One potential breach was checked with the Data Protection Officer who confirmed it was not reportable.</w:t>
            </w:r>
          </w:p>
          <w:p w:rsidR="004E4258" w:rsidRPr="005C4C5E" w:rsidRDefault="004E4258" w:rsidP="00005475">
            <w:pPr>
              <w:tabs>
                <w:tab w:val="left" w:pos="204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D9260F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6.</w:t>
            </w:r>
          </w:p>
          <w:p w:rsidR="00D9260F" w:rsidRDefault="00D9260F" w:rsidP="009134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9260F" w:rsidRPr="00E8058C" w:rsidRDefault="00D9260F" w:rsidP="00D9260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E8058C">
              <w:rPr>
                <w:rFonts w:ascii="Arial" w:hAnsi="Arial" w:cs="Arial"/>
                <w:b/>
                <w:sz w:val="24"/>
                <w:szCs w:val="24"/>
              </w:rPr>
              <w:t>Financial Audit Recommendations 2018/19</w:t>
            </w:r>
          </w:p>
          <w:p w:rsidR="00D9260F" w:rsidRPr="00266AC3" w:rsidRDefault="00D9260F" w:rsidP="00C94F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9260F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6.1</w:t>
            </w:r>
          </w:p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6.2</w:t>
            </w:r>
          </w:p>
          <w:p w:rsid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7.</w:t>
            </w:r>
          </w:p>
          <w:p w:rsid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44E" w:rsidRP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144E">
              <w:rPr>
                <w:rFonts w:ascii="Arial" w:hAnsi="Arial" w:cs="Arial"/>
                <w:sz w:val="24"/>
                <w:szCs w:val="24"/>
              </w:rPr>
              <w:t>7.1</w:t>
            </w:r>
          </w:p>
          <w:p w:rsid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44E" w:rsidRDefault="0014144E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D9260F" w:rsidRDefault="00D9260F" w:rsidP="0014144E">
            <w:pPr>
              <w:tabs>
                <w:tab w:val="left" w:pos="2047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4E4258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final outstanding audit recommendation from 2018/19 was for a formal agreement to be put in place documenting the trading company’s use of fixed assets belonging to the charity.</w:t>
            </w:r>
          </w:p>
          <w:p w:rsidR="00D9260F" w:rsidRDefault="00D9260F" w:rsidP="0014144E">
            <w:pPr>
              <w:tabs>
                <w:tab w:val="left" w:pos="2047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:rsidR="00D9260F" w:rsidRDefault="00D9260F" w:rsidP="0014144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Directors are asked to approve the agreement between the charity and the trading company attached in </w:t>
            </w:r>
            <w:r w:rsidRPr="00D9260F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Appendix 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</w:t>
            </w:r>
          </w:p>
          <w:p w:rsidR="00D9260F" w:rsidRDefault="00D9260F" w:rsidP="0014144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4144E" w:rsidRDefault="0014144E" w:rsidP="0014144E">
            <w:pPr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Tenders Approved/Contracts Awarded</w:t>
            </w:r>
          </w:p>
          <w:p w:rsidR="0014144E" w:rsidRDefault="0014144E" w:rsidP="0014144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  <w:tbl>
            <w:tblPr>
              <w:tblStyle w:val="TableGrid1"/>
              <w:tblW w:w="8365" w:type="dxa"/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3719"/>
              <w:gridCol w:w="2241"/>
            </w:tblGrid>
            <w:tr w:rsidR="0014144E" w:rsidRPr="00CC6C24" w:rsidTr="0081513F">
              <w:trPr>
                <w:trHeight w:val="594"/>
              </w:trPr>
              <w:tc>
                <w:tcPr>
                  <w:tcW w:w="2405" w:type="dxa"/>
                </w:tcPr>
                <w:p w:rsidR="0014144E" w:rsidRPr="00CC6C24" w:rsidRDefault="0014144E" w:rsidP="0014144E">
                  <w:pP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Joint award</w:t>
                  </w:r>
                </w:p>
                <w:p w:rsidR="0014144E" w:rsidRPr="00CC6C24" w:rsidRDefault="0014144E" w:rsidP="0014144E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Sally Purdy</w:t>
                  </w:r>
                  <w:r w:rsidRPr="00CC6C2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br/>
                    <w:t>Creativity in Care</w:t>
                  </w:r>
                </w:p>
              </w:tc>
              <w:tc>
                <w:tcPr>
                  <w:tcW w:w="3719" w:type="dxa"/>
                </w:tcPr>
                <w:p w:rsidR="0014144E" w:rsidRPr="00CC6C24" w:rsidRDefault="0014144E" w:rsidP="0014144E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Adult Learning Activities</w:t>
                  </w:r>
                </w:p>
              </w:tc>
              <w:tc>
                <w:tcPr>
                  <w:tcW w:w="2241" w:type="dxa"/>
                </w:tcPr>
                <w:p w:rsidR="0014144E" w:rsidRPr="00CC6C24" w:rsidRDefault="0014144E" w:rsidP="0014144E">
                  <w:pPr>
                    <w:jc w:val="lef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sz w:val="24"/>
                      <w:szCs w:val="24"/>
                    </w:rPr>
                    <w:t>Jan 20-Jan 24</w:t>
                  </w:r>
                </w:p>
              </w:tc>
            </w:tr>
            <w:tr w:rsidR="0014144E" w:rsidRPr="00CC6C24" w:rsidTr="00674946">
              <w:trPr>
                <w:trHeight w:val="908"/>
              </w:trPr>
              <w:tc>
                <w:tcPr>
                  <w:tcW w:w="2405" w:type="dxa"/>
                </w:tcPr>
                <w:p w:rsidR="0014144E" w:rsidRPr="00CC6C24" w:rsidRDefault="0014144E" w:rsidP="0014144E">
                  <w:pPr>
                    <w:jc w:val="left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Fitness Training Scotland</w:t>
                  </w:r>
                </w:p>
              </w:tc>
              <w:tc>
                <w:tcPr>
                  <w:tcW w:w="3719" w:type="dxa"/>
                </w:tcPr>
                <w:p w:rsidR="0014144E" w:rsidRPr="00CC6C24" w:rsidRDefault="0014144E" w:rsidP="00674946">
                  <w:pPr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Exercise Referral Instructor Training</w:t>
                  </w:r>
                </w:p>
              </w:tc>
              <w:tc>
                <w:tcPr>
                  <w:tcW w:w="2241" w:type="dxa"/>
                </w:tcPr>
                <w:p w:rsidR="0014144E" w:rsidRPr="00CC6C24" w:rsidRDefault="0014144E" w:rsidP="001414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C6C24">
                    <w:rPr>
                      <w:rFonts w:ascii="Arial" w:hAnsi="Arial" w:cs="Arial"/>
                      <w:sz w:val="24"/>
                      <w:szCs w:val="24"/>
                    </w:rPr>
                    <w:t>Feb 20-Feb 23</w:t>
                  </w:r>
                </w:p>
              </w:tc>
            </w:tr>
          </w:tbl>
          <w:p w:rsidR="0014144E" w:rsidRPr="00E8058C" w:rsidRDefault="0014144E" w:rsidP="0014144E">
            <w:pPr>
              <w:spacing w:after="0"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52DF4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4144E" w:rsidRDefault="0014144E" w:rsidP="009134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2DF4" w:rsidRPr="00266AC3" w:rsidRDefault="0014144E" w:rsidP="009134C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752DF4" w:rsidRPr="00266AC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752DF4" w:rsidRDefault="00752DF4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4144E" w:rsidRDefault="0014144E" w:rsidP="00C94F6B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52DF4" w:rsidRPr="00266AC3" w:rsidRDefault="00752DF4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</w:p>
        </w:tc>
      </w:tr>
      <w:tr w:rsidR="00752DF4" w:rsidRPr="00266AC3" w:rsidTr="00BD0BD8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2DF4" w:rsidRPr="00266AC3" w:rsidRDefault="0014144E" w:rsidP="00922169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752DF4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752DF4" w:rsidRPr="0041318E" w:rsidRDefault="00752DF4" w:rsidP="00CB5CE4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52DF4" w:rsidRDefault="00752DF4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>Resource Implications – there are no</w:t>
            </w:r>
            <w:r>
              <w:rPr>
                <w:rFonts w:ascii="Arial" w:hAnsi="Arial" w:cs="Arial"/>
                <w:sz w:val="24"/>
                <w:szCs w:val="24"/>
              </w:rPr>
              <w:t xml:space="preserve"> new</w:t>
            </w:r>
            <w:r w:rsidRPr="00266AC3">
              <w:rPr>
                <w:rFonts w:ascii="Arial" w:hAnsi="Arial" w:cs="Arial"/>
                <w:sz w:val="24"/>
                <w:szCs w:val="24"/>
              </w:rPr>
              <w:t xml:space="preserve"> resource implications associated with the </w:t>
            </w:r>
            <w:r>
              <w:rPr>
                <w:rFonts w:ascii="Arial" w:hAnsi="Arial" w:cs="Arial"/>
                <w:sz w:val="24"/>
                <w:szCs w:val="24"/>
              </w:rPr>
              <w:t xml:space="preserve">recommendations of this report.  </w:t>
            </w:r>
          </w:p>
          <w:p w:rsidR="00752DF4" w:rsidRPr="0041318E" w:rsidRDefault="00752DF4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2DF4" w:rsidRPr="00266AC3" w:rsidTr="00B80B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52DF4" w:rsidRPr="00266AC3" w:rsidRDefault="0014144E" w:rsidP="009237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92376B">
              <w:rPr>
                <w:rFonts w:ascii="Arial" w:hAnsi="Arial" w:cs="Arial"/>
                <w:sz w:val="24"/>
                <w:szCs w:val="24"/>
              </w:rPr>
              <w:t>.</w:t>
            </w:r>
            <w:r w:rsidR="00752DF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752DF4" w:rsidRPr="00266AC3" w:rsidRDefault="00752DF4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 xml:space="preserve">Legal Implications – there are no </w:t>
            </w:r>
            <w:r>
              <w:rPr>
                <w:rFonts w:ascii="Arial" w:hAnsi="Arial" w:cs="Arial"/>
                <w:sz w:val="24"/>
                <w:szCs w:val="24"/>
              </w:rPr>
              <w:t xml:space="preserve">new </w:t>
            </w:r>
            <w:r w:rsidRPr="00266AC3">
              <w:rPr>
                <w:rFonts w:ascii="Arial" w:hAnsi="Arial" w:cs="Arial"/>
                <w:sz w:val="24"/>
                <w:szCs w:val="24"/>
              </w:rPr>
              <w:t>legal implications associated with the recommendations of this report.</w:t>
            </w:r>
          </w:p>
          <w:p w:rsidR="00752DF4" w:rsidRPr="00266AC3" w:rsidRDefault="00752DF4" w:rsidP="00C94F6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0B99" w:rsidRPr="00266AC3" w:rsidTr="00B80B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B80B99" w:rsidRDefault="0014144E" w:rsidP="009237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B80B99">
              <w:rPr>
                <w:rFonts w:ascii="Arial" w:hAnsi="Arial" w:cs="Arial"/>
                <w:sz w:val="24"/>
                <w:szCs w:val="24"/>
              </w:rPr>
              <w:t>.3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B80B99" w:rsidRDefault="00B80B99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Equality Implications – there are no new equality implications associated with the recommendations of this report.</w:t>
            </w:r>
          </w:p>
          <w:p w:rsidR="00AF52F7" w:rsidRPr="00266AC3" w:rsidRDefault="00AF52F7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5050" w:rsidRPr="00266AC3" w:rsidTr="00B80B99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F5050" w:rsidRDefault="001F5050" w:rsidP="009237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8.4</w:t>
            </w:r>
          </w:p>
        </w:tc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F5050" w:rsidRDefault="001F5050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Risk Implications – there are no new risk implications associated with the recommendations of this report.</w:t>
            </w:r>
          </w:p>
          <w:p w:rsidR="001F5050" w:rsidRDefault="001F5050" w:rsidP="00C94F6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2" w:name="_GoBack"/>
            <w:bookmarkEnd w:id="2"/>
          </w:p>
        </w:tc>
      </w:tr>
      <w:tr w:rsidR="00752DF4" w:rsidRPr="00266AC3" w:rsidTr="003561F9">
        <w:trPr>
          <w:cantSplit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F4" w:rsidRPr="00F63F4B" w:rsidRDefault="00752DF4" w:rsidP="00C67F56">
            <w:pPr>
              <w:shd w:val="clear" w:color="auto" w:fill="FFFFFF"/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F63F4B">
              <w:rPr>
                <w:rFonts w:ascii="Arial" w:hAnsi="Arial" w:cs="Arial"/>
                <w:b/>
                <w:sz w:val="24"/>
                <w:szCs w:val="24"/>
              </w:rPr>
              <w:t>Recommendation</w:t>
            </w:r>
          </w:p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66AC3">
              <w:rPr>
                <w:rFonts w:ascii="Arial" w:hAnsi="Arial" w:cs="Arial"/>
                <w:sz w:val="24"/>
                <w:szCs w:val="24"/>
              </w:rPr>
              <w:t xml:space="preserve">It is recommended that </w:t>
            </w:r>
            <w:r>
              <w:rPr>
                <w:rFonts w:ascii="Arial" w:hAnsi="Arial" w:cs="Arial"/>
                <w:sz w:val="24"/>
                <w:szCs w:val="24"/>
              </w:rPr>
              <w:t>Directors note:</w:t>
            </w:r>
          </w:p>
          <w:p w:rsidR="00D9260F" w:rsidRDefault="00D9260F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260F" w:rsidRPr="00347D82" w:rsidRDefault="00D9260F" w:rsidP="00D9260F">
            <w:pPr>
              <w:numPr>
                <w:ilvl w:val="0"/>
                <w:numId w:val="39"/>
              </w:numPr>
              <w:spacing w:after="0" w:line="240" w:lineRule="auto"/>
              <w:ind w:left="776" w:hanging="42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D82">
              <w:rPr>
                <w:rFonts w:ascii="Arial" w:hAnsi="Arial" w:cs="Arial"/>
                <w:sz w:val="24"/>
                <w:szCs w:val="24"/>
              </w:rPr>
              <w:t xml:space="preserve">the results for the period April </w:t>
            </w:r>
            <w:r w:rsidR="00A667A6">
              <w:rPr>
                <w:rFonts w:ascii="Arial" w:hAnsi="Arial" w:cs="Arial"/>
                <w:sz w:val="24"/>
                <w:szCs w:val="24"/>
              </w:rPr>
              <w:t xml:space="preserve">2019 </w:t>
            </w:r>
            <w:r w:rsidRPr="00347D82">
              <w:rPr>
                <w:rFonts w:ascii="Arial" w:hAnsi="Arial" w:cs="Arial"/>
                <w:sz w:val="24"/>
                <w:szCs w:val="24"/>
              </w:rPr>
              <w:t xml:space="preserve">to January 2020 detailed in </w:t>
            </w:r>
            <w:r w:rsidRPr="00A667A6">
              <w:rPr>
                <w:rFonts w:ascii="Arial" w:hAnsi="Arial" w:cs="Arial"/>
                <w:b/>
                <w:sz w:val="24"/>
                <w:szCs w:val="24"/>
              </w:rPr>
              <w:t>Appendix A</w:t>
            </w:r>
            <w:r w:rsidRPr="00347D82">
              <w:rPr>
                <w:rFonts w:ascii="Arial" w:hAnsi="Arial" w:cs="Arial"/>
                <w:sz w:val="24"/>
                <w:szCs w:val="24"/>
              </w:rPr>
              <w:t xml:space="preserve"> reports a negative variance to budget of £65K with the HLH year-end outturn forecast to be a negative variance to budget of circa £81K; </w:t>
            </w:r>
          </w:p>
          <w:p w:rsidR="00D9260F" w:rsidRPr="00347D82" w:rsidRDefault="00D9260F" w:rsidP="00D9260F">
            <w:pPr>
              <w:numPr>
                <w:ilvl w:val="0"/>
                <w:numId w:val="39"/>
              </w:numPr>
              <w:spacing w:after="0" w:line="240" w:lineRule="auto"/>
              <w:ind w:left="776" w:hanging="42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</w:t>
            </w:r>
            <w:r w:rsidRPr="00347D82">
              <w:rPr>
                <w:rFonts w:ascii="Arial" w:hAnsi="Arial" w:cs="Arial"/>
                <w:sz w:val="24"/>
                <w:szCs w:val="24"/>
              </w:rPr>
              <w:t>ere has been no breach of internal controls reported in the past quarter;</w:t>
            </w:r>
          </w:p>
          <w:p w:rsidR="00D9260F" w:rsidRPr="00347D82" w:rsidRDefault="00D9260F" w:rsidP="00D9260F">
            <w:pPr>
              <w:numPr>
                <w:ilvl w:val="0"/>
                <w:numId w:val="39"/>
              </w:numPr>
              <w:spacing w:after="0" w:line="240" w:lineRule="auto"/>
              <w:ind w:left="776" w:hanging="425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47D82">
              <w:rPr>
                <w:rFonts w:ascii="Arial" w:hAnsi="Arial" w:cs="Arial"/>
                <w:sz w:val="24"/>
                <w:szCs w:val="24"/>
              </w:rPr>
              <w:t>there ha</w:t>
            </w:r>
            <w:r w:rsidR="0014144E">
              <w:rPr>
                <w:rFonts w:ascii="Arial" w:hAnsi="Arial" w:cs="Arial"/>
                <w:sz w:val="24"/>
                <w:szCs w:val="24"/>
              </w:rPr>
              <w:t>ve</w:t>
            </w:r>
            <w:r w:rsidRPr="00347D82">
              <w:rPr>
                <w:rFonts w:ascii="Arial" w:hAnsi="Arial" w:cs="Arial"/>
                <w:sz w:val="24"/>
                <w:szCs w:val="24"/>
              </w:rPr>
              <w:t xml:space="preserve"> been no data breaches reported in the last quarter; </w:t>
            </w:r>
          </w:p>
          <w:p w:rsidR="00674946" w:rsidRDefault="00D9260F" w:rsidP="00D926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76" w:hanging="425"/>
              <w:rPr>
                <w:rFonts w:ascii="Arial" w:hAnsi="Arial" w:cs="Arial"/>
                <w:sz w:val="24"/>
                <w:szCs w:val="24"/>
              </w:rPr>
            </w:pPr>
            <w:r w:rsidRPr="00347D82">
              <w:rPr>
                <w:rFonts w:ascii="Arial" w:hAnsi="Arial" w:cs="Arial"/>
                <w:sz w:val="24"/>
                <w:szCs w:val="24"/>
              </w:rPr>
              <w:t xml:space="preserve">approve the fixed asset agreement between the charity and the trading company attached in </w:t>
            </w:r>
            <w:r w:rsidRPr="00D9260F">
              <w:rPr>
                <w:rFonts w:ascii="Arial" w:hAnsi="Arial" w:cs="Arial"/>
                <w:b/>
                <w:sz w:val="24"/>
                <w:szCs w:val="24"/>
              </w:rPr>
              <w:t>Appendix E</w:t>
            </w:r>
            <w:r w:rsidR="00674946"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D9260F" w:rsidRDefault="00674946" w:rsidP="00D9260F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776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award of contracts as detailed in </w:t>
            </w:r>
            <w:r w:rsidRPr="00674946">
              <w:rPr>
                <w:rFonts w:ascii="Arial" w:hAnsi="Arial" w:cs="Arial"/>
                <w:b/>
                <w:sz w:val="24"/>
                <w:szCs w:val="24"/>
              </w:rPr>
              <w:t>paragraph 7.1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D9260F" w:rsidRPr="00347D8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52DF4" w:rsidRPr="00F63F4B" w:rsidRDefault="00752DF4" w:rsidP="00D9260F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128" w:rsidRPr="007D5128" w:rsidRDefault="007D5128" w:rsidP="00922169">
      <w:pPr>
        <w:spacing w:after="0"/>
        <w:rPr>
          <w:rFonts w:ascii="Arial" w:hAnsi="Arial" w:cs="Arial"/>
          <w:sz w:val="24"/>
          <w:szCs w:val="24"/>
        </w:rPr>
      </w:pPr>
      <w:r w:rsidRPr="007D5128">
        <w:rPr>
          <w:rFonts w:ascii="Arial" w:hAnsi="Arial" w:cs="Arial"/>
          <w:sz w:val="24"/>
          <w:szCs w:val="24"/>
        </w:rPr>
        <w:t xml:space="preserve">    </w:t>
      </w:r>
      <w:r w:rsidRPr="007D5128">
        <w:rPr>
          <w:rFonts w:ascii="Arial" w:hAnsi="Arial" w:cs="Arial"/>
          <w:sz w:val="24"/>
          <w:szCs w:val="24"/>
        </w:rPr>
        <w:tab/>
      </w:r>
    </w:p>
    <w:p w:rsidR="007D5128" w:rsidRDefault="007D5128" w:rsidP="00922169">
      <w:pPr>
        <w:spacing w:after="0"/>
        <w:rPr>
          <w:rFonts w:ascii="Arial" w:hAnsi="Arial" w:cs="Arial"/>
          <w:sz w:val="24"/>
          <w:szCs w:val="24"/>
        </w:rPr>
      </w:pPr>
      <w:r w:rsidRPr="007D5128">
        <w:rPr>
          <w:rFonts w:ascii="Arial" w:hAnsi="Arial" w:cs="Arial"/>
          <w:sz w:val="24"/>
          <w:szCs w:val="24"/>
        </w:rPr>
        <w:t>Designation:</w:t>
      </w:r>
      <w:r w:rsidRPr="007D5128">
        <w:rPr>
          <w:rFonts w:ascii="Arial" w:hAnsi="Arial" w:cs="Arial"/>
          <w:sz w:val="24"/>
          <w:szCs w:val="24"/>
        </w:rPr>
        <w:tab/>
      </w:r>
      <w:r w:rsidRPr="007D5128">
        <w:rPr>
          <w:rFonts w:ascii="Arial" w:hAnsi="Arial" w:cs="Arial"/>
          <w:sz w:val="24"/>
          <w:szCs w:val="24"/>
        </w:rPr>
        <w:tab/>
        <w:t>Chief Executive</w:t>
      </w:r>
    </w:p>
    <w:p w:rsidR="00922169" w:rsidRPr="007D5128" w:rsidRDefault="00922169" w:rsidP="00922169">
      <w:pPr>
        <w:spacing w:after="0"/>
        <w:rPr>
          <w:rFonts w:ascii="Arial" w:hAnsi="Arial" w:cs="Arial"/>
          <w:sz w:val="24"/>
          <w:szCs w:val="24"/>
        </w:rPr>
      </w:pPr>
    </w:p>
    <w:p w:rsidR="00207799" w:rsidRDefault="00872A12" w:rsidP="0092216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1709E">
        <w:rPr>
          <w:rFonts w:ascii="Arial" w:hAnsi="Arial" w:cs="Arial"/>
          <w:sz w:val="24"/>
          <w:szCs w:val="24"/>
        </w:rPr>
        <w:t xml:space="preserve">           </w:t>
      </w:r>
      <w:r w:rsidR="0071540D">
        <w:rPr>
          <w:rFonts w:ascii="Arial" w:hAnsi="Arial" w:cs="Arial"/>
          <w:sz w:val="24"/>
          <w:szCs w:val="24"/>
        </w:rPr>
        <w:t>7</w:t>
      </w:r>
      <w:r w:rsidR="007D0200">
        <w:rPr>
          <w:rFonts w:ascii="Arial" w:hAnsi="Arial" w:cs="Arial"/>
          <w:sz w:val="24"/>
          <w:szCs w:val="24"/>
        </w:rPr>
        <w:t xml:space="preserve"> </w:t>
      </w:r>
      <w:r w:rsidR="00F87948">
        <w:rPr>
          <w:rFonts w:ascii="Arial" w:hAnsi="Arial" w:cs="Arial"/>
          <w:sz w:val="24"/>
          <w:szCs w:val="24"/>
        </w:rPr>
        <w:t xml:space="preserve">March </w:t>
      </w:r>
      <w:r w:rsidR="00F26DDC">
        <w:rPr>
          <w:rFonts w:ascii="Arial" w:hAnsi="Arial" w:cs="Arial"/>
          <w:sz w:val="24"/>
          <w:szCs w:val="24"/>
        </w:rPr>
        <w:t>2</w:t>
      </w:r>
      <w:r w:rsidR="007D0200">
        <w:rPr>
          <w:rFonts w:ascii="Arial" w:hAnsi="Arial" w:cs="Arial"/>
          <w:sz w:val="24"/>
          <w:szCs w:val="24"/>
        </w:rPr>
        <w:t>0</w:t>
      </w:r>
      <w:r w:rsidR="00F87948">
        <w:rPr>
          <w:rFonts w:ascii="Arial" w:hAnsi="Arial" w:cs="Arial"/>
          <w:sz w:val="24"/>
          <w:szCs w:val="24"/>
        </w:rPr>
        <w:t>20</w:t>
      </w:r>
    </w:p>
    <w:p w:rsidR="00AF4C0F" w:rsidRPr="007D5128" w:rsidRDefault="00AF4C0F" w:rsidP="00922169">
      <w:pPr>
        <w:spacing w:after="0"/>
        <w:sectPr w:rsidR="00AF4C0F" w:rsidRPr="007D5128" w:rsidSect="002B6B09">
          <w:pgSz w:w="11906" w:h="16838" w:code="9"/>
          <w:pgMar w:top="1418" w:right="1440" w:bottom="1418" w:left="1440" w:header="720" w:footer="720" w:gutter="0"/>
          <w:cols w:space="720"/>
        </w:sectPr>
      </w:pPr>
    </w:p>
    <w:p w:rsidR="00E20FC5" w:rsidRPr="00CB53CC" w:rsidRDefault="006B5D13" w:rsidP="00D9260F">
      <w:pPr>
        <w:ind w:left="1440" w:hanging="1298"/>
        <w:jc w:val="right"/>
        <w:rPr>
          <w:rFonts w:ascii="Arial" w:eastAsia="Times New Roman" w:hAnsi="Arial" w:cs="Arial"/>
          <w:b/>
          <w:bCs/>
          <w:color w:val="FFFFCC"/>
          <w:sz w:val="24"/>
          <w:szCs w:val="24"/>
          <w:lang w:eastAsia="en-GB"/>
        </w:rPr>
      </w:pPr>
      <w:r w:rsidRPr="006B5D13">
        <w:rPr>
          <w:rFonts w:ascii="Arial" w:hAnsi="Arial" w:cs="Arial"/>
          <w:b/>
          <w:sz w:val="24"/>
          <w:szCs w:val="24"/>
        </w:rPr>
        <w:lastRenderedPageBreak/>
        <w:t xml:space="preserve">Consolidated 2019/20: April </w:t>
      </w:r>
      <w:r w:rsidR="00D9260F">
        <w:rPr>
          <w:rFonts w:ascii="Arial" w:hAnsi="Arial" w:cs="Arial"/>
          <w:b/>
          <w:sz w:val="24"/>
          <w:szCs w:val="24"/>
        </w:rPr>
        <w:t xml:space="preserve">2019 </w:t>
      </w:r>
      <w:r w:rsidRPr="006B5D13">
        <w:rPr>
          <w:rFonts w:ascii="Arial" w:hAnsi="Arial" w:cs="Arial"/>
          <w:b/>
          <w:sz w:val="24"/>
          <w:szCs w:val="24"/>
        </w:rPr>
        <w:t xml:space="preserve">to </w:t>
      </w:r>
      <w:r w:rsidR="00D9008C">
        <w:rPr>
          <w:rFonts w:ascii="Arial" w:hAnsi="Arial" w:cs="Arial"/>
          <w:b/>
          <w:sz w:val="24"/>
          <w:szCs w:val="24"/>
        </w:rPr>
        <w:t>January</w:t>
      </w:r>
      <w:r w:rsidR="00D9260F">
        <w:rPr>
          <w:rFonts w:ascii="Arial" w:hAnsi="Arial" w:cs="Arial"/>
          <w:b/>
          <w:sz w:val="24"/>
          <w:szCs w:val="24"/>
        </w:rPr>
        <w:t xml:space="preserve"> 2020</w:t>
      </w:r>
      <w:r w:rsidR="00D9008C">
        <w:rPr>
          <w:rFonts w:ascii="Arial" w:hAnsi="Arial" w:cs="Arial"/>
          <w:b/>
          <w:sz w:val="24"/>
          <w:szCs w:val="24"/>
        </w:rPr>
        <w:t xml:space="preserve">      </w:t>
      </w:r>
      <w:r w:rsidRPr="006B5D13">
        <w:rPr>
          <w:rFonts w:ascii="Arial" w:hAnsi="Arial" w:cs="Arial"/>
          <w:sz w:val="24"/>
          <w:szCs w:val="24"/>
        </w:rPr>
        <w:t xml:space="preserve"> </w:t>
      </w:r>
      <w:r w:rsidRPr="006B5D13">
        <w:rPr>
          <w:rFonts w:ascii="Arial" w:hAnsi="Arial" w:cs="Arial"/>
          <w:sz w:val="24"/>
          <w:szCs w:val="24"/>
        </w:rPr>
        <w:tab/>
      </w:r>
      <w:r w:rsidR="00D9260F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Pr="006B5D13">
        <w:rPr>
          <w:rFonts w:ascii="Arial" w:hAnsi="Arial" w:cs="Arial"/>
          <w:sz w:val="24"/>
          <w:szCs w:val="24"/>
        </w:rPr>
        <w:tab/>
      </w:r>
      <w:r w:rsidRPr="006B5D13">
        <w:rPr>
          <w:rFonts w:ascii="Arial" w:hAnsi="Arial" w:cs="Arial"/>
          <w:sz w:val="24"/>
          <w:szCs w:val="24"/>
        </w:rPr>
        <w:tab/>
      </w:r>
      <w:r w:rsidR="00D9260F" w:rsidRPr="006B5D13">
        <w:rPr>
          <w:rFonts w:ascii="Arial" w:hAnsi="Arial" w:cs="Arial"/>
          <w:b/>
          <w:sz w:val="24"/>
          <w:szCs w:val="24"/>
        </w:rPr>
        <w:t>APPENDIX A</w:t>
      </w:r>
      <w:r w:rsidRPr="006B5D13">
        <w:rPr>
          <w:rFonts w:ascii="Arial" w:hAnsi="Arial" w:cs="Arial"/>
          <w:sz w:val="24"/>
          <w:szCs w:val="24"/>
        </w:rPr>
        <w:tab/>
        <w:t xml:space="preserve">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6B5D13">
        <w:rPr>
          <w:rFonts w:ascii="Arial" w:hAnsi="Arial" w:cs="Arial"/>
          <w:sz w:val="24"/>
          <w:szCs w:val="24"/>
        </w:rPr>
        <w:tab/>
      </w:r>
      <w:r w:rsidRPr="006B5D13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1751" w:type="dxa"/>
        <w:tblLook w:val="04A0" w:firstRow="1" w:lastRow="0" w:firstColumn="1" w:lastColumn="0" w:noHBand="0" w:noVBand="1"/>
      </w:tblPr>
      <w:tblGrid>
        <w:gridCol w:w="2029"/>
        <w:gridCol w:w="2582"/>
        <w:gridCol w:w="2356"/>
        <w:gridCol w:w="2202"/>
        <w:gridCol w:w="2582"/>
      </w:tblGrid>
      <w:tr w:rsidR="00B8718A" w:rsidRPr="00B8718A" w:rsidTr="00D9260F">
        <w:trPr>
          <w:trHeight w:val="466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Annual Budget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Budget (YTD)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Actuals YTD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Variance (YTD)</w:t>
            </w:r>
          </w:p>
        </w:tc>
      </w:tr>
      <w:tr w:rsidR="00B8718A" w:rsidRPr="00B8718A" w:rsidTr="00D9260F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31,692,491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22,957,547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22,850,893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(106,654)</w:t>
            </w:r>
          </w:p>
        </w:tc>
      </w:tr>
      <w:tr w:rsidR="00B8718A" w:rsidRPr="00B8718A" w:rsidTr="00D9260F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Other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(7,780,843)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(4,422,556)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(4,431,283)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(8,727)</w:t>
            </w:r>
          </w:p>
        </w:tc>
      </w:tr>
      <w:tr w:rsidR="00B8718A" w:rsidRPr="00B8718A" w:rsidTr="00D9260F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Staff Costs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(23,911,648)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(20,135,573)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(20,085,294)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50,279 </w:t>
            </w:r>
          </w:p>
        </w:tc>
      </w:tr>
      <w:tr w:rsidR="00B8718A" w:rsidRPr="00B8718A" w:rsidTr="00D9260F">
        <w:trPr>
          <w:trHeight w:val="46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(1,600,582)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(1,665,684)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8718A" w:rsidRPr="00B8718A" w:rsidRDefault="00B8718A" w:rsidP="00B871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8718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(65,102)</w:t>
            </w:r>
          </w:p>
        </w:tc>
      </w:tr>
    </w:tbl>
    <w:p w:rsidR="006B5D13" w:rsidRPr="006B5D13" w:rsidRDefault="006B5D13" w:rsidP="006B5D13">
      <w:pPr>
        <w:rPr>
          <w:rFonts w:ascii="Arial" w:hAnsi="Arial" w:cs="Arial"/>
          <w:b/>
          <w:sz w:val="24"/>
          <w:szCs w:val="24"/>
        </w:rPr>
      </w:pPr>
    </w:p>
    <w:p w:rsidR="006B5D13" w:rsidRPr="006B5D13" w:rsidRDefault="006B5D13" w:rsidP="006B5D13">
      <w:pPr>
        <w:rPr>
          <w:rFonts w:ascii="Arial" w:hAnsi="Arial" w:cs="Arial"/>
          <w:b/>
          <w:sz w:val="24"/>
          <w:szCs w:val="24"/>
        </w:rPr>
      </w:pPr>
    </w:p>
    <w:p w:rsidR="005F535B" w:rsidRPr="007D5128" w:rsidRDefault="005F535B" w:rsidP="007D5128">
      <w:pPr>
        <w:rPr>
          <w:rFonts w:ascii="Arial" w:hAnsi="Arial" w:cs="Arial"/>
          <w:b/>
          <w:sz w:val="24"/>
          <w:szCs w:val="24"/>
        </w:rPr>
      </w:pPr>
    </w:p>
    <w:p w:rsidR="007D5128" w:rsidRPr="007D5128" w:rsidRDefault="007D5128" w:rsidP="007D5128">
      <w:pPr>
        <w:rPr>
          <w:rFonts w:ascii="Arial" w:hAnsi="Arial" w:cs="Arial"/>
          <w:b/>
          <w:sz w:val="24"/>
          <w:szCs w:val="24"/>
        </w:rPr>
      </w:pPr>
    </w:p>
    <w:p w:rsidR="007D5128" w:rsidRPr="007D5128" w:rsidRDefault="007D5128" w:rsidP="007D5128">
      <w:pPr>
        <w:rPr>
          <w:b/>
        </w:rPr>
      </w:pPr>
    </w:p>
    <w:p w:rsidR="007D5128" w:rsidRPr="007D5128" w:rsidRDefault="007D5128" w:rsidP="007D5128">
      <w:pPr>
        <w:rPr>
          <w:b/>
        </w:rPr>
      </w:pPr>
    </w:p>
    <w:p w:rsidR="006B5D13" w:rsidRDefault="007D5128" w:rsidP="006B5D13">
      <w:pPr>
        <w:rPr>
          <w:b/>
        </w:rPr>
      </w:pPr>
      <w:r>
        <w:rPr>
          <w:b/>
        </w:rPr>
        <w:br w:type="page"/>
      </w:r>
    </w:p>
    <w:p w:rsidR="006B5D13" w:rsidRPr="006B5D13" w:rsidRDefault="006B5D13" w:rsidP="006B5D13">
      <w:pPr>
        <w:rPr>
          <w:rFonts w:ascii="Arial" w:hAnsi="Arial" w:cs="Arial"/>
          <w:b/>
          <w:sz w:val="24"/>
          <w:szCs w:val="24"/>
        </w:rPr>
      </w:pPr>
      <w:r w:rsidRPr="006B5D13">
        <w:rPr>
          <w:rFonts w:ascii="Arial" w:hAnsi="Arial" w:cs="Arial"/>
          <w:b/>
          <w:sz w:val="24"/>
          <w:szCs w:val="24"/>
        </w:rPr>
        <w:lastRenderedPageBreak/>
        <w:t xml:space="preserve">Variance by Sector 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6B5D13">
        <w:rPr>
          <w:rFonts w:ascii="Arial" w:hAnsi="Arial" w:cs="Arial"/>
          <w:b/>
          <w:sz w:val="24"/>
          <w:szCs w:val="24"/>
        </w:rPr>
        <w:t xml:space="preserve">   APPENDIX B</w:t>
      </w:r>
    </w:p>
    <w:p w:rsidR="00E20FC5" w:rsidRDefault="00E20FC5" w:rsidP="006B5D13">
      <w:pPr>
        <w:rPr>
          <w:rFonts w:ascii="Arial" w:hAnsi="Arial" w:cs="Arial"/>
          <w:b/>
        </w:rPr>
      </w:pPr>
    </w:p>
    <w:tbl>
      <w:tblPr>
        <w:tblW w:w="11328" w:type="dxa"/>
        <w:tblLook w:val="04A0" w:firstRow="1" w:lastRow="0" w:firstColumn="1" w:lastColumn="0" w:noHBand="0" w:noVBand="1"/>
      </w:tblPr>
      <w:tblGrid>
        <w:gridCol w:w="2024"/>
        <w:gridCol w:w="2471"/>
        <w:gridCol w:w="2255"/>
        <w:gridCol w:w="2107"/>
        <w:gridCol w:w="2471"/>
      </w:tblGrid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Annual Budget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Budget (YTD)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Actuals YTD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Variance (YTD)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(655,339)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(517,248)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(488,335)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28,913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Archives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(592,837)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(501,532)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(502,259)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(727)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(289,762)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(243,286)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(253,202)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(9,916)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Facilities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(1,625,560)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(1,824,662)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(2,004,136)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(179,474)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Libraries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(3,508,236)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(2,870,125)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(2,806,298)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63,827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(2,756,334)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(2,201,591)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(2,197,724)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3,867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Museums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(629,150)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(493,968)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(473,627)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20,341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 Tuition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(1,361,930)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(1,253,700)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(1,255,095)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(1,395)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Outdoor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(532,234)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(408,006)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(396,065)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11,941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14,046,813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10,329,175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10,329,175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(555,169)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(328,030)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(315,988)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12,042 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Youthwork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(1,540,262)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(1,287,609)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(1,302,130)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(14,521)</w:t>
            </w:r>
          </w:p>
        </w:tc>
      </w:tr>
      <w:tr w:rsidR="00BE520F" w:rsidRPr="00BE520F" w:rsidTr="00D9260F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(1,600,582)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(1,665,684)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E520F" w:rsidRPr="00BE520F" w:rsidRDefault="00BE520F" w:rsidP="00BE520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(65,102)</w:t>
            </w:r>
          </w:p>
        </w:tc>
      </w:tr>
    </w:tbl>
    <w:p w:rsidR="00BE520F" w:rsidRDefault="00BE520F" w:rsidP="006B5D13">
      <w:pPr>
        <w:rPr>
          <w:rFonts w:ascii="Arial" w:hAnsi="Arial" w:cs="Arial"/>
          <w:b/>
        </w:rPr>
      </w:pPr>
    </w:p>
    <w:p w:rsidR="00E20FC5" w:rsidRPr="00CB53CC" w:rsidRDefault="00E20FC5" w:rsidP="00E20FC5">
      <w:pPr>
        <w:spacing w:after="0" w:line="240" w:lineRule="auto"/>
        <w:rPr>
          <w:rFonts w:ascii="Arial" w:eastAsia="Times New Roman" w:hAnsi="Arial" w:cs="Arial"/>
          <w:b/>
          <w:bCs/>
          <w:color w:val="FFFFCC"/>
          <w:sz w:val="24"/>
          <w:szCs w:val="24"/>
          <w:lang w:eastAsia="en-GB"/>
        </w:rPr>
      </w:pPr>
    </w:p>
    <w:p w:rsidR="00E20FC5" w:rsidRDefault="00E20FC5" w:rsidP="00E20FC5">
      <w:pPr>
        <w:spacing w:after="0" w:line="240" w:lineRule="auto"/>
        <w:rPr>
          <w:rFonts w:ascii="Arial" w:eastAsia="Times New Roman" w:hAnsi="Arial" w:cs="Arial"/>
          <w:b/>
          <w:bCs/>
          <w:color w:val="FFFFCC"/>
          <w:sz w:val="24"/>
          <w:szCs w:val="24"/>
          <w:lang w:eastAsia="en-GB"/>
        </w:rPr>
      </w:pPr>
    </w:p>
    <w:p w:rsidR="00D456D0" w:rsidRPr="00CB53CC" w:rsidRDefault="00D456D0" w:rsidP="00E20FC5">
      <w:pPr>
        <w:spacing w:after="0" w:line="240" w:lineRule="auto"/>
        <w:rPr>
          <w:rFonts w:ascii="Arial" w:eastAsia="Times New Roman" w:hAnsi="Arial" w:cs="Arial"/>
          <w:b/>
          <w:bCs/>
          <w:color w:val="FFFFCC"/>
          <w:sz w:val="24"/>
          <w:szCs w:val="24"/>
          <w:lang w:eastAsia="en-GB"/>
        </w:rPr>
      </w:pPr>
    </w:p>
    <w:p w:rsidR="00D456D0" w:rsidRDefault="00D456D0" w:rsidP="006B5D13">
      <w:pPr>
        <w:rPr>
          <w:rFonts w:ascii="Arial" w:hAnsi="Arial" w:cs="Arial"/>
          <w:b/>
        </w:rPr>
      </w:pPr>
    </w:p>
    <w:p w:rsidR="006B5D13" w:rsidRDefault="006B5D13" w:rsidP="006B5D13">
      <w:pPr>
        <w:rPr>
          <w:rFonts w:ascii="Arial" w:hAnsi="Arial" w:cs="Arial"/>
          <w:b/>
        </w:rPr>
      </w:pP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  <w:t xml:space="preserve"> </w:t>
      </w:r>
      <w:r w:rsidRPr="006B5D1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                                  </w:t>
      </w:r>
    </w:p>
    <w:p w:rsidR="006B5D13" w:rsidRPr="006B5D13" w:rsidRDefault="006B5D13" w:rsidP="006B5D13">
      <w:pPr>
        <w:rPr>
          <w:rFonts w:ascii="Arial" w:hAnsi="Arial" w:cs="Arial"/>
          <w:b/>
        </w:rPr>
      </w:pPr>
      <w:r w:rsidRPr="006B5D13">
        <w:rPr>
          <w:rFonts w:ascii="Arial" w:hAnsi="Arial" w:cs="Arial"/>
          <w:b/>
        </w:rPr>
        <w:tab/>
      </w:r>
      <w:r w:rsidRPr="006B5D13">
        <w:rPr>
          <w:rFonts w:ascii="Arial" w:hAnsi="Arial" w:cs="Arial"/>
          <w:b/>
        </w:rPr>
        <w:tab/>
        <w:t xml:space="preserve"> </w:t>
      </w:r>
    </w:p>
    <w:p w:rsidR="006B5D13" w:rsidRPr="006B5D13" w:rsidRDefault="006B5D13" w:rsidP="006B5D13">
      <w:pPr>
        <w:rPr>
          <w:rFonts w:ascii="Arial" w:hAnsi="Arial" w:cs="Arial"/>
          <w:b/>
        </w:rPr>
      </w:pPr>
    </w:p>
    <w:p w:rsidR="006B5D13" w:rsidRDefault="006B5D13" w:rsidP="006B5D13">
      <w:pPr>
        <w:rPr>
          <w:b/>
        </w:rPr>
      </w:pPr>
    </w:p>
    <w:p w:rsidR="006B5D13" w:rsidRDefault="006B5D13" w:rsidP="006B5D13">
      <w:pPr>
        <w:rPr>
          <w:b/>
        </w:rPr>
      </w:pPr>
    </w:p>
    <w:p w:rsidR="006B5D13" w:rsidRDefault="006B5D13" w:rsidP="006B5D13">
      <w:pPr>
        <w:rPr>
          <w:b/>
        </w:rPr>
      </w:pPr>
    </w:p>
    <w:p w:rsidR="006B5D13" w:rsidRDefault="00D456D0" w:rsidP="006B5D13">
      <w:pPr>
        <w:rPr>
          <w:rFonts w:ascii="Arial" w:hAnsi="Arial" w:cs="Arial"/>
          <w:b/>
        </w:rPr>
      </w:pPr>
      <w:r w:rsidRPr="00D9260F">
        <w:rPr>
          <w:rFonts w:ascii="Arial" w:hAnsi="Arial" w:cs="Arial"/>
          <w:b/>
          <w:sz w:val="24"/>
          <w:szCs w:val="24"/>
        </w:rPr>
        <w:t>V</w:t>
      </w:r>
      <w:r w:rsidR="006B5D13" w:rsidRPr="00D9260F">
        <w:rPr>
          <w:rFonts w:ascii="Arial" w:hAnsi="Arial" w:cs="Arial"/>
          <w:b/>
          <w:sz w:val="24"/>
          <w:szCs w:val="24"/>
        </w:rPr>
        <w:t xml:space="preserve">ariance by Category                                                                                </w:t>
      </w:r>
      <w:r w:rsidR="006B5D13" w:rsidRPr="00D9260F">
        <w:rPr>
          <w:rFonts w:ascii="Arial" w:hAnsi="Arial" w:cs="Arial"/>
          <w:b/>
        </w:rPr>
        <w:t xml:space="preserve">                                                                              </w:t>
      </w:r>
      <w:r w:rsidR="006B5D13" w:rsidRPr="006B5D13">
        <w:rPr>
          <w:rFonts w:ascii="Arial" w:hAnsi="Arial" w:cs="Arial"/>
          <w:b/>
        </w:rPr>
        <w:t xml:space="preserve">APPENDIX C </w:t>
      </w:r>
    </w:p>
    <w:p w:rsidR="00B67A00" w:rsidRPr="006B5D13" w:rsidRDefault="00B67A00" w:rsidP="006B5D13">
      <w:pPr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30"/>
        <w:gridCol w:w="222"/>
        <w:gridCol w:w="1579"/>
        <w:gridCol w:w="1549"/>
        <w:gridCol w:w="777"/>
        <w:gridCol w:w="222"/>
        <w:gridCol w:w="1675"/>
        <w:gridCol w:w="1533"/>
        <w:gridCol w:w="643"/>
        <w:gridCol w:w="222"/>
        <w:gridCol w:w="1596"/>
        <w:gridCol w:w="1533"/>
        <w:gridCol w:w="777"/>
      </w:tblGrid>
      <w:tr w:rsidR="00B67A00" w:rsidRPr="00B67A00" w:rsidTr="00B67A0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00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Income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00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Staff Costs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6600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Other Costs</w:t>
            </w:r>
          </w:p>
        </w:tc>
      </w:tr>
      <w:tr w:rsidR="00B67A00" w:rsidRPr="00B67A00" w:rsidTr="0081513F">
        <w:trPr>
          <w:trHeight w:val="63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Budget (YTD)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Variance (YTD)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Budget (YTD)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Variance (YTD)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Budget (YTD)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 xml:space="preserve"> Variance (YTD)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6600"/>
            <w:vAlign w:val="center"/>
            <w:hideMark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FFCC"/>
                <w:sz w:val="24"/>
                <w:szCs w:val="24"/>
                <w:lang w:eastAsia="en-GB"/>
              </w:rPr>
              <w:t>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28,394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20,798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(501,869)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6,158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(43,773)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1,957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-4%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Archives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252,902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(8,127)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(704,509)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8,043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(49,925)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(643)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15,041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5,665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(205,804)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(1,071)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(52,523)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(14,510)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Facilities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9,343,172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(194,392)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(9,100,891)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9,278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(2,066,943)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5,640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Libraries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82,896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(12,408)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(2,343,785)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58,975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(609,236)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17,260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-3%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25,500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13,735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(1,487,922)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1,100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(739,169)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(10,968)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Museums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688,931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27,967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4%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(846,952)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(2,616)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(335,947)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(5,010)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Music Tuition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787,017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(483)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(1,871,557)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10,978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(169,160)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(11,890)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7%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Outdoor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135,445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16,588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(447,837)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(3,991)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(95,614)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(656)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10,352,175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(23,000)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B67A00" w:rsidRPr="0081513F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81513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0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0%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1,141,794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18,443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(1,355,234)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(26,180)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(114,590)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19,779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-17%</w:t>
            </w:r>
          </w:p>
        </w:tc>
      </w:tr>
      <w:tr w:rsidR="00B67A00" w:rsidRPr="00B67A00" w:rsidTr="0081513F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Youthwork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104,280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5,560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(1,269,213)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(10,395)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(122,676)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(9,686)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8%</w:t>
            </w:r>
          </w:p>
        </w:tc>
      </w:tr>
      <w:tr w:rsidR="00B67A00" w:rsidRPr="00B67A00" w:rsidTr="00B67A0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</w:tr>
      <w:tr w:rsidR="00B67A00" w:rsidRPr="00B67A00" w:rsidTr="00B67A0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Grand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22,957,547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(106,654)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(20,135,573)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50,279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(4,422,556)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n-GB"/>
              </w:rPr>
              <w:t>(8,727)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E1F2" w:fill="D9E1F2"/>
            <w:noWrap/>
            <w:vAlign w:val="bottom"/>
            <w:hideMark/>
          </w:tcPr>
          <w:p w:rsidR="00B67A00" w:rsidRPr="00B67A00" w:rsidRDefault="00B67A00" w:rsidP="00B67A0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0%</w:t>
            </w:r>
          </w:p>
        </w:tc>
      </w:tr>
    </w:tbl>
    <w:p w:rsidR="006B5D13" w:rsidRDefault="006B5D13" w:rsidP="006B5D13">
      <w:pPr>
        <w:rPr>
          <w:rFonts w:ascii="Arial" w:hAnsi="Arial" w:cs="Arial"/>
          <w:b/>
          <w:sz w:val="24"/>
          <w:szCs w:val="24"/>
        </w:rPr>
      </w:pPr>
    </w:p>
    <w:p w:rsidR="00B67A00" w:rsidRDefault="00B67A00" w:rsidP="006B5D13">
      <w:pPr>
        <w:rPr>
          <w:rFonts w:ascii="Arial" w:hAnsi="Arial" w:cs="Arial"/>
          <w:b/>
          <w:sz w:val="24"/>
          <w:szCs w:val="24"/>
        </w:rPr>
      </w:pPr>
    </w:p>
    <w:p w:rsidR="00B67A00" w:rsidRDefault="00B67A00" w:rsidP="006B5D13">
      <w:pPr>
        <w:rPr>
          <w:rFonts w:ascii="Arial" w:hAnsi="Arial" w:cs="Arial"/>
          <w:b/>
          <w:sz w:val="24"/>
          <w:szCs w:val="24"/>
        </w:rPr>
      </w:pPr>
    </w:p>
    <w:p w:rsidR="00B67A00" w:rsidRDefault="00B67A00" w:rsidP="006B5D13">
      <w:pPr>
        <w:rPr>
          <w:rFonts w:ascii="Arial" w:hAnsi="Arial" w:cs="Arial"/>
          <w:b/>
          <w:sz w:val="24"/>
          <w:szCs w:val="24"/>
        </w:rPr>
      </w:pPr>
    </w:p>
    <w:p w:rsidR="00B67A00" w:rsidRDefault="00B67A00" w:rsidP="006B5D13">
      <w:pPr>
        <w:rPr>
          <w:rFonts w:ascii="Arial" w:hAnsi="Arial" w:cs="Arial"/>
          <w:b/>
          <w:sz w:val="24"/>
          <w:szCs w:val="24"/>
        </w:rPr>
      </w:pPr>
    </w:p>
    <w:p w:rsidR="00B67A00" w:rsidRDefault="00B67A00" w:rsidP="006B5D13">
      <w:pPr>
        <w:rPr>
          <w:rFonts w:ascii="Arial" w:hAnsi="Arial" w:cs="Arial"/>
          <w:b/>
          <w:sz w:val="24"/>
          <w:szCs w:val="24"/>
        </w:rPr>
      </w:pPr>
    </w:p>
    <w:p w:rsidR="00D456D0" w:rsidRDefault="00B67A00" w:rsidP="006B5D13">
      <w:pPr>
        <w:rPr>
          <w:b/>
        </w:rPr>
      </w:pPr>
      <w:r>
        <w:rPr>
          <w:rFonts w:ascii="Arial" w:hAnsi="Arial" w:cs="Arial"/>
          <w:b/>
          <w:sz w:val="24"/>
          <w:szCs w:val="24"/>
        </w:rPr>
        <w:t>Var</w:t>
      </w:r>
      <w:r w:rsidR="00D456D0" w:rsidRPr="00852C23">
        <w:rPr>
          <w:rFonts w:ascii="Arial" w:hAnsi="Arial" w:cs="Arial"/>
          <w:b/>
          <w:sz w:val="24"/>
          <w:szCs w:val="24"/>
        </w:rPr>
        <w:t>iances over £5,000</w:t>
      </w:r>
      <w:r w:rsidR="00D456D0">
        <w:rPr>
          <w:rFonts w:ascii="Arial" w:hAnsi="Arial" w:cs="Arial"/>
          <w:b/>
          <w:sz w:val="24"/>
          <w:szCs w:val="24"/>
        </w:rPr>
        <w:t xml:space="preserve"> </w:t>
      </w:r>
      <w:r w:rsidR="00D456D0">
        <w:rPr>
          <w:rFonts w:ascii="Arial" w:hAnsi="Arial" w:cs="Arial"/>
          <w:b/>
          <w:sz w:val="28"/>
          <w:szCs w:val="28"/>
        </w:rPr>
        <w:t xml:space="preserve"> </w:t>
      </w:r>
      <w:r w:rsidR="00D456D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APPENDIX D</w:t>
      </w:r>
    </w:p>
    <w:p w:rsidR="006B5D13" w:rsidRDefault="006B5D13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B67A00" w:rsidRPr="006B5D13" w:rsidRDefault="00B67A00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1351"/>
        <w:gridCol w:w="10634"/>
      </w:tblGrid>
      <w:tr w:rsidR="00B67A00" w:rsidRPr="00EF252D" w:rsidTr="00B67A00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42329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Sector</w:t>
            </w:r>
          </w:p>
        </w:tc>
        <w:tc>
          <w:tcPr>
            <w:tcW w:w="1351" w:type="dxa"/>
            <w:shd w:val="clear" w:color="auto" w:fill="auto"/>
          </w:tcPr>
          <w:p w:rsidR="00B67A00" w:rsidRPr="00EF252D" w:rsidRDefault="00B67A00" w:rsidP="0042329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Variance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(£)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42329D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Note</w:t>
            </w:r>
          </w:p>
        </w:tc>
      </w:tr>
      <w:tr w:rsidR="00B67A00" w:rsidRPr="00EF252D" w:rsidTr="00B67A00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Adult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B67A00" w:rsidRPr="00BE520F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28,913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252D">
              <w:rPr>
                <w:rFonts w:ascii="Arial" w:hAnsi="Arial" w:cs="Arial"/>
                <w:sz w:val="24"/>
                <w:szCs w:val="24"/>
              </w:rPr>
              <w:t>Positive variance largely</w:t>
            </w:r>
            <w:r>
              <w:rPr>
                <w:rFonts w:ascii="Arial" w:hAnsi="Arial" w:cs="Arial"/>
                <w:sz w:val="24"/>
                <w:szCs w:val="24"/>
              </w:rPr>
              <w:t xml:space="preserve"> due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 to income received for the provision of ESOL (English for Speakers of Other Languages) classes.   </w:t>
            </w:r>
          </w:p>
        </w:tc>
      </w:tr>
      <w:tr w:rsidR="00B67A00" w:rsidRPr="00EF252D" w:rsidTr="00B67A00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 xml:space="preserve">Arts 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B67A00" w:rsidRPr="00B67A00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(9,916)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EF252D">
              <w:rPr>
                <w:rFonts w:ascii="Arial" w:hAnsi="Arial" w:cs="Arial"/>
                <w:sz w:val="24"/>
                <w:szCs w:val="24"/>
              </w:rPr>
              <w:t>dditional expenditure</w:t>
            </w:r>
            <w:r>
              <w:rPr>
                <w:rFonts w:ascii="Arial" w:hAnsi="Arial" w:cs="Arial"/>
                <w:sz w:val="24"/>
                <w:szCs w:val="24"/>
              </w:rPr>
              <w:t xml:space="preserve"> on exhibits has resulted in a negative variance to budget.  </w:t>
            </w:r>
          </w:p>
        </w:tc>
      </w:tr>
      <w:tr w:rsidR="00B67A00" w:rsidRPr="00EF252D" w:rsidTr="00B67A00">
        <w:trPr>
          <w:trHeight w:val="774"/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Facilities</w:t>
            </w:r>
          </w:p>
        </w:tc>
        <w:tc>
          <w:tcPr>
            <w:tcW w:w="1351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(179,474)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Pay as You Go leisure income has decreased significantly while growth in </w:t>
            </w:r>
            <w:r w:rsidRPr="009924AB">
              <w:rPr>
                <w:rFonts w:ascii="Arial" w:hAnsi="Arial" w:cs="Arial"/>
                <w:b/>
                <w:i/>
                <w:sz w:val="24"/>
                <w:szCs w:val="24"/>
              </w:rPr>
              <w:t>high</w:t>
            </w:r>
            <w:r w:rsidRPr="009924AB">
              <w:rPr>
                <w:rFonts w:ascii="Arial" w:hAnsi="Arial" w:cs="Arial"/>
                <w:i/>
                <w:sz w:val="24"/>
                <w:szCs w:val="24"/>
              </w:rPr>
              <w:t xml:space="preserve">life </w:t>
            </w:r>
            <w:r>
              <w:rPr>
                <w:rFonts w:ascii="Arial" w:hAnsi="Arial" w:cs="Arial"/>
                <w:sz w:val="24"/>
                <w:szCs w:val="24"/>
              </w:rPr>
              <w:t xml:space="preserve">membership has slowed in the last year. </w:t>
            </w:r>
          </w:p>
        </w:tc>
      </w:tr>
      <w:tr w:rsidR="00B67A00" w:rsidRPr="00EF252D" w:rsidTr="00B67A00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Libraries</w:t>
            </w:r>
          </w:p>
        </w:tc>
        <w:tc>
          <w:tcPr>
            <w:tcW w:w="1351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63,827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acancy management plus 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planned reduction in spending on </w:t>
            </w:r>
            <w:r>
              <w:rPr>
                <w:rFonts w:ascii="Arial" w:hAnsi="Arial" w:cs="Arial"/>
                <w:sz w:val="24"/>
                <w:szCs w:val="24"/>
              </w:rPr>
              <w:t xml:space="preserve">the Libraries Resources Fund has contributed to </w:t>
            </w:r>
            <w:r w:rsidRPr="00EF252D">
              <w:rPr>
                <w:rFonts w:ascii="Arial" w:hAnsi="Arial" w:cs="Arial"/>
                <w:sz w:val="24"/>
                <w:szCs w:val="24"/>
              </w:rPr>
              <w:t>reduc</w:t>
            </w:r>
            <w:r>
              <w:rPr>
                <w:rFonts w:ascii="Arial" w:hAnsi="Arial" w:cs="Arial"/>
                <w:sz w:val="24"/>
                <w:szCs w:val="24"/>
              </w:rPr>
              <w:t>ing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 the projected year-end deficit.             </w:t>
            </w:r>
          </w:p>
        </w:tc>
      </w:tr>
      <w:tr w:rsidR="00B67A00" w:rsidRPr="00EF252D" w:rsidTr="0042329D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Museums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B67A00" w:rsidRPr="00BE520F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20,341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EF252D">
              <w:rPr>
                <w:rFonts w:ascii="Arial" w:hAnsi="Arial" w:cs="Arial"/>
                <w:sz w:val="24"/>
                <w:szCs w:val="24"/>
              </w:rPr>
              <w:t>onations at the Highland Folk Museum</w:t>
            </w:r>
            <w:r>
              <w:rPr>
                <w:rFonts w:ascii="Arial" w:hAnsi="Arial" w:cs="Arial"/>
                <w:sz w:val="24"/>
                <w:szCs w:val="24"/>
              </w:rPr>
              <w:t xml:space="preserve"> have increased </w:t>
            </w:r>
            <w:r w:rsidRPr="00EF252D">
              <w:rPr>
                <w:rFonts w:ascii="Arial" w:hAnsi="Arial" w:cs="Arial"/>
                <w:sz w:val="24"/>
                <w:szCs w:val="24"/>
              </w:rPr>
              <w:t>6%</w:t>
            </w:r>
            <w:r>
              <w:rPr>
                <w:rFonts w:ascii="Arial" w:hAnsi="Arial" w:cs="Arial"/>
                <w:sz w:val="24"/>
                <w:szCs w:val="24"/>
              </w:rPr>
              <w:t xml:space="preserve"> on the previous year resulting in a positive variance to budget.       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</w:p>
        </w:tc>
      </w:tr>
      <w:tr w:rsidR="00B67A00" w:rsidRPr="00EF252D" w:rsidTr="0042329D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Outdoor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B67A00" w:rsidRPr="00BE520F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E520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11,941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252D">
              <w:rPr>
                <w:rFonts w:ascii="Arial" w:hAnsi="Arial" w:cs="Arial"/>
                <w:sz w:val="24"/>
                <w:szCs w:val="24"/>
              </w:rPr>
              <w:t xml:space="preserve">Income from outdoor activity courses including sea kayaking, yoga </w:t>
            </w:r>
            <w:proofErr w:type="spellStart"/>
            <w:r w:rsidRPr="00EF252D">
              <w:rPr>
                <w:rFonts w:ascii="Arial" w:hAnsi="Arial" w:cs="Arial"/>
                <w:sz w:val="24"/>
                <w:szCs w:val="24"/>
              </w:rPr>
              <w:t>paddleboarding</w:t>
            </w:r>
            <w:proofErr w:type="spellEnd"/>
            <w:r w:rsidRPr="00EF252D"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 w:rsidRPr="00EF252D">
              <w:rPr>
                <w:rFonts w:ascii="Arial" w:hAnsi="Arial" w:cs="Arial"/>
                <w:sz w:val="24"/>
                <w:szCs w:val="24"/>
              </w:rPr>
              <w:t>bushcraft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has been 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higher than budgeted.        </w:t>
            </w:r>
          </w:p>
        </w:tc>
      </w:tr>
      <w:tr w:rsidR="00B67A00" w:rsidRPr="00EF252D" w:rsidTr="0042329D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Sports</w:t>
            </w:r>
          </w:p>
        </w:tc>
        <w:tc>
          <w:tcPr>
            <w:tcW w:w="1351" w:type="dxa"/>
            <w:shd w:val="clear" w:color="auto" w:fill="auto"/>
            <w:vAlign w:val="bottom"/>
          </w:tcPr>
          <w:p w:rsidR="00B67A00" w:rsidRPr="00BE520F" w:rsidRDefault="00B67A00" w:rsidP="00B67A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67A00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12,042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planned reduction in spend on </w:t>
            </w:r>
            <w:r>
              <w:rPr>
                <w:rFonts w:ascii="Arial" w:hAnsi="Arial" w:cs="Arial"/>
                <w:sz w:val="24"/>
                <w:szCs w:val="24"/>
              </w:rPr>
              <w:t xml:space="preserve">equipment </w:t>
            </w:r>
            <w:r w:rsidRPr="00EF252D">
              <w:rPr>
                <w:rFonts w:ascii="Arial" w:hAnsi="Arial" w:cs="Arial"/>
                <w:sz w:val="24"/>
                <w:szCs w:val="24"/>
              </w:rPr>
              <w:t>to reduce the projected year-end deficit in addition to higher than anticipated income from Summer Activities</w:t>
            </w:r>
            <w:r>
              <w:rPr>
                <w:rFonts w:ascii="Arial" w:hAnsi="Arial" w:cs="Arial"/>
                <w:sz w:val="24"/>
                <w:szCs w:val="24"/>
              </w:rPr>
              <w:t xml:space="preserve"> has been p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artially offset by increased Staff Costs due to sickness and maternity cover.       </w:t>
            </w:r>
          </w:p>
        </w:tc>
      </w:tr>
      <w:tr w:rsidR="00B67A00" w:rsidRPr="00EF252D" w:rsidTr="00B67A00">
        <w:trPr>
          <w:jc w:val="center"/>
        </w:trPr>
        <w:tc>
          <w:tcPr>
            <w:tcW w:w="1590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r w:rsidRPr="00EF252D">
              <w:rPr>
                <w:rFonts w:ascii="Arial" w:hAnsi="Arial" w:cs="Arial"/>
                <w:b/>
                <w:sz w:val="24"/>
                <w:szCs w:val="24"/>
              </w:rPr>
              <w:t>Youthwork</w:t>
            </w:r>
          </w:p>
        </w:tc>
        <w:tc>
          <w:tcPr>
            <w:tcW w:w="1351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520F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>(14,521)</w:t>
            </w:r>
          </w:p>
        </w:tc>
        <w:tc>
          <w:tcPr>
            <w:tcW w:w="10634" w:type="dxa"/>
            <w:shd w:val="clear" w:color="auto" w:fill="auto"/>
          </w:tcPr>
          <w:p w:rsidR="00B67A00" w:rsidRPr="00EF252D" w:rsidRDefault="00B67A00" w:rsidP="00B67A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F252D">
              <w:rPr>
                <w:rFonts w:ascii="Arial" w:hAnsi="Arial" w:cs="Arial"/>
                <w:sz w:val="24"/>
                <w:szCs w:val="24"/>
              </w:rPr>
              <w:t>Negative variance due to Staff Costs</w:t>
            </w:r>
            <w:r>
              <w:rPr>
                <w:rFonts w:ascii="Arial" w:hAnsi="Arial" w:cs="Arial"/>
                <w:sz w:val="24"/>
                <w:szCs w:val="24"/>
              </w:rPr>
              <w:t xml:space="preserve"> being higher than budgeted 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due to sickness cover </w:t>
            </w:r>
            <w:r>
              <w:rPr>
                <w:rFonts w:ascii="Arial" w:hAnsi="Arial" w:cs="Arial"/>
                <w:sz w:val="24"/>
                <w:szCs w:val="24"/>
              </w:rPr>
              <w:t>and</w:t>
            </w:r>
            <w:r w:rsidRPr="00EF252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expenditure pressures associated with the Highland Youth Parliament.  </w:t>
            </w:r>
          </w:p>
        </w:tc>
      </w:tr>
    </w:tbl>
    <w:p w:rsidR="006B5D13" w:rsidRDefault="006B5D13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6B5D13" w:rsidRDefault="006B5D13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456D0" w:rsidRDefault="00D456D0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456D0" w:rsidRDefault="00D456D0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456D0" w:rsidRDefault="00D456D0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456D0" w:rsidRDefault="00D456D0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D456D0" w:rsidRDefault="00D456D0" w:rsidP="006B5D13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</w:p>
    <w:p w:rsidR="0042329D" w:rsidRDefault="00A13489">
      <w:pPr>
        <w:spacing w:after="0" w:line="240" w:lineRule="auto"/>
        <w:rPr>
          <w:rFonts w:ascii="Arial" w:hAnsi="Arial" w:cs="Arial"/>
          <w:b/>
          <w:sz w:val="24"/>
          <w:szCs w:val="24"/>
        </w:rPr>
        <w:sectPr w:rsidR="0042329D" w:rsidSect="00D456D0">
          <w:pgSz w:w="16838" w:h="11906" w:orient="landscape" w:code="9"/>
          <w:pgMar w:top="992" w:right="1440" w:bottom="1276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42329D" w:rsidRDefault="0042329D" w:rsidP="00BD55D5">
      <w:pPr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</w:t>
      </w:r>
      <w:r w:rsidR="00BD55D5">
        <w:rPr>
          <w:rFonts w:ascii="Arial" w:hAnsi="Arial" w:cs="Arial"/>
          <w:b/>
          <w:sz w:val="28"/>
          <w:szCs w:val="28"/>
        </w:rPr>
        <w:t>PPENDIX E</w:t>
      </w:r>
    </w:p>
    <w:p w:rsidR="00C76290" w:rsidRDefault="00C76290" w:rsidP="0042329D">
      <w:pPr>
        <w:jc w:val="center"/>
        <w:rPr>
          <w:rFonts w:ascii="Arial" w:hAnsi="Arial" w:cs="Arial"/>
          <w:b/>
          <w:sz w:val="28"/>
          <w:szCs w:val="28"/>
        </w:rPr>
      </w:pPr>
    </w:p>
    <w:p w:rsidR="00C76290" w:rsidRDefault="00C76290" w:rsidP="0042329D">
      <w:pPr>
        <w:jc w:val="center"/>
        <w:rPr>
          <w:rFonts w:ascii="Arial" w:hAnsi="Arial" w:cs="Arial"/>
          <w:b/>
          <w:sz w:val="28"/>
          <w:szCs w:val="28"/>
        </w:rPr>
      </w:pPr>
    </w:p>
    <w:p w:rsidR="00C76290" w:rsidRDefault="00C76290" w:rsidP="0042329D">
      <w:pPr>
        <w:jc w:val="center"/>
        <w:rPr>
          <w:rFonts w:ascii="Arial" w:hAnsi="Arial" w:cs="Arial"/>
          <w:b/>
          <w:sz w:val="28"/>
          <w:szCs w:val="28"/>
        </w:rPr>
      </w:pPr>
    </w:p>
    <w:p w:rsidR="0042329D" w:rsidRPr="00C2479A" w:rsidRDefault="0042329D" w:rsidP="0042329D">
      <w:pPr>
        <w:jc w:val="center"/>
        <w:rPr>
          <w:rFonts w:ascii="Arial" w:hAnsi="Arial" w:cs="Arial"/>
          <w:b/>
          <w:sz w:val="28"/>
          <w:szCs w:val="28"/>
        </w:rPr>
      </w:pPr>
      <w:r w:rsidRPr="00C2479A">
        <w:rPr>
          <w:rFonts w:ascii="Arial" w:hAnsi="Arial" w:cs="Arial"/>
          <w:b/>
          <w:sz w:val="28"/>
          <w:szCs w:val="28"/>
        </w:rPr>
        <w:t>AGREEMENT</w:t>
      </w: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  <w:r w:rsidRPr="00C2479A">
        <w:rPr>
          <w:rFonts w:ascii="Arial" w:hAnsi="Arial" w:cs="Arial"/>
          <w:sz w:val="28"/>
          <w:szCs w:val="28"/>
        </w:rPr>
        <w:t>between</w:t>
      </w: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</w:p>
    <w:p w:rsidR="0042329D" w:rsidRPr="00C2479A" w:rsidRDefault="0042329D" w:rsidP="0042329D">
      <w:pPr>
        <w:jc w:val="center"/>
        <w:rPr>
          <w:rFonts w:ascii="Arial" w:hAnsi="Arial" w:cs="Arial"/>
          <w:b/>
          <w:sz w:val="28"/>
          <w:szCs w:val="28"/>
        </w:rPr>
      </w:pPr>
      <w:r w:rsidRPr="00C2479A">
        <w:rPr>
          <w:rFonts w:ascii="Arial" w:hAnsi="Arial" w:cs="Arial"/>
          <w:b/>
          <w:sz w:val="28"/>
          <w:szCs w:val="28"/>
        </w:rPr>
        <w:t xml:space="preserve">High Life Highland </w:t>
      </w: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  <w:r w:rsidRPr="00C2479A">
        <w:rPr>
          <w:rFonts w:ascii="Arial" w:hAnsi="Arial" w:cs="Arial"/>
          <w:sz w:val="28"/>
          <w:szCs w:val="28"/>
        </w:rPr>
        <w:t>and</w:t>
      </w: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</w:p>
    <w:p w:rsidR="0042329D" w:rsidRPr="00C2479A" w:rsidRDefault="0042329D" w:rsidP="0042329D">
      <w:pPr>
        <w:jc w:val="center"/>
        <w:rPr>
          <w:rFonts w:ascii="Arial" w:hAnsi="Arial" w:cs="Arial"/>
          <w:b/>
          <w:sz w:val="28"/>
          <w:szCs w:val="28"/>
        </w:rPr>
      </w:pPr>
      <w:r w:rsidRPr="00C2479A">
        <w:rPr>
          <w:rFonts w:ascii="Arial" w:hAnsi="Arial" w:cs="Arial"/>
          <w:b/>
          <w:sz w:val="28"/>
          <w:szCs w:val="28"/>
        </w:rPr>
        <w:t>High Life Highland (Trading) C.I.C</w:t>
      </w: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  <w:r w:rsidRPr="00C2479A">
        <w:rPr>
          <w:rFonts w:ascii="Arial" w:hAnsi="Arial" w:cs="Arial"/>
          <w:sz w:val="28"/>
          <w:szCs w:val="28"/>
        </w:rPr>
        <w:t xml:space="preserve">  </w:t>
      </w:r>
    </w:p>
    <w:p w:rsidR="0042329D" w:rsidRPr="00C2479A" w:rsidRDefault="0042329D" w:rsidP="0042329D">
      <w:pPr>
        <w:jc w:val="center"/>
        <w:rPr>
          <w:rFonts w:ascii="Arial" w:hAnsi="Arial" w:cs="Arial"/>
          <w:sz w:val="28"/>
          <w:szCs w:val="28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Default="0042329D" w:rsidP="0042329D">
      <w:pPr>
        <w:jc w:val="center"/>
        <w:rPr>
          <w:rFonts w:ascii="Arial" w:hAnsi="Arial" w:cs="Arial"/>
          <w:sz w:val="24"/>
          <w:szCs w:val="24"/>
        </w:rPr>
      </w:pPr>
    </w:p>
    <w:p w:rsidR="0042329D" w:rsidRPr="00C2479A" w:rsidRDefault="0042329D" w:rsidP="0042329D">
      <w:pPr>
        <w:jc w:val="center"/>
        <w:rPr>
          <w:rFonts w:ascii="Arial" w:hAnsi="Arial" w:cs="Arial"/>
          <w:b/>
          <w:sz w:val="24"/>
          <w:szCs w:val="24"/>
        </w:rPr>
      </w:pPr>
      <w:r w:rsidRPr="00C2479A">
        <w:rPr>
          <w:rFonts w:ascii="Arial" w:hAnsi="Arial" w:cs="Arial"/>
          <w:b/>
          <w:sz w:val="24"/>
          <w:szCs w:val="24"/>
        </w:rPr>
        <w:t>Use of High Life Highland Fixed Assets by High Life Highland (Trading) C.I.C</w:t>
      </w:r>
    </w:p>
    <w:p w:rsidR="0042329D" w:rsidRDefault="0042329D" w:rsidP="0042329D">
      <w:pPr>
        <w:jc w:val="both"/>
        <w:rPr>
          <w:rFonts w:ascii="Arial" w:hAnsi="Arial" w:cs="Arial"/>
          <w:sz w:val="24"/>
          <w:szCs w:val="24"/>
        </w:rPr>
      </w:pPr>
      <w:r w:rsidRPr="0008752D">
        <w:rPr>
          <w:rFonts w:ascii="Arial" w:hAnsi="Arial" w:cs="Arial"/>
          <w:sz w:val="24"/>
          <w:szCs w:val="24"/>
        </w:rPr>
        <w:t>The following fixed assets</w:t>
      </w:r>
      <w:r>
        <w:rPr>
          <w:rFonts w:ascii="Arial" w:hAnsi="Arial" w:cs="Arial"/>
          <w:sz w:val="24"/>
          <w:szCs w:val="24"/>
        </w:rPr>
        <w:t xml:space="preserve"> owned by High Life Highland and accounted for on its balance sheet shall be made available for use to High Life Highland (Trading) C.I.C</w:t>
      </w:r>
      <w:r w:rsidR="00BE19D8">
        <w:rPr>
          <w:rFonts w:ascii="Arial" w:hAnsi="Arial" w:cs="Arial"/>
          <w:sz w:val="24"/>
          <w:szCs w:val="24"/>
        </w:rPr>
        <w:t xml:space="preserve"> for nil consideration</w:t>
      </w:r>
      <w:r>
        <w:rPr>
          <w:rFonts w:ascii="Arial" w:hAnsi="Arial" w:cs="Arial"/>
          <w:sz w:val="24"/>
          <w:szCs w:val="24"/>
        </w:rPr>
        <w:t>:</w:t>
      </w:r>
    </w:p>
    <w:p w:rsidR="0042329D" w:rsidRDefault="0042329D" w:rsidP="0042329D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660" w:type="dxa"/>
        <w:tblLook w:val="04A0" w:firstRow="1" w:lastRow="0" w:firstColumn="1" w:lastColumn="0" w:noHBand="0" w:noVBand="1"/>
      </w:tblPr>
      <w:tblGrid>
        <w:gridCol w:w="3479"/>
        <w:gridCol w:w="2813"/>
        <w:gridCol w:w="3368"/>
      </w:tblGrid>
      <w:tr w:rsidR="0042329D" w:rsidTr="00D9260F">
        <w:trPr>
          <w:trHeight w:val="517"/>
        </w:trPr>
        <w:tc>
          <w:tcPr>
            <w:tcW w:w="0" w:type="auto"/>
          </w:tcPr>
          <w:p w:rsidR="0042329D" w:rsidRPr="0008752D" w:rsidRDefault="0042329D" w:rsidP="004232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52D">
              <w:rPr>
                <w:rFonts w:ascii="Arial" w:hAnsi="Arial" w:cs="Arial"/>
                <w:b/>
                <w:sz w:val="24"/>
                <w:szCs w:val="24"/>
              </w:rPr>
              <w:t>Asset</w:t>
            </w:r>
          </w:p>
        </w:tc>
        <w:tc>
          <w:tcPr>
            <w:tcW w:w="0" w:type="auto"/>
          </w:tcPr>
          <w:p w:rsidR="0042329D" w:rsidRPr="0008752D" w:rsidRDefault="0042329D" w:rsidP="004232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52D">
              <w:rPr>
                <w:rFonts w:ascii="Arial" w:hAnsi="Arial" w:cs="Arial"/>
                <w:b/>
                <w:sz w:val="24"/>
                <w:szCs w:val="24"/>
              </w:rPr>
              <w:t>Purchase Value (£)</w:t>
            </w:r>
          </w:p>
        </w:tc>
        <w:tc>
          <w:tcPr>
            <w:tcW w:w="0" w:type="auto"/>
          </w:tcPr>
          <w:p w:rsidR="0042329D" w:rsidRPr="0008752D" w:rsidRDefault="0042329D" w:rsidP="0042329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8752D">
              <w:rPr>
                <w:rFonts w:ascii="Arial" w:hAnsi="Arial" w:cs="Arial"/>
                <w:b/>
                <w:sz w:val="24"/>
                <w:szCs w:val="24"/>
              </w:rPr>
              <w:t>Location</w:t>
            </w:r>
          </w:p>
        </w:tc>
      </w:tr>
      <w:tr w:rsidR="0042329D" w:rsidTr="00D9260F">
        <w:trPr>
          <w:trHeight w:val="517"/>
        </w:trPr>
        <w:tc>
          <w:tcPr>
            <w:tcW w:w="0" w:type="auto"/>
          </w:tcPr>
          <w:p w:rsidR="0042329D" w:rsidRDefault="0042329D" w:rsidP="0042329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Caterpod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Catering Trailer </w:t>
            </w:r>
          </w:p>
        </w:tc>
        <w:tc>
          <w:tcPr>
            <w:tcW w:w="0" w:type="auto"/>
          </w:tcPr>
          <w:p w:rsidR="0042329D" w:rsidRDefault="0042329D" w:rsidP="00423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14,733</w:t>
            </w:r>
          </w:p>
        </w:tc>
        <w:tc>
          <w:tcPr>
            <w:tcW w:w="0" w:type="auto"/>
          </w:tcPr>
          <w:p w:rsidR="0042329D" w:rsidRDefault="0042329D" w:rsidP="0042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Inverness Leisure</w:t>
            </w:r>
          </w:p>
        </w:tc>
      </w:tr>
      <w:tr w:rsidR="0042329D" w:rsidTr="00D9260F">
        <w:trPr>
          <w:trHeight w:val="517"/>
        </w:trPr>
        <w:tc>
          <w:tcPr>
            <w:tcW w:w="0" w:type="auto"/>
          </w:tcPr>
          <w:p w:rsidR="0042329D" w:rsidRDefault="0042329D" w:rsidP="0042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Costa Coffee Machine</w:t>
            </w:r>
          </w:p>
        </w:tc>
        <w:tc>
          <w:tcPr>
            <w:tcW w:w="0" w:type="auto"/>
          </w:tcPr>
          <w:p w:rsidR="0042329D" w:rsidRDefault="0042329D" w:rsidP="00423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9,800</w:t>
            </w:r>
          </w:p>
        </w:tc>
        <w:tc>
          <w:tcPr>
            <w:tcW w:w="0" w:type="auto"/>
          </w:tcPr>
          <w:p w:rsidR="0042329D" w:rsidRDefault="0042329D" w:rsidP="0042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Inverness Leisure</w:t>
            </w:r>
          </w:p>
        </w:tc>
      </w:tr>
      <w:tr w:rsidR="0042329D" w:rsidTr="00D9260F">
        <w:trPr>
          <w:trHeight w:val="517"/>
        </w:trPr>
        <w:tc>
          <w:tcPr>
            <w:tcW w:w="0" w:type="auto"/>
          </w:tcPr>
          <w:p w:rsidR="0042329D" w:rsidRDefault="0042329D" w:rsidP="0042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 Parking Machines</w:t>
            </w:r>
          </w:p>
        </w:tc>
        <w:tc>
          <w:tcPr>
            <w:tcW w:w="0" w:type="auto"/>
          </w:tcPr>
          <w:p w:rsidR="0042329D" w:rsidRDefault="0042329D" w:rsidP="0042329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15,155</w:t>
            </w:r>
          </w:p>
        </w:tc>
        <w:tc>
          <w:tcPr>
            <w:tcW w:w="0" w:type="auto"/>
          </w:tcPr>
          <w:p w:rsidR="0042329D" w:rsidRDefault="0042329D" w:rsidP="0042329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 Nevis Visitor Centre</w:t>
            </w:r>
          </w:p>
        </w:tc>
      </w:tr>
    </w:tbl>
    <w:p w:rsidR="0042329D" w:rsidRDefault="0042329D" w:rsidP="00423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Pr="0008752D">
        <w:rPr>
          <w:rFonts w:ascii="Arial" w:hAnsi="Arial" w:cs="Arial"/>
          <w:sz w:val="24"/>
          <w:szCs w:val="24"/>
        </w:rPr>
        <w:t xml:space="preserve">    </w:t>
      </w:r>
    </w:p>
    <w:p w:rsidR="0042329D" w:rsidRDefault="0042329D" w:rsidP="00423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costs of maintenance and repairs to these fixed assets shall be borne by High Life Highland (Trading) C.I.C.</w:t>
      </w:r>
    </w:p>
    <w:p w:rsidR="0042329D" w:rsidRDefault="0042329D" w:rsidP="0042329D">
      <w:pPr>
        <w:rPr>
          <w:rFonts w:ascii="Arial" w:hAnsi="Arial" w:cs="Arial"/>
          <w:b/>
          <w:sz w:val="24"/>
          <w:szCs w:val="24"/>
        </w:rPr>
      </w:pPr>
    </w:p>
    <w:p w:rsidR="0042329D" w:rsidRDefault="0042329D" w:rsidP="0042329D">
      <w:pPr>
        <w:rPr>
          <w:rFonts w:ascii="Arial" w:hAnsi="Arial" w:cs="Arial"/>
          <w:b/>
          <w:sz w:val="24"/>
          <w:szCs w:val="24"/>
        </w:rPr>
      </w:pPr>
    </w:p>
    <w:p w:rsidR="0042329D" w:rsidRDefault="0042329D" w:rsidP="0042329D">
      <w:pPr>
        <w:rPr>
          <w:rFonts w:ascii="Arial" w:hAnsi="Arial" w:cs="Arial"/>
          <w:b/>
          <w:sz w:val="24"/>
          <w:szCs w:val="24"/>
        </w:rPr>
      </w:pPr>
    </w:p>
    <w:p w:rsidR="0042329D" w:rsidRPr="00A36E56" w:rsidRDefault="0042329D" w:rsidP="0042329D">
      <w:pPr>
        <w:rPr>
          <w:rFonts w:ascii="Arial" w:hAnsi="Arial" w:cs="Arial"/>
          <w:b/>
          <w:sz w:val="24"/>
          <w:szCs w:val="24"/>
        </w:rPr>
      </w:pPr>
      <w:r w:rsidRPr="00A36E56">
        <w:rPr>
          <w:rFonts w:ascii="Arial" w:hAnsi="Arial" w:cs="Arial"/>
          <w:b/>
          <w:sz w:val="24"/>
          <w:szCs w:val="24"/>
        </w:rPr>
        <w:t>Signed for on behalf of High Life Highland:</w:t>
      </w:r>
    </w:p>
    <w:p w:rsidR="00BD55D5" w:rsidRDefault="00BD55D5" w:rsidP="0042329D">
      <w:pPr>
        <w:rPr>
          <w:rFonts w:ascii="Arial" w:hAnsi="Arial" w:cs="Arial"/>
          <w:sz w:val="24"/>
          <w:szCs w:val="24"/>
        </w:rPr>
      </w:pPr>
    </w:p>
    <w:p w:rsidR="0042329D" w:rsidRDefault="00D9260F" w:rsidP="00423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42329D">
        <w:rPr>
          <w:rFonts w:ascii="Arial" w:hAnsi="Arial" w:cs="Arial"/>
          <w:sz w:val="24"/>
          <w:szCs w:val="24"/>
        </w:rPr>
        <w:t xml:space="preserve"> </w:t>
      </w:r>
    </w:p>
    <w:p w:rsidR="0042329D" w:rsidRPr="00D9260F" w:rsidRDefault="0042329D" w:rsidP="0042329D">
      <w:pPr>
        <w:rPr>
          <w:rFonts w:ascii="Arial" w:hAnsi="Arial" w:cs="Arial"/>
          <w:sz w:val="24"/>
          <w:szCs w:val="24"/>
        </w:rPr>
      </w:pPr>
      <w:r w:rsidRPr="00D9260F">
        <w:rPr>
          <w:rFonts w:ascii="Arial" w:hAnsi="Arial" w:cs="Arial"/>
          <w:sz w:val="24"/>
          <w:szCs w:val="24"/>
        </w:rPr>
        <w:t xml:space="preserve">Ian Ross, Chair    </w:t>
      </w:r>
    </w:p>
    <w:p w:rsidR="0042329D" w:rsidRPr="00D9260F" w:rsidRDefault="0042329D" w:rsidP="0042329D">
      <w:pPr>
        <w:rPr>
          <w:rFonts w:ascii="Arial" w:hAnsi="Arial" w:cs="Arial"/>
          <w:sz w:val="24"/>
          <w:szCs w:val="24"/>
        </w:rPr>
      </w:pPr>
      <w:r w:rsidRPr="00D9260F">
        <w:rPr>
          <w:rFonts w:ascii="Arial" w:hAnsi="Arial" w:cs="Arial"/>
          <w:sz w:val="24"/>
          <w:szCs w:val="24"/>
        </w:rPr>
        <w:t xml:space="preserve">Date: </w:t>
      </w:r>
      <w:r w:rsidR="00D9260F" w:rsidRPr="00D9260F">
        <w:rPr>
          <w:rFonts w:ascii="Arial" w:hAnsi="Arial" w:cs="Arial"/>
          <w:sz w:val="24"/>
          <w:szCs w:val="24"/>
        </w:rPr>
        <w:t>…………………………………………………………………………….</w:t>
      </w:r>
    </w:p>
    <w:p w:rsidR="0042329D" w:rsidRDefault="0042329D" w:rsidP="0042329D">
      <w:pPr>
        <w:rPr>
          <w:rFonts w:ascii="Arial" w:hAnsi="Arial" w:cs="Arial"/>
          <w:b/>
          <w:sz w:val="24"/>
          <w:szCs w:val="24"/>
        </w:rPr>
      </w:pPr>
    </w:p>
    <w:p w:rsidR="0042329D" w:rsidRPr="00A36E56" w:rsidRDefault="0042329D" w:rsidP="0042329D">
      <w:pPr>
        <w:rPr>
          <w:rFonts w:ascii="Arial" w:hAnsi="Arial" w:cs="Arial"/>
          <w:b/>
          <w:sz w:val="24"/>
          <w:szCs w:val="24"/>
        </w:rPr>
      </w:pPr>
      <w:r w:rsidRPr="00A36E56">
        <w:rPr>
          <w:rFonts w:ascii="Arial" w:hAnsi="Arial" w:cs="Arial"/>
          <w:b/>
          <w:sz w:val="24"/>
          <w:szCs w:val="24"/>
        </w:rPr>
        <w:t>Signed for on behalf of High Life Highland</w:t>
      </w:r>
      <w:r>
        <w:rPr>
          <w:rFonts w:ascii="Arial" w:hAnsi="Arial" w:cs="Arial"/>
          <w:b/>
          <w:sz w:val="24"/>
          <w:szCs w:val="24"/>
        </w:rPr>
        <w:t xml:space="preserve"> (Trading) C.I.C</w:t>
      </w:r>
      <w:r w:rsidRPr="00A36E56">
        <w:rPr>
          <w:rFonts w:ascii="Arial" w:hAnsi="Arial" w:cs="Arial"/>
          <w:b/>
          <w:sz w:val="24"/>
          <w:szCs w:val="24"/>
        </w:rPr>
        <w:t>:</w:t>
      </w:r>
    </w:p>
    <w:p w:rsidR="00BD55D5" w:rsidRDefault="00BD55D5" w:rsidP="0042329D">
      <w:pPr>
        <w:rPr>
          <w:rFonts w:ascii="Arial" w:hAnsi="Arial" w:cs="Arial"/>
          <w:sz w:val="24"/>
          <w:szCs w:val="24"/>
        </w:rPr>
      </w:pPr>
    </w:p>
    <w:p w:rsidR="0042329D" w:rsidRDefault="00D9260F" w:rsidP="00423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  <w:r w:rsidR="0042329D">
        <w:rPr>
          <w:rFonts w:ascii="Arial" w:hAnsi="Arial" w:cs="Arial"/>
          <w:sz w:val="24"/>
          <w:szCs w:val="24"/>
        </w:rPr>
        <w:t xml:space="preserve"> </w:t>
      </w:r>
    </w:p>
    <w:p w:rsidR="0042329D" w:rsidRPr="0008752D" w:rsidRDefault="0042329D" w:rsidP="004232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David Finlayson, Chair    </w:t>
      </w:r>
    </w:p>
    <w:p w:rsidR="0042329D" w:rsidRPr="00D9260F" w:rsidRDefault="0042329D" w:rsidP="0042329D">
      <w:pPr>
        <w:rPr>
          <w:rFonts w:ascii="Arial" w:hAnsi="Arial" w:cs="Arial"/>
          <w:sz w:val="24"/>
          <w:szCs w:val="24"/>
        </w:rPr>
      </w:pPr>
      <w:r w:rsidRPr="00D9260F">
        <w:rPr>
          <w:rFonts w:ascii="Arial" w:hAnsi="Arial" w:cs="Arial"/>
          <w:sz w:val="24"/>
          <w:szCs w:val="24"/>
        </w:rPr>
        <w:t xml:space="preserve">Date: </w:t>
      </w:r>
      <w:r w:rsidR="00D9260F">
        <w:rPr>
          <w:rFonts w:ascii="Arial" w:hAnsi="Arial" w:cs="Arial"/>
          <w:sz w:val="24"/>
          <w:szCs w:val="24"/>
        </w:rPr>
        <w:t>……………………………………………………………………………..</w:t>
      </w:r>
    </w:p>
    <w:p w:rsidR="00A13489" w:rsidRDefault="00A1348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A13489" w:rsidSect="0042329D">
      <w:pgSz w:w="11906" w:h="16838" w:code="9"/>
      <w:pgMar w:top="1440" w:right="1276" w:bottom="1440" w:left="99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513F" w:rsidRDefault="0081513F">
      <w:pPr>
        <w:spacing w:after="0" w:line="240" w:lineRule="auto"/>
      </w:pPr>
      <w:r>
        <w:separator/>
      </w:r>
    </w:p>
  </w:endnote>
  <w:endnote w:type="continuationSeparator" w:id="0">
    <w:p w:rsidR="0081513F" w:rsidRDefault="00815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513F" w:rsidRDefault="0081513F">
      <w:pPr>
        <w:spacing w:after="0" w:line="240" w:lineRule="auto"/>
      </w:pPr>
      <w:r>
        <w:separator/>
      </w:r>
    </w:p>
  </w:footnote>
  <w:footnote w:type="continuationSeparator" w:id="0">
    <w:p w:rsidR="0081513F" w:rsidRDefault="00815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44A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D216DC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3324A"/>
    <w:multiLevelType w:val="hybridMultilevel"/>
    <w:tmpl w:val="DC80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1BA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4A5A4B"/>
    <w:multiLevelType w:val="hybridMultilevel"/>
    <w:tmpl w:val="8626F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D3856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51723"/>
    <w:multiLevelType w:val="hybridMultilevel"/>
    <w:tmpl w:val="F52E80EA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9B49F0"/>
    <w:multiLevelType w:val="hybridMultilevel"/>
    <w:tmpl w:val="3B56DA2C"/>
    <w:lvl w:ilvl="0" w:tplc="1E38A57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05756C0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DC2E7D"/>
    <w:multiLevelType w:val="hybridMultilevel"/>
    <w:tmpl w:val="01F8F33C"/>
    <w:lvl w:ilvl="0" w:tplc="C91CBB6E">
      <w:start w:val="1"/>
      <w:numFmt w:val="lowerRoman"/>
      <w:lvlText w:val="%1."/>
      <w:lvlJc w:val="left"/>
      <w:pPr>
        <w:ind w:left="1430" w:hanging="72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4BA280F"/>
    <w:multiLevelType w:val="hybridMultilevel"/>
    <w:tmpl w:val="AA7E1D5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C22C32"/>
    <w:multiLevelType w:val="hybridMultilevel"/>
    <w:tmpl w:val="6A1C443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54F65"/>
    <w:multiLevelType w:val="hybridMultilevel"/>
    <w:tmpl w:val="1A42A89C"/>
    <w:lvl w:ilvl="0" w:tplc="78D627B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00250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E1C13B6"/>
    <w:multiLevelType w:val="hybridMultilevel"/>
    <w:tmpl w:val="B6E6274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E63B5"/>
    <w:multiLevelType w:val="hybridMultilevel"/>
    <w:tmpl w:val="A1D634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0D3C4E"/>
    <w:multiLevelType w:val="multilevel"/>
    <w:tmpl w:val="BD6A2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77E11EF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AF5BEC"/>
    <w:multiLevelType w:val="multilevel"/>
    <w:tmpl w:val="CA2223AA"/>
    <w:lvl w:ilvl="0">
      <w:start w:val="1"/>
      <w:numFmt w:val="bullet"/>
      <w:lvlText w:val=""/>
      <w:lvlJc w:val="left"/>
      <w:pPr>
        <w:tabs>
          <w:tab w:val="num" w:pos="1261"/>
        </w:tabs>
        <w:ind w:left="1261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981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701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9A6D07"/>
    <w:multiLevelType w:val="hybridMultilevel"/>
    <w:tmpl w:val="CE447CD6"/>
    <w:lvl w:ilvl="0" w:tplc="080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abstractNum w:abstractNumId="20" w15:restartNumberingAfterBreak="0">
    <w:nsid w:val="40855D09"/>
    <w:multiLevelType w:val="hybridMultilevel"/>
    <w:tmpl w:val="F52E80EA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AA6EC5"/>
    <w:multiLevelType w:val="hybridMultilevel"/>
    <w:tmpl w:val="DE4824D0"/>
    <w:lvl w:ilvl="0" w:tplc="A0545D0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93746"/>
    <w:multiLevelType w:val="hybridMultilevel"/>
    <w:tmpl w:val="B73E6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164D00"/>
    <w:multiLevelType w:val="hybridMultilevel"/>
    <w:tmpl w:val="9B7EA136"/>
    <w:lvl w:ilvl="0" w:tplc="080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24" w15:restartNumberingAfterBreak="0">
    <w:nsid w:val="567E56C9"/>
    <w:multiLevelType w:val="hybridMultilevel"/>
    <w:tmpl w:val="6B40FC6E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605969"/>
    <w:multiLevelType w:val="hybridMultilevel"/>
    <w:tmpl w:val="CD84F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A394E"/>
    <w:multiLevelType w:val="hybridMultilevel"/>
    <w:tmpl w:val="6D04B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B1E27"/>
    <w:multiLevelType w:val="hybridMultilevel"/>
    <w:tmpl w:val="3288196C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0D03DB"/>
    <w:multiLevelType w:val="multilevel"/>
    <w:tmpl w:val="298082E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68BB2E3A"/>
    <w:multiLevelType w:val="hybridMultilevel"/>
    <w:tmpl w:val="468CF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E2B30"/>
    <w:multiLevelType w:val="hybridMultilevel"/>
    <w:tmpl w:val="F68A93A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E062B08"/>
    <w:multiLevelType w:val="hybridMultilevel"/>
    <w:tmpl w:val="00922FA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02872D0"/>
    <w:multiLevelType w:val="hybridMultilevel"/>
    <w:tmpl w:val="D118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A6BA4"/>
    <w:multiLevelType w:val="hybridMultilevel"/>
    <w:tmpl w:val="93DE5060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 w15:restartNumberingAfterBreak="0">
    <w:nsid w:val="74872E79"/>
    <w:multiLevelType w:val="hybridMultilevel"/>
    <w:tmpl w:val="F52E80EA"/>
    <w:lvl w:ilvl="0" w:tplc="8EBAF730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100637"/>
    <w:multiLevelType w:val="hybridMultilevel"/>
    <w:tmpl w:val="1DE8B96E"/>
    <w:lvl w:ilvl="0" w:tplc="BF92CEE6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787736"/>
    <w:multiLevelType w:val="multilevel"/>
    <w:tmpl w:val="D72A0E32"/>
    <w:lvl w:ilvl="0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7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59" w:hanging="1800"/>
      </w:pPr>
      <w:rPr>
        <w:rFonts w:hint="default"/>
      </w:rPr>
    </w:lvl>
  </w:abstractNum>
  <w:abstractNum w:abstractNumId="37" w15:restartNumberingAfterBreak="0">
    <w:nsid w:val="7BE66DA7"/>
    <w:multiLevelType w:val="hybridMultilevel"/>
    <w:tmpl w:val="613CD4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65540C"/>
    <w:multiLevelType w:val="hybridMultilevel"/>
    <w:tmpl w:val="3100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4"/>
  </w:num>
  <w:num w:numId="3">
    <w:abstractNumId w:val="8"/>
  </w:num>
  <w:num w:numId="4">
    <w:abstractNumId w:val="37"/>
  </w:num>
  <w:num w:numId="5">
    <w:abstractNumId w:val="11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9"/>
  </w:num>
  <w:num w:numId="11">
    <w:abstractNumId w:val="3"/>
  </w:num>
  <w:num w:numId="12">
    <w:abstractNumId w:val="27"/>
  </w:num>
  <w:num w:numId="13">
    <w:abstractNumId w:val="5"/>
  </w:num>
  <w:num w:numId="14">
    <w:abstractNumId w:val="17"/>
  </w:num>
  <w:num w:numId="15">
    <w:abstractNumId w:val="12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29"/>
  </w:num>
  <w:num w:numId="19">
    <w:abstractNumId w:val="4"/>
  </w:num>
  <w:num w:numId="20">
    <w:abstractNumId w:val="26"/>
  </w:num>
  <w:num w:numId="21">
    <w:abstractNumId w:val="22"/>
  </w:num>
  <w:num w:numId="22">
    <w:abstractNumId w:val="24"/>
  </w:num>
  <w:num w:numId="23">
    <w:abstractNumId w:val="23"/>
  </w:num>
  <w:num w:numId="24">
    <w:abstractNumId w:val="30"/>
  </w:num>
  <w:num w:numId="25">
    <w:abstractNumId w:val="31"/>
  </w:num>
  <w:num w:numId="26">
    <w:abstractNumId w:val="18"/>
  </w:num>
  <w:num w:numId="27">
    <w:abstractNumId w:val="28"/>
  </w:num>
  <w:num w:numId="28">
    <w:abstractNumId w:val="7"/>
  </w:num>
  <w:num w:numId="29">
    <w:abstractNumId w:val="33"/>
  </w:num>
  <w:num w:numId="30">
    <w:abstractNumId w:val="35"/>
  </w:num>
  <w:num w:numId="31">
    <w:abstractNumId w:val="2"/>
  </w:num>
  <w:num w:numId="32">
    <w:abstractNumId w:val="10"/>
  </w:num>
  <w:num w:numId="33">
    <w:abstractNumId w:val="0"/>
  </w:num>
  <w:num w:numId="34">
    <w:abstractNumId w:val="13"/>
  </w:num>
  <w:num w:numId="35">
    <w:abstractNumId w:val="19"/>
  </w:num>
  <w:num w:numId="36">
    <w:abstractNumId w:val="25"/>
  </w:num>
  <w:num w:numId="37">
    <w:abstractNumId w:val="38"/>
  </w:num>
  <w:num w:numId="38">
    <w:abstractNumId w:val="6"/>
  </w:num>
  <w:num w:numId="39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28"/>
    <w:rsid w:val="00001869"/>
    <w:rsid w:val="00005475"/>
    <w:rsid w:val="000141FB"/>
    <w:rsid w:val="00025129"/>
    <w:rsid w:val="00026F87"/>
    <w:rsid w:val="0003013C"/>
    <w:rsid w:val="00034002"/>
    <w:rsid w:val="00035A7B"/>
    <w:rsid w:val="00036C28"/>
    <w:rsid w:val="00043C29"/>
    <w:rsid w:val="00045AFF"/>
    <w:rsid w:val="0004675D"/>
    <w:rsid w:val="0005172B"/>
    <w:rsid w:val="00060427"/>
    <w:rsid w:val="000621E8"/>
    <w:rsid w:val="00064112"/>
    <w:rsid w:val="0007695D"/>
    <w:rsid w:val="00083C71"/>
    <w:rsid w:val="000853F9"/>
    <w:rsid w:val="000A0581"/>
    <w:rsid w:val="000A129C"/>
    <w:rsid w:val="000A34F9"/>
    <w:rsid w:val="000B4130"/>
    <w:rsid w:val="000B78EB"/>
    <w:rsid w:val="000C0C6E"/>
    <w:rsid w:val="000D68AD"/>
    <w:rsid w:val="000E022F"/>
    <w:rsid w:val="000E20AA"/>
    <w:rsid w:val="000E26E0"/>
    <w:rsid w:val="000E3385"/>
    <w:rsid w:val="000E5523"/>
    <w:rsid w:val="000F0527"/>
    <w:rsid w:val="000F0597"/>
    <w:rsid w:val="000F0C7F"/>
    <w:rsid w:val="001019CE"/>
    <w:rsid w:val="00103ED7"/>
    <w:rsid w:val="00120E3E"/>
    <w:rsid w:val="001231FD"/>
    <w:rsid w:val="00141053"/>
    <w:rsid w:val="0014144E"/>
    <w:rsid w:val="00150C41"/>
    <w:rsid w:val="00151752"/>
    <w:rsid w:val="00152224"/>
    <w:rsid w:val="001541A3"/>
    <w:rsid w:val="00160DF3"/>
    <w:rsid w:val="001629D5"/>
    <w:rsid w:val="00164ED1"/>
    <w:rsid w:val="00165ADE"/>
    <w:rsid w:val="00166289"/>
    <w:rsid w:val="001707A1"/>
    <w:rsid w:val="00177B68"/>
    <w:rsid w:val="001816A0"/>
    <w:rsid w:val="00182A12"/>
    <w:rsid w:val="00183F38"/>
    <w:rsid w:val="00186745"/>
    <w:rsid w:val="001910D0"/>
    <w:rsid w:val="001949D4"/>
    <w:rsid w:val="001A0737"/>
    <w:rsid w:val="001A3120"/>
    <w:rsid w:val="001A4E2E"/>
    <w:rsid w:val="001A7BB3"/>
    <w:rsid w:val="001B744C"/>
    <w:rsid w:val="001C1B12"/>
    <w:rsid w:val="001C5131"/>
    <w:rsid w:val="001D0488"/>
    <w:rsid w:val="001D20E6"/>
    <w:rsid w:val="001D56AF"/>
    <w:rsid w:val="001D6B82"/>
    <w:rsid w:val="001E0A61"/>
    <w:rsid w:val="001F31E6"/>
    <w:rsid w:val="001F5050"/>
    <w:rsid w:val="001F6A06"/>
    <w:rsid w:val="00200286"/>
    <w:rsid w:val="002024A7"/>
    <w:rsid w:val="00203D1B"/>
    <w:rsid w:val="00207799"/>
    <w:rsid w:val="00212C39"/>
    <w:rsid w:val="00223831"/>
    <w:rsid w:val="00232759"/>
    <w:rsid w:val="00254FAC"/>
    <w:rsid w:val="002604B7"/>
    <w:rsid w:val="00261D03"/>
    <w:rsid w:val="00263533"/>
    <w:rsid w:val="00266AC3"/>
    <w:rsid w:val="00266F59"/>
    <w:rsid w:val="00274F98"/>
    <w:rsid w:val="00275D97"/>
    <w:rsid w:val="00284C72"/>
    <w:rsid w:val="0028680C"/>
    <w:rsid w:val="00290B0C"/>
    <w:rsid w:val="002934A4"/>
    <w:rsid w:val="00296DA5"/>
    <w:rsid w:val="002A0388"/>
    <w:rsid w:val="002A05AF"/>
    <w:rsid w:val="002A16B9"/>
    <w:rsid w:val="002A7C9F"/>
    <w:rsid w:val="002B2E0F"/>
    <w:rsid w:val="002B542C"/>
    <w:rsid w:val="002B6151"/>
    <w:rsid w:val="002B6626"/>
    <w:rsid w:val="002B6B09"/>
    <w:rsid w:val="002C1418"/>
    <w:rsid w:val="002C625C"/>
    <w:rsid w:val="002D1684"/>
    <w:rsid w:val="002D55D7"/>
    <w:rsid w:val="002D57E8"/>
    <w:rsid w:val="002E0280"/>
    <w:rsid w:val="002F22D7"/>
    <w:rsid w:val="002F31C2"/>
    <w:rsid w:val="002F4BB0"/>
    <w:rsid w:val="002F5D40"/>
    <w:rsid w:val="002F780C"/>
    <w:rsid w:val="003002D5"/>
    <w:rsid w:val="003026A9"/>
    <w:rsid w:val="00312BF7"/>
    <w:rsid w:val="00316EE9"/>
    <w:rsid w:val="003173B9"/>
    <w:rsid w:val="003205DC"/>
    <w:rsid w:val="00330AA6"/>
    <w:rsid w:val="00331E6E"/>
    <w:rsid w:val="00340B74"/>
    <w:rsid w:val="00347D82"/>
    <w:rsid w:val="00351D4B"/>
    <w:rsid w:val="003561F9"/>
    <w:rsid w:val="0035776D"/>
    <w:rsid w:val="00360AFD"/>
    <w:rsid w:val="00382D10"/>
    <w:rsid w:val="00386763"/>
    <w:rsid w:val="003A6A89"/>
    <w:rsid w:val="003A6F45"/>
    <w:rsid w:val="003D7107"/>
    <w:rsid w:val="003E2B62"/>
    <w:rsid w:val="003F3E53"/>
    <w:rsid w:val="003F478C"/>
    <w:rsid w:val="003F66B0"/>
    <w:rsid w:val="003F7F7A"/>
    <w:rsid w:val="00400D76"/>
    <w:rsid w:val="00403FEF"/>
    <w:rsid w:val="00405F0F"/>
    <w:rsid w:val="00406F34"/>
    <w:rsid w:val="00407D1D"/>
    <w:rsid w:val="0041318E"/>
    <w:rsid w:val="00417791"/>
    <w:rsid w:val="0042329D"/>
    <w:rsid w:val="00425781"/>
    <w:rsid w:val="004274E9"/>
    <w:rsid w:val="00427C62"/>
    <w:rsid w:val="004301E9"/>
    <w:rsid w:val="0045029C"/>
    <w:rsid w:val="0045056F"/>
    <w:rsid w:val="00452722"/>
    <w:rsid w:val="00456C0C"/>
    <w:rsid w:val="0046545A"/>
    <w:rsid w:val="0047064F"/>
    <w:rsid w:val="00473E77"/>
    <w:rsid w:val="00475C17"/>
    <w:rsid w:val="00482DAD"/>
    <w:rsid w:val="00484CBE"/>
    <w:rsid w:val="004A5455"/>
    <w:rsid w:val="004C3DFA"/>
    <w:rsid w:val="004C734D"/>
    <w:rsid w:val="004D600E"/>
    <w:rsid w:val="004E4258"/>
    <w:rsid w:val="004F03AF"/>
    <w:rsid w:val="004F66BD"/>
    <w:rsid w:val="00502A2D"/>
    <w:rsid w:val="0051003C"/>
    <w:rsid w:val="00510AD5"/>
    <w:rsid w:val="0051196A"/>
    <w:rsid w:val="0051709E"/>
    <w:rsid w:val="005205B0"/>
    <w:rsid w:val="005209F6"/>
    <w:rsid w:val="00522030"/>
    <w:rsid w:val="00542F39"/>
    <w:rsid w:val="00546DF5"/>
    <w:rsid w:val="00551437"/>
    <w:rsid w:val="005604CB"/>
    <w:rsid w:val="00560A02"/>
    <w:rsid w:val="00560EF9"/>
    <w:rsid w:val="00565434"/>
    <w:rsid w:val="00576DAE"/>
    <w:rsid w:val="00581C60"/>
    <w:rsid w:val="005845EF"/>
    <w:rsid w:val="00593C20"/>
    <w:rsid w:val="00597575"/>
    <w:rsid w:val="005A52F6"/>
    <w:rsid w:val="005B373F"/>
    <w:rsid w:val="005C4C5E"/>
    <w:rsid w:val="005C61B7"/>
    <w:rsid w:val="005F0CC4"/>
    <w:rsid w:val="005F1BDE"/>
    <w:rsid w:val="005F2B1D"/>
    <w:rsid w:val="005F535B"/>
    <w:rsid w:val="005F7803"/>
    <w:rsid w:val="00603716"/>
    <w:rsid w:val="0060546E"/>
    <w:rsid w:val="00615439"/>
    <w:rsid w:val="00616D70"/>
    <w:rsid w:val="00623A7E"/>
    <w:rsid w:val="006336C9"/>
    <w:rsid w:val="006378A8"/>
    <w:rsid w:val="00642B88"/>
    <w:rsid w:val="00672CF5"/>
    <w:rsid w:val="00673935"/>
    <w:rsid w:val="00674946"/>
    <w:rsid w:val="00680A39"/>
    <w:rsid w:val="00695D63"/>
    <w:rsid w:val="006A04FC"/>
    <w:rsid w:val="006A0B0A"/>
    <w:rsid w:val="006B27BA"/>
    <w:rsid w:val="006B5D13"/>
    <w:rsid w:val="006B6416"/>
    <w:rsid w:val="006B66A4"/>
    <w:rsid w:val="006B6AB8"/>
    <w:rsid w:val="006C081D"/>
    <w:rsid w:val="006C0873"/>
    <w:rsid w:val="006C7C15"/>
    <w:rsid w:val="006C7CAF"/>
    <w:rsid w:val="006D4194"/>
    <w:rsid w:val="006D51F9"/>
    <w:rsid w:val="006E1CE4"/>
    <w:rsid w:val="006E50BB"/>
    <w:rsid w:val="006E59FA"/>
    <w:rsid w:val="006F74A2"/>
    <w:rsid w:val="007056A0"/>
    <w:rsid w:val="00707E83"/>
    <w:rsid w:val="0071540D"/>
    <w:rsid w:val="007205A9"/>
    <w:rsid w:val="00722DED"/>
    <w:rsid w:val="00734C4E"/>
    <w:rsid w:val="00735E43"/>
    <w:rsid w:val="00737240"/>
    <w:rsid w:val="007401A6"/>
    <w:rsid w:val="00742DAF"/>
    <w:rsid w:val="00745546"/>
    <w:rsid w:val="00750807"/>
    <w:rsid w:val="00752DF4"/>
    <w:rsid w:val="00755EB9"/>
    <w:rsid w:val="00760724"/>
    <w:rsid w:val="00773704"/>
    <w:rsid w:val="007777DB"/>
    <w:rsid w:val="00794777"/>
    <w:rsid w:val="007A64AF"/>
    <w:rsid w:val="007A69F4"/>
    <w:rsid w:val="007B31F4"/>
    <w:rsid w:val="007B481A"/>
    <w:rsid w:val="007B7185"/>
    <w:rsid w:val="007B749F"/>
    <w:rsid w:val="007C1B04"/>
    <w:rsid w:val="007C2E12"/>
    <w:rsid w:val="007C451C"/>
    <w:rsid w:val="007D0200"/>
    <w:rsid w:val="007D159A"/>
    <w:rsid w:val="007D201A"/>
    <w:rsid w:val="007D5128"/>
    <w:rsid w:val="007D7B7B"/>
    <w:rsid w:val="007E1687"/>
    <w:rsid w:val="007E2075"/>
    <w:rsid w:val="007E2A9C"/>
    <w:rsid w:val="007E5706"/>
    <w:rsid w:val="007E5FE2"/>
    <w:rsid w:val="00803984"/>
    <w:rsid w:val="00804DF2"/>
    <w:rsid w:val="0081513F"/>
    <w:rsid w:val="00821966"/>
    <w:rsid w:val="00825ED9"/>
    <w:rsid w:val="008315C6"/>
    <w:rsid w:val="00833AA9"/>
    <w:rsid w:val="00846887"/>
    <w:rsid w:val="00847590"/>
    <w:rsid w:val="008500A5"/>
    <w:rsid w:val="008501F9"/>
    <w:rsid w:val="008512DE"/>
    <w:rsid w:val="00855A19"/>
    <w:rsid w:val="008607C7"/>
    <w:rsid w:val="008618DA"/>
    <w:rsid w:val="0086210E"/>
    <w:rsid w:val="00870469"/>
    <w:rsid w:val="00872A12"/>
    <w:rsid w:val="008732F0"/>
    <w:rsid w:val="00873308"/>
    <w:rsid w:val="00877D48"/>
    <w:rsid w:val="008836FF"/>
    <w:rsid w:val="008963CF"/>
    <w:rsid w:val="00897CAB"/>
    <w:rsid w:val="008A02E6"/>
    <w:rsid w:val="008A601E"/>
    <w:rsid w:val="008A61ED"/>
    <w:rsid w:val="008B2C76"/>
    <w:rsid w:val="008B4357"/>
    <w:rsid w:val="008B465E"/>
    <w:rsid w:val="008C7DB4"/>
    <w:rsid w:val="008D32BC"/>
    <w:rsid w:val="008F46B3"/>
    <w:rsid w:val="0090159C"/>
    <w:rsid w:val="00905DD5"/>
    <w:rsid w:val="009134C8"/>
    <w:rsid w:val="00914043"/>
    <w:rsid w:val="00917B4D"/>
    <w:rsid w:val="00922169"/>
    <w:rsid w:val="00922296"/>
    <w:rsid w:val="0092376B"/>
    <w:rsid w:val="00932557"/>
    <w:rsid w:val="00936027"/>
    <w:rsid w:val="009367D7"/>
    <w:rsid w:val="00937504"/>
    <w:rsid w:val="009403ED"/>
    <w:rsid w:val="0094209C"/>
    <w:rsid w:val="00942C94"/>
    <w:rsid w:val="009453ED"/>
    <w:rsid w:val="009457FF"/>
    <w:rsid w:val="0094733B"/>
    <w:rsid w:val="00947B2E"/>
    <w:rsid w:val="00954F5C"/>
    <w:rsid w:val="00955AF3"/>
    <w:rsid w:val="00956BAD"/>
    <w:rsid w:val="0096426A"/>
    <w:rsid w:val="00980B32"/>
    <w:rsid w:val="00981942"/>
    <w:rsid w:val="00987614"/>
    <w:rsid w:val="00993D56"/>
    <w:rsid w:val="0099568F"/>
    <w:rsid w:val="00997DB6"/>
    <w:rsid w:val="009A1AA6"/>
    <w:rsid w:val="009B2988"/>
    <w:rsid w:val="009B2D3A"/>
    <w:rsid w:val="009C0C0F"/>
    <w:rsid w:val="009C13DC"/>
    <w:rsid w:val="009C24C3"/>
    <w:rsid w:val="009C376A"/>
    <w:rsid w:val="009D09AF"/>
    <w:rsid w:val="009D4735"/>
    <w:rsid w:val="009E03A7"/>
    <w:rsid w:val="009E2C44"/>
    <w:rsid w:val="009E7582"/>
    <w:rsid w:val="00A03336"/>
    <w:rsid w:val="00A06A9E"/>
    <w:rsid w:val="00A13489"/>
    <w:rsid w:val="00A144CA"/>
    <w:rsid w:val="00A21E9C"/>
    <w:rsid w:val="00A22ECE"/>
    <w:rsid w:val="00A425F6"/>
    <w:rsid w:val="00A45653"/>
    <w:rsid w:val="00A51F66"/>
    <w:rsid w:val="00A543AF"/>
    <w:rsid w:val="00A579D9"/>
    <w:rsid w:val="00A601F8"/>
    <w:rsid w:val="00A61A4D"/>
    <w:rsid w:val="00A61B66"/>
    <w:rsid w:val="00A64E4A"/>
    <w:rsid w:val="00A659B1"/>
    <w:rsid w:val="00A667A6"/>
    <w:rsid w:val="00A71E85"/>
    <w:rsid w:val="00A75AD0"/>
    <w:rsid w:val="00A81FBA"/>
    <w:rsid w:val="00A86211"/>
    <w:rsid w:val="00A906AF"/>
    <w:rsid w:val="00AA0E23"/>
    <w:rsid w:val="00AA2622"/>
    <w:rsid w:val="00AA39FF"/>
    <w:rsid w:val="00AA575F"/>
    <w:rsid w:val="00AB2E4A"/>
    <w:rsid w:val="00AC191C"/>
    <w:rsid w:val="00AD6972"/>
    <w:rsid w:val="00AE5150"/>
    <w:rsid w:val="00AF4C0F"/>
    <w:rsid w:val="00AF52F7"/>
    <w:rsid w:val="00B07869"/>
    <w:rsid w:val="00B17DAD"/>
    <w:rsid w:val="00B17F13"/>
    <w:rsid w:val="00B2191A"/>
    <w:rsid w:val="00B23C5E"/>
    <w:rsid w:val="00B26F95"/>
    <w:rsid w:val="00B307E4"/>
    <w:rsid w:val="00B436B1"/>
    <w:rsid w:val="00B444B0"/>
    <w:rsid w:val="00B504B5"/>
    <w:rsid w:val="00B640FB"/>
    <w:rsid w:val="00B64E70"/>
    <w:rsid w:val="00B67A00"/>
    <w:rsid w:val="00B67AEC"/>
    <w:rsid w:val="00B72EF8"/>
    <w:rsid w:val="00B77D3D"/>
    <w:rsid w:val="00B80B99"/>
    <w:rsid w:val="00B8106D"/>
    <w:rsid w:val="00B839B0"/>
    <w:rsid w:val="00B8718A"/>
    <w:rsid w:val="00B9073B"/>
    <w:rsid w:val="00B94A39"/>
    <w:rsid w:val="00BA59A1"/>
    <w:rsid w:val="00BB363C"/>
    <w:rsid w:val="00BB3E49"/>
    <w:rsid w:val="00BC1778"/>
    <w:rsid w:val="00BC22CB"/>
    <w:rsid w:val="00BD0BD8"/>
    <w:rsid w:val="00BD2133"/>
    <w:rsid w:val="00BD31D3"/>
    <w:rsid w:val="00BD55D5"/>
    <w:rsid w:val="00BD63EF"/>
    <w:rsid w:val="00BE19D8"/>
    <w:rsid w:val="00BE22CB"/>
    <w:rsid w:val="00BE520F"/>
    <w:rsid w:val="00BE70E5"/>
    <w:rsid w:val="00BE7C16"/>
    <w:rsid w:val="00BF66FE"/>
    <w:rsid w:val="00C05616"/>
    <w:rsid w:val="00C2315E"/>
    <w:rsid w:val="00C279F2"/>
    <w:rsid w:val="00C31421"/>
    <w:rsid w:val="00C3216F"/>
    <w:rsid w:val="00C3340D"/>
    <w:rsid w:val="00C3581C"/>
    <w:rsid w:val="00C36F96"/>
    <w:rsid w:val="00C37123"/>
    <w:rsid w:val="00C418BE"/>
    <w:rsid w:val="00C50D6D"/>
    <w:rsid w:val="00C56A64"/>
    <w:rsid w:val="00C60540"/>
    <w:rsid w:val="00C67E07"/>
    <w:rsid w:val="00C67F56"/>
    <w:rsid w:val="00C70E95"/>
    <w:rsid w:val="00C76290"/>
    <w:rsid w:val="00C7665E"/>
    <w:rsid w:val="00C821FE"/>
    <w:rsid w:val="00C85B20"/>
    <w:rsid w:val="00C870C4"/>
    <w:rsid w:val="00C87BD1"/>
    <w:rsid w:val="00C927F8"/>
    <w:rsid w:val="00C94F6B"/>
    <w:rsid w:val="00CA2399"/>
    <w:rsid w:val="00CA563F"/>
    <w:rsid w:val="00CB026C"/>
    <w:rsid w:val="00CB0AB6"/>
    <w:rsid w:val="00CB5CE4"/>
    <w:rsid w:val="00CB6620"/>
    <w:rsid w:val="00CC5531"/>
    <w:rsid w:val="00CC5A8A"/>
    <w:rsid w:val="00CD189A"/>
    <w:rsid w:val="00CD279F"/>
    <w:rsid w:val="00CD282B"/>
    <w:rsid w:val="00CD4821"/>
    <w:rsid w:val="00CD7B40"/>
    <w:rsid w:val="00CE2E54"/>
    <w:rsid w:val="00CE6D46"/>
    <w:rsid w:val="00D01035"/>
    <w:rsid w:val="00D013FA"/>
    <w:rsid w:val="00D035EF"/>
    <w:rsid w:val="00D03694"/>
    <w:rsid w:val="00D1441D"/>
    <w:rsid w:val="00D14D05"/>
    <w:rsid w:val="00D17705"/>
    <w:rsid w:val="00D2168E"/>
    <w:rsid w:val="00D2366D"/>
    <w:rsid w:val="00D238B2"/>
    <w:rsid w:val="00D24CE0"/>
    <w:rsid w:val="00D24F97"/>
    <w:rsid w:val="00D256CD"/>
    <w:rsid w:val="00D30FD7"/>
    <w:rsid w:val="00D3758B"/>
    <w:rsid w:val="00D44D49"/>
    <w:rsid w:val="00D456D0"/>
    <w:rsid w:val="00D47BF6"/>
    <w:rsid w:val="00D53607"/>
    <w:rsid w:val="00D53DC6"/>
    <w:rsid w:val="00D55153"/>
    <w:rsid w:val="00D55FED"/>
    <w:rsid w:val="00D6174A"/>
    <w:rsid w:val="00D64AD8"/>
    <w:rsid w:val="00D8300B"/>
    <w:rsid w:val="00D8690F"/>
    <w:rsid w:val="00D9008C"/>
    <w:rsid w:val="00D91330"/>
    <w:rsid w:val="00D9260F"/>
    <w:rsid w:val="00D93376"/>
    <w:rsid w:val="00D969EC"/>
    <w:rsid w:val="00DA0722"/>
    <w:rsid w:val="00DA3FD4"/>
    <w:rsid w:val="00DA6008"/>
    <w:rsid w:val="00DB1E11"/>
    <w:rsid w:val="00DB4D71"/>
    <w:rsid w:val="00DC4B78"/>
    <w:rsid w:val="00DC6164"/>
    <w:rsid w:val="00DD5EEE"/>
    <w:rsid w:val="00DF2832"/>
    <w:rsid w:val="00DF3E38"/>
    <w:rsid w:val="00DF6253"/>
    <w:rsid w:val="00E01B88"/>
    <w:rsid w:val="00E02B19"/>
    <w:rsid w:val="00E0475D"/>
    <w:rsid w:val="00E068C1"/>
    <w:rsid w:val="00E1202C"/>
    <w:rsid w:val="00E13719"/>
    <w:rsid w:val="00E20FC5"/>
    <w:rsid w:val="00E47BA7"/>
    <w:rsid w:val="00E47D76"/>
    <w:rsid w:val="00E52EEB"/>
    <w:rsid w:val="00E557B5"/>
    <w:rsid w:val="00E60E03"/>
    <w:rsid w:val="00E64B7F"/>
    <w:rsid w:val="00E70347"/>
    <w:rsid w:val="00E74365"/>
    <w:rsid w:val="00E80111"/>
    <w:rsid w:val="00E8563F"/>
    <w:rsid w:val="00EA6B1A"/>
    <w:rsid w:val="00EA7873"/>
    <w:rsid w:val="00EB4D37"/>
    <w:rsid w:val="00EB5826"/>
    <w:rsid w:val="00EC3B2B"/>
    <w:rsid w:val="00EC4C37"/>
    <w:rsid w:val="00ED434B"/>
    <w:rsid w:val="00EE5A38"/>
    <w:rsid w:val="00EF2FC8"/>
    <w:rsid w:val="00EF38A3"/>
    <w:rsid w:val="00EF6F62"/>
    <w:rsid w:val="00F03123"/>
    <w:rsid w:val="00F04FE3"/>
    <w:rsid w:val="00F15473"/>
    <w:rsid w:val="00F22950"/>
    <w:rsid w:val="00F23631"/>
    <w:rsid w:val="00F26676"/>
    <w:rsid w:val="00F26DDC"/>
    <w:rsid w:val="00F312A9"/>
    <w:rsid w:val="00F318F1"/>
    <w:rsid w:val="00F437DD"/>
    <w:rsid w:val="00F53C31"/>
    <w:rsid w:val="00F55B6B"/>
    <w:rsid w:val="00F612EF"/>
    <w:rsid w:val="00F63F4B"/>
    <w:rsid w:val="00F6643B"/>
    <w:rsid w:val="00F6658D"/>
    <w:rsid w:val="00F67AA8"/>
    <w:rsid w:val="00F7689E"/>
    <w:rsid w:val="00F77C47"/>
    <w:rsid w:val="00F80982"/>
    <w:rsid w:val="00F83C13"/>
    <w:rsid w:val="00F85068"/>
    <w:rsid w:val="00F87948"/>
    <w:rsid w:val="00FA0E17"/>
    <w:rsid w:val="00FA7340"/>
    <w:rsid w:val="00FB16D7"/>
    <w:rsid w:val="00FB2DBC"/>
    <w:rsid w:val="00FB58C3"/>
    <w:rsid w:val="00FB73E2"/>
    <w:rsid w:val="00FB7818"/>
    <w:rsid w:val="00FC04C0"/>
    <w:rsid w:val="00FC559B"/>
    <w:rsid w:val="00FD6806"/>
    <w:rsid w:val="00FD7869"/>
    <w:rsid w:val="00FE56C7"/>
    <w:rsid w:val="00FF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09A22"/>
  <w15:docId w15:val="{74B75013-99DC-45FB-B8CF-AFDDC6F08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0E3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39"/>
    <w:rsid w:val="0020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54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3A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33AA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33A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33AA9"/>
    <w:rPr>
      <w:sz w:val="22"/>
      <w:szCs w:val="22"/>
      <w:lang w:eastAsia="en-US"/>
    </w:rPr>
  </w:style>
  <w:style w:type="character" w:styleId="PageNumber">
    <w:name w:val="page number"/>
    <w:rsid w:val="00833AA9"/>
  </w:style>
  <w:style w:type="table" w:customStyle="1" w:styleId="TableGrid1">
    <w:name w:val="Table Grid1"/>
    <w:basedOn w:val="TableNormal"/>
    <w:next w:val="TableGrid"/>
    <w:uiPriority w:val="59"/>
    <w:rsid w:val="00833AA9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17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DA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17DA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DA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7DAD"/>
    <w:rPr>
      <w:b/>
      <w:bCs/>
      <w:lang w:eastAsia="en-US"/>
    </w:rPr>
  </w:style>
  <w:style w:type="table" w:customStyle="1" w:styleId="TableGrid2">
    <w:name w:val="Table Grid2"/>
    <w:basedOn w:val="TableNormal"/>
    <w:next w:val="TableGrid"/>
    <w:uiPriority w:val="59"/>
    <w:rsid w:val="00D010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D47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D473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A75AD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C05616"/>
    <w:pPr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038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EEEB-A562-4BC0-BE6E-9DB3285A5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9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Jemma Vinnicombe</dc:creator>
  <cp:lastModifiedBy>Jackie MacKenzie - High Life Highland</cp:lastModifiedBy>
  <cp:revision>19</cp:revision>
  <cp:lastPrinted>2019-11-25T12:03:00Z</cp:lastPrinted>
  <dcterms:created xsi:type="dcterms:W3CDTF">2020-03-02T11:29:00Z</dcterms:created>
  <dcterms:modified xsi:type="dcterms:W3CDTF">2020-03-09T15:48:00Z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