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7214D1" w14:paraId="05275FA8" w14:textId="77777777" w:rsidTr="00DE1E6C">
        <w:trPr>
          <w:cantSplit/>
          <w:trHeight w:val="993"/>
        </w:trPr>
        <w:tc>
          <w:tcPr>
            <w:tcW w:w="6629" w:type="dxa"/>
          </w:tcPr>
          <w:p w14:paraId="1FA06D78" w14:textId="77777777" w:rsidR="00DE1E6C" w:rsidRDefault="00B84929" w:rsidP="002B7DC4">
            <w:pPr>
              <w:pStyle w:val="BodyText"/>
              <w:jc w:val="left"/>
              <w:rPr>
                <w:rFonts w:ascii="Arial" w:hAnsi="Arial" w:cs="Arial"/>
                <w:szCs w:val="24"/>
              </w:rPr>
            </w:pPr>
            <w:r>
              <w:rPr>
                <w:rFonts w:ascii="Arial" w:hAnsi="Arial" w:cs="Arial"/>
                <w:szCs w:val="24"/>
              </w:rPr>
              <w:t xml:space="preserve">HIGH LIFE HIGHLAND </w:t>
            </w:r>
          </w:p>
          <w:p w14:paraId="68944E36" w14:textId="77777777" w:rsidR="002B7DC4" w:rsidRDefault="00DE1E6C" w:rsidP="002B7DC4">
            <w:pPr>
              <w:pStyle w:val="BodyText"/>
              <w:jc w:val="left"/>
              <w:rPr>
                <w:rFonts w:ascii="Arial" w:hAnsi="Arial" w:cs="Arial"/>
                <w:szCs w:val="24"/>
              </w:rPr>
            </w:pPr>
            <w:r>
              <w:rPr>
                <w:rFonts w:ascii="Arial" w:hAnsi="Arial" w:cs="Arial"/>
                <w:szCs w:val="24"/>
              </w:rPr>
              <w:t>REPORT TO BOARD OF DIRECTORS</w:t>
            </w:r>
          </w:p>
          <w:p w14:paraId="1C89619C" w14:textId="768D6511" w:rsidR="00017D2E" w:rsidRDefault="002C5CBE" w:rsidP="002B7DC4">
            <w:pPr>
              <w:pStyle w:val="BodyText"/>
              <w:jc w:val="left"/>
              <w:rPr>
                <w:rFonts w:ascii="Arial" w:hAnsi="Arial" w:cs="Arial"/>
                <w:szCs w:val="24"/>
              </w:rPr>
            </w:pPr>
            <w:r>
              <w:rPr>
                <w:rFonts w:ascii="Arial" w:hAnsi="Arial" w:cs="Arial"/>
                <w:szCs w:val="24"/>
              </w:rPr>
              <w:t xml:space="preserve">18 </w:t>
            </w:r>
            <w:r w:rsidR="009E7AF8">
              <w:rPr>
                <w:rFonts w:ascii="Arial" w:hAnsi="Arial" w:cs="Arial"/>
                <w:szCs w:val="24"/>
              </w:rPr>
              <w:t>June</w:t>
            </w:r>
            <w:r w:rsidR="007203F1">
              <w:rPr>
                <w:rFonts w:ascii="Arial" w:hAnsi="Arial" w:cs="Arial"/>
                <w:szCs w:val="24"/>
              </w:rPr>
              <w:t xml:space="preserve"> 2020</w:t>
            </w:r>
          </w:p>
          <w:p w14:paraId="5D72580A" w14:textId="77777777"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14:paraId="06A86495" w14:textId="77777777"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r w:rsidR="00B84929">
              <w:rPr>
                <w:rFonts w:ascii="Arial" w:hAnsi="Arial" w:cs="Arial"/>
                <w:szCs w:val="24"/>
              </w:rPr>
              <w:t xml:space="preserve">REPORT No </w:t>
            </w:r>
            <w:proofErr w:type="gramStart"/>
            <w:r w:rsidR="00B84929">
              <w:rPr>
                <w:rFonts w:ascii="Arial" w:hAnsi="Arial" w:cs="Arial"/>
                <w:szCs w:val="24"/>
              </w:rPr>
              <w:t>HLH</w:t>
            </w:r>
            <w:r w:rsidR="0060608D">
              <w:rPr>
                <w:rFonts w:ascii="Arial" w:hAnsi="Arial" w:cs="Arial"/>
                <w:szCs w:val="24"/>
              </w:rPr>
              <w:t xml:space="preserve">  </w:t>
            </w:r>
            <w:r w:rsidR="0042698E">
              <w:rPr>
                <w:rFonts w:ascii="Arial" w:hAnsi="Arial" w:cs="Arial"/>
                <w:szCs w:val="24"/>
              </w:rPr>
              <w:t>/</w:t>
            </w:r>
            <w:proofErr w:type="gramEnd"/>
            <w:r w:rsidR="000953AF">
              <w:rPr>
                <w:rFonts w:ascii="Arial" w:hAnsi="Arial" w:cs="Arial"/>
                <w:szCs w:val="24"/>
              </w:rPr>
              <w:t>20</w:t>
            </w:r>
          </w:p>
        </w:tc>
      </w:tr>
    </w:tbl>
    <w:p w14:paraId="528D53FF" w14:textId="77777777"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14:paraId="12DC3EAC" w14:textId="77777777"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14:paraId="229481DC" w14:textId="77777777">
        <w:trPr>
          <w:cantSplit/>
        </w:trPr>
        <w:tc>
          <w:tcPr>
            <w:tcW w:w="9464" w:type="dxa"/>
          </w:tcPr>
          <w:p w14:paraId="265D0894" w14:textId="77777777"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14:paraId="5A1EE32A" w14:textId="77777777"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4076AD">
              <w:rPr>
                <w:rFonts w:ascii="Arial" w:hAnsi="Arial" w:cs="Arial"/>
                <w:szCs w:val="24"/>
              </w:rPr>
              <w:t>January to March 2020</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Pr="001866ED">
              <w:rPr>
                <w:rFonts w:ascii="Arial" w:hAnsi="Arial" w:cs="Arial"/>
                <w:szCs w:val="24"/>
              </w:rPr>
              <w:t xml:space="preserve">.  </w:t>
            </w:r>
          </w:p>
          <w:p w14:paraId="6BB19890" w14:textId="77777777" w:rsidR="002C5CBE" w:rsidRPr="00E52812" w:rsidRDefault="00C42FCC" w:rsidP="002C5CBE">
            <w:pPr>
              <w:jc w:val="both"/>
              <w:rPr>
                <w:rFonts w:ascii="Arial" w:hAnsi="Arial" w:cs="Arial"/>
                <w:szCs w:val="24"/>
              </w:rPr>
            </w:pPr>
            <w:r w:rsidRPr="002C5CBE">
              <w:rPr>
                <w:rFonts w:ascii="Arial" w:hAnsi="Arial" w:cs="Arial"/>
                <w:szCs w:val="24"/>
              </w:rPr>
              <w:t xml:space="preserve"> </w:t>
            </w:r>
            <w:r w:rsidR="002C5CBE" w:rsidRPr="00E52812">
              <w:rPr>
                <w:rFonts w:ascii="Arial" w:hAnsi="Arial" w:cs="Arial"/>
                <w:szCs w:val="24"/>
              </w:rPr>
              <w:t xml:space="preserve">It is recommended that Directors: </w:t>
            </w:r>
          </w:p>
          <w:p w14:paraId="1736C759" w14:textId="77777777" w:rsidR="002C5CBE" w:rsidRPr="00E52812" w:rsidRDefault="002C5CBE" w:rsidP="002C5CBE">
            <w:pPr>
              <w:jc w:val="both"/>
              <w:rPr>
                <w:rFonts w:ascii="Arial" w:hAnsi="Arial" w:cs="Arial"/>
                <w:szCs w:val="24"/>
              </w:rPr>
            </w:pPr>
          </w:p>
          <w:p w14:paraId="2B8A5EB3" w14:textId="77777777" w:rsidR="002C5CBE" w:rsidRPr="00E52812" w:rsidRDefault="002C5CBE" w:rsidP="002C5CBE">
            <w:pPr>
              <w:pStyle w:val="ListParagraph"/>
              <w:numPr>
                <w:ilvl w:val="0"/>
                <w:numId w:val="3"/>
              </w:numPr>
              <w:jc w:val="both"/>
              <w:rPr>
                <w:rFonts w:ascii="Arial" w:hAnsi="Arial" w:cs="Arial"/>
                <w:sz w:val="24"/>
                <w:szCs w:val="24"/>
              </w:rPr>
            </w:pPr>
            <w:r w:rsidRPr="00E52812">
              <w:rPr>
                <w:rFonts w:ascii="Arial" w:hAnsi="Arial" w:cs="Arial"/>
                <w:sz w:val="24"/>
                <w:szCs w:val="24"/>
              </w:rPr>
              <w:t xml:space="preserve">note and comment on the content of the quarterly HR report including the update on the staffing establishment; </w:t>
            </w:r>
          </w:p>
          <w:p w14:paraId="3967662F" w14:textId="77777777" w:rsidR="002C5CBE" w:rsidRDefault="002C5CBE" w:rsidP="002C5CBE">
            <w:pPr>
              <w:pStyle w:val="ListParagraph"/>
              <w:numPr>
                <w:ilvl w:val="0"/>
                <w:numId w:val="3"/>
              </w:numPr>
              <w:jc w:val="both"/>
              <w:rPr>
                <w:rFonts w:ascii="Arial" w:hAnsi="Arial" w:cs="Arial"/>
                <w:sz w:val="24"/>
                <w:szCs w:val="24"/>
              </w:rPr>
            </w:pPr>
            <w:r w:rsidRPr="00E52812">
              <w:rPr>
                <w:rFonts w:ascii="Arial" w:hAnsi="Arial" w:cs="Arial"/>
                <w:sz w:val="24"/>
                <w:szCs w:val="24"/>
              </w:rPr>
              <w:t>note the amendments to the Special Leave Policy guidance notes; and</w:t>
            </w:r>
          </w:p>
          <w:p w14:paraId="613E000B" w14:textId="28B4C146" w:rsidR="00721569" w:rsidRPr="002C5CBE" w:rsidRDefault="002C5CBE" w:rsidP="002C5CBE">
            <w:pPr>
              <w:pStyle w:val="ListParagraph"/>
              <w:numPr>
                <w:ilvl w:val="0"/>
                <w:numId w:val="3"/>
              </w:numPr>
              <w:jc w:val="both"/>
              <w:rPr>
                <w:rFonts w:ascii="Arial" w:hAnsi="Arial" w:cs="Arial"/>
                <w:sz w:val="24"/>
                <w:szCs w:val="24"/>
              </w:rPr>
            </w:pPr>
            <w:r w:rsidRPr="00E52812">
              <w:rPr>
                <w:rFonts w:ascii="Arial" w:hAnsi="Arial" w:cs="Arial"/>
                <w:sz w:val="24"/>
                <w:szCs w:val="24"/>
              </w:rPr>
              <w:t>note the postponement of the 2020 Volunteer and Staff and Long Service Awards.</w:t>
            </w:r>
          </w:p>
        </w:tc>
      </w:tr>
    </w:tbl>
    <w:p w14:paraId="3646A2EC" w14:textId="77777777"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959"/>
        <w:gridCol w:w="8505"/>
      </w:tblGrid>
      <w:tr w:rsidR="006F5801" w:rsidRPr="007214D1" w14:paraId="4AF48498" w14:textId="77777777" w:rsidTr="00835331">
        <w:tc>
          <w:tcPr>
            <w:tcW w:w="959" w:type="dxa"/>
          </w:tcPr>
          <w:p w14:paraId="4EE514F2" w14:textId="77777777" w:rsidR="006F5801" w:rsidRPr="007214D1" w:rsidRDefault="006F5801" w:rsidP="00416BFF">
            <w:pPr>
              <w:rPr>
                <w:rFonts w:ascii="Arial" w:hAnsi="Arial" w:cs="Arial"/>
                <w:b/>
                <w:szCs w:val="24"/>
              </w:rPr>
            </w:pPr>
            <w:r>
              <w:rPr>
                <w:rFonts w:ascii="Arial" w:hAnsi="Arial" w:cs="Arial"/>
                <w:b/>
                <w:szCs w:val="24"/>
              </w:rPr>
              <w:t>1.</w:t>
            </w:r>
          </w:p>
        </w:tc>
        <w:tc>
          <w:tcPr>
            <w:tcW w:w="8505" w:type="dxa"/>
          </w:tcPr>
          <w:p w14:paraId="45616041" w14:textId="77777777" w:rsidR="006F5801" w:rsidRDefault="006F5801" w:rsidP="006F5801">
            <w:pPr>
              <w:jc w:val="both"/>
              <w:rPr>
                <w:rFonts w:ascii="Arial" w:hAnsi="Arial" w:cs="Arial"/>
                <w:b/>
                <w:szCs w:val="24"/>
              </w:rPr>
            </w:pPr>
            <w:r w:rsidRPr="00E66429">
              <w:rPr>
                <w:rFonts w:ascii="Arial" w:hAnsi="Arial" w:cs="Arial"/>
                <w:b/>
                <w:szCs w:val="24"/>
              </w:rPr>
              <w:t>Business Plan Contribution</w:t>
            </w:r>
          </w:p>
          <w:p w14:paraId="43B67D5F" w14:textId="77777777" w:rsidR="006F5801" w:rsidRPr="007214D1" w:rsidRDefault="006F5801" w:rsidP="00474274">
            <w:pPr>
              <w:pStyle w:val="Heading3"/>
              <w:rPr>
                <w:rFonts w:ascii="Arial" w:hAnsi="Arial" w:cs="Arial"/>
                <w:b/>
                <w:szCs w:val="24"/>
                <w:u w:val="none"/>
              </w:rPr>
            </w:pPr>
          </w:p>
        </w:tc>
      </w:tr>
      <w:tr w:rsidR="006F5801" w:rsidRPr="007214D1" w14:paraId="51BFBCEC" w14:textId="77777777" w:rsidTr="00835331">
        <w:tc>
          <w:tcPr>
            <w:tcW w:w="959" w:type="dxa"/>
          </w:tcPr>
          <w:p w14:paraId="218FA851" w14:textId="77777777" w:rsidR="006F5801" w:rsidRPr="006F5801" w:rsidRDefault="006F5801" w:rsidP="00416BFF">
            <w:pPr>
              <w:rPr>
                <w:rFonts w:ascii="Arial" w:hAnsi="Arial" w:cs="Arial"/>
                <w:szCs w:val="24"/>
              </w:rPr>
            </w:pPr>
            <w:r w:rsidRPr="006F5801">
              <w:rPr>
                <w:rFonts w:ascii="Arial" w:hAnsi="Arial" w:cs="Arial"/>
                <w:szCs w:val="24"/>
              </w:rPr>
              <w:t>1.1</w:t>
            </w:r>
          </w:p>
        </w:tc>
        <w:tc>
          <w:tcPr>
            <w:tcW w:w="8505" w:type="dxa"/>
          </w:tcPr>
          <w:p w14:paraId="1F38F0E3" w14:textId="77777777"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14:paraId="667DF68D" w14:textId="77777777" w:rsidR="0069225C" w:rsidRDefault="0069225C" w:rsidP="0069225C">
            <w:pPr>
              <w:jc w:val="both"/>
              <w:rPr>
                <w:rFonts w:ascii="Arial" w:hAnsi="Arial" w:cs="Arial"/>
              </w:rPr>
            </w:pPr>
          </w:p>
          <w:p w14:paraId="09686102"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14:paraId="045E3EC8"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14:paraId="2E9B22D9"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14:paraId="1094AE69"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14:paraId="32F3A1E0"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14:paraId="4795DCE6"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Be a trusted and effective partner</w:t>
            </w:r>
          </w:p>
          <w:p w14:paraId="5B484B2E"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14:paraId="7F790590" w14:textId="77777777"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14:paraId="60D76E0E" w14:textId="77777777"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14:paraId="43A5FBF5" w14:textId="77777777" w:rsidR="006F5801" w:rsidRPr="00460DE4" w:rsidRDefault="006F5801" w:rsidP="009C0A57">
            <w:pPr>
              <w:jc w:val="both"/>
              <w:rPr>
                <w:rFonts w:ascii="Arial" w:hAnsi="Arial" w:cs="Arial"/>
                <w:szCs w:val="24"/>
              </w:rPr>
            </w:pPr>
          </w:p>
        </w:tc>
      </w:tr>
      <w:tr w:rsidR="006F5801" w:rsidRPr="007214D1" w14:paraId="288F06A7" w14:textId="77777777" w:rsidTr="00835331">
        <w:tc>
          <w:tcPr>
            <w:tcW w:w="959" w:type="dxa"/>
          </w:tcPr>
          <w:p w14:paraId="43BF782F" w14:textId="77777777"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5" w:type="dxa"/>
          </w:tcPr>
          <w:p w14:paraId="237283BC" w14:textId="77777777"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14:paraId="7B3482E8" w14:textId="77777777" w:rsidR="006F5801" w:rsidRPr="00474274" w:rsidRDefault="006F5801" w:rsidP="00474274">
            <w:pPr>
              <w:jc w:val="both"/>
            </w:pPr>
          </w:p>
        </w:tc>
      </w:tr>
      <w:tr w:rsidR="006F5801" w:rsidRPr="007214D1" w14:paraId="585A89F3" w14:textId="77777777" w:rsidTr="00835331">
        <w:trPr>
          <w:trHeight w:val="542"/>
        </w:trPr>
        <w:tc>
          <w:tcPr>
            <w:tcW w:w="959" w:type="dxa"/>
          </w:tcPr>
          <w:p w14:paraId="11FEFEA0" w14:textId="77777777"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14:paraId="7E7AFE50" w14:textId="77777777" w:rsidR="00782718" w:rsidRDefault="00782718" w:rsidP="00416BFF">
            <w:pPr>
              <w:rPr>
                <w:rFonts w:ascii="Arial" w:hAnsi="Arial" w:cs="Arial"/>
                <w:szCs w:val="24"/>
              </w:rPr>
            </w:pPr>
          </w:p>
          <w:p w14:paraId="4F7B3A1F" w14:textId="77777777" w:rsidR="00782718" w:rsidRDefault="00782718" w:rsidP="00416BFF">
            <w:pPr>
              <w:rPr>
                <w:rFonts w:ascii="Arial" w:hAnsi="Arial" w:cs="Arial"/>
                <w:szCs w:val="24"/>
              </w:rPr>
            </w:pPr>
          </w:p>
          <w:p w14:paraId="4571A93A" w14:textId="77777777" w:rsidR="00782718" w:rsidRDefault="00782718" w:rsidP="00416BFF">
            <w:pPr>
              <w:rPr>
                <w:rFonts w:ascii="Arial" w:hAnsi="Arial" w:cs="Arial"/>
                <w:szCs w:val="24"/>
              </w:rPr>
            </w:pPr>
          </w:p>
          <w:p w14:paraId="3475FA7A" w14:textId="77777777" w:rsidR="00782718" w:rsidRDefault="00782718" w:rsidP="00416BFF">
            <w:pPr>
              <w:rPr>
                <w:rFonts w:ascii="Arial" w:hAnsi="Arial" w:cs="Arial"/>
                <w:szCs w:val="24"/>
              </w:rPr>
            </w:pPr>
          </w:p>
          <w:p w14:paraId="2D16DD15" w14:textId="77777777" w:rsidR="00742B9E" w:rsidRPr="00E66429" w:rsidRDefault="00742B9E" w:rsidP="00416BFF">
            <w:pPr>
              <w:rPr>
                <w:rFonts w:ascii="Arial" w:hAnsi="Arial" w:cs="Arial"/>
                <w:szCs w:val="24"/>
              </w:rPr>
            </w:pPr>
          </w:p>
        </w:tc>
        <w:tc>
          <w:tcPr>
            <w:tcW w:w="8505" w:type="dxa"/>
          </w:tcPr>
          <w:p w14:paraId="612C4266" w14:textId="77777777" w:rsidR="004120A6" w:rsidRDefault="006F5801" w:rsidP="00141185">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14:paraId="79FC1FBD" w14:textId="77777777" w:rsidR="00782718" w:rsidRPr="007214D1" w:rsidRDefault="00782718" w:rsidP="00782718">
            <w:pPr>
              <w:jc w:val="both"/>
              <w:rPr>
                <w:rFonts w:ascii="Arial" w:hAnsi="Arial" w:cs="Arial"/>
                <w:szCs w:val="24"/>
              </w:rPr>
            </w:pPr>
          </w:p>
        </w:tc>
      </w:tr>
      <w:tr w:rsidR="005A2910" w:rsidRPr="007214D1" w14:paraId="78CECF73" w14:textId="77777777" w:rsidTr="00835331">
        <w:trPr>
          <w:trHeight w:val="542"/>
        </w:trPr>
        <w:tc>
          <w:tcPr>
            <w:tcW w:w="959" w:type="dxa"/>
          </w:tcPr>
          <w:p w14:paraId="246B0586" w14:textId="77777777" w:rsidR="005A2910" w:rsidRDefault="005A2910" w:rsidP="00416BFF">
            <w:pPr>
              <w:rPr>
                <w:rFonts w:ascii="Arial" w:hAnsi="Arial" w:cs="Arial"/>
                <w:szCs w:val="24"/>
              </w:rPr>
            </w:pPr>
            <w:r>
              <w:rPr>
                <w:rFonts w:ascii="Arial" w:hAnsi="Arial" w:cs="Arial"/>
                <w:szCs w:val="24"/>
              </w:rPr>
              <w:t>2.2</w:t>
            </w:r>
          </w:p>
        </w:tc>
        <w:tc>
          <w:tcPr>
            <w:tcW w:w="8505" w:type="dxa"/>
          </w:tcPr>
          <w:p w14:paraId="38BF9BC7" w14:textId="70FA6049" w:rsidR="005A2910" w:rsidRDefault="005A2910" w:rsidP="00141185">
            <w:pPr>
              <w:jc w:val="both"/>
              <w:rPr>
                <w:rFonts w:ascii="Arial" w:hAnsi="Arial" w:cs="Arial"/>
                <w:szCs w:val="24"/>
              </w:rPr>
            </w:pPr>
            <w:r>
              <w:rPr>
                <w:rFonts w:ascii="Arial" w:hAnsi="Arial" w:cs="Arial"/>
                <w:szCs w:val="24"/>
              </w:rPr>
              <w:t xml:space="preserve">Board members will be aware that the COVID-19 pandemic arrived in the UK during the quarter featured in this report. </w:t>
            </w:r>
            <w:r w:rsidR="00E20FE9">
              <w:rPr>
                <w:rFonts w:ascii="Arial" w:hAnsi="Arial" w:cs="Arial"/>
                <w:szCs w:val="24"/>
              </w:rPr>
              <w:t xml:space="preserve">The impact </w:t>
            </w:r>
            <w:r w:rsidR="00F95FA6">
              <w:rPr>
                <w:rFonts w:ascii="Arial" w:hAnsi="Arial" w:cs="Arial"/>
                <w:szCs w:val="24"/>
              </w:rPr>
              <w:t>of COVID-19 on the items highlighted in this report</w:t>
            </w:r>
            <w:r w:rsidR="00DE6623">
              <w:rPr>
                <w:rFonts w:ascii="Arial" w:hAnsi="Arial" w:cs="Arial"/>
                <w:szCs w:val="24"/>
              </w:rPr>
              <w:t xml:space="preserve"> (Q4-2019/20)</w:t>
            </w:r>
            <w:r w:rsidR="00F95FA6">
              <w:rPr>
                <w:rFonts w:ascii="Arial" w:hAnsi="Arial" w:cs="Arial"/>
                <w:szCs w:val="24"/>
              </w:rPr>
              <w:t xml:space="preserve"> is either non-existent or minimal.</w:t>
            </w:r>
          </w:p>
          <w:p w14:paraId="65AB049A" w14:textId="77777777" w:rsidR="005A2910" w:rsidRDefault="005A2910" w:rsidP="00141185">
            <w:pPr>
              <w:jc w:val="both"/>
              <w:rPr>
                <w:rFonts w:ascii="Arial" w:hAnsi="Arial" w:cs="Arial"/>
                <w:szCs w:val="24"/>
              </w:rPr>
            </w:pPr>
          </w:p>
          <w:p w14:paraId="6293D4A8" w14:textId="77777777" w:rsidR="002C5CBE" w:rsidRDefault="002C5CBE" w:rsidP="00141185">
            <w:pPr>
              <w:jc w:val="both"/>
              <w:rPr>
                <w:rFonts w:ascii="Arial" w:hAnsi="Arial" w:cs="Arial"/>
                <w:szCs w:val="24"/>
              </w:rPr>
            </w:pPr>
          </w:p>
          <w:p w14:paraId="560435D1" w14:textId="77777777" w:rsidR="002C5CBE" w:rsidRDefault="002C5CBE" w:rsidP="00141185">
            <w:pPr>
              <w:jc w:val="both"/>
              <w:rPr>
                <w:rFonts w:ascii="Arial" w:hAnsi="Arial" w:cs="Arial"/>
                <w:szCs w:val="24"/>
              </w:rPr>
            </w:pPr>
          </w:p>
          <w:p w14:paraId="29C800AE" w14:textId="5C52228C" w:rsidR="002C5CBE" w:rsidRDefault="002C5CBE" w:rsidP="00141185">
            <w:pPr>
              <w:jc w:val="both"/>
              <w:rPr>
                <w:rFonts w:ascii="Arial" w:hAnsi="Arial" w:cs="Arial"/>
                <w:szCs w:val="24"/>
              </w:rPr>
            </w:pPr>
          </w:p>
        </w:tc>
      </w:tr>
      <w:tr w:rsidR="006F5801" w:rsidRPr="007214D1" w14:paraId="6C6FB229" w14:textId="77777777" w:rsidTr="00835331">
        <w:tc>
          <w:tcPr>
            <w:tcW w:w="959" w:type="dxa"/>
          </w:tcPr>
          <w:p w14:paraId="30F9707B" w14:textId="77777777"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14:paraId="6C5CE257" w14:textId="77777777" w:rsidR="0045618C" w:rsidRDefault="0045618C" w:rsidP="00416BFF">
            <w:pPr>
              <w:rPr>
                <w:rFonts w:ascii="Arial" w:hAnsi="Arial" w:cs="Arial"/>
                <w:b/>
                <w:szCs w:val="24"/>
              </w:rPr>
            </w:pPr>
          </w:p>
          <w:p w14:paraId="426424A2" w14:textId="77777777" w:rsidR="0045618C" w:rsidRPr="0045618C" w:rsidRDefault="0045618C" w:rsidP="00416BFF">
            <w:pPr>
              <w:rPr>
                <w:rFonts w:ascii="Arial" w:hAnsi="Arial" w:cs="Arial"/>
                <w:szCs w:val="24"/>
              </w:rPr>
            </w:pPr>
            <w:r w:rsidRPr="0045618C">
              <w:rPr>
                <w:rFonts w:ascii="Arial" w:hAnsi="Arial" w:cs="Arial"/>
                <w:szCs w:val="24"/>
              </w:rPr>
              <w:t>3.1</w:t>
            </w:r>
          </w:p>
          <w:p w14:paraId="16DE2C9A" w14:textId="77777777" w:rsidR="0045618C" w:rsidRPr="0045618C" w:rsidRDefault="0045618C" w:rsidP="00416BFF">
            <w:pPr>
              <w:rPr>
                <w:rFonts w:ascii="Arial" w:hAnsi="Arial" w:cs="Arial"/>
                <w:szCs w:val="24"/>
              </w:rPr>
            </w:pPr>
          </w:p>
          <w:p w14:paraId="6461C9F0" w14:textId="77777777" w:rsidR="0045618C" w:rsidRPr="0045618C" w:rsidRDefault="0045618C" w:rsidP="00416BFF">
            <w:pPr>
              <w:rPr>
                <w:rFonts w:ascii="Arial" w:hAnsi="Arial" w:cs="Arial"/>
                <w:szCs w:val="24"/>
              </w:rPr>
            </w:pPr>
            <w:r w:rsidRPr="0045618C">
              <w:rPr>
                <w:rFonts w:ascii="Arial" w:hAnsi="Arial" w:cs="Arial"/>
                <w:szCs w:val="24"/>
              </w:rPr>
              <w:t>3.1.1</w:t>
            </w:r>
          </w:p>
          <w:p w14:paraId="168CECA8" w14:textId="77777777" w:rsidR="0045618C" w:rsidRPr="0045618C" w:rsidRDefault="0045618C" w:rsidP="00416BFF">
            <w:pPr>
              <w:rPr>
                <w:rFonts w:ascii="Arial" w:hAnsi="Arial" w:cs="Arial"/>
                <w:szCs w:val="24"/>
              </w:rPr>
            </w:pPr>
          </w:p>
          <w:p w14:paraId="375FB529" w14:textId="77777777" w:rsidR="0045618C" w:rsidRPr="0045618C" w:rsidRDefault="0045618C" w:rsidP="00416BFF">
            <w:pPr>
              <w:rPr>
                <w:rFonts w:ascii="Arial" w:hAnsi="Arial" w:cs="Arial"/>
                <w:szCs w:val="24"/>
              </w:rPr>
            </w:pPr>
          </w:p>
          <w:p w14:paraId="6DB5AE59" w14:textId="77777777" w:rsidR="000F5A33" w:rsidRDefault="000F5A33" w:rsidP="00416BFF">
            <w:pPr>
              <w:rPr>
                <w:rFonts w:ascii="Arial" w:hAnsi="Arial" w:cs="Arial"/>
                <w:szCs w:val="24"/>
              </w:rPr>
            </w:pPr>
          </w:p>
          <w:p w14:paraId="5355EB0C" w14:textId="77777777" w:rsidR="009E26DF" w:rsidRDefault="009E26DF" w:rsidP="00416BFF">
            <w:pPr>
              <w:rPr>
                <w:rFonts w:ascii="Arial" w:hAnsi="Arial" w:cs="Arial"/>
                <w:szCs w:val="24"/>
              </w:rPr>
            </w:pPr>
          </w:p>
          <w:p w14:paraId="2227014E" w14:textId="77777777" w:rsidR="007203F1" w:rsidRDefault="007203F1" w:rsidP="00416BFF">
            <w:pPr>
              <w:rPr>
                <w:rFonts w:ascii="Arial" w:hAnsi="Arial" w:cs="Arial"/>
                <w:szCs w:val="24"/>
              </w:rPr>
            </w:pPr>
          </w:p>
          <w:p w14:paraId="4D69CDEC" w14:textId="77777777" w:rsidR="0045618C" w:rsidRDefault="0045618C" w:rsidP="00416BFF">
            <w:pPr>
              <w:rPr>
                <w:rFonts w:ascii="Arial" w:hAnsi="Arial" w:cs="Arial"/>
                <w:szCs w:val="24"/>
              </w:rPr>
            </w:pPr>
            <w:r w:rsidRPr="0045618C">
              <w:rPr>
                <w:rFonts w:ascii="Arial" w:hAnsi="Arial" w:cs="Arial"/>
                <w:szCs w:val="24"/>
              </w:rPr>
              <w:t>3.1.2</w:t>
            </w:r>
          </w:p>
          <w:p w14:paraId="6F0DC69A" w14:textId="77777777" w:rsidR="00314D66" w:rsidRPr="00314D66" w:rsidRDefault="00314D66" w:rsidP="00416BFF">
            <w:pPr>
              <w:rPr>
                <w:rFonts w:ascii="Arial" w:hAnsi="Arial" w:cs="Arial"/>
                <w:szCs w:val="24"/>
              </w:rPr>
            </w:pPr>
          </w:p>
        </w:tc>
        <w:tc>
          <w:tcPr>
            <w:tcW w:w="8505" w:type="dxa"/>
          </w:tcPr>
          <w:p w14:paraId="7E88E30D" w14:textId="77777777" w:rsidR="006F5801" w:rsidRDefault="006F5801" w:rsidP="00474274">
            <w:pPr>
              <w:jc w:val="both"/>
              <w:rPr>
                <w:rFonts w:ascii="Arial" w:hAnsi="Arial" w:cs="Arial"/>
                <w:b/>
                <w:szCs w:val="24"/>
              </w:rPr>
            </w:pPr>
            <w:r>
              <w:rPr>
                <w:rFonts w:ascii="Arial" w:hAnsi="Arial" w:cs="Arial"/>
                <w:b/>
                <w:szCs w:val="24"/>
              </w:rPr>
              <w:t xml:space="preserve">Human Resources Report: </w:t>
            </w:r>
            <w:r w:rsidR="009E7AF8">
              <w:rPr>
                <w:rFonts w:ascii="Arial" w:hAnsi="Arial" w:cs="Arial"/>
                <w:b/>
                <w:szCs w:val="24"/>
              </w:rPr>
              <w:t>January - March</w:t>
            </w:r>
            <w:r w:rsidR="007203F1">
              <w:rPr>
                <w:rFonts w:ascii="Arial" w:hAnsi="Arial" w:cs="Arial"/>
                <w:b/>
                <w:szCs w:val="24"/>
              </w:rPr>
              <w:t xml:space="preserve"> 2020</w:t>
            </w:r>
          </w:p>
          <w:p w14:paraId="647B5325" w14:textId="77777777" w:rsidR="006F5801" w:rsidRDefault="006F5801" w:rsidP="00474274">
            <w:pPr>
              <w:jc w:val="both"/>
              <w:rPr>
                <w:rFonts w:ascii="Arial" w:hAnsi="Arial" w:cs="Arial"/>
                <w:szCs w:val="24"/>
              </w:rPr>
            </w:pPr>
          </w:p>
          <w:p w14:paraId="6A31A228" w14:textId="77777777"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14:paraId="0D26D212" w14:textId="77777777" w:rsidR="0045618C" w:rsidRDefault="0045618C" w:rsidP="0045618C">
            <w:pPr>
              <w:jc w:val="both"/>
              <w:rPr>
                <w:rFonts w:ascii="Arial" w:hAnsi="Arial" w:cs="Arial"/>
                <w:szCs w:val="24"/>
                <w:u w:val="single"/>
              </w:rPr>
            </w:pPr>
          </w:p>
          <w:p w14:paraId="2555A17B" w14:textId="77777777" w:rsidR="000F5A33" w:rsidRDefault="009E26DF" w:rsidP="0045618C">
            <w:pPr>
              <w:jc w:val="both"/>
              <w:rPr>
                <w:rFonts w:ascii="Arial" w:hAnsi="Arial" w:cs="Arial"/>
                <w:szCs w:val="24"/>
              </w:rPr>
            </w:pPr>
            <w:r>
              <w:rPr>
                <w:rFonts w:ascii="Arial" w:hAnsi="Arial" w:cs="Arial"/>
                <w:szCs w:val="24"/>
              </w:rPr>
              <w:t>T</w:t>
            </w:r>
            <w:r w:rsidR="000F5A33">
              <w:rPr>
                <w:rFonts w:ascii="Arial" w:hAnsi="Arial" w:cs="Arial"/>
                <w:szCs w:val="24"/>
              </w:rPr>
              <w:t xml:space="preserve">he changes to </w:t>
            </w:r>
            <w:r>
              <w:rPr>
                <w:rFonts w:ascii="Arial" w:hAnsi="Arial" w:cs="Arial"/>
                <w:szCs w:val="24"/>
              </w:rPr>
              <w:t xml:space="preserve">the </w:t>
            </w:r>
            <w:r w:rsidR="000F5A33">
              <w:rPr>
                <w:rFonts w:ascii="Arial" w:hAnsi="Arial" w:cs="Arial"/>
                <w:szCs w:val="24"/>
              </w:rPr>
              <w:t xml:space="preserve">establishment </w:t>
            </w:r>
            <w:r>
              <w:rPr>
                <w:rFonts w:ascii="Arial" w:hAnsi="Arial" w:cs="Arial"/>
                <w:szCs w:val="24"/>
              </w:rPr>
              <w:t xml:space="preserve">for the period </w:t>
            </w:r>
            <w:r w:rsidR="000F5A33">
              <w:rPr>
                <w:rFonts w:ascii="Arial" w:hAnsi="Arial" w:cs="Arial"/>
                <w:szCs w:val="24"/>
              </w:rPr>
              <w:t>in full-time equivalents (FTE)</w:t>
            </w:r>
            <w:r>
              <w:rPr>
                <w:rFonts w:ascii="Arial" w:hAnsi="Arial" w:cs="Arial"/>
                <w:szCs w:val="24"/>
              </w:rPr>
              <w:t xml:space="preserve"> are as follows</w:t>
            </w:r>
            <w:r w:rsidR="000F5A33">
              <w:rPr>
                <w:rFonts w:ascii="Arial" w:hAnsi="Arial" w:cs="Arial"/>
                <w:szCs w:val="24"/>
              </w:rPr>
              <w:t>:</w:t>
            </w:r>
          </w:p>
          <w:p w14:paraId="6120B436" w14:textId="77777777" w:rsidR="000F5A33" w:rsidRDefault="000F5A33" w:rsidP="0045618C">
            <w:pPr>
              <w:jc w:val="both"/>
              <w:rPr>
                <w:rFonts w:ascii="Arial" w:hAnsi="Arial" w:cs="Arial"/>
                <w:szCs w:val="24"/>
              </w:rPr>
            </w:pPr>
          </w:p>
          <w:p w14:paraId="3EAE753A" w14:textId="77777777" w:rsidR="004E23C6" w:rsidRDefault="004E23C6" w:rsidP="00E26CEE">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9E7AF8">
              <w:rPr>
                <w:rFonts w:ascii="Arial" w:hAnsi="Arial" w:cs="Arial"/>
                <w:b/>
                <w:szCs w:val="24"/>
              </w:rPr>
              <w:t>3</w:t>
            </w:r>
            <w:r>
              <w:rPr>
                <w:rFonts w:ascii="Arial" w:hAnsi="Arial" w:cs="Arial"/>
                <w:b/>
                <w:szCs w:val="24"/>
              </w:rPr>
              <w:t xml:space="preserve"> 2019/20 </w:t>
            </w:r>
            <w:r>
              <w:rPr>
                <w:rFonts w:ascii="Arial" w:hAnsi="Arial" w:cs="Arial"/>
                <w:szCs w:val="24"/>
              </w:rPr>
              <w:t>(</w:t>
            </w:r>
            <w:r w:rsidR="009E7AF8">
              <w:rPr>
                <w:rFonts w:ascii="Arial" w:hAnsi="Arial" w:cs="Arial"/>
                <w:szCs w:val="24"/>
              </w:rPr>
              <w:t>Oct 19 to Dec 19</w:t>
            </w:r>
            <w:r>
              <w:rPr>
                <w:rFonts w:ascii="Arial" w:hAnsi="Arial" w:cs="Arial"/>
                <w:szCs w:val="24"/>
              </w:rPr>
              <w:t xml:space="preserve">) = </w:t>
            </w:r>
            <w:r w:rsidR="009E7AF8">
              <w:rPr>
                <w:rFonts w:ascii="Arial" w:hAnsi="Arial" w:cs="Arial"/>
                <w:b/>
                <w:szCs w:val="24"/>
              </w:rPr>
              <w:t>704.08</w:t>
            </w:r>
          </w:p>
          <w:p w14:paraId="45D40457" w14:textId="77777777" w:rsidR="007203F1" w:rsidRDefault="007203F1" w:rsidP="007203F1">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9E7AF8">
              <w:rPr>
                <w:rFonts w:ascii="Arial" w:hAnsi="Arial" w:cs="Arial"/>
                <w:b/>
                <w:szCs w:val="24"/>
              </w:rPr>
              <w:t>4</w:t>
            </w:r>
            <w:r>
              <w:rPr>
                <w:rFonts w:ascii="Arial" w:hAnsi="Arial" w:cs="Arial"/>
                <w:szCs w:val="24"/>
              </w:rPr>
              <w:t xml:space="preserve"> </w:t>
            </w:r>
            <w:r w:rsidRPr="00516D9F">
              <w:rPr>
                <w:rFonts w:ascii="Arial" w:hAnsi="Arial" w:cs="Arial"/>
                <w:b/>
                <w:szCs w:val="24"/>
              </w:rPr>
              <w:t>2019/20</w:t>
            </w:r>
            <w:r>
              <w:rPr>
                <w:rFonts w:ascii="Arial" w:hAnsi="Arial" w:cs="Arial"/>
                <w:b/>
                <w:szCs w:val="24"/>
              </w:rPr>
              <w:t xml:space="preserve"> </w:t>
            </w:r>
            <w:r>
              <w:rPr>
                <w:rFonts w:ascii="Arial" w:hAnsi="Arial" w:cs="Arial"/>
                <w:szCs w:val="24"/>
              </w:rPr>
              <w:t>(</w:t>
            </w:r>
            <w:r w:rsidR="009E7AF8">
              <w:rPr>
                <w:rFonts w:ascii="Arial" w:hAnsi="Arial" w:cs="Arial"/>
                <w:szCs w:val="24"/>
              </w:rPr>
              <w:t>Jan 20 to Mar 20</w:t>
            </w:r>
            <w:r>
              <w:rPr>
                <w:rFonts w:ascii="Arial" w:hAnsi="Arial" w:cs="Arial"/>
                <w:szCs w:val="24"/>
              </w:rPr>
              <w:t xml:space="preserve">) = </w:t>
            </w:r>
            <w:r w:rsidR="009E7AF8" w:rsidRPr="009E7AF8">
              <w:rPr>
                <w:rFonts w:ascii="Arial" w:hAnsi="Arial" w:cs="Arial"/>
                <w:b/>
                <w:szCs w:val="24"/>
              </w:rPr>
              <w:t>703.95</w:t>
            </w:r>
          </w:p>
          <w:p w14:paraId="4C8EDAAC" w14:textId="77777777" w:rsidR="009E26DF" w:rsidRDefault="009E26DF" w:rsidP="009E26DF">
            <w:pPr>
              <w:jc w:val="both"/>
              <w:rPr>
                <w:rFonts w:ascii="Arial" w:hAnsi="Arial" w:cs="Arial"/>
                <w:szCs w:val="24"/>
              </w:rPr>
            </w:pPr>
          </w:p>
          <w:p w14:paraId="1F67CEA7" w14:textId="77777777" w:rsidR="000E16F2" w:rsidRPr="007214D1" w:rsidRDefault="009E26DF" w:rsidP="009E26DF">
            <w:pPr>
              <w:jc w:val="both"/>
              <w:rPr>
                <w:rFonts w:ascii="Arial" w:hAnsi="Arial" w:cs="Arial"/>
                <w:szCs w:val="24"/>
              </w:rPr>
            </w:pPr>
            <w:r>
              <w:rPr>
                <w:rFonts w:ascii="Arial" w:hAnsi="Arial" w:cs="Arial"/>
                <w:szCs w:val="24"/>
              </w:rPr>
              <w:t>The c</w:t>
            </w:r>
            <w:r w:rsidR="000F5A33">
              <w:rPr>
                <w:rFonts w:ascii="Arial" w:hAnsi="Arial" w:cs="Arial"/>
                <w:szCs w:val="24"/>
              </w:rPr>
              <w:t xml:space="preserve">hanges to the establishment </w:t>
            </w:r>
            <w:r>
              <w:rPr>
                <w:rFonts w:ascii="Arial" w:hAnsi="Arial" w:cs="Arial"/>
                <w:szCs w:val="24"/>
              </w:rPr>
              <w:t xml:space="preserve">are </w:t>
            </w:r>
            <w:r w:rsidR="00C8333C">
              <w:rPr>
                <w:rFonts w:ascii="Arial" w:hAnsi="Arial" w:cs="Arial"/>
                <w:szCs w:val="24"/>
              </w:rPr>
              <w:t xml:space="preserve">detailed in </w:t>
            </w:r>
            <w:r w:rsidR="00C8333C" w:rsidRPr="00C8333C">
              <w:rPr>
                <w:rFonts w:ascii="Arial" w:hAnsi="Arial" w:cs="Arial"/>
                <w:b/>
                <w:szCs w:val="24"/>
              </w:rPr>
              <w:t>Appendix A</w:t>
            </w:r>
            <w:r w:rsidR="00FE1C80">
              <w:rPr>
                <w:rFonts w:ascii="Arial" w:hAnsi="Arial" w:cs="Arial"/>
                <w:szCs w:val="24"/>
              </w:rPr>
              <w:t>.</w:t>
            </w:r>
          </w:p>
        </w:tc>
      </w:tr>
      <w:tr w:rsidR="00C8333C" w:rsidRPr="007214D1" w14:paraId="5AC5D16D" w14:textId="77777777" w:rsidTr="00835331">
        <w:tc>
          <w:tcPr>
            <w:tcW w:w="959" w:type="dxa"/>
          </w:tcPr>
          <w:p w14:paraId="1412B267" w14:textId="77777777" w:rsidR="00C8333C" w:rsidRPr="00C8333C" w:rsidRDefault="00C8333C" w:rsidP="00416BFF">
            <w:pPr>
              <w:rPr>
                <w:rFonts w:ascii="Arial" w:hAnsi="Arial" w:cs="Arial"/>
                <w:szCs w:val="24"/>
              </w:rPr>
            </w:pPr>
            <w:r w:rsidRPr="00C8333C">
              <w:rPr>
                <w:rFonts w:ascii="Arial" w:hAnsi="Arial" w:cs="Arial"/>
                <w:szCs w:val="24"/>
              </w:rPr>
              <w:t>3.2</w:t>
            </w:r>
          </w:p>
        </w:tc>
        <w:tc>
          <w:tcPr>
            <w:tcW w:w="8505" w:type="dxa"/>
          </w:tcPr>
          <w:p w14:paraId="2C52D54A" w14:textId="77777777" w:rsidR="00C8333C" w:rsidRPr="009C1F2A" w:rsidRDefault="00C8333C" w:rsidP="00C8333C">
            <w:pPr>
              <w:jc w:val="both"/>
              <w:rPr>
                <w:rFonts w:ascii="Arial" w:hAnsi="Arial" w:cs="Arial"/>
                <w:u w:val="single"/>
              </w:rPr>
            </w:pPr>
            <w:r>
              <w:rPr>
                <w:rFonts w:ascii="Arial" w:hAnsi="Arial" w:cs="Arial"/>
                <w:u w:val="single"/>
              </w:rPr>
              <w:t>Attendance management</w:t>
            </w:r>
          </w:p>
          <w:p w14:paraId="00CD3062" w14:textId="77777777" w:rsidR="00C8333C" w:rsidRDefault="00C8333C" w:rsidP="00474274">
            <w:pPr>
              <w:jc w:val="both"/>
              <w:rPr>
                <w:rFonts w:ascii="Arial" w:hAnsi="Arial" w:cs="Arial"/>
                <w:b/>
                <w:szCs w:val="24"/>
              </w:rPr>
            </w:pPr>
          </w:p>
        </w:tc>
      </w:tr>
      <w:tr w:rsidR="005F296B" w:rsidRPr="007214D1" w14:paraId="7685752D" w14:textId="77777777" w:rsidTr="00835331">
        <w:tc>
          <w:tcPr>
            <w:tcW w:w="959" w:type="dxa"/>
          </w:tcPr>
          <w:p w14:paraId="72003AC8" w14:textId="77777777" w:rsidR="005F296B" w:rsidRPr="00C8333C" w:rsidRDefault="005F296B" w:rsidP="00416BFF">
            <w:pPr>
              <w:rPr>
                <w:rFonts w:ascii="Arial" w:hAnsi="Arial" w:cs="Arial"/>
                <w:szCs w:val="24"/>
              </w:rPr>
            </w:pPr>
            <w:r>
              <w:rPr>
                <w:rFonts w:ascii="Arial" w:hAnsi="Arial" w:cs="Arial"/>
                <w:szCs w:val="24"/>
              </w:rPr>
              <w:t>3.2.1</w:t>
            </w:r>
          </w:p>
        </w:tc>
        <w:tc>
          <w:tcPr>
            <w:tcW w:w="8505" w:type="dxa"/>
          </w:tcPr>
          <w:p w14:paraId="0DDBFD73" w14:textId="69041F45"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w:t>
            </w:r>
            <w:r w:rsidR="003B16B6">
              <w:rPr>
                <w:rFonts w:ascii="Arial" w:eastAsia="Calibri" w:hAnsi="Arial" w:cs="Arial"/>
                <w:szCs w:val="24"/>
                <w:lang w:eastAsia="en-US"/>
              </w:rPr>
              <w:t xml:space="preserve"> short-term absence (≤</w:t>
            </w:r>
            <w:r w:rsidR="003B16B6" w:rsidRPr="009C1F2A">
              <w:rPr>
                <w:rFonts w:ascii="Arial" w:eastAsia="Calibri" w:hAnsi="Arial" w:cs="Arial"/>
                <w:szCs w:val="24"/>
                <w:lang w:eastAsia="en-US"/>
              </w:rPr>
              <w:t>10</w:t>
            </w:r>
            <w:r w:rsidR="003B16B6">
              <w:rPr>
                <w:rFonts w:ascii="Arial" w:eastAsia="Calibri" w:hAnsi="Arial" w:cs="Arial"/>
                <w:szCs w:val="24"/>
                <w:lang w:eastAsia="en-US"/>
              </w:rPr>
              <w:t> </w:t>
            </w:r>
            <w:r w:rsidR="003B16B6" w:rsidRPr="009C1F2A">
              <w:rPr>
                <w:rFonts w:ascii="Arial" w:eastAsia="Calibri" w:hAnsi="Arial" w:cs="Arial"/>
                <w:szCs w:val="24"/>
                <w:lang w:eastAsia="en-US"/>
              </w:rPr>
              <w:t>consecutive working days)</w:t>
            </w:r>
            <w:r w:rsidR="003B16B6">
              <w:rPr>
                <w:rFonts w:ascii="Arial" w:eastAsia="Calibri" w:hAnsi="Arial" w:cs="Arial"/>
                <w:szCs w:val="24"/>
                <w:lang w:eastAsia="en-US"/>
              </w:rPr>
              <w:t xml:space="preserve"> and</w:t>
            </w:r>
            <w:r w:rsidR="00DF462B" w:rsidRPr="009C1F2A">
              <w:rPr>
                <w:rFonts w:ascii="Arial" w:eastAsia="Calibri" w:hAnsi="Arial" w:cs="Arial"/>
                <w:szCs w:val="24"/>
                <w:lang w:eastAsia="en-US"/>
              </w:rPr>
              <w:t xml:space="preserve"> long-term absence (&gt;10 consecutive working days)</w:t>
            </w:r>
            <w:r w:rsidR="00DF462B">
              <w:rPr>
                <w:rFonts w:ascii="Arial" w:eastAsia="Calibri" w:hAnsi="Arial" w:cs="Arial"/>
                <w:szCs w:val="24"/>
                <w:lang w:eastAsia="en-US"/>
              </w:rPr>
              <w:t>.</w:t>
            </w:r>
          </w:p>
          <w:p w14:paraId="4B96E2BE" w14:textId="77777777" w:rsidR="005F296B" w:rsidRDefault="005F296B" w:rsidP="002E0015">
            <w:pPr>
              <w:jc w:val="both"/>
              <w:rPr>
                <w:rFonts w:ascii="Arial" w:hAnsi="Arial" w:cs="Arial"/>
                <w:u w:val="single"/>
              </w:rPr>
            </w:pPr>
          </w:p>
        </w:tc>
      </w:tr>
      <w:tr w:rsidR="003B16B6" w:rsidRPr="007214D1" w14:paraId="7B875D21" w14:textId="77777777" w:rsidTr="003B16B6">
        <w:trPr>
          <w:trHeight w:val="3712"/>
        </w:trPr>
        <w:tc>
          <w:tcPr>
            <w:tcW w:w="959" w:type="dxa"/>
          </w:tcPr>
          <w:p w14:paraId="35032842" w14:textId="77777777" w:rsidR="003B16B6" w:rsidRDefault="003B16B6" w:rsidP="003B16B6">
            <w:pPr>
              <w:rPr>
                <w:rFonts w:ascii="Arial" w:hAnsi="Arial" w:cs="Arial"/>
                <w:szCs w:val="24"/>
              </w:rPr>
            </w:pPr>
            <w:r>
              <w:rPr>
                <w:rFonts w:ascii="Arial" w:hAnsi="Arial" w:cs="Arial"/>
                <w:szCs w:val="24"/>
              </w:rPr>
              <w:t>3.2.2</w:t>
            </w:r>
          </w:p>
          <w:p w14:paraId="552C2E36" w14:textId="77777777" w:rsidR="003B16B6" w:rsidRDefault="003B16B6" w:rsidP="003B16B6">
            <w:pPr>
              <w:rPr>
                <w:rFonts w:ascii="Arial" w:hAnsi="Arial" w:cs="Arial"/>
                <w:szCs w:val="24"/>
              </w:rPr>
            </w:pPr>
          </w:p>
          <w:p w14:paraId="1AF5BD56" w14:textId="77777777" w:rsidR="003B16B6" w:rsidRDefault="003B16B6" w:rsidP="003B16B6">
            <w:pPr>
              <w:rPr>
                <w:rFonts w:ascii="Arial" w:hAnsi="Arial" w:cs="Arial"/>
                <w:szCs w:val="24"/>
              </w:rPr>
            </w:pPr>
          </w:p>
          <w:p w14:paraId="606D5F69" w14:textId="77777777" w:rsidR="003B16B6" w:rsidRDefault="003B16B6" w:rsidP="003B16B6">
            <w:pPr>
              <w:rPr>
                <w:rFonts w:ascii="Arial" w:hAnsi="Arial" w:cs="Arial"/>
                <w:szCs w:val="24"/>
              </w:rPr>
            </w:pPr>
          </w:p>
          <w:p w14:paraId="5EF230CF" w14:textId="77777777" w:rsidR="003B16B6" w:rsidRDefault="003B16B6" w:rsidP="003B16B6">
            <w:pPr>
              <w:rPr>
                <w:rFonts w:ascii="Arial" w:hAnsi="Arial" w:cs="Arial"/>
                <w:szCs w:val="24"/>
              </w:rPr>
            </w:pPr>
          </w:p>
          <w:p w14:paraId="0C476419" w14:textId="77777777" w:rsidR="003B16B6" w:rsidRDefault="003B16B6" w:rsidP="003B16B6">
            <w:pPr>
              <w:rPr>
                <w:rFonts w:ascii="Arial" w:hAnsi="Arial" w:cs="Arial"/>
                <w:szCs w:val="24"/>
              </w:rPr>
            </w:pPr>
          </w:p>
          <w:p w14:paraId="29D7BFF7" w14:textId="77777777" w:rsidR="003B16B6" w:rsidRDefault="003B16B6" w:rsidP="003B16B6">
            <w:pPr>
              <w:rPr>
                <w:rFonts w:ascii="Arial" w:hAnsi="Arial" w:cs="Arial"/>
                <w:szCs w:val="24"/>
              </w:rPr>
            </w:pPr>
          </w:p>
          <w:p w14:paraId="54EC3900" w14:textId="77777777" w:rsidR="003B16B6" w:rsidRDefault="003B16B6" w:rsidP="003B16B6">
            <w:pPr>
              <w:rPr>
                <w:rFonts w:ascii="Arial" w:hAnsi="Arial" w:cs="Arial"/>
                <w:szCs w:val="24"/>
              </w:rPr>
            </w:pPr>
          </w:p>
          <w:p w14:paraId="05539FC7" w14:textId="77777777" w:rsidR="003B16B6" w:rsidRDefault="003B16B6" w:rsidP="003B16B6">
            <w:pPr>
              <w:rPr>
                <w:rFonts w:ascii="Arial" w:hAnsi="Arial" w:cs="Arial"/>
                <w:szCs w:val="24"/>
              </w:rPr>
            </w:pPr>
          </w:p>
          <w:p w14:paraId="7425428C" w14:textId="77777777" w:rsidR="003B16B6" w:rsidRDefault="003B16B6" w:rsidP="003B16B6">
            <w:pPr>
              <w:rPr>
                <w:rFonts w:ascii="Arial" w:hAnsi="Arial" w:cs="Arial"/>
                <w:szCs w:val="24"/>
              </w:rPr>
            </w:pPr>
          </w:p>
          <w:p w14:paraId="4509C3D3" w14:textId="77777777" w:rsidR="003B16B6" w:rsidRDefault="003B16B6" w:rsidP="003B16B6">
            <w:pPr>
              <w:rPr>
                <w:rFonts w:ascii="Arial" w:hAnsi="Arial" w:cs="Arial"/>
                <w:szCs w:val="24"/>
              </w:rPr>
            </w:pPr>
          </w:p>
        </w:tc>
        <w:tc>
          <w:tcPr>
            <w:tcW w:w="8505" w:type="dxa"/>
          </w:tcPr>
          <w:p w14:paraId="625F7A51" w14:textId="77777777"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 xml:space="preserve">The short-term absence rate % up to the end of </w:t>
            </w:r>
            <w:r w:rsidRPr="00142251">
              <w:rPr>
                <w:rFonts w:ascii="Arial" w:eastAsia="Calibri" w:hAnsi="Arial" w:cs="Arial"/>
                <w:szCs w:val="24"/>
                <w:lang w:eastAsia="en-US"/>
              </w:rPr>
              <w:t xml:space="preserve">Quarter </w:t>
            </w:r>
            <w:r>
              <w:rPr>
                <w:rFonts w:ascii="Arial" w:eastAsia="Calibri" w:hAnsi="Arial" w:cs="Arial"/>
                <w:szCs w:val="24"/>
                <w:lang w:eastAsia="en-US"/>
              </w:rPr>
              <w:t>4</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14:paraId="03E46E37" w14:textId="77777777" w:rsidR="003B16B6" w:rsidRDefault="003B16B6"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3B16B6" w:rsidRPr="009C1F2A" w14:paraId="4AD7333E"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6D64DFF6" w14:textId="77777777" w:rsidR="003B16B6"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14:paraId="51F0D21C"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 xml:space="preserve">Short term </w:t>
                  </w:r>
                  <w:r w:rsidRPr="009C1F2A">
                    <w:rPr>
                      <w:rFonts w:ascii="Arial" w:eastAsia="Calibri" w:hAnsi="Arial" w:cs="Arial"/>
                      <w:b/>
                      <w:bCs/>
                      <w:szCs w:val="24"/>
                    </w:rPr>
                    <w:t>Absence Rates</w:t>
                  </w:r>
                </w:p>
                <w:p w14:paraId="1EB94BD3" w14:textId="77777777" w:rsidR="003B16B6" w:rsidRPr="009C1F2A" w:rsidRDefault="003B16B6" w:rsidP="003B16B6">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59E945A" w14:textId="77777777" w:rsidR="003B16B6" w:rsidRPr="009C1F2A" w:rsidRDefault="003B16B6" w:rsidP="003B16B6">
                  <w:pPr>
                    <w:spacing w:line="276" w:lineRule="auto"/>
                    <w:jc w:val="center"/>
                    <w:rPr>
                      <w:rFonts w:ascii="Arial" w:eastAsia="Calibri" w:hAnsi="Arial" w:cs="Arial"/>
                      <w:b/>
                      <w:bCs/>
                      <w:szCs w:val="24"/>
                    </w:rPr>
                  </w:pPr>
                </w:p>
                <w:p w14:paraId="6FAE0B19"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2ECA616"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BAC51F7" w14:textId="77777777" w:rsidR="003B16B6" w:rsidRPr="009C1F2A" w:rsidRDefault="003B16B6" w:rsidP="003B16B6">
                  <w:pPr>
                    <w:spacing w:line="276" w:lineRule="auto"/>
                    <w:jc w:val="center"/>
                    <w:rPr>
                      <w:rFonts w:ascii="Arial" w:eastAsia="Calibri" w:hAnsi="Arial" w:cs="Arial"/>
                      <w:b/>
                      <w:bCs/>
                      <w:szCs w:val="24"/>
                    </w:rPr>
                  </w:pPr>
                </w:p>
                <w:p w14:paraId="2CD13E83"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7257E088"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04DC368" w14:textId="77777777" w:rsidR="003B16B6" w:rsidRPr="009C1F2A" w:rsidRDefault="003B16B6" w:rsidP="003B16B6">
                  <w:pPr>
                    <w:spacing w:line="276" w:lineRule="auto"/>
                    <w:jc w:val="center"/>
                    <w:rPr>
                      <w:rFonts w:ascii="Arial" w:eastAsia="Calibri" w:hAnsi="Arial" w:cs="Arial"/>
                      <w:b/>
                      <w:bCs/>
                      <w:szCs w:val="24"/>
                    </w:rPr>
                  </w:pPr>
                </w:p>
                <w:p w14:paraId="324E4C51"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00D2899C"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7F5D268" w14:textId="77777777" w:rsidR="003B16B6" w:rsidRPr="009C1F2A" w:rsidRDefault="003B16B6" w:rsidP="003B16B6">
                  <w:pPr>
                    <w:spacing w:line="276" w:lineRule="auto"/>
                    <w:jc w:val="center"/>
                    <w:rPr>
                      <w:rFonts w:ascii="Arial" w:eastAsia="Calibri" w:hAnsi="Arial" w:cs="Arial"/>
                      <w:b/>
                      <w:bCs/>
                      <w:szCs w:val="24"/>
                    </w:rPr>
                  </w:pPr>
                </w:p>
                <w:p w14:paraId="1C95A41F"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3C5EB0D"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3B16B6" w:rsidRPr="009C1F2A" w14:paraId="69710EB6"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CD5A7BB"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9076C4" w14:textId="77777777" w:rsidR="003B16B6" w:rsidRPr="00240268" w:rsidRDefault="003B16B6" w:rsidP="003B16B6">
                  <w:pPr>
                    <w:spacing w:line="276" w:lineRule="auto"/>
                    <w:jc w:val="center"/>
                    <w:rPr>
                      <w:rFonts w:ascii="Arial" w:eastAsia="Calibri" w:hAnsi="Arial" w:cs="Arial"/>
                      <w:szCs w:val="24"/>
                    </w:rPr>
                  </w:pPr>
                  <w:r>
                    <w:rPr>
                      <w:rFonts w:ascii="Arial" w:eastAsia="Calibri" w:hAnsi="Arial" w:cs="Arial"/>
                      <w:szCs w:val="24"/>
                    </w:rPr>
                    <w:t>0.92%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292222"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0.68%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F3F9A"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0.90%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07DB34"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1.45%</w:t>
                  </w:r>
                </w:p>
              </w:tc>
            </w:tr>
            <w:tr w:rsidR="003B16B6" w:rsidRPr="009C1F2A" w14:paraId="54053934"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314E5E7E" w14:textId="77777777" w:rsidR="003B16B6" w:rsidRPr="009C1F2A" w:rsidRDefault="003B16B6" w:rsidP="003B16B6">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BE3B6"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0.98%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B9216"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1.06%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102F15"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1.31%</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EB1159" w14:textId="77777777" w:rsidR="003B16B6" w:rsidRPr="009C1F2A" w:rsidRDefault="003B16B6" w:rsidP="003B16B6">
                  <w:pPr>
                    <w:spacing w:line="276" w:lineRule="auto"/>
                    <w:jc w:val="center"/>
                    <w:rPr>
                      <w:rFonts w:ascii="Arial" w:eastAsia="Calibri" w:hAnsi="Arial" w:cs="Arial"/>
                      <w:szCs w:val="24"/>
                    </w:rPr>
                  </w:pPr>
                  <w:r>
                    <w:rPr>
                      <w:rFonts w:ascii="Arial" w:eastAsia="Calibri" w:hAnsi="Arial" w:cs="Arial"/>
                      <w:szCs w:val="24"/>
                    </w:rPr>
                    <w:t>1.74%</w:t>
                  </w:r>
                </w:p>
              </w:tc>
            </w:tr>
            <w:tr w:rsidR="003B16B6" w:rsidRPr="009C1F2A" w14:paraId="6D009767"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77070BB" w14:textId="77777777" w:rsidR="003B16B6" w:rsidRPr="009C1F2A"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1A4E7"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00C21"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1E4280"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EA13A5"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1.42%</w:t>
                  </w:r>
                </w:p>
              </w:tc>
            </w:tr>
            <w:tr w:rsidR="003B16B6" w:rsidRPr="009C1F2A" w14:paraId="078040C8"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BD2AED" w14:textId="77777777" w:rsidR="003B16B6" w:rsidRDefault="003B16B6" w:rsidP="003B16B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249E23"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D38EF6"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2062F0"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1.58%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80566B" w14:textId="77777777" w:rsidR="003B16B6" w:rsidRDefault="003B16B6" w:rsidP="003B16B6">
                  <w:pPr>
                    <w:spacing w:line="276" w:lineRule="auto"/>
                    <w:jc w:val="center"/>
                    <w:rPr>
                      <w:rFonts w:ascii="Arial" w:eastAsia="Calibri" w:hAnsi="Arial" w:cs="Arial"/>
                      <w:szCs w:val="24"/>
                    </w:rPr>
                  </w:pPr>
                  <w:r>
                    <w:rPr>
                      <w:rFonts w:ascii="Arial" w:eastAsia="Calibri" w:hAnsi="Arial" w:cs="Arial"/>
                      <w:szCs w:val="24"/>
                    </w:rPr>
                    <w:t>1.33%</w:t>
                  </w:r>
                </w:p>
              </w:tc>
            </w:tr>
          </w:tbl>
          <w:p w14:paraId="22AA54E3" w14:textId="77777777" w:rsidR="003B16B6" w:rsidRPr="009C1F2A" w:rsidRDefault="003B16B6" w:rsidP="003B16B6">
            <w:pPr>
              <w:jc w:val="both"/>
              <w:rPr>
                <w:rFonts w:ascii="Arial" w:eastAsia="Calibri" w:hAnsi="Arial" w:cs="Arial"/>
                <w:szCs w:val="24"/>
                <w:lang w:eastAsia="en-US"/>
              </w:rPr>
            </w:pPr>
          </w:p>
        </w:tc>
      </w:tr>
      <w:tr w:rsidR="003B16B6" w:rsidRPr="007214D1" w14:paraId="63ABC174" w14:textId="77777777" w:rsidTr="003B16B6">
        <w:trPr>
          <w:trHeight w:val="805"/>
        </w:trPr>
        <w:tc>
          <w:tcPr>
            <w:tcW w:w="959" w:type="dxa"/>
          </w:tcPr>
          <w:p w14:paraId="40488372" w14:textId="77777777" w:rsidR="003B16B6" w:rsidRDefault="003B16B6" w:rsidP="003B16B6">
            <w:pPr>
              <w:rPr>
                <w:rFonts w:ascii="Arial" w:hAnsi="Arial" w:cs="Arial"/>
                <w:szCs w:val="24"/>
              </w:rPr>
            </w:pPr>
            <w:r>
              <w:rPr>
                <w:rFonts w:ascii="Arial" w:hAnsi="Arial" w:cs="Arial"/>
                <w:szCs w:val="24"/>
              </w:rPr>
              <w:t>3.2.3</w:t>
            </w:r>
          </w:p>
          <w:p w14:paraId="16D425F1" w14:textId="77777777" w:rsidR="003B16B6" w:rsidRDefault="003B16B6" w:rsidP="003B16B6">
            <w:pPr>
              <w:rPr>
                <w:rFonts w:ascii="Arial" w:hAnsi="Arial" w:cs="Arial"/>
                <w:szCs w:val="24"/>
              </w:rPr>
            </w:pPr>
          </w:p>
        </w:tc>
        <w:tc>
          <w:tcPr>
            <w:tcW w:w="8505" w:type="dxa"/>
          </w:tcPr>
          <w:p w14:paraId="00C0216E" w14:textId="1F315464" w:rsidR="003B16B6" w:rsidRDefault="003B16B6" w:rsidP="003B16B6">
            <w:pPr>
              <w:jc w:val="both"/>
              <w:rPr>
                <w:rFonts w:ascii="Arial" w:hAnsi="Arial" w:cs="Arial"/>
              </w:rPr>
            </w:pPr>
            <w:r w:rsidRPr="005F296B">
              <w:rPr>
                <w:rFonts w:ascii="Arial" w:hAnsi="Arial" w:cs="Arial"/>
              </w:rPr>
              <w:t xml:space="preserve">Quarter </w:t>
            </w:r>
            <w:r>
              <w:rPr>
                <w:rFonts w:ascii="Arial" w:hAnsi="Arial" w:cs="Arial"/>
              </w:rPr>
              <w:t>4</w:t>
            </w:r>
            <w:r w:rsidRPr="005F296B">
              <w:rPr>
                <w:rFonts w:ascii="Arial" w:hAnsi="Arial" w:cs="Arial"/>
              </w:rPr>
              <w:t xml:space="preserve"> has shown </w:t>
            </w:r>
            <w:r>
              <w:rPr>
                <w:rFonts w:ascii="Arial" w:hAnsi="Arial" w:cs="Arial"/>
              </w:rPr>
              <w:t xml:space="preserve">a decrease of 0.25% </w:t>
            </w:r>
            <w:r w:rsidRPr="005F296B">
              <w:rPr>
                <w:rFonts w:ascii="Arial" w:hAnsi="Arial" w:cs="Arial"/>
              </w:rPr>
              <w:t xml:space="preserve">in the </w:t>
            </w:r>
            <w:r>
              <w:rPr>
                <w:rFonts w:ascii="Arial" w:hAnsi="Arial" w:cs="Arial"/>
              </w:rPr>
              <w:t>short-</w:t>
            </w:r>
            <w:r w:rsidRPr="005F296B">
              <w:rPr>
                <w:rFonts w:ascii="Arial" w:hAnsi="Arial" w:cs="Arial"/>
              </w:rPr>
              <w:t xml:space="preserve">term absence rate </w:t>
            </w:r>
            <w:r>
              <w:rPr>
                <w:rFonts w:ascii="Arial" w:hAnsi="Arial" w:cs="Arial"/>
              </w:rPr>
              <w:t>compared to Quarter 3 of 2019/20.</w:t>
            </w:r>
            <w:r w:rsidRPr="005F296B">
              <w:rPr>
                <w:rFonts w:ascii="Arial" w:hAnsi="Arial" w:cs="Arial"/>
              </w:rPr>
              <w:t xml:space="preserve"> </w:t>
            </w:r>
          </w:p>
          <w:p w14:paraId="427F414B" w14:textId="26F8A03B" w:rsidR="00E52812" w:rsidRDefault="00E52812" w:rsidP="003B16B6">
            <w:pPr>
              <w:jc w:val="both"/>
              <w:rPr>
                <w:rFonts w:ascii="Arial" w:hAnsi="Arial" w:cs="Arial"/>
              </w:rPr>
            </w:pPr>
          </w:p>
          <w:p w14:paraId="2F94931F" w14:textId="77777777" w:rsidR="00E52812" w:rsidRPr="009C1F2A" w:rsidRDefault="00E52812" w:rsidP="00E52812">
            <w:pPr>
              <w:jc w:val="both"/>
              <w:rPr>
                <w:rFonts w:ascii="Arial" w:eastAsia="Calibri" w:hAnsi="Arial" w:cs="Arial"/>
                <w:szCs w:val="24"/>
                <w:lang w:eastAsia="en-US"/>
              </w:rPr>
            </w:pPr>
            <w:r w:rsidRPr="009C1F2A">
              <w:rPr>
                <w:rFonts w:ascii="Arial" w:eastAsia="Calibri" w:hAnsi="Arial" w:cs="Arial"/>
                <w:szCs w:val="24"/>
                <w:lang w:eastAsia="en-US"/>
              </w:rPr>
              <w:t xml:space="preserve">The </w:t>
            </w:r>
            <w:proofErr w:type="gramStart"/>
            <w:r>
              <w:rPr>
                <w:rFonts w:ascii="Arial" w:eastAsia="Calibri" w:hAnsi="Arial" w:cs="Arial"/>
                <w:szCs w:val="24"/>
                <w:lang w:eastAsia="en-US"/>
              </w:rPr>
              <w:t>long term</w:t>
            </w:r>
            <w:proofErr w:type="gramEnd"/>
            <w:r>
              <w:rPr>
                <w:rFonts w:ascii="Arial" w:eastAsia="Calibri" w:hAnsi="Arial" w:cs="Arial"/>
                <w:szCs w:val="24"/>
                <w:lang w:eastAsia="en-US"/>
              </w:rPr>
              <w:t xml:space="preserve"> </w:t>
            </w:r>
            <w:r w:rsidRPr="009C1F2A">
              <w:rPr>
                <w:rFonts w:ascii="Arial" w:eastAsia="Calibri" w:hAnsi="Arial" w:cs="Arial"/>
                <w:szCs w:val="24"/>
                <w:lang w:eastAsia="en-US"/>
              </w:rPr>
              <w:t xml:space="preserve">absence </w:t>
            </w:r>
            <w:r>
              <w:rPr>
                <w:rFonts w:ascii="Arial" w:eastAsia="Calibri" w:hAnsi="Arial" w:cs="Arial"/>
                <w:szCs w:val="24"/>
                <w:lang w:eastAsia="en-US"/>
              </w:rPr>
              <w:t>rate %</w:t>
            </w:r>
            <w:r w:rsidRPr="009C1F2A">
              <w:rPr>
                <w:rFonts w:ascii="Arial" w:eastAsia="Calibri" w:hAnsi="Arial" w:cs="Arial"/>
                <w:szCs w:val="24"/>
                <w:lang w:eastAsia="en-US"/>
              </w:rPr>
              <w:t xml:space="preserve"> up to the end of Quarter </w:t>
            </w:r>
            <w:r>
              <w:rPr>
                <w:rFonts w:ascii="Arial" w:eastAsia="Calibri" w:hAnsi="Arial" w:cs="Arial"/>
                <w:szCs w:val="24"/>
                <w:lang w:eastAsia="en-US"/>
              </w:rPr>
              <w:t xml:space="preserve">4 </w:t>
            </w:r>
            <w:r w:rsidRPr="009C1F2A">
              <w:rPr>
                <w:rFonts w:ascii="Arial" w:eastAsia="Calibri" w:hAnsi="Arial" w:cs="Arial"/>
                <w:szCs w:val="24"/>
                <w:lang w:eastAsia="en-US"/>
              </w:rPr>
              <w:t>w</w:t>
            </w:r>
            <w:r>
              <w:rPr>
                <w:rFonts w:ascii="Arial" w:eastAsia="Calibri" w:hAnsi="Arial" w:cs="Arial"/>
                <w:szCs w:val="24"/>
                <w:lang w:eastAsia="en-US"/>
              </w:rPr>
              <w:t>as</w:t>
            </w:r>
            <w:r w:rsidRPr="009C1F2A">
              <w:rPr>
                <w:rFonts w:ascii="Arial" w:eastAsia="Calibri" w:hAnsi="Arial" w:cs="Arial"/>
                <w:szCs w:val="24"/>
                <w:lang w:eastAsia="en-US"/>
              </w:rPr>
              <w:t xml:space="preserve"> as follows:</w:t>
            </w:r>
          </w:p>
          <w:p w14:paraId="71DCEA4B" w14:textId="77777777" w:rsidR="00E52812" w:rsidRPr="009C1F2A" w:rsidRDefault="00E52812" w:rsidP="00E52812">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E52812" w:rsidRPr="009C1F2A" w14:paraId="5BCF008A"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43153DE0" w14:textId="77777777" w:rsidR="00E52812"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14:paraId="20F39351"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 xml:space="preserve">Long term </w:t>
                  </w:r>
                  <w:r w:rsidRPr="009C1F2A">
                    <w:rPr>
                      <w:rFonts w:ascii="Arial" w:eastAsia="Calibri" w:hAnsi="Arial" w:cs="Arial"/>
                      <w:b/>
                      <w:bCs/>
                      <w:szCs w:val="24"/>
                    </w:rPr>
                    <w:t>Absence Rates</w:t>
                  </w:r>
                </w:p>
                <w:p w14:paraId="3B675534" w14:textId="77777777" w:rsidR="00E52812" w:rsidRPr="009C1F2A" w:rsidRDefault="00E52812" w:rsidP="00E52812">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63C9060" w14:textId="77777777" w:rsidR="00E52812" w:rsidRPr="009C1F2A" w:rsidRDefault="00E52812" w:rsidP="00E52812">
                  <w:pPr>
                    <w:spacing w:line="276" w:lineRule="auto"/>
                    <w:jc w:val="center"/>
                    <w:rPr>
                      <w:rFonts w:ascii="Arial" w:eastAsia="Calibri" w:hAnsi="Arial" w:cs="Arial"/>
                      <w:b/>
                      <w:bCs/>
                      <w:szCs w:val="24"/>
                    </w:rPr>
                  </w:pPr>
                </w:p>
                <w:p w14:paraId="5C7B563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02A8582D"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0F4B6D0C" w14:textId="77777777" w:rsidR="00E52812" w:rsidRPr="009C1F2A" w:rsidRDefault="00E52812" w:rsidP="00E52812">
                  <w:pPr>
                    <w:spacing w:line="276" w:lineRule="auto"/>
                    <w:jc w:val="center"/>
                    <w:rPr>
                      <w:rFonts w:ascii="Arial" w:eastAsia="Calibri" w:hAnsi="Arial" w:cs="Arial"/>
                      <w:b/>
                      <w:bCs/>
                      <w:szCs w:val="24"/>
                    </w:rPr>
                  </w:pPr>
                </w:p>
                <w:p w14:paraId="5BA32F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1E6C4AD8"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B8015BD" w14:textId="77777777" w:rsidR="00E52812" w:rsidRPr="009C1F2A" w:rsidRDefault="00E52812" w:rsidP="00E52812">
                  <w:pPr>
                    <w:spacing w:line="276" w:lineRule="auto"/>
                    <w:jc w:val="center"/>
                    <w:rPr>
                      <w:rFonts w:ascii="Arial" w:eastAsia="Calibri" w:hAnsi="Arial" w:cs="Arial"/>
                      <w:b/>
                      <w:bCs/>
                      <w:szCs w:val="24"/>
                    </w:rPr>
                  </w:pPr>
                </w:p>
                <w:p w14:paraId="3BCEC243"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05FF4C93"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E295AC7" w14:textId="77777777" w:rsidR="00E52812" w:rsidRPr="009C1F2A" w:rsidRDefault="00E52812" w:rsidP="00E52812">
                  <w:pPr>
                    <w:spacing w:line="276" w:lineRule="auto"/>
                    <w:jc w:val="center"/>
                    <w:rPr>
                      <w:rFonts w:ascii="Arial" w:eastAsia="Calibri" w:hAnsi="Arial" w:cs="Arial"/>
                      <w:b/>
                      <w:bCs/>
                      <w:szCs w:val="24"/>
                    </w:rPr>
                  </w:pPr>
                </w:p>
                <w:p w14:paraId="038C40B0"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69A62D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52812" w:rsidRPr="009C1F2A" w14:paraId="09F3E144"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2F54829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223670" w14:textId="77777777" w:rsidR="00E52812" w:rsidRPr="00240268" w:rsidRDefault="00E52812" w:rsidP="00E52812">
                  <w:pPr>
                    <w:spacing w:line="276" w:lineRule="auto"/>
                    <w:jc w:val="center"/>
                    <w:rPr>
                      <w:rFonts w:ascii="Arial" w:eastAsia="Calibri" w:hAnsi="Arial" w:cs="Arial"/>
                      <w:szCs w:val="24"/>
                    </w:rPr>
                  </w:pPr>
                  <w:r>
                    <w:rPr>
                      <w:rFonts w:ascii="Arial" w:eastAsia="Calibri" w:hAnsi="Arial" w:cs="Arial"/>
                      <w:szCs w:val="24"/>
                    </w:rPr>
                    <w:t>2.62%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8F5C40"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D2DCDE"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2.68%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FED6A"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2.28%</w:t>
                  </w:r>
                </w:p>
              </w:tc>
            </w:tr>
            <w:tr w:rsidR="00E52812" w:rsidRPr="009C1F2A" w14:paraId="771B867E"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6C159470"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EC895F"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5EBE95"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C20F08"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76286"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2.73%</w:t>
                  </w:r>
                </w:p>
              </w:tc>
            </w:tr>
            <w:tr w:rsidR="00E52812" w:rsidRPr="009C1F2A" w14:paraId="25FE8CE6"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76038B7A"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0AC355"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F438AC"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ED914"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1.27%</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BB41"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1.64%</w:t>
                  </w:r>
                </w:p>
              </w:tc>
            </w:tr>
          </w:tbl>
          <w:p w14:paraId="2B27C3F0" w14:textId="77777777" w:rsidR="00E52812" w:rsidRDefault="00E52812" w:rsidP="003B16B6">
            <w:pPr>
              <w:jc w:val="both"/>
              <w:rPr>
                <w:rFonts w:ascii="Arial" w:hAnsi="Arial" w:cs="Arial"/>
              </w:rPr>
            </w:pPr>
          </w:p>
          <w:p w14:paraId="63C04F36" w14:textId="77777777" w:rsidR="003B16B6" w:rsidRDefault="003B16B6" w:rsidP="003B16B6">
            <w:pPr>
              <w:jc w:val="both"/>
              <w:rPr>
                <w:rFonts w:ascii="Arial" w:eastAsia="Calibri" w:hAnsi="Arial" w:cs="Arial"/>
                <w:szCs w:val="24"/>
                <w:lang w:eastAsia="en-US"/>
              </w:rPr>
            </w:pPr>
          </w:p>
        </w:tc>
      </w:tr>
      <w:tr w:rsidR="003B16B6" w:rsidRPr="007214D1" w14:paraId="77EE4B49" w14:textId="77777777" w:rsidTr="00835331">
        <w:trPr>
          <w:trHeight w:val="770"/>
        </w:trPr>
        <w:tc>
          <w:tcPr>
            <w:tcW w:w="959" w:type="dxa"/>
          </w:tcPr>
          <w:p w14:paraId="5986C0CA" w14:textId="77777777" w:rsidR="003B16B6" w:rsidRDefault="003B16B6" w:rsidP="003B16B6">
            <w:pPr>
              <w:rPr>
                <w:rFonts w:ascii="Arial" w:hAnsi="Arial" w:cs="Arial"/>
                <w:szCs w:val="24"/>
              </w:rPr>
            </w:pPr>
            <w:r>
              <w:rPr>
                <w:rFonts w:ascii="Arial" w:hAnsi="Arial" w:cs="Arial"/>
                <w:szCs w:val="24"/>
              </w:rPr>
              <w:t>3.2.4</w:t>
            </w:r>
          </w:p>
          <w:p w14:paraId="219EE452" w14:textId="77777777" w:rsidR="003B16B6" w:rsidRDefault="003B16B6" w:rsidP="003B16B6">
            <w:pPr>
              <w:rPr>
                <w:rFonts w:ascii="Arial" w:hAnsi="Arial" w:cs="Arial"/>
                <w:szCs w:val="24"/>
              </w:rPr>
            </w:pPr>
          </w:p>
          <w:p w14:paraId="67A9D695" w14:textId="77777777" w:rsidR="003B16B6" w:rsidRDefault="003B16B6" w:rsidP="003B16B6">
            <w:pPr>
              <w:rPr>
                <w:rFonts w:ascii="Arial" w:hAnsi="Arial" w:cs="Arial"/>
                <w:szCs w:val="24"/>
              </w:rPr>
            </w:pPr>
          </w:p>
          <w:p w14:paraId="799A0631" w14:textId="77777777" w:rsidR="003B16B6" w:rsidRDefault="003B16B6" w:rsidP="003B16B6">
            <w:pPr>
              <w:rPr>
                <w:rFonts w:ascii="Arial" w:hAnsi="Arial" w:cs="Arial"/>
                <w:szCs w:val="24"/>
              </w:rPr>
            </w:pPr>
            <w:r>
              <w:rPr>
                <w:rFonts w:ascii="Arial" w:hAnsi="Arial" w:cs="Arial"/>
                <w:szCs w:val="24"/>
              </w:rPr>
              <w:t>3.2.5</w:t>
            </w:r>
          </w:p>
          <w:p w14:paraId="24EC6D81" w14:textId="77777777" w:rsidR="003B16B6" w:rsidRDefault="003B16B6" w:rsidP="003B16B6">
            <w:pPr>
              <w:rPr>
                <w:rFonts w:ascii="Arial" w:hAnsi="Arial" w:cs="Arial"/>
                <w:szCs w:val="24"/>
              </w:rPr>
            </w:pPr>
          </w:p>
          <w:p w14:paraId="1FD52F51" w14:textId="77777777" w:rsidR="003B16B6" w:rsidRDefault="003B16B6" w:rsidP="003B16B6">
            <w:pPr>
              <w:rPr>
                <w:rFonts w:ascii="Arial" w:hAnsi="Arial" w:cs="Arial"/>
                <w:szCs w:val="24"/>
              </w:rPr>
            </w:pPr>
          </w:p>
          <w:p w14:paraId="2FC11923" w14:textId="77777777" w:rsidR="003B16B6" w:rsidRDefault="003B16B6" w:rsidP="003B16B6">
            <w:pPr>
              <w:rPr>
                <w:rFonts w:ascii="Arial" w:hAnsi="Arial" w:cs="Arial"/>
                <w:szCs w:val="24"/>
              </w:rPr>
            </w:pPr>
            <w:r>
              <w:rPr>
                <w:rFonts w:ascii="Arial" w:hAnsi="Arial" w:cs="Arial"/>
                <w:szCs w:val="24"/>
              </w:rPr>
              <w:t>3.2.6</w:t>
            </w:r>
          </w:p>
          <w:p w14:paraId="5228F6DB" w14:textId="77777777" w:rsidR="00E52812" w:rsidRDefault="00E52812" w:rsidP="003B16B6">
            <w:pPr>
              <w:rPr>
                <w:rFonts w:ascii="Arial" w:hAnsi="Arial" w:cs="Arial"/>
                <w:szCs w:val="24"/>
              </w:rPr>
            </w:pPr>
          </w:p>
          <w:p w14:paraId="0E1865FE" w14:textId="77777777" w:rsidR="00E52812" w:rsidRDefault="00E52812" w:rsidP="003B16B6">
            <w:pPr>
              <w:rPr>
                <w:rFonts w:ascii="Arial" w:hAnsi="Arial" w:cs="Arial"/>
                <w:szCs w:val="24"/>
              </w:rPr>
            </w:pPr>
          </w:p>
          <w:p w14:paraId="77C872F1" w14:textId="77777777" w:rsidR="00E52812" w:rsidRDefault="00E52812" w:rsidP="003B16B6">
            <w:pPr>
              <w:rPr>
                <w:rFonts w:ascii="Arial" w:hAnsi="Arial" w:cs="Arial"/>
                <w:szCs w:val="24"/>
              </w:rPr>
            </w:pPr>
          </w:p>
          <w:p w14:paraId="593492F7" w14:textId="77777777" w:rsidR="00E52812" w:rsidRDefault="00E52812" w:rsidP="003B16B6">
            <w:pPr>
              <w:rPr>
                <w:rFonts w:ascii="Arial" w:hAnsi="Arial" w:cs="Arial"/>
                <w:szCs w:val="24"/>
              </w:rPr>
            </w:pPr>
          </w:p>
          <w:p w14:paraId="2C57EC0C" w14:textId="7B24ADC7" w:rsidR="00E52812" w:rsidRDefault="00E52812" w:rsidP="003B16B6">
            <w:pPr>
              <w:rPr>
                <w:rFonts w:ascii="Arial" w:hAnsi="Arial" w:cs="Arial"/>
                <w:szCs w:val="24"/>
              </w:rPr>
            </w:pPr>
            <w:r>
              <w:rPr>
                <w:rFonts w:ascii="Arial" w:hAnsi="Arial" w:cs="Arial"/>
                <w:szCs w:val="24"/>
              </w:rPr>
              <w:t>3.2.7</w:t>
            </w:r>
          </w:p>
        </w:tc>
        <w:tc>
          <w:tcPr>
            <w:tcW w:w="8505" w:type="dxa"/>
          </w:tcPr>
          <w:p w14:paraId="44074DE5" w14:textId="6F58B534" w:rsidR="003B16B6" w:rsidRDefault="003B16B6" w:rsidP="003B16B6">
            <w:pPr>
              <w:jc w:val="both"/>
              <w:rPr>
                <w:rFonts w:ascii="Arial" w:hAnsi="Arial" w:cs="Arial"/>
              </w:rPr>
            </w:pPr>
            <w:r w:rsidRPr="005F296B">
              <w:rPr>
                <w:rFonts w:ascii="Arial" w:hAnsi="Arial" w:cs="Arial"/>
              </w:rPr>
              <w:t xml:space="preserve">Quarter </w:t>
            </w:r>
            <w:r>
              <w:rPr>
                <w:rFonts w:ascii="Arial" w:hAnsi="Arial" w:cs="Arial"/>
              </w:rPr>
              <w:t>4</w:t>
            </w:r>
            <w:r w:rsidRPr="005F296B">
              <w:rPr>
                <w:rFonts w:ascii="Arial" w:hAnsi="Arial" w:cs="Arial"/>
              </w:rPr>
              <w:t xml:space="preserve"> has shown a </w:t>
            </w:r>
            <w:r>
              <w:rPr>
                <w:rFonts w:ascii="Arial" w:hAnsi="Arial" w:cs="Arial"/>
              </w:rPr>
              <w:t>slight increase 0.37%</w:t>
            </w:r>
            <w:r w:rsidRPr="005F296B">
              <w:rPr>
                <w:rFonts w:ascii="Arial" w:hAnsi="Arial" w:cs="Arial"/>
              </w:rPr>
              <w:t xml:space="preserve"> in the long</w:t>
            </w:r>
            <w:r>
              <w:rPr>
                <w:rFonts w:ascii="Arial" w:hAnsi="Arial" w:cs="Arial"/>
              </w:rPr>
              <w:t>-</w:t>
            </w:r>
            <w:r w:rsidRPr="005F296B">
              <w:rPr>
                <w:rFonts w:ascii="Arial" w:hAnsi="Arial" w:cs="Arial"/>
              </w:rPr>
              <w:t xml:space="preserve">term absence rate </w:t>
            </w:r>
            <w:r>
              <w:rPr>
                <w:rFonts w:ascii="Arial" w:hAnsi="Arial" w:cs="Arial"/>
              </w:rPr>
              <w:t xml:space="preserve">compared to Quarter 3 of 2019/20. </w:t>
            </w:r>
          </w:p>
          <w:p w14:paraId="6744133F" w14:textId="77777777" w:rsidR="003B16B6" w:rsidRDefault="003B16B6" w:rsidP="003B16B6">
            <w:pPr>
              <w:jc w:val="both"/>
              <w:rPr>
                <w:rFonts w:ascii="Arial" w:hAnsi="Arial" w:cs="Arial"/>
              </w:rPr>
            </w:pPr>
          </w:p>
          <w:p w14:paraId="39A3358C" w14:textId="7897D979" w:rsidR="003B16B6" w:rsidRPr="00CD339D" w:rsidRDefault="003B16B6" w:rsidP="003B16B6">
            <w:pPr>
              <w:jc w:val="both"/>
              <w:rPr>
                <w:rFonts w:ascii="Arial" w:eastAsia="Calibri" w:hAnsi="Arial" w:cs="Arial"/>
                <w:szCs w:val="24"/>
                <w:lang w:eastAsia="en-US"/>
              </w:rPr>
            </w:pPr>
            <w:r w:rsidRPr="005D4D8D">
              <w:rPr>
                <w:rFonts w:ascii="Arial" w:eastAsia="Calibri" w:hAnsi="Arial" w:cs="Arial"/>
                <w:szCs w:val="24"/>
                <w:lang w:eastAsia="en-US"/>
              </w:rPr>
              <w:t xml:space="preserve">There were </w:t>
            </w:r>
            <w:r>
              <w:rPr>
                <w:rFonts w:ascii="Arial" w:eastAsia="Calibri" w:hAnsi="Arial" w:cs="Arial"/>
                <w:szCs w:val="24"/>
                <w:lang w:eastAsia="en-US"/>
              </w:rPr>
              <w:t>21</w:t>
            </w:r>
            <w:r w:rsidRPr="005D4D8D">
              <w:rPr>
                <w:rFonts w:ascii="Arial" w:eastAsia="Calibri" w:hAnsi="Arial" w:cs="Arial"/>
                <w:szCs w:val="24"/>
                <w:lang w:eastAsia="en-US"/>
              </w:rPr>
              <w:t xml:space="preserve"> long-term absences within the quarter (</w:t>
            </w:r>
            <w:r>
              <w:rPr>
                <w:rFonts w:ascii="Arial" w:eastAsia="Calibri" w:hAnsi="Arial" w:cs="Arial"/>
                <w:szCs w:val="24"/>
                <w:lang w:eastAsia="en-US"/>
              </w:rPr>
              <w:t>23</w:t>
            </w:r>
            <w:r w:rsidRPr="005D4D8D">
              <w:rPr>
                <w:rFonts w:ascii="Arial" w:eastAsia="Calibri" w:hAnsi="Arial" w:cs="Arial"/>
                <w:szCs w:val="24"/>
                <w:lang w:eastAsia="en-US"/>
              </w:rPr>
              <w:t xml:space="preserve"> in Q</w:t>
            </w:r>
            <w:r>
              <w:rPr>
                <w:rFonts w:ascii="Arial" w:eastAsia="Calibri" w:hAnsi="Arial" w:cs="Arial"/>
                <w:szCs w:val="24"/>
                <w:lang w:eastAsia="en-US"/>
              </w:rPr>
              <w:t>3</w:t>
            </w:r>
            <w:r w:rsidRPr="005D4D8D">
              <w:rPr>
                <w:rFonts w:ascii="Arial" w:eastAsia="Calibri" w:hAnsi="Arial" w:cs="Arial"/>
                <w:szCs w:val="24"/>
                <w:lang w:eastAsia="en-US"/>
              </w:rPr>
              <w:t xml:space="preserve">) of which </w:t>
            </w:r>
            <w:r>
              <w:rPr>
                <w:rFonts w:ascii="Arial" w:eastAsia="Calibri" w:hAnsi="Arial" w:cs="Arial"/>
                <w:szCs w:val="24"/>
                <w:lang w:eastAsia="en-US"/>
              </w:rPr>
              <w:t>zero</w:t>
            </w:r>
            <w:r w:rsidRPr="005D4D8D">
              <w:rPr>
                <w:rFonts w:ascii="Arial" w:eastAsia="Calibri" w:hAnsi="Arial" w:cs="Arial"/>
                <w:szCs w:val="24"/>
                <w:lang w:eastAsia="en-US"/>
              </w:rPr>
              <w:t xml:space="preserve"> remained absent at the start of Q</w:t>
            </w:r>
            <w:r>
              <w:rPr>
                <w:rFonts w:ascii="Arial" w:eastAsia="Calibri" w:hAnsi="Arial" w:cs="Arial"/>
                <w:szCs w:val="24"/>
                <w:lang w:eastAsia="en-US"/>
              </w:rPr>
              <w:t>1</w:t>
            </w:r>
            <w:r w:rsidRPr="005D4D8D">
              <w:rPr>
                <w:rFonts w:ascii="Arial" w:eastAsia="Calibri" w:hAnsi="Arial" w:cs="Arial"/>
                <w:szCs w:val="24"/>
                <w:lang w:eastAsia="en-US"/>
              </w:rPr>
              <w:t xml:space="preserve"> 20</w:t>
            </w:r>
            <w:r>
              <w:rPr>
                <w:rFonts w:ascii="Arial" w:eastAsia="Calibri" w:hAnsi="Arial" w:cs="Arial"/>
                <w:szCs w:val="24"/>
                <w:lang w:eastAsia="en-US"/>
              </w:rPr>
              <w:t>20</w:t>
            </w:r>
            <w:r w:rsidRPr="005D4D8D">
              <w:rPr>
                <w:rFonts w:ascii="Arial" w:eastAsia="Calibri" w:hAnsi="Arial" w:cs="Arial"/>
                <w:szCs w:val="24"/>
                <w:lang w:eastAsia="en-US"/>
              </w:rPr>
              <w:t>/2</w:t>
            </w:r>
            <w:r>
              <w:rPr>
                <w:rFonts w:ascii="Arial" w:eastAsia="Calibri" w:hAnsi="Arial" w:cs="Arial"/>
                <w:szCs w:val="24"/>
                <w:lang w:eastAsia="en-US"/>
              </w:rPr>
              <w:t>1</w:t>
            </w:r>
            <w:r w:rsidRPr="005D4D8D">
              <w:rPr>
                <w:rFonts w:ascii="Arial" w:eastAsia="Calibri" w:hAnsi="Arial" w:cs="Arial"/>
                <w:szCs w:val="24"/>
                <w:lang w:eastAsia="en-US"/>
              </w:rPr>
              <w:t>.</w:t>
            </w:r>
            <w:r w:rsidRPr="00CD339D">
              <w:rPr>
                <w:rFonts w:ascii="Arial" w:eastAsia="Calibri" w:hAnsi="Arial" w:cs="Arial"/>
                <w:szCs w:val="24"/>
                <w:lang w:eastAsia="en-US"/>
              </w:rPr>
              <w:t xml:space="preserve"> </w:t>
            </w:r>
          </w:p>
          <w:p w14:paraId="454A17A6" w14:textId="77777777" w:rsidR="003B16B6" w:rsidRPr="005D4D8D" w:rsidRDefault="003B16B6" w:rsidP="003B16B6">
            <w:pPr>
              <w:jc w:val="both"/>
              <w:rPr>
                <w:rFonts w:ascii="Arial" w:eastAsia="Calibri" w:hAnsi="Arial" w:cs="Arial"/>
                <w:szCs w:val="24"/>
                <w:lang w:eastAsia="en-US"/>
              </w:rPr>
            </w:pPr>
          </w:p>
          <w:p w14:paraId="467A0256" w14:textId="77777777" w:rsidR="003B16B6" w:rsidRDefault="003B16B6" w:rsidP="003B16B6">
            <w:pPr>
              <w:jc w:val="both"/>
              <w:rPr>
                <w:rFonts w:ascii="Arial" w:hAnsi="Arial" w:cs="Arial"/>
                <w:iCs/>
              </w:rPr>
            </w:pPr>
            <w:r>
              <w:rPr>
                <w:rFonts w:ascii="Arial" w:hAnsi="Arial" w:cs="Arial"/>
                <w:iCs/>
              </w:rPr>
              <w:t>Over</w:t>
            </w:r>
            <w:r w:rsidRPr="005D4D8D">
              <w:rPr>
                <w:rFonts w:ascii="Arial" w:hAnsi="Arial" w:cs="Arial"/>
                <w:iCs/>
              </w:rPr>
              <w:t xml:space="preserve"> </w:t>
            </w:r>
            <w:r>
              <w:rPr>
                <w:rFonts w:ascii="Arial" w:hAnsi="Arial" w:cs="Arial"/>
                <w:iCs/>
              </w:rPr>
              <w:t>70</w:t>
            </w:r>
            <w:r w:rsidRPr="005D4D8D">
              <w:rPr>
                <w:rFonts w:ascii="Arial" w:hAnsi="Arial" w:cs="Arial"/>
                <w:iCs/>
              </w:rPr>
              <w:t>% of the long</w:t>
            </w:r>
            <w:r>
              <w:rPr>
                <w:rFonts w:ascii="Arial" w:hAnsi="Arial" w:cs="Arial"/>
                <w:iCs/>
              </w:rPr>
              <w:t>-</w:t>
            </w:r>
            <w:r w:rsidRPr="005D4D8D">
              <w:rPr>
                <w:rFonts w:ascii="Arial" w:hAnsi="Arial" w:cs="Arial"/>
                <w:iCs/>
              </w:rPr>
              <w:t>term absences relate to physical and medical illnesses or conditions, the remainder include absences relating to bereavement, long term and ongoing mental health issues which are not work related; and a small number (</w:t>
            </w:r>
            <w:r>
              <w:rPr>
                <w:rFonts w:ascii="Arial" w:hAnsi="Arial" w:cs="Arial"/>
                <w:iCs/>
              </w:rPr>
              <w:t>10</w:t>
            </w:r>
            <w:r w:rsidRPr="005D4D8D">
              <w:rPr>
                <w:rFonts w:ascii="Arial" w:hAnsi="Arial" w:cs="Arial"/>
                <w:iCs/>
              </w:rPr>
              <w:t>%) reporting stress at work as the reason for absence.</w:t>
            </w:r>
            <w:r>
              <w:rPr>
                <w:rFonts w:ascii="Arial" w:hAnsi="Arial" w:cs="Arial"/>
                <w:iCs/>
              </w:rPr>
              <w:t xml:space="preserve">  </w:t>
            </w:r>
          </w:p>
          <w:p w14:paraId="51B87E93" w14:textId="77777777" w:rsidR="003B16B6" w:rsidRDefault="003B16B6" w:rsidP="003B16B6">
            <w:pPr>
              <w:jc w:val="both"/>
              <w:rPr>
                <w:rFonts w:ascii="Arial" w:hAnsi="Arial" w:cs="Arial"/>
                <w:iCs/>
              </w:rPr>
            </w:pPr>
          </w:p>
          <w:p w14:paraId="2DDCA55F" w14:textId="68462A22" w:rsidR="003B16B6" w:rsidRPr="00B007BE" w:rsidRDefault="003B16B6" w:rsidP="003B16B6">
            <w:pPr>
              <w:jc w:val="both"/>
              <w:rPr>
                <w:rFonts w:ascii="Arial" w:hAnsi="Arial" w:cs="Arial"/>
                <w:iCs/>
              </w:rPr>
            </w:pPr>
            <w:r>
              <w:rPr>
                <w:rFonts w:ascii="Arial" w:hAnsi="Arial" w:cs="Arial"/>
                <w:iCs/>
              </w:rPr>
              <w:t>There were no reported Covid-19 related long-term absences.</w:t>
            </w:r>
            <w:r w:rsidRPr="00B007BE">
              <w:rPr>
                <w:rFonts w:ascii="Arial" w:hAnsi="Arial" w:cs="Arial"/>
                <w:iCs/>
              </w:rPr>
              <w:t xml:space="preserve">   </w:t>
            </w:r>
          </w:p>
          <w:p w14:paraId="04C0EA6F" w14:textId="77777777" w:rsidR="003B16B6" w:rsidRPr="005F296B" w:rsidRDefault="003B16B6" w:rsidP="003B16B6">
            <w:pPr>
              <w:jc w:val="both"/>
              <w:rPr>
                <w:rFonts w:ascii="Arial" w:hAnsi="Arial" w:cs="Arial"/>
              </w:rPr>
            </w:pPr>
          </w:p>
        </w:tc>
      </w:tr>
      <w:tr w:rsidR="003B16B6" w:rsidRPr="007214D1" w14:paraId="1023DA3E" w14:textId="77777777" w:rsidTr="00E52812">
        <w:tc>
          <w:tcPr>
            <w:tcW w:w="959" w:type="dxa"/>
          </w:tcPr>
          <w:p w14:paraId="0AD34DD6" w14:textId="77777777" w:rsidR="003B16B6" w:rsidRDefault="003B16B6" w:rsidP="003B16B6">
            <w:pPr>
              <w:rPr>
                <w:rFonts w:ascii="Arial" w:hAnsi="Arial" w:cs="Arial"/>
                <w:szCs w:val="24"/>
              </w:rPr>
            </w:pPr>
            <w:r>
              <w:rPr>
                <w:rFonts w:ascii="Arial" w:hAnsi="Arial" w:cs="Arial"/>
                <w:szCs w:val="24"/>
              </w:rPr>
              <w:t>3.2.10</w:t>
            </w:r>
          </w:p>
          <w:p w14:paraId="06DF83B6" w14:textId="4FECD9AF" w:rsidR="003B16B6" w:rsidRDefault="003B16B6" w:rsidP="003B16B6">
            <w:pPr>
              <w:rPr>
                <w:rFonts w:ascii="Arial" w:hAnsi="Arial" w:cs="Arial"/>
                <w:szCs w:val="24"/>
              </w:rPr>
            </w:pPr>
          </w:p>
        </w:tc>
        <w:tc>
          <w:tcPr>
            <w:tcW w:w="8505" w:type="dxa"/>
          </w:tcPr>
          <w:p w14:paraId="47CC7EC3" w14:textId="7885AA94" w:rsidR="003B16B6" w:rsidRDefault="003B16B6" w:rsidP="003B16B6">
            <w:pPr>
              <w:jc w:val="both"/>
              <w:rPr>
                <w:rFonts w:ascii="Arial" w:eastAsia="Calibri" w:hAnsi="Arial" w:cs="Arial"/>
                <w:szCs w:val="24"/>
                <w:lang w:eastAsia="en-US"/>
              </w:rPr>
            </w:pPr>
            <w:r>
              <w:rPr>
                <w:rFonts w:ascii="Arial" w:eastAsia="Calibri" w:hAnsi="Arial" w:cs="Arial"/>
                <w:szCs w:val="24"/>
                <w:lang w:eastAsia="en-US"/>
              </w:rPr>
              <w:t>The average sick days per employee up to the end of Quarter 4 were as follows:</w:t>
            </w:r>
          </w:p>
          <w:p w14:paraId="3AEDEF25" w14:textId="54FC3030" w:rsidR="00E52812" w:rsidRDefault="00E52812" w:rsidP="003B16B6">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E52812" w:rsidRPr="009C1F2A" w14:paraId="6E174636" w14:textId="77777777" w:rsidTr="00456BFF">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56D3937"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Average sick days per employee</w:t>
                  </w:r>
                </w:p>
                <w:p w14:paraId="6A38BF1B" w14:textId="77777777" w:rsidR="00E52812" w:rsidRPr="009C1F2A" w:rsidRDefault="00E52812" w:rsidP="00E52812">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1E085DA1" w14:textId="77777777" w:rsidR="00E52812" w:rsidRPr="009C1F2A" w:rsidRDefault="00E52812" w:rsidP="00E52812">
                  <w:pPr>
                    <w:spacing w:line="276" w:lineRule="auto"/>
                    <w:jc w:val="center"/>
                    <w:rPr>
                      <w:rFonts w:ascii="Arial" w:eastAsia="Calibri" w:hAnsi="Arial" w:cs="Arial"/>
                      <w:b/>
                      <w:bCs/>
                      <w:szCs w:val="24"/>
                    </w:rPr>
                  </w:pPr>
                </w:p>
                <w:p w14:paraId="41FCB5C4"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14:paraId="16D5F69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29620F9E" w14:textId="77777777" w:rsidR="00E52812" w:rsidRPr="009C1F2A" w:rsidRDefault="00E52812" w:rsidP="00E52812">
                  <w:pPr>
                    <w:spacing w:line="276" w:lineRule="auto"/>
                    <w:jc w:val="center"/>
                    <w:rPr>
                      <w:rFonts w:ascii="Arial" w:eastAsia="Calibri" w:hAnsi="Arial" w:cs="Arial"/>
                      <w:b/>
                      <w:bCs/>
                      <w:szCs w:val="24"/>
                    </w:rPr>
                  </w:pPr>
                </w:p>
                <w:p w14:paraId="31FDF78B"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14:paraId="770E4C7C"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A992BB4" w14:textId="77777777" w:rsidR="00E52812" w:rsidRPr="009C1F2A" w:rsidRDefault="00E52812" w:rsidP="00E52812">
                  <w:pPr>
                    <w:spacing w:line="276" w:lineRule="auto"/>
                    <w:jc w:val="center"/>
                    <w:rPr>
                      <w:rFonts w:ascii="Arial" w:eastAsia="Calibri" w:hAnsi="Arial" w:cs="Arial"/>
                      <w:b/>
                      <w:bCs/>
                      <w:szCs w:val="24"/>
                    </w:rPr>
                  </w:pPr>
                </w:p>
                <w:p w14:paraId="612E7F91"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14:paraId="4FE0BC29"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B9F4C9A" w14:textId="77777777" w:rsidR="00E52812" w:rsidRPr="009C1F2A" w:rsidRDefault="00E52812" w:rsidP="00E52812">
                  <w:pPr>
                    <w:spacing w:line="276" w:lineRule="auto"/>
                    <w:jc w:val="center"/>
                    <w:rPr>
                      <w:rFonts w:ascii="Arial" w:eastAsia="Calibri" w:hAnsi="Arial" w:cs="Arial"/>
                      <w:b/>
                      <w:bCs/>
                      <w:szCs w:val="24"/>
                    </w:rPr>
                  </w:pPr>
                </w:p>
                <w:p w14:paraId="294ABCB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14:paraId="33375DD3"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52812" w:rsidRPr="009C1F2A" w14:paraId="1080EEA7"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0DED684D" w14:textId="77777777" w:rsidR="00E52812" w:rsidRPr="009C1F2A" w:rsidRDefault="00E52812" w:rsidP="00E52812">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70DFD"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08F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5E2B4" w14:textId="77777777" w:rsidR="00E52812" w:rsidRPr="009C1F2A" w:rsidRDefault="00E52812" w:rsidP="00E52812">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6E5F6"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2.53</w:t>
                  </w:r>
                </w:p>
              </w:tc>
            </w:tr>
            <w:tr w:rsidR="00E52812" w:rsidRPr="009C1F2A" w14:paraId="3D9652B5"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3D503FCE" w14:textId="77777777" w:rsidR="00E52812" w:rsidRPr="009C1F2A"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C9215"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6D1E12"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278EB3" w14:textId="77777777" w:rsidR="00E52812" w:rsidRPr="009C1F2A" w:rsidRDefault="00E52812" w:rsidP="00E52812">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9A5406"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2.57</w:t>
                  </w:r>
                </w:p>
              </w:tc>
            </w:tr>
            <w:tr w:rsidR="00E52812" w:rsidRPr="009C1F2A" w14:paraId="553FDB28" w14:textId="77777777" w:rsidTr="00456BFF">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4AEFAC24" w14:textId="77777777" w:rsidR="00E52812" w:rsidRDefault="00E52812" w:rsidP="00E5281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ABB85E"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CCDF71"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A4BE1A"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1.74</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1DD34C" w14:textId="77777777" w:rsidR="00E52812" w:rsidRDefault="00E52812" w:rsidP="00E52812">
                  <w:pPr>
                    <w:spacing w:line="276" w:lineRule="auto"/>
                    <w:jc w:val="center"/>
                    <w:rPr>
                      <w:rFonts w:ascii="Arial" w:eastAsia="Calibri" w:hAnsi="Arial" w:cs="Arial"/>
                      <w:szCs w:val="24"/>
                    </w:rPr>
                  </w:pPr>
                  <w:r>
                    <w:rPr>
                      <w:rFonts w:ascii="Arial" w:eastAsia="Calibri" w:hAnsi="Arial" w:cs="Arial"/>
                      <w:szCs w:val="24"/>
                    </w:rPr>
                    <w:t>1.81</w:t>
                  </w:r>
                </w:p>
              </w:tc>
            </w:tr>
          </w:tbl>
          <w:p w14:paraId="69D181CB" w14:textId="77777777" w:rsidR="00E52812" w:rsidRDefault="00E52812" w:rsidP="003B16B6">
            <w:pPr>
              <w:jc w:val="both"/>
              <w:rPr>
                <w:rFonts w:ascii="Arial" w:eastAsia="Calibri" w:hAnsi="Arial" w:cs="Arial"/>
                <w:szCs w:val="24"/>
                <w:lang w:eastAsia="en-US"/>
              </w:rPr>
            </w:pPr>
          </w:p>
          <w:p w14:paraId="0B27C7AC" w14:textId="77777777" w:rsidR="003B16B6" w:rsidRPr="009C1F2A" w:rsidRDefault="003B16B6" w:rsidP="003B16B6">
            <w:pPr>
              <w:jc w:val="both"/>
              <w:rPr>
                <w:rFonts w:ascii="Arial" w:eastAsia="Calibri" w:hAnsi="Arial" w:cs="Arial"/>
                <w:szCs w:val="24"/>
                <w:lang w:eastAsia="en-US"/>
              </w:rPr>
            </w:pPr>
          </w:p>
        </w:tc>
      </w:tr>
      <w:tr w:rsidR="003B16B6" w:rsidRPr="007214D1" w14:paraId="3A41F40E" w14:textId="77777777" w:rsidTr="00835331">
        <w:trPr>
          <w:trHeight w:val="426"/>
        </w:trPr>
        <w:tc>
          <w:tcPr>
            <w:tcW w:w="959" w:type="dxa"/>
          </w:tcPr>
          <w:p w14:paraId="6AB8028B" w14:textId="73181900" w:rsidR="003B16B6" w:rsidRDefault="00E52812" w:rsidP="003B16B6">
            <w:pPr>
              <w:rPr>
                <w:rFonts w:ascii="Arial" w:hAnsi="Arial" w:cs="Arial"/>
                <w:szCs w:val="24"/>
              </w:rPr>
            </w:pPr>
            <w:r>
              <w:rPr>
                <w:rFonts w:ascii="Arial" w:hAnsi="Arial" w:cs="Arial"/>
                <w:szCs w:val="24"/>
              </w:rPr>
              <w:t>3.2.11</w:t>
            </w:r>
          </w:p>
        </w:tc>
        <w:tc>
          <w:tcPr>
            <w:tcW w:w="8505" w:type="dxa"/>
          </w:tcPr>
          <w:p w14:paraId="30466CAF" w14:textId="77777777" w:rsidR="003B16B6" w:rsidRDefault="003B16B6" w:rsidP="003B16B6">
            <w:pPr>
              <w:spacing w:line="276" w:lineRule="auto"/>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 has shown </w:t>
            </w:r>
            <w:r>
              <w:rPr>
                <w:rFonts w:ascii="Arial" w:eastAsia="Calibri" w:hAnsi="Arial" w:cs="Arial"/>
                <w:bCs/>
                <w:szCs w:val="24"/>
              </w:rPr>
              <w:t xml:space="preserve">a slight increase </w:t>
            </w:r>
            <w:r w:rsidRPr="006B590D">
              <w:rPr>
                <w:rFonts w:ascii="Arial" w:eastAsia="Calibri" w:hAnsi="Arial" w:cs="Arial"/>
                <w:bCs/>
                <w:szCs w:val="24"/>
              </w:rPr>
              <w:t xml:space="preserve">of </w:t>
            </w:r>
            <w:r>
              <w:rPr>
                <w:rFonts w:ascii="Arial" w:eastAsia="Calibri" w:hAnsi="Arial" w:cs="Arial"/>
                <w:bCs/>
                <w:szCs w:val="24"/>
              </w:rPr>
              <w:t>0.07%</w:t>
            </w:r>
            <w:r w:rsidRPr="00D44B45">
              <w:rPr>
                <w:rFonts w:ascii="Arial" w:eastAsia="Calibri" w:hAnsi="Arial" w:cs="Arial"/>
                <w:bCs/>
                <w:szCs w:val="24"/>
              </w:rPr>
              <w:t xml:space="preserve"> days</w:t>
            </w:r>
            <w:r>
              <w:rPr>
                <w:rFonts w:ascii="Arial" w:eastAsia="Calibri" w:hAnsi="Arial" w:cs="Arial"/>
                <w:bCs/>
                <w:szCs w:val="24"/>
              </w:rPr>
              <w:t xml:space="preserve"> compared to Quarter 3 of 2019/20. </w:t>
            </w:r>
          </w:p>
          <w:p w14:paraId="18C4356A" w14:textId="77777777" w:rsidR="003B16B6" w:rsidRPr="00D44B45" w:rsidRDefault="003B16B6" w:rsidP="003B16B6">
            <w:pPr>
              <w:spacing w:line="276" w:lineRule="auto"/>
              <w:jc w:val="both"/>
              <w:rPr>
                <w:rFonts w:ascii="Arial" w:eastAsia="Calibri" w:hAnsi="Arial" w:cs="Arial"/>
                <w:bCs/>
                <w:szCs w:val="24"/>
              </w:rPr>
            </w:pPr>
          </w:p>
        </w:tc>
      </w:tr>
      <w:tr w:rsidR="003B16B6" w:rsidRPr="007214D1" w14:paraId="371DBB6E" w14:textId="77777777" w:rsidTr="00835331">
        <w:trPr>
          <w:trHeight w:val="426"/>
        </w:trPr>
        <w:tc>
          <w:tcPr>
            <w:tcW w:w="959" w:type="dxa"/>
          </w:tcPr>
          <w:p w14:paraId="0A0D817C" w14:textId="2D0B4470" w:rsidR="003B16B6" w:rsidRDefault="00E52812" w:rsidP="003B16B6">
            <w:pPr>
              <w:rPr>
                <w:rFonts w:ascii="Arial" w:hAnsi="Arial" w:cs="Arial"/>
                <w:szCs w:val="24"/>
              </w:rPr>
            </w:pPr>
            <w:r>
              <w:rPr>
                <w:rFonts w:ascii="Arial" w:hAnsi="Arial" w:cs="Arial"/>
                <w:szCs w:val="24"/>
              </w:rPr>
              <w:t>3.2.12</w:t>
            </w:r>
          </w:p>
        </w:tc>
        <w:tc>
          <w:tcPr>
            <w:tcW w:w="8505" w:type="dxa"/>
          </w:tcPr>
          <w:p w14:paraId="432D35A2" w14:textId="77777777" w:rsidR="003B16B6" w:rsidRDefault="003B16B6" w:rsidP="003B16B6">
            <w:pPr>
              <w:jc w:val="both"/>
              <w:rPr>
                <w:rFonts w:ascii="Arial" w:eastAsia="Calibri" w:hAnsi="Arial" w:cs="Arial"/>
                <w:bCs/>
                <w:szCs w:val="24"/>
              </w:rPr>
            </w:pPr>
            <w:r>
              <w:rPr>
                <w:rFonts w:ascii="Arial" w:eastAsia="Calibri" w:hAnsi="Arial" w:cs="Arial"/>
                <w:bCs/>
                <w:szCs w:val="24"/>
              </w:rPr>
              <w:t xml:space="preserve">As outlined in previous reports, </w:t>
            </w:r>
            <w:r w:rsidRPr="008F18C3">
              <w:rPr>
                <w:rFonts w:ascii="Arial" w:eastAsia="Calibri" w:hAnsi="Arial" w:cs="Arial"/>
                <w:bCs/>
                <w:szCs w:val="24"/>
              </w:rPr>
              <w:t xml:space="preserve">HR </w:t>
            </w:r>
            <w:r>
              <w:rPr>
                <w:rFonts w:ascii="Arial" w:eastAsia="Calibri" w:hAnsi="Arial" w:cs="Arial"/>
                <w:bCs/>
                <w:szCs w:val="24"/>
              </w:rPr>
              <w:t xml:space="preserve">continues to </w:t>
            </w:r>
            <w:r w:rsidRPr="008F18C3">
              <w:rPr>
                <w:rFonts w:ascii="Arial" w:eastAsia="Calibri" w:hAnsi="Arial" w:cs="Arial"/>
                <w:bCs/>
                <w:szCs w:val="24"/>
              </w:rPr>
              <w:t xml:space="preserve">work closely with </w:t>
            </w:r>
            <w:r>
              <w:rPr>
                <w:rFonts w:ascii="Arial" w:eastAsia="Calibri" w:hAnsi="Arial" w:cs="Arial"/>
                <w:bCs/>
                <w:szCs w:val="24"/>
              </w:rPr>
              <w:t xml:space="preserve">all </w:t>
            </w:r>
            <w:r w:rsidRPr="008F18C3">
              <w:rPr>
                <w:rFonts w:ascii="Arial" w:eastAsia="Calibri" w:hAnsi="Arial" w:cs="Arial"/>
                <w:bCs/>
                <w:szCs w:val="24"/>
              </w:rPr>
              <w:t>managers and employees to find opportunities to encourage earlier returns to work.</w:t>
            </w:r>
            <w:r>
              <w:rPr>
                <w:rFonts w:ascii="Arial" w:eastAsia="Calibri" w:hAnsi="Arial" w:cs="Arial"/>
                <w:bCs/>
                <w:szCs w:val="24"/>
              </w:rPr>
              <w:t xml:space="preserve"> The current COVID-19 situation means that the majority of staff are currently on furlough leave but managers remain committed to keeping in contact with all staff, regularly checking in on their health and wellbeing and highlighting to the HR Manager any concerns they have regarding staff health and wellbeing during this time.</w:t>
            </w:r>
          </w:p>
          <w:p w14:paraId="386F5B8C" w14:textId="77777777" w:rsidR="003B16B6" w:rsidRDefault="003B16B6" w:rsidP="003B16B6">
            <w:pPr>
              <w:jc w:val="both"/>
              <w:rPr>
                <w:rFonts w:ascii="Arial" w:eastAsia="Calibri" w:hAnsi="Arial" w:cs="Arial"/>
                <w:bCs/>
                <w:szCs w:val="24"/>
              </w:rPr>
            </w:pPr>
          </w:p>
          <w:p w14:paraId="2317DF94" w14:textId="6B5F0137" w:rsidR="003B16B6" w:rsidRPr="008F18C3" w:rsidRDefault="003B16B6" w:rsidP="003B16B6">
            <w:pPr>
              <w:jc w:val="both"/>
              <w:rPr>
                <w:rFonts w:ascii="Arial" w:eastAsia="Calibri" w:hAnsi="Arial" w:cs="Arial"/>
                <w:bCs/>
                <w:szCs w:val="24"/>
              </w:rPr>
            </w:pPr>
            <w:r>
              <w:rPr>
                <w:rFonts w:ascii="Arial" w:eastAsia="Calibri" w:hAnsi="Arial" w:cs="Arial"/>
                <w:bCs/>
                <w:szCs w:val="24"/>
              </w:rPr>
              <w:t>At the time of writing this report, the charity has two staff being closely monitored by members of the Executive team to ensure their ongoing health and wellbeing</w:t>
            </w:r>
            <w:r w:rsidR="00E52812">
              <w:rPr>
                <w:rFonts w:ascii="Arial" w:eastAsia="Calibri" w:hAnsi="Arial" w:cs="Arial"/>
                <w:bCs/>
                <w:szCs w:val="24"/>
              </w:rPr>
              <w:t xml:space="preserve"> during the COVID-19 situation/furlough leave</w:t>
            </w:r>
            <w:r>
              <w:rPr>
                <w:rFonts w:ascii="Arial" w:eastAsia="Calibri" w:hAnsi="Arial" w:cs="Arial"/>
                <w:bCs/>
                <w:szCs w:val="24"/>
              </w:rPr>
              <w:t>.</w:t>
            </w:r>
          </w:p>
          <w:p w14:paraId="65E902CF" w14:textId="77777777" w:rsidR="003B16B6" w:rsidRPr="005F2664" w:rsidRDefault="003B16B6" w:rsidP="003B16B6">
            <w:pPr>
              <w:jc w:val="both"/>
              <w:rPr>
                <w:rFonts w:ascii="Arial" w:eastAsia="Calibri" w:hAnsi="Arial" w:cs="Arial"/>
                <w:bCs/>
                <w:szCs w:val="24"/>
                <w:highlight w:val="yellow"/>
              </w:rPr>
            </w:pPr>
            <w:r w:rsidRPr="005F2664">
              <w:rPr>
                <w:rFonts w:ascii="Arial" w:eastAsia="Calibri" w:hAnsi="Arial" w:cs="Arial"/>
                <w:bCs/>
                <w:szCs w:val="24"/>
                <w:highlight w:val="yellow"/>
              </w:rPr>
              <w:t xml:space="preserve"> </w:t>
            </w:r>
          </w:p>
        </w:tc>
      </w:tr>
      <w:tr w:rsidR="003B16B6" w:rsidRPr="007214D1" w14:paraId="2B8D2501" w14:textId="77777777" w:rsidTr="00835331">
        <w:trPr>
          <w:trHeight w:val="80"/>
        </w:trPr>
        <w:tc>
          <w:tcPr>
            <w:tcW w:w="959" w:type="dxa"/>
          </w:tcPr>
          <w:p w14:paraId="0AAC4AF3" w14:textId="77777777" w:rsidR="003B16B6" w:rsidRDefault="003B16B6" w:rsidP="003B16B6">
            <w:pPr>
              <w:rPr>
                <w:rFonts w:ascii="Arial" w:hAnsi="Arial" w:cs="Arial"/>
                <w:szCs w:val="24"/>
              </w:rPr>
            </w:pPr>
            <w:r w:rsidRPr="003E159A">
              <w:rPr>
                <w:rFonts w:ascii="Arial" w:hAnsi="Arial" w:cs="Arial"/>
                <w:szCs w:val="24"/>
              </w:rPr>
              <w:t>3.</w:t>
            </w:r>
            <w:r>
              <w:rPr>
                <w:rFonts w:ascii="Arial" w:hAnsi="Arial" w:cs="Arial"/>
                <w:szCs w:val="24"/>
              </w:rPr>
              <w:t>3</w:t>
            </w:r>
          </w:p>
          <w:p w14:paraId="0EC3F38B" w14:textId="77777777" w:rsidR="003B16B6" w:rsidRDefault="003B16B6" w:rsidP="003B16B6">
            <w:pPr>
              <w:rPr>
                <w:rFonts w:ascii="Arial" w:hAnsi="Arial" w:cs="Arial"/>
                <w:szCs w:val="24"/>
              </w:rPr>
            </w:pPr>
          </w:p>
          <w:p w14:paraId="0E62D5DE" w14:textId="77777777" w:rsidR="003B16B6" w:rsidRPr="003E159A" w:rsidRDefault="003B16B6" w:rsidP="003B16B6">
            <w:pPr>
              <w:rPr>
                <w:rFonts w:ascii="Arial" w:hAnsi="Arial" w:cs="Arial"/>
                <w:szCs w:val="24"/>
              </w:rPr>
            </w:pPr>
            <w:r>
              <w:rPr>
                <w:rFonts w:ascii="Arial" w:hAnsi="Arial" w:cs="Arial"/>
                <w:szCs w:val="24"/>
              </w:rPr>
              <w:t>3.3.1</w:t>
            </w:r>
          </w:p>
        </w:tc>
        <w:tc>
          <w:tcPr>
            <w:tcW w:w="8505" w:type="dxa"/>
          </w:tcPr>
          <w:p w14:paraId="00B36C3C" w14:textId="77777777" w:rsidR="003B16B6" w:rsidRPr="0020611C" w:rsidRDefault="003B16B6" w:rsidP="002C5CBE">
            <w:pPr>
              <w:jc w:val="both"/>
              <w:rPr>
                <w:rFonts w:ascii="Arial" w:eastAsia="Calibri" w:hAnsi="Arial" w:cs="Arial"/>
                <w:szCs w:val="24"/>
                <w:u w:val="single"/>
                <w:lang w:eastAsia="en-US"/>
              </w:rPr>
            </w:pPr>
            <w:r w:rsidRPr="0020611C">
              <w:rPr>
                <w:rFonts w:ascii="Arial" w:eastAsia="Calibri" w:hAnsi="Arial" w:cs="Arial"/>
                <w:szCs w:val="24"/>
                <w:u w:val="single"/>
                <w:lang w:eastAsia="en-US"/>
              </w:rPr>
              <w:t>Staff Turnover</w:t>
            </w:r>
          </w:p>
          <w:p w14:paraId="7E4BF151" w14:textId="77777777" w:rsidR="003B16B6" w:rsidRPr="0020611C" w:rsidRDefault="003B16B6" w:rsidP="002C5CBE">
            <w:pPr>
              <w:jc w:val="both"/>
              <w:rPr>
                <w:rFonts w:ascii="Arial" w:eastAsia="Calibri" w:hAnsi="Arial" w:cs="Arial"/>
                <w:szCs w:val="24"/>
              </w:rPr>
            </w:pPr>
          </w:p>
          <w:p w14:paraId="4275A11F" w14:textId="77777777" w:rsidR="003B16B6" w:rsidRPr="0020611C" w:rsidRDefault="003B16B6" w:rsidP="002C5CBE">
            <w:pPr>
              <w:jc w:val="both"/>
              <w:rPr>
                <w:rFonts w:ascii="Arial" w:eastAsia="Calibri" w:hAnsi="Arial" w:cs="Arial"/>
                <w:szCs w:val="24"/>
              </w:rPr>
            </w:pPr>
            <w:r w:rsidRPr="0020611C">
              <w:rPr>
                <w:rFonts w:ascii="Arial" w:eastAsia="Calibri" w:hAnsi="Arial" w:cs="Arial"/>
                <w:szCs w:val="24"/>
              </w:rPr>
              <w:t xml:space="preserve">Resignations in Quarter </w:t>
            </w:r>
            <w:r>
              <w:rPr>
                <w:rFonts w:ascii="Arial" w:eastAsia="Calibri" w:hAnsi="Arial" w:cs="Arial"/>
                <w:szCs w:val="24"/>
              </w:rPr>
              <w:t>4</w:t>
            </w:r>
            <w:r w:rsidRPr="0020611C">
              <w:rPr>
                <w:rFonts w:ascii="Arial" w:eastAsia="Calibri" w:hAnsi="Arial" w:cs="Arial"/>
                <w:szCs w:val="24"/>
              </w:rPr>
              <w:t xml:space="preserve"> as a percentage of the number of posts and resignations was 1.</w:t>
            </w:r>
            <w:r>
              <w:rPr>
                <w:rFonts w:ascii="Arial" w:eastAsia="Calibri" w:hAnsi="Arial" w:cs="Arial"/>
                <w:szCs w:val="24"/>
              </w:rPr>
              <w:t>5</w:t>
            </w:r>
            <w:r w:rsidRPr="0020611C">
              <w:rPr>
                <w:rFonts w:ascii="Arial" w:eastAsia="Calibri" w:hAnsi="Arial" w:cs="Arial"/>
                <w:szCs w:val="24"/>
              </w:rPr>
              <w:t xml:space="preserve">% equating to an average of 5 resignations a month across the whole organisation. </w:t>
            </w:r>
          </w:p>
          <w:p w14:paraId="35B2E878" w14:textId="77777777" w:rsidR="003B16B6" w:rsidRPr="0020611C" w:rsidRDefault="003B16B6" w:rsidP="002C5CBE">
            <w:pPr>
              <w:jc w:val="both"/>
              <w:rPr>
                <w:rFonts w:ascii="Arial" w:eastAsia="Calibri" w:hAnsi="Arial" w:cs="Arial"/>
                <w:szCs w:val="24"/>
                <w:u w:val="single"/>
                <w:lang w:eastAsia="en-US"/>
              </w:rPr>
            </w:pPr>
          </w:p>
        </w:tc>
      </w:tr>
      <w:tr w:rsidR="003B16B6" w:rsidRPr="007214D1" w14:paraId="11681E52" w14:textId="77777777" w:rsidTr="00835331">
        <w:trPr>
          <w:trHeight w:val="80"/>
        </w:trPr>
        <w:tc>
          <w:tcPr>
            <w:tcW w:w="959" w:type="dxa"/>
          </w:tcPr>
          <w:p w14:paraId="60D14FEF" w14:textId="77777777" w:rsidR="003B16B6" w:rsidRDefault="003B16B6" w:rsidP="003B16B6">
            <w:pPr>
              <w:rPr>
                <w:rFonts w:ascii="Arial" w:hAnsi="Arial" w:cs="Arial"/>
                <w:szCs w:val="24"/>
              </w:rPr>
            </w:pPr>
            <w:r>
              <w:rPr>
                <w:rFonts w:ascii="Arial" w:hAnsi="Arial" w:cs="Arial"/>
                <w:szCs w:val="24"/>
              </w:rPr>
              <w:t>3.3.2</w:t>
            </w:r>
          </w:p>
          <w:p w14:paraId="58F462FB" w14:textId="77777777" w:rsidR="003B16B6" w:rsidRPr="003E159A" w:rsidRDefault="003B16B6" w:rsidP="003B16B6">
            <w:pPr>
              <w:rPr>
                <w:rFonts w:ascii="Arial" w:hAnsi="Arial" w:cs="Arial"/>
                <w:szCs w:val="24"/>
              </w:rPr>
            </w:pPr>
          </w:p>
        </w:tc>
        <w:tc>
          <w:tcPr>
            <w:tcW w:w="8505" w:type="dxa"/>
          </w:tcPr>
          <w:p w14:paraId="32862B40" w14:textId="77777777" w:rsidR="003B16B6" w:rsidRPr="0020611C" w:rsidRDefault="003B16B6" w:rsidP="002C5CBE">
            <w:pPr>
              <w:jc w:val="both"/>
              <w:rPr>
                <w:rFonts w:ascii="Arial" w:eastAsia="Calibri" w:hAnsi="Arial" w:cs="Arial"/>
                <w:szCs w:val="24"/>
              </w:rPr>
            </w:pPr>
            <w:r w:rsidRPr="0020611C">
              <w:rPr>
                <w:rFonts w:ascii="Arial" w:eastAsia="Calibri" w:hAnsi="Arial" w:cs="Arial"/>
                <w:szCs w:val="24"/>
              </w:rPr>
              <w:t>Staff turnover remains in a ‘</w:t>
            </w:r>
            <w:r w:rsidRPr="0020611C">
              <w:rPr>
                <w:rFonts w:ascii="Arial" w:eastAsia="Calibri" w:hAnsi="Arial" w:cs="Arial"/>
                <w:b/>
                <w:szCs w:val="24"/>
              </w:rPr>
              <w:t>green</w:t>
            </w:r>
            <w:r w:rsidRPr="0020611C">
              <w:rPr>
                <w:rFonts w:ascii="Arial" w:eastAsia="Calibri" w:hAnsi="Arial" w:cs="Arial"/>
                <w:szCs w:val="24"/>
              </w:rPr>
              <w:t>’ RAG-rated status in terms of the Charity’s performance reporting and therefore does not present any current ongoing concerns for HLH.</w:t>
            </w:r>
          </w:p>
          <w:p w14:paraId="6035F796" w14:textId="77777777" w:rsidR="003B16B6" w:rsidRPr="0020611C" w:rsidRDefault="003B16B6" w:rsidP="002C5CBE">
            <w:pPr>
              <w:jc w:val="both"/>
              <w:rPr>
                <w:rFonts w:ascii="Arial" w:eastAsia="Calibri" w:hAnsi="Arial" w:cs="Arial"/>
                <w:szCs w:val="24"/>
                <w:u w:val="single"/>
                <w:lang w:eastAsia="en-US"/>
              </w:rPr>
            </w:pPr>
          </w:p>
        </w:tc>
      </w:tr>
      <w:tr w:rsidR="003B16B6" w:rsidRPr="007214D1" w14:paraId="36C4964B" w14:textId="77777777" w:rsidTr="00835331">
        <w:trPr>
          <w:trHeight w:val="80"/>
        </w:trPr>
        <w:tc>
          <w:tcPr>
            <w:tcW w:w="959" w:type="dxa"/>
          </w:tcPr>
          <w:p w14:paraId="625FE7AF" w14:textId="77777777" w:rsidR="003B16B6" w:rsidRDefault="003B16B6" w:rsidP="003B16B6">
            <w:pPr>
              <w:rPr>
                <w:rFonts w:ascii="Arial" w:hAnsi="Arial" w:cs="Arial"/>
                <w:szCs w:val="24"/>
              </w:rPr>
            </w:pPr>
            <w:r>
              <w:rPr>
                <w:rFonts w:ascii="Arial" w:hAnsi="Arial" w:cs="Arial"/>
                <w:szCs w:val="24"/>
              </w:rPr>
              <w:t>3.4</w:t>
            </w:r>
          </w:p>
          <w:p w14:paraId="144811BF" w14:textId="77777777" w:rsidR="003B16B6" w:rsidRDefault="003B16B6" w:rsidP="003B16B6">
            <w:pPr>
              <w:rPr>
                <w:rFonts w:ascii="Arial" w:hAnsi="Arial" w:cs="Arial"/>
                <w:szCs w:val="24"/>
              </w:rPr>
            </w:pPr>
          </w:p>
          <w:p w14:paraId="2BDD98D1" w14:textId="77777777" w:rsidR="003B16B6" w:rsidRDefault="003B16B6" w:rsidP="003B16B6">
            <w:pPr>
              <w:rPr>
                <w:rFonts w:ascii="Arial" w:hAnsi="Arial" w:cs="Arial"/>
                <w:szCs w:val="24"/>
              </w:rPr>
            </w:pPr>
            <w:r>
              <w:rPr>
                <w:rFonts w:ascii="Arial" w:hAnsi="Arial" w:cs="Arial"/>
                <w:szCs w:val="24"/>
              </w:rPr>
              <w:t>3.4.1</w:t>
            </w:r>
          </w:p>
          <w:p w14:paraId="6F3C47E4" w14:textId="77777777" w:rsidR="003B16B6" w:rsidRDefault="003B16B6" w:rsidP="003B16B6">
            <w:pPr>
              <w:rPr>
                <w:rFonts w:ascii="Arial" w:hAnsi="Arial" w:cs="Arial"/>
                <w:szCs w:val="24"/>
              </w:rPr>
            </w:pPr>
          </w:p>
          <w:p w14:paraId="769ED7FB" w14:textId="7A916E69" w:rsidR="003B16B6" w:rsidRDefault="003B16B6" w:rsidP="003B16B6">
            <w:pPr>
              <w:rPr>
                <w:rFonts w:ascii="Arial" w:hAnsi="Arial" w:cs="Arial"/>
                <w:szCs w:val="24"/>
              </w:rPr>
            </w:pPr>
          </w:p>
          <w:p w14:paraId="46D0B696" w14:textId="77777777" w:rsidR="003B16B6" w:rsidRDefault="003B16B6" w:rsidP="003B16B6">
            <w:pPr>
              <w:rPr>
                <w:rFonts w:ascii="Arial" w:hAnsi="Arial" w:cs="Arial"/>
                <w:szCs w:val="24"/>
              </w:rPr>
            </w:pPr>
            <w:r>
              <w:rPr>
                <w:rFonts w:ascii="Arial" w:hAnsi="Arial" w:cs="Arial"/>
                <w:szCs w:val="24"/>
              </w:rPr>
              <w:t>3.5</w:t>
            </w:r>
          </w:p>
          <w:p w14:paraId="4FF982D1" w14:textId="77777777" w:rsidR="003B16B6" w:rsidRDefault="003B16B6" w:rsidP="003B16B6">
            <w:pPr>
              <w:rPr>
                <w:rFonts w:ascii="Arial" w:hAnsi="Arial" w:cs="Arial"/>
                <w:szCs w:val="24"/>
              </w:rPr>
            </w:pPr>
          </w:p>
          <w:p w14:paraId="321C5C1A" w14:textId="77777777" w:rsidR="003B16B6" w:rsidRDefault="003B16B6" w:rsidP="003B16B6">
            <w:pPr>
              <w:rPr>
                <w:rFonts w:ascii="Arial" w:hAnsi="Arial" w:cs="Arial"/>
                <w:szCs w:val="24"/>
              </w:rPr>
            </w:pPr>
            <w:r>
              <w:rPr>
                <w:rFonts w:ascii="Arial" w:hAnsi="Arial" w:cs="Arial"/>
                <w:szCs w:val="24"/>
              </w:rPr>
              <w:t>3.5.1</w:t>
            </w:r>
          </w:p>
          <w:p w14:paraId="05061290" w14:textId="77777777" w:rsidR="003B16B6" w:rsidRDefault="003B16B6" w:rsidP="003B16B6">
            <w:pPr>
              <w:rPr>
                <w:rFonts w:ascii="Arial" w:hAnsi="Arial" w:cs="Arial"/>
                <w:szCs w:val="24"/>
              </w:rPr>
            </w:pPr>
          </w:p>
          <w:p w14:paraId="5502CBDE" w14:textId="77777777" w:rsidR="003B16B6" w:rsidRDefault="003B16B6" w:rsidP="003B16B6">
            <w:pPr>
              <w:rPr>
                <w:rFonts w:ascii="Arial" w:hAnsi="Arial" w:cs="Arial"/>
                <w:szCs w:val="24"/>
              </w:rPr>
            </w:pPr>
          </w:p>
          <w:p w14:paraId="6753EE45" w14:textId="77777777" w:rsidR="003B16B6" w:rsidRDefault="003B16B6" w:rsidP="003B16B6">
            <w:pPr>
              <w:rPr>
                <w:rFonts w:ascii="Arial" w:hAnsi="Arial" w:cs="Arial"/>
                <w:szCs w:val="24"/>
              </w:rPr>
            </w:pPr>
          </w:p>
          <w:p w14:paraId="58031D24" w14:textId="77777777" w:rsidR="002C5CBE" w:rsidRDefault="002C5CBE" w:rsidP="003B16B6">
            <w:pPr>
              <w:rPr>
                <w:rFonts w:ascii="Arial" w:hAnsi="Arial" w:cs="Arial"/>
                <w:szCs w:val="24"/>
              </w:rPr>
            </w:pPr>
          </w:p>
          <w:p w14:paraId="10126488" w14:textId="77777777" w:rsidR="003B16B6" w:rsidRDefault="003B16B6" w:rsidP="003B16B6">
            <w:pPr>
              <w:rPr>
                <w:rFonts w:ascii="Arial" w:hAnsi="Arial" w:cs="Arial"/>
                <w:szCs w:val="24"/>
              </w:rPr>
            </w:pPr>
            <w:r>
              <w:rPr>
                <w:rFonts w:ascii="Arial" w:hAnsi="Arial" w:cs="Arial"/>
                <w:szCs w:val="24"/>
              </w:rPr>
              <w:t>3.6</w:t>
            </w:r>
          </w:p>
          <w:p w14:paraId="2CA76476" w14:textId="77777777" w:rsidR="003B16B6" w:rsidRDefault="003B16B6" w:rsidP="003B16B6">
            <w:pPr>
              <w:rPr>
                <w:rFonts w:ascii="Arial" w:hAnsi="Arial" w:cs="Arial"/>
                <w:szCs w:val="24"/>
              </w:rPr>
            </w:pPr>
          </w:p>
          <w:p w14:paraId="2CC5DF68" w14:textId="77777777" w:rsidR="003B16B6" w:rsidRDefault="003B16B6" w:rsidP="003B16B6">
            <w:pPr>
              <w:rPr>
                <w:rFonts w:ascii="Arial" w:hAnsi="Arial" w:cs="Arial"/>
                <w:szCs w:val="24"/>
              </w:rPr>
            </w:pPr>
            <w:r>
              <w:rPr>
                <w:rFonts w:ascii="Arial" w:hAnsi="Arial" w:cs="Arial"/>
                <w:szCs w:val="24"/>
              </w:rPr>
              <w:t>3.6.1</w:t>
            </w:r>
          </w:p>
        </w:tc>
        <w:tc>
          <w:tcPr>
            <w:tcW w:w="8505" w:type="dxa"/>
          </w:tcPr>
          <w:p w14:paraId="3E1858C5"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disciplinary processes</w:t>
            </w:r>
          </w:p>
          <w:p w14:paraId="47125C0D" w14:textId="77777777" w:rsidR="003B16B6" w:rsidRPr="009C1F2A" w:rsidRDefault="003B16B6" w:rsidP="002C5CBE">
            <w:pPr>
              <w:jc w:val="both"/>
              <w:rPr>
                <w:rFonts w:ascii="Arial" w:hAnsi="Arial" w:cs="Arial"/>
                <w:szCs w:val="24"/>
              </w:rPr>
            </w:pPr>
          </w:p>
          <w:p w14:paraId="26623A70" w14:textId="46474D0A" w:rsidR="003B16B6" w:rsidRPr="007B5E32" w:rsidRDefault="003B16B6" w:rsidP="002C5CBE">
            <w:pPr>
              <w:jc w:val="both"/>
              <w:rPr>
                <w:rFonts w:ascii="Arial" w:hAnsi="Arial" w:cs="Arial"/>
              </w:rPr>
            </w:pPr>
            <w:r>
              <w:rPr>
                <w:rFonts w:ascii="Arial" w:hAnsi="Arial" w:cs="Arial"/>
              </w:rPr>
              <w:t xml:space="preserve">There were two </w:t>
            </w:r>
            <w:r w:rsidRPr="009C1F2A">
              <w:rPr>
                <w:rFonts w:ascii="Arial" w:hAnsi="Arial" w:cs="Arial"/>
              </w:rPr>
              <w:t>issue</w:t>
            </w:r>
            <w:r>
              <w:rPr>
                <w:rFonts w:ascii="Arial" w:hAnsi="Arial" w:cs="Arial"/>
              </w:rPr>
              <w:t>s considered under the C</w:t>
            </w:r>
            <w:r w:rsidRPr="009C1F2A">
              <w:rPr>
                <w:rFonts w:ascii="Arial" w:hAnsi="Arial" w:cs="Arial"/>
              </w:rPr>
              <w:t>harity’s disciplinary process in Q</w:t>
            </w:r>
            <w:r>
              <w:rPr>
                <w:rFonts w:ascii="Arial" w:hAnsi="Arial" w:cs="Arial"/>
              </w:rPr>
              <w:t>4</w:t>
            </w:r>
            <w:r w:rsidR="00E52812">
              <w:rPr>
                <w:rFonts w:ascii="Arial" w:hAnsi="Arial" w:cs="Arial"/>
              </w:rPr>
              <w:t>-20</w:t>
            </w:r>
            <w:r>
              <w:rPr>
                <w:rFonts w:ascii="Arial" w:hAnsi="Arial" w:cs="Arial"/>
              </w:rPr>
              <w:t>19/20</w:t>
            </w:r>
            <w:r w:rsidRPr="009C1F2A">
              <w:rPr>
                <w:rFonts w:ascii="Arial" w:hAnsi="Arial" w:cs="Arial"/>
              </w:rPr>
              <w:t xml:space="preserve">, </w:t>
            </w:r>
            <w:r>
              <w:rPr>
                <w:rFonts w:ascii="Arial" w:hAnsi="Arial" w:cs="Arial"/>
              </w:rPr>
              <w:t xml:space="preserve">both resulting in dismissal. </w:t>
            </w:r>
          </w:p>
          <w:p w14:paraId="21689AC1" w14:textId="202378D5" w:rsidR="003B16B6" w:rsidRDefault="003B16B6" w:rsidP="002C5CBE">
            <w:pPr>
              <w:jc w:val="both"/>
              <w:rPr>
                <w:rFonts w:ascii="Arial" w:hAnsi="Arial" w:cs="Arial"/>
                <w:szCs w:val="24"/>
                <w:u w:val="single"/>
              </w:rPr>
            </w:pPr>
          </w:p>
          <w:p w14:paraId="45059D34" w14:textId="77777777" w:rsidR="003B16B6" w:rsidRPr="009C1F2A" w:rsidRDefault="003B16B6" w:rsidP="002C5CBE">
            <w:pPr>
              <w:jc w:val="both"/>
              <w:rPr>
                <w:rFonts w:ascii="Arial" w:hAnsi="Arial" w:cs="Arial"/>
                <w:szCs w:val="24"/>
                <w:u w:val="single"/>
              </w:rPr>
            </w:pPr>
            <w:r>
              <w:rPr>
                <w:rFonts w:ascii="Arial" w:hAnsi="Arial" w:cs="Arial"/>
                <w:szCs w:val="24"/>
                <w:u w:val="single"/>
              </w:rPr>
              <w:t>Use of the charity grievance processes</w:t>
            </w:r>
          </w:p>
          <w:p w14:paraId="036CAB7C" w14:textId="77777777" w:rsidR="003B16B6" w:rsidRPr="009C1F2A" w:rsidRDefault="003B16B6" w:rsidP="002C5CBE">
            <w:pPr>
              <w:jc w:val="both"/>
              <w:rPr>
                <w:rFonts w:ascii="Arial" w:hAnsi="Arial" w:cs="Arial"/>
                <w:szCs w:val="24"/>
              </w:rPr>
            </w:pPr>
          </w:p>
          <w:p w14:paraId="7AFB747B" w14:textId="0A81C9B8" w:rsidR="003B16B6" w:rsidRDefault="003B16B6" w:rsidP="002C5CBE">
            <w:pPr>
              <w:pStyle w:val="CommentText"/>
              <w:jc w:val="both"/>
              <w:rPr>
                <w:rFonts w:ascii="Arial" w:hAnsi="Arial" w:cs="Arial"/>
                <w:sz w:val="24"/>
                <w:szCs w:val="24"/>
              </w:rPr>
            </w:pPr>
            <w:r w:rsidRPr="009C1F2A">
              <w:rPr>
                <w:rFonts w:ascii="Arial" w:hAnsi="Arial" w:cs="Arial"/>
                <w:sz w:val="24"/>
                <w:szCs w:val="24"/>
              </w:rPr>
              <w:t xml:space="preserve">There </w:t>
            </w:r>
            <w:r>
              <w:rPr>
                <w:rFonts w:ascii="Arial" w:hAnsi="Arial" w:cs="Arial"/>
                <w:sz w:val="24"/>
                <w:szCs w:val="24"/>
              </w:rPr>
              <w:t xml:space="preserve">were two new </w:t>
            </w:r>
            <w:r w:rsidRPr="009C1F2A">
              <w:rPr>
                <w:rFonts w:ascii="Arial" w:hAnsi="Arial" w:cs="Arial"/>
                <w:sz w:val="24"/>
                <w:szCs w:val="24"/>
              </w:rPr>
              <w:t>matter</w:t>
            </w:r>
            <w:r>
              <w:rPr>
                <w:rFonts w:ascii="Arial" w:hAnsi="Arial" w:cs="Arial"/>
                <w:sz w:val="24"/>
                <w:szCs w:val="24"/>
              </w:rPr>
              <w:t>s</w:t>
            </w:r>
            <w:r w:rsidRPr="009C1F2A">
              <w:rPr>
                <w:rFonts w:ascii="Arial" w:hAnsi="Arial" w:cs="Arial"/>
                <w:sz w:val="24"/>
                <w:szCs w:val="24"/>
              </w:rPr>
              <w:t xml:space="preserve"> </w:t>
            </w:r>
            <w:r>
              <w:rPr>
                <w:rFonts w:ascii="Arial" w:hAnsi="Arial" w:cs="Arial"/>
                <w:sz w:val="24"/>
                <w:szCs w:val="24"/>
              </w:rPr>
              <w:t>received</w:t>
            </w:r>
            <w:r w:rsidRPr="009C1F2A">
              <w:rPr>
                <w:rFonts w:ascii="Arial" w:hAnsi="Arial" w:cs="Arial"/>
                <w:sz w:val="24"/>
                <w:szCs w:val="24"/>
              </w:rPr>
              <w:t xml:space="preserve"> under the chari</w:t>
            </w:r>
            <w:r>
              <w:rPr>
                <w:rFonts w:ascii="Arial" w:hAnsi="Arial" w:cs="Arial"/>
                <w:sz w:val="24"/>
                <w:szCs w:val="24"/>
              </w:rPr>
              <w:t>ty’s grievance procedure in Q4</w:t>
            </w:r>
            <w:r w:rsidR="00E52812">
              <w:rPr>
                <w:rFonts w:ascii="Arial" w:hAnsi="Arial" w:cs="Arial"/>
                <w:sz w:val="24"/>
                <w:szCs w:val="24"/>
              </w:rPr>
              <w:t>-</w:t>
            </w:r>
            <w:r w:rsidRPr="009C1F2A">
              <w:rPr>
                <w:rFonts w:ascii="Arial" w:hAnsi="Arial" w:cs="Arial"/>
                <w:sz w:val="24"/>
                <w:szCs w:val="24"/>
              </w:rPr>
              <w:t>20</w:t>
            </w:r>
            <w:r>
              <w:rPr>
                <w:rFonts w:ascii="Arial" w:hAnsi="Arial" w:cs="Arial"/>
                <w:sz w:val="24"/>
                <w:szCs w:val="24"/>
              </w:rPr>
              <w:t>19</w:t>
            </w:r>
            <w:r w:rsidRPr="009C1F2A">
              <w:rPr>
                <w:rFonts w:ascii="Arial" w:hAnsi="Arial" w:cs="Arial"/>
                <w:sz w:val="24"/>
                <w:szCs w:val="24"/>
              </w:rPr>
              <w:t>/</w:t>
            </w:r>
            <w:r>
              <w:rPr>
                <w:rFonts w:ascii="Arial" w:hAnsi="Arial" w:cs="Arial"/>
                <w:sz w:val="24"/>
                <w:szCs w:val="24"/>
              </w:rPr>
              <w:t>20. Due to the current COVID-19 situation, and with the consent of those submitting the grievances; both submissions are currently on hold until all parties can participate in a hearing</w:t>
            </w:r>
            <w:r w:rsidRPr="009C1F2A">
              <w:rPr>
                <w:rFonts w:ascii="Arial" w:hAnsi="Arial" w:cs="Arial"/>
                <w:sz w:val="24"/>
                <w:szCs w:val="24"/>
              </w:rPr>
              <w:t xml:space="preserve">. </w:t>
            </w:r>
          </w:p>
          <w:p w14:paraId="1BB09AFB" w14:textId="77777777" w:rsidR="003B16B6" w:rsidRDefault="003B16B6" w:rsidP="002C5CBE">
            <w:pPr>
              <w:jc w:val="both"/>
              <w:rPr>
                <w:rFonts w:ascii="Arial" w:hAnsi="Arial" w:cs="Arial"/>
                <w:szCs w:val="24"/>
                <w:u w:val="single"/>
              </w:rPr>
            </w:pPr>
          </w:p>
          <w:p w14:paraId="6136523E" w14:textId="77777777" w:rsidR="003B16B6" w:rsidRPr="00C8333C" w:rsidRDefault="003B16B6" w:rsidP="002C5CBE">
            <w:pPr>
              <w:jc w:val="both"/>
              <w:rPr>
                <w:rFonts w:ascii="Arial" w:hAnsi="Arial" w:cs="Arial"/>
                <w:szCs w:val="24"/>
                <w:u w:val="single"/>
              </w:rPr>
            </w:pPr>
            <w:r w:rsidRPr="00C8333C">
              <w:rPr>
                <w:rFonts w:ascii="Arial" w:hAnsi="Arial" w:cs="Arial"/>
                <w:szCs w:val="24"/>
                <w:u w:val="single"/>
              </w:rPr>
              <w:t>Harassment</w:t>
            </w:r>
          </w:p>
          <w:p w14:paraId="7BFE042A" w14:textId="77777777" w:rsidR="003B16B6" w:rsidRPr="009C1F2A" w:rsidRDefault="003B16B6" w:rsidP="002C5CBE">
            <w:pPr>
              <w:jc w:val="both"/>
              <w:rPr>
                <w:rFonts w:ascii="Arial" w:hAnsi="Arial" w:cs="Arial"/>
                <w:b/>
                <w:szCs w:val="24"/>
              </w:rPr>
            </w:pPr>
          </w:p>
          <w:p w14:paraId="5AF2B1D2" w14:textId="0834730A" w:rsidR="003B16B6" w:rsidRDefault="003B16B6" w:rsidP="002C5CBE">
            <w:pPr>
              <w:jc w:val="both"/>
              <w:rPr>
                <w:rFonts w:ascii="Arial" w:hAnsi="Arial" w:cs="Arial"/>
                <w:szCs w:val="24"/>
              </w:rPr>
            </w:pPr>
            <w:r w:rsidRPr="009C1F2A">
              <w:rPr>
                <w:rFonts w:ascii="Arial" w:hAnsi="Arial" w:cs="Arial"/>
                <w:szCs w:val="24"/>
              </w:rPr>
              <w:t>There were no harassment issues raised during Q</w:t>
            </w:r>
            <w:r>
              <w:rPr>
                <w:rFonts w:ascii="Arial" w:hAnsi="Arial" w:cs="Arial"/>
                <w:szCs w:val="24"/>
              </w:rPr>
              <w:t>4</w:t>
            </w:r>
            <w:r w:rsidR="00E52812">
              <w:rPr>
                <w:rFonts w:ascii="Arial" w:hAnsi="Arial" w:cs="Arial"/>
                <w:szCs w:val="24"/>
              </w:rPr>
              <w:t>-</w:t>
            </w:r>
            <w:r w:rsidRPr="009C1F2A">
              <w:rPr>
                <w:rFonts w:ascii="Arial" w:hAnsi="Arial" w:cs="Arial"/>
                <w:szCs w:val="24"/>
              </w:rPr>
              <w:t>20</w:t>
            </w:r>
            <w:r>
              <w:rPr>
                <w:rFonts w:ascii="Arial" w:hAnsi="Arial" w:cs="Arial"/>
                <w:szCs w:val="24"/>
              </w:rPr>
              <w:t>19</w:t>
            </w:r>
            <w:r w:rsidRPr="009C1F2A">
              <w:rPr>
                <w:rFonts w:ascii="Arial" w:hAnsi="Arial" w:cs="Arial"/>
                <w:szCs w:val="24"/>
              </w:rPr>
              <w:t>/</w:t>
            </w:r>
            <w:r>
              <w:rPr>
                <w:rFonts w:ascii="Arial" w:hAnsi="Arial" w:cs="Arial"/>
                <w:szCs w:val="24"/>
              </w:rPr>
              <w:t>20</w:t>
            </w:r>
            <w:r w:rsidRPr="009C1F2A">
              <w:rPr>
                <w:rFonts w:ascii="Arial" w:hAnsi="Arial" w:cs="Arial"/>
                <w:szCs w:val="24"/>
              </w:rPr>
              <w:t>.</w:t>
            </w:r>
          </w:p>
          <w:p w14:paraId="2B9CBB27" w14:textId="77777777" w:rsidR="003B16B6" w:rsidRPr="00835331" w:rsidRDefault="003B16B6" w:rsidP="002C5CBE">
            <w:pPr>
              <w:jc w:val="both"/>
              <w:rPr>
                <w:rFonts w:ascii="Arial" w:hAnsi="Arial" w:cs="Arial"/>
                <w:szCs w:val="24"/>
              </w:rPr>
            </w:pPr>
          </w:p>
        </w:tc>
      </w:tr>
      <w:tr w:rsidR="003B16B6" w:rsidRPr="007214D1" w14:paraId="17008541" w14:textId="77777777" w:rsidTr="00835331">
        <w:trPr>
          <w:trHeight w:val="80"/>
        </w:trPr>
        <w:tc>
          <w:tcPr>
            <w:tcW w:w="959" w:type="dxa"/>
          </w:tcPr>
          <w:p w14:paraId="2EC68DE5" w14:textId="77777777" w:rsidR="003B16B6" w:rsidRDefault="003B16B6" w:rsidP="003B16B6">
            <w:pPr>
              <w:rPr>
                <w:rFonts w:ascii="Arial" w:hAnsi="Arial" w:cs="Arial"/>
                <w:szCs w:val="24"/>
              </w:rPr>
            </w:pPr>
            <w:r>
              <w:rPr>
                <w:rFonts w:ascii="Arial" w:hAnsi="Arial" w:cs="Arial"/>
                <w:szCs w:val="24"/>
              </w:rPr>
              <w:t>3.7</w:t>
            </w:r>
          </w:p>
          <w:p w14:paraId="123E4B15" w14:textId="77777777" w:rsidR="003B16B6" w:rsidRDefault="003B16B6" w:rsidP="003B16B6">
            <w:pPr>
              <w:rPr>
                <w:rFonts w:ascii="Arial" w:hAnsi="Arial" w:cs="Arial"/>
                <w:szCs w:val="24"/>
              </w:rPr>
            </w:pPr>
          </w:p>
          <w:p w14:paraId="7AD323A4" w14:textId="77777777" w:rsidR="003B16B6" w:rsidRDefault="003B16B6" w:rsidP="003B16B6">
            <w:pPr>
              <w:rPr>
                <w:rFonts w:ascii="Arial" w:hAnsi="Arial" w:cs="Arial"/>
                <w:szCs w:val="24"/>
              </w:rPr>
            </w:pPr>
            <w:r>
              <w:rPr>
                <w:rFonts w:ascii="Arial" w:hAnsi="Arial" w:cs="Arial"/>
                <w:szCs w:val="24"/>
              </w:rPr>
              <w:t>3.7.1</w:t>
            </w:r>
          </w:p>
          <w:p w14:paraId="110B4191" w14:textId="77777777" w:rsidR="003B16B6" w:rsidRDefault="003B16B6" w:rsidP="003B16B6">
            <w:pPr>
              <w:rPr>
                <w:rFonts w:ascii="Arial" w:hAnsi="Arial" w:cs="Arial"/>
                <w:szCs w:val="24"/>
              </w:rPr>
            </w:pPr>
          </w:p>
          <w:p w14:paraId="77DF1C3B" w14:textId="77777777" w:rsidR="003B16B6" w:rsidRDefault="003B16B6" w:rsidP="003B16B6">
            <w:pPr>
              <w:rPr>
                <w:rFonts w:ascii="Arial" w:hAnsi="Arial" w:cs="Arial"/>
                <w:szCs w:val="24"/>
              </w:rPr>
            </w:pPr>
          </w:p>
          <w:p w14:paraId="454B0B5B" w14:textId="77777777" w:rsidR="003B16B6" w:rsidRDefault="003B16B6" w:rsidP="003B16B6">
            <w:pPr>
              <w:rPr>
                <w:rFonts w:ascii="Arial" w:hAnsi="Arial" w:cs="Arial"/>
                <w:szCs w:val="24"/>
              </w:rPr>
            </w:pPr>
          </w:p>
          <w:p w14:paraId="6AFF68B7" w14:textId="77777777" w:rsidR="003B16B6" w:rsidRDefault="003B16B6" w:rsidP="003B16B6">
            <w:pPr>
              <w:rPr>
                <w:rFonts w:ascii="Arial" w:hAnsi="Arial" w:cs="Arial"/>
                <w:szCs w:val="24"/>
              </w:rPr>
            </w:pPr>
          </w:p>
          <w:p w14:paraId="63611955" w14:textId="77777777" w:rsidR="003B16B6" w:rsidRDefault="003B16B6" w:rsidP="003B16B6">
            <w:pPr>
              <w:rPr>
                <w:rFonts w:ascii="Arial" w:hAnsi="Arial" w:cs="Arial"/>
                <w:szCs w:val="24"/>
              </w:rPr>
            </w:pPr>
            <w:r>
              <w:rPr>
                <w:rFonts w:ascii="Arial" w:hAnsi="Arial" w:cs="Arial"/>
                <w:szCs w:val="24"/>
              </w:rPr>
              <w:t>3.7.2</w:t>
            </w:r>
          </w:p>
          <w:p w14:paraId="1F15BE9A" w14:textId="77777777" w:rsidR="003B16B6" w:rsidRDefault="003B16B6" w:rsidP="003B16B6">
            <w:pPr>
              <w:rPr>
                <w:rFonts w:ascii="Arial" w:hAnsi="Arial" w:cs="Arial"/>
                <w:szCs w:val="24"/>
              </w:rPr>
            </w:pPr>
          </w:p>
          <w:p w14:paraId="203DE2EE" w14:textId="77777777" w:rsidR="003B16B6" w:rsidRDefault="003B16B6" w:rsidP="003B16B6">
            <w:pPr>
              <w:rPr>
                <w:rFonts w:ascii="Arial" w:hAnsi="Arial" w:cs="Arial"/>
                <w:szCs w:val="24"/>
              </w:rPr>
            </w:pPr>
          </w:p>
          <w:p w14:paraId="013774CB" w14:textId="77777777" w:rsidR="003B16B6" w:rsidRDefault="003B16B6" w:rsidP="003B16B6">
            <w:pPr>
              <w:rPr>
                <w:rFonts w:ascii="Arial" w:hAnsi="Arial" w:cs="Arial"/>
                <w:szCs w:val="24"/>
              </w:rPr>
            </w:pPr>
          </w:p>
          <w:p w14:paraId="4788494A" w14:textId="77777777" w:rsidR="003B16B6" w:rsidRDefault="003B16B6" w:rsidP="003B16B6">
            <w:pPr>
              <w:rPr>
                <w:rFonts w:ascii="Arial" w:hAnsi="Arial" w:cs="Arial"/>
                <w:szCs w:val="24"/>
              </w:rPr>
            </w:pPr>
          </w:p>
          <w:p w14:paraId="527088E7" w14:textId="77777777" w:rsidR="003B16B6" w:rsidRDefault="003B16B6" w:rsidP="003B16B6">
            <w:pPr>
              <w:rPr>
                <w:rFonts w:ascii="Arial" w:hAnsi="Arial" w:cs="Arial"/>
                <w:szCs w:val="24"/>
              </w:rPr>
            </w:pPr>
          </w:p>
          <w:p w14:paraId="4240F63C" w14:textId="77777777" w:rsidR="003B16B6" w:rsidRDefault="003B16B6" w:rsidP="003B16B6">
            <w:pPr>
              <w:rPr>
                <w:rFonts w:ascii="Arial" w:hAnsi="Arial" w:cs="Arial"/>
                <w:szCs w:val="24"/>
              </w:rPr>
            </w:pPr>
          </w:p>
        </w:tc>
        <w:tc>
          <w:tcPr>
            <w:tcW w:w="8505" w:type="dxa"/>
          </w:tcPr>
          <w:p w14:paraId="5133405A" w14:textId="77777777" w:rsidR="003B16B6" w:rsidRPr="00265F13" w:rsidRDefault="003B16B6" w:rsidP="002C5CBE">
            <w:pPr>
              <w:jc w:val="both"/>
              <w:rPr>
                <w:rFonts w:ascii="Arial" w:hAnsi="Arial" w:cs="Arial"/>
                <w:szCs w:val="24"/>
                <w:u w:val="single"/>
              </w:rPr>
            </w:pPr>
            <w:r w:rsidRPr="00265F13">
              <w:rPr>
                <w:rFonts w:ascii="Arial" w:hAnsi="Arial" w:cs="Arial"/>
                <w:szCs w:val="24"/>
                <w:u w:val="single"/>
              </w:rPr>
              <w:t xml:space="preserve">Employee relations </w:t>
            </w:r>
          </w:p>
          <w:p w14:paraId="36388D65" w14:textId="77777777" w:rsidR="003B16B6" w:rsidRDefault="003B16B6" w:rsidP="002C5CBE">
            <w:pPr>
              <w:jc w:val="both"/>
              <w:rPr>
                <w:rFonts w:ascii="Arial" w:hAnsi="Arial" w:cs="Arial"/>
                <w:szCs w:val="24"/>
              </w:rPr>
            </w:pPr>
          </w:p>
          <w:p w14:paraId="32952738" w14:textId="77777777" w:rsidR="003B16B6" w:rsidRDefault="003B16B6" w:rsidP="002C5CBE">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meets quarterly, the last meeting </w:t>
            </w:r>
            <w:r w:rsidRPr="008A57F3">
              <w:rPr>
                <w:rFonts w:ascii="Arial" w:hAnsi="Arial" w:cs="Arial"/>
                <w:szCs w:val="24"/>
              </w:rPr>
              <w:t>was held on</w:t>
            </w:r>
            <w:r>
              <w:rPr>
                <w:rFonts w:ascii="Arial" w:hAnsi="Arial" w:cs="Arial"/>
                <w:szCs w:val="24"/>
              </w:rPr>
              <w:t xml:space="preserve"> 9 March 2020</w:t>
            </w:r>
          </w:p>
          <w:p w14:paraId="1F0E6CC8" w14:textId="77777777" w:rsidR="003B16B6" w:rsidRDefault="003B16B6" w:rsidP="002C5CBE">
            <w:pPr>
              <w:jc w:val="both"/>
              <w:rPr>
                <w:rFonts w:ascii="Arial" w:hAnsi="Arial" w:cs="Arial"/>
                <w:szCs w:val="24"/>
              </w:rPr>
            </w:pPr>
          </w:p>
          <w:p w14:paraId="076FFB8B" w14:textId="77777777" w:rsidR="003B16B6" w:rsidRPr="00462977" w:rsidRDefault="003B16B6" w:rsidP="002C5CBE">
            <w:pPr>
              <w:jc w:val="both"/>
              <w:rPr>
                <w:rFonts w:ascii="Arial" w:hAnsi="Arial" w:cs="Arial"/>
                <w:szCs w:val="24"/>
              </w:rPr>
            </w:pPr>
            <w:r w:rsidRPr="00462977">
              <w:rPr>
                <w:rFonts w:ascii="Arial" w:hAnsi="Arial" w:cs="Arial"/>
                <w:szCs w:val="24"/>
              </w:rPr>
              <w:t>The main discussion areas at this meeting were:</w:t>
            </w:r>
          </w:p>
          <w:p w14:paraId="6E11B087" w14:textId="77777777" w:rsidR="003B16B6" w:rsidRPr="00462977" w:rsidRDefault="003B16B6" w:rsidP="002C5CBE">
            <w:pPr>
              <w:jc w:val="both"/>
              <w:rPr>
                <w:rFonts w:ascii="Arial" w:hAnsi="Arial" w:cs="Arial"/>
                <w:szCs w:val="24"/>
              </w:rPr>
            </w:pPr>
          </w:p>
          <w:p w14:paraId="37AE0B40" w14:textId="77777777" w:rsidR="003B16B6" w:rsidRPr="00FF2178" w:rsidRDefault="003B16B6" w:rsidP="002C5CBE">
            <w:pPr>
              <w:pStyle w:val="ListParagraph"/>
              <w:numPr>
                <w:ilvl w:val="0"/>
                <w:numId w:val="24"/>
              </w:numPr>
              <w:spacing w:after="0"/>
              <w:jc w:val="both"/>
              <w:rPr>
                <w:rFonts w:ascii="Arial" w:hAnsi="Arial" w:cs="Arial"/>
                <w:sz w:val="24"/>
                <w:szCs w:val="24"/>
              </w:rPr>
            </w:pPr>
            <w:r w:rsidRPr="00FF2178">
              <w:rPr>
                <w:rFonts w:ascii="Arial" w:hAnsi="Arial" w:cs="Arial"/>
                <w:sz w:val="24"/>
                <w:szCs w:val="24"/>
              </w:rPr>
              <w:t>Holiday Flex Scheme and pension implications</w:t>
            </w:r>
            <w:r>
              <w:rPr>
                <w:rFonts w:ascii="Arial" w:hAnsi="Arial" w:cs="Arial"/>
                <w:sz w:val="24"/>
                <w:szCs w:val="24"/>
              </w:rPr>
              <w:t>;</w:t>
            </w:r>
          </w:p>
          <w:p w14:paraId="2AF278C8" w14:textId="77777777" w:rsidR="003B16B6" w:rsidRPr="00FF2178" w:rsidRDefault="003B16B6" w:rsidP="002C5CBE">
            <w:pPr>
              <w:pStyle w:val="ListParagraph"/>
              <w:numPr>
                <w:ilvl w:val="0"/>
                <w:numId w:val="24"/>
              </w:numPr>
              <w:spacing w:after="0"/>
              <w:jc w:val="both"/>
              <w:rPr>
                <w:rFonts w:ascii="Arial" w:hAnsi="Arial" w:cs="Arial"/>
                <w:sz w:val="24"/>
                <w:szCs w:val="24"/>
              </w:rPr>
            </w:pPr>
            <w:r>
              <w:rPr>
                <w:rFonts w:ascii="Arial" w:hAnsi="Arial" w:cs="Arial"/>
                <w:sz w:val="24"/>
                <w:szCs w:val="24"/>
              </w:rPr>
              <w:t>A</w:t>
            </w:r>
            <w:r w:rsidRPr="00FF2178">
              <w:rPr>
                <w:rFonts w:ascii="Arial" w:hAnsi="Arial" w:cs="Arial"/>
                <w:sz w:val="24"/>
                <w:szCs w:val="24"/>
              </w:rPr>
              <w:t>nnual leave notification and provision for Public Holidays</w:t>
            </w:r>
            <w:r>
              <w:rPr>
                <w:rFonts w:ascii="Arial" w:hAnsi="Arial" w:cs="Arial"/>
                <w:sz w:val="24"/>
                <w:szCs w:val="24"/>
              </w:rPr>
              <w:t>;</w:t>
            </w:r>
          </w:p>
          <w:p w14:paraId="33106507" w14:textId="77777777" w:rsidR="003B16B6" w:rsidRPr="00BC1E56" w:rsidRDefault="003B16B6" w:rsidP="002C5CBE">
            <w:pPr>
              <w:pStyle w:val="ListParagraph"/>
              <w:numPr>
                <w:ilvl w:val="0"/>
                <w:numId w:val="24"/>
              </w:numPr>
              <w:spacing w:after="0"/>
              <w:jc w:val="both"/>
              <w:rPr>
                <w:rFonts w:ascii="Arial" w:hAnsi="Arial" w:cs="Arial"/>
                <w:sz w:val="24"/>
                <w:szCs w:val="24"/>
              </w:rPr>
            </w:pPr>
            <w:r w:rsidRPr="00BC1E56">
              <w:rPr>
                <w:rFonts w:ascii="Arial" w:hAnsi="Arial" w:cs="Arial"/>
                <w:sz w:val="24"/>
                <w:szCs w:val="24"/>
              </w:rPr>
              <w:t>Covid-19</w:t>
            </w:r>
            <w:bookmarkStart w:id="0" w:name="_GoBack"/>
            <w:bookmarkEnd w:id="0"/>
            <w:r w:rsidRPr="00BC1E56">
              <w:rPr>
                <w:rFonts w:ascii="Arial" w:hAnsi="Arial" w:cs="Arial"/>
                <w:sz w:val="24"/>
                <w:szCs w:val="24"/>
              </w:rPr>
              <w:t xml:space="preserve"> situation</w:t>
            </w:r>
            <w:r>
              <w:rPr>
                <w:rFonts w:ascii="Arial" w:hAnsi="Arial" w:cs="Arial"/>
                <w:sz w:val="24"/>
                <w:szCs w:val="24"/>
              </w:rPr>
              <w:t>.</w:t>
            </w:r>
          </w:p>
        </w:tc>
      </w:tr>
      <w:tr w:rsidR="003B16B6" w:rsidRPr="007214D1" w14:paraId="2DECBC8F" w14:textId="77777777" w:rsidTr="00835331">
        <w:trPr>
          <w:trHeight w:val="80"/>
        </w:trPr>
        <w:tc>
          <w:tcPr>
            <w:tcW w:w="959" w:type="dxa"/>
          </w:tcPr>
          <w:p w14:paraId="0A04BB93" w14:textId="77777777" w:rsidR="003B16B6" w:rsidRDefault="003B16B6" w:rsidP="003B16B6">
            <w:pPr>
              <w:rPr>
                <w:rFonts w:ascii="Arial" w:hAnsi="Arial" w:cs="Arial"/>
                <w:szCs w:val="24"/>
              </w:rPr>
            </w:pPr>
            <w:r>
              <w:rPr>
                <w:rFonts w:ascii="Arial" w:hAnsi="Arial" w:cs="Arial"/>
                <w:szCs w:val="24"/>
              </w:rPr>
              <w:t>3.7.3</w:t>
            </w:r>
          </w:p>
        </w:tc>
        <w:tc>
          <w:tcPr>
            <w:tcW w:w="8505" w:type="dxa"/>
          </w:tcPr>
          <w:p w14:paraId="729CA947" w14:textId="77777777" w:rsidR="003B16B6" w:rsidRDefault="003B16B6" w:rsidP="002C5CBE">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 be</w:t>
            </w:r>
            <w:r w:rsidRPr="004438C9">
              <w:rPr>
                <w:rFonts w:ascii="Arial" w:hAnsi="Arial" w:cs="Arial"/>
                <w:szCs w:val="24"/>
              </w:rPr>
              <w:t xml:space="preserve"> represented on the staff Health and Safety Committee.</w:t>
            </w:r>
            <w:r>
              <w:rPr>
                <w:rFonts w:ascii="Arial" w:hAnsi="Arial" w:cs="Arial"/>
                <w:szCs w:val="24"/>
              </w:rPr>
              <w:t xml:space="preserve">  </w:t>
            </w:r>
          </w:p>
          <w:p w14:paraId="7F16EF71" w14:textId="77777777" w:rsidR="003B16B6" w:rsidDel="00C83D2B" w:rsidRDefault="003B16B6" w:rsidP="002C5CBE">
            <w:pPr>
              <w:jc w:val="both"/>
              <w:rPr>
                <w:rFonts w:ascii="Arial" w:eastAsia="Calibri" w:hAnsi="Arial" w:cs="Arial"/>
                <w:szCs w:val="24"/>
                <w:lang w:eastAsia="en-US"/>
              </w:rPr>
            </w:pPr>
          </w:p>
        </w:tc>
      </w:tr>
      <w:tr w:rsidR="003B16B6" w:rsidRPr="00DB7D86" w14:paraId="2E335571" w14:textId="77777777" w:rsidTr="00835331">
        <w:trPr>
          <w:trHeight w:val="80"/>
        </w:trPr>
        <w:tc>
          <w:tcPr>
            <w:tcW w:w="959" w:type="dxa"/>
          </w:tcPr>
          <w:p w14:paraId="6E0A9330" w14:textId="77777777" w:rsidR="003B16B6" w:rsidRDefault="003B16B6" w:rsidP="003B16B6">
            <w:pPr>
              <w:rPr>
                <w:rFonts w:ascii="Arial" w:hAnsi="Arial" w:cs="Arial"/>
                <w:szCs w:val="24"/>
              </w:rPr>
            </w:pPr>
            <w:r>
              <w:rPr>
                <w:rFonts w:ascii="Arial" w:hAnsi="Arial" w:cs="Arial"/>
                <w:szCs w:val="24"/>
              </w:rPr>
              <w:t>3.7.4</w:t>
            </w:r>
          </w:p>
          <w:p w14:paraId="26BD7F17" w14:textId="77777777" w:rsidR="003B16B6" w:rsidRDefault="003B16B6" w:rsidP="003B16B6">
            <w:pPr>
              <w:rPr>
                <w:rFonts w:ascii="Arial" w:hAnsi="Arial" w:cs="Arial"/>
                <w:szCs w:val="24"/>
              </w:rPr>
            </w:pPr>
          </w:p>
        </w:tc>
        <w:tc>
          <w:tcPr>
            <w:tcW w:w="8505" w:type="dxa"/>
          </w:tcPr>
          <w:p w14:paraId="4EC16980" w14:textId="77777777" w:rsidR="003B16B6" w:rsidRDefault="003B16B6" w:rsidP="002C5CBE">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14:paraId="6CF92CAA" w14:textId="77777777" w:rsidR="003B16B6" w:rsidRPr="001500BA" w:rsidRDefault="003B16B6" w:rsidP="002C5CBE">
            <w:pPr>
              <w:jc w:val="both"/>
              <w:rPr>
                <w:rFonts w:ascii="Arial" w:hAnsi="Arial" w:cs="Arial"/>
                <w:szCs w:val="24"/>
              </w:rPr>
            </w:pPr>
          </w:p>
        </w:tc>
      </w:tr>
      <w:tr w:rsidR="003B16B6" w:rsidRPr="00717E7E" w14:paraId="5D8AB404" w14:textId="77777777" w:rsidTr="00835331">
        <w:trPr>
          <w:trHeight w:val="80"/>
        </w:trPr>
        <w:tc>
          <w:tcPr>
            <w:tcW w:w="959" w:type="dxa"/>
          </w:tcPr>
          <w:p w14:paraId="0261A83F" w14:textId="77777777" w:rsidR="003B16B6" w:rsidRPr="00FD39F5" w:rsidRDefault="003B16B6" w:rsidP="003B16B6">
            <w:pPr>
              <w:rPr>
                <w:rFonts w:ascii="Arial" w:hAnsi="Arial" w:cs="Arial"/>
                <w:b/>
                <w:szCs w:val="24"/>
              </w:rPr>
            </w:pPr>
            <w:r w:rsidRPr="00FD39F5">
              <w:rPr>
                <w:rFonts w:ascii="Arial" w:hAnsi="Arial" w:cs="Arial"/>
                <w:b/>
                <w:szCs w:val="24"/>
              </w:rPr>
              <w:t>4.</w:t>
            </w:r>
          </w:p>
          <w:p w14:paraId="77802458" w14:textId="77777777" w:rsidR="003B16B6" w:rsidRPr="00C8333C" w:rsidRDefault="003B16B6" w:rsidP="003B16B6">
            <w:pPr>
              <w:rPr>
                <w:rFonts w:ascii="Arial" w:hAnsi="Arial" w:cs="Arial"/>
                <w:szCs w:val="24"/>
              </w:rPr>
            </w:pPr>
          </w:p>
        </w:tc>
        <w:tc>
          <w:tcPr>
            <w:tcW w:w="8505" w:type="dxa"/>
          </w:tcPr>
          <w:p w14:paraId="09FF2B4D" w14:textId="77777777" w:rsidR="003B16B6" w:rsidRPr="0017031E" w:rsidRDefault="003B16B6" w:rsidP="002C5CBE">
            <w:pPr>
              <w:jc w:val="both"/>
              <w:rPr>
                <w:rFonts w:ascii="Arial" w:hAnsi="Arial" w:cs="Arial"/>
                <w:b/>
                <w:szCs w:val="24"/>
              </w:rPr>
            </w:pPr>
            <w:r w:rsidRPr="0017031E">
              <w:rPr>
                <w:rFonts w:ascii="Arial" w:hAnsi="Arial" w:cs="Arial"/>
                <w:b/>
                <w:szCs w:val="24"/>
              </w:rPr>
              <w:t>Policies update</w:t>
            </w:r>
          </w:p>
          <w:p w14:paraId="1D2CDF99" w14:textId="77777777" w:rsidR="003B16B6" w:rsidRDefault="003B16B6" w:rsidP="002C5CBE">
            <w:pPr>
              <w:autoSpaceDE w:val="0"/>
              <w:autoSpaceDN w:val="0"/>
              <w:adjustRightInd w:val="0"/>
              <w:jc w:val="both"/>
              <w:rPr>
                <w:rFonts w:ascii="Arial" w:hAnsi="Arial" w:cs="Arial"/>
                <w:b/>
              </w:rPr>
            </w:pPr>
          </w:p>
        </w:tc>
      </w:tr>
      <w:tr w:rsidR="003B16B6" w:rsidRPr="00717E7E" w14:paraId="263A8AEC" w14:textId="77777777" w:rsidTr="00835331">
        <w:trPr>
          <w:trHeight w:val="80"/>
        </w:trPr>
        <w:tc>
          <w:tcPr>
            <w:tcW w:w="959" w:type="dxa"/>
          </w:tcPr>
          <w:p w14:paraId="2D28E993" w14:textId="2C0DC1B1" w:rsidR="003B16B6" w:rsidRDefault="003B16B6" w:rsidP="003B16B6">
            <w:pPr>
              <w:rPr>
                <w:rFonts w:ascii="Arial" w:hAnsi="Arial" w:cs="Arial"/>
                <w:szCs w:val="24"/>
              </w:rPr>
            </w:pPr>
            <w:r w:rsidRPr="00200EE4">
              <w:rPr>
                <w:rFonts w:ascii="Arial" w:hAnsi="Arial" w:cs="Arial"/>
                <w:szCs w:val="24"/>
              </w:rPr>
              <w:t>4.1</w:t>
            </w:r>
          </w:p>
          <w:p w14:paraId="26CC5FB2" w14:textId="09800037" w:rsidR="003B16B6" w:rsidRDefault="003B16B6" w:rsidP="003B16B6">
            <w:pPr>
              <w:rPr>
                <w:rFonts w:ascii="Arial" w:hAnsi="Arial" w:cs="Arial"/>
                <w:szCs w:val="24"/>
              </w:rPr>
            </w:pPr>
          </w:p>
          <w:p w14:paraId="0E94FB93" w14:textId="0483F5B9" w:rsidR="003B16B6" w:rsidRDefault="003B16B6" w:rsidP="003B16B6">
            <w:pPr>
              <w:rPr>
                <w:rFonts w:ascii="Arial" w:hAnsi="Arial" w:cs="Arial"/>
                <w:szCs w:val="24"/>
              </w:rPr>
            </w:pPr>
          </w:p>
          <w:p w14:paraId="557659FA" w14:textId="3866A642" w:rsidR="003B16B6" w:rsidRDefault="003B16B6" w:rsidP="003B16B6">
            <w:pPr>
              <w:rPr>
                <w:rFonts w:ascii="Arial" w:hAnsi="Arial" w:cs="Arial"/>
                <w:szCs w:val="24"/>
              </w:rPr>
            </w:pPr>
          </w:p>
          <w:p w14:paraId="55051508" w14:textId="3F04B2B1" w:rsidR="003B16B6" w:rsidRDefault="003B16B6" w:rsidP="003B16B6">
            <w:pPr>
              <w:rPr>
                <w:rFonts w:ascii="Arial" w:hAnsi="Arial" w:cs="Arial"/>
                <w:szCs w:val="24"/>
              </w:rPr>
            </w:pPr>
          </w:p>
          <w:p w14:paraId="32480186" w14:textId="0A7F2228" w:rsidR="003B16B6" w:rsidRDefault="003B16B6" w:rsidP="003B16B6">
            <w:pPr>
              <w:rPr>
                <w:rFonts w:ascii="Arial" w:hAnsi="Arial" w:cs="Arial"/>
                <w:szCs w:val="24"/>
              </w:rPr>
            </w:pPr>
            <w:r>
              <w:rPr>
                <w:rFonts w:ascii="Arial" w:hAnsi="Arial" w:cs="Arial"/>
                <w:szCs w:val="24"/>
              </w:rPr>
              <w:t>4.2</w:t>
            </w:r>
          </w:p>
          <w:p w14:paraId="4A4E02CA" w14:textId="2DCDEA4F" w:rsidR="003B16B6" w:rsidRDefault="003B16B6" w:rsidP="003B16B6">
            <w:pPr>
              <w:rPr>
                <w:rFonts w:ascii="Arial" w:hAnsi="Arial" w:cs="Arial"/>
                <w:szCs w:val="24"/>
              </w:rPr>
            </w:pPr>
          </w:p>
          <w:p w14:paraId="4FA293E4" w14:textId="2B107EB3" w:rsidR="003B16B6" w:rsidRDefault="003B16B6" w:rsidP="003B16B6">
            <w:pPr>
              <w:rPr>
                <w:rFonts w:ascii="Arial" w:hAnsi="Arial" w:cs="Arial"/>
                <w:szCs w:val="24"/>
              </w:rPr>
            </w:pPr>
          </w:p>
          <w:p w14:paraId="32D96FF2" w14:textId="5F58D3E1" w:rsidR="003B16B6" w:rsidRDefault="003B16B6" w:rsidP="003B16B6">
            <w:pPr>
              <w:rPr>
                <w:rFonts w:ascii="Arial" w:hAnsi="Arial" w:cs="Arial"/>
                <w:szCs w:val="24"/>
              </w:rPr>
            </w:pPr>
            <w:r>
              <w:rPr>
                <w:rFonts w:ascii="Arial" w:hAnsi="Arial" w:cs="Arial"/>
                <w:szCs w:val="24"/>
              </w:rPr>
              <w:t>4.2.1</w:t>
            </w:r>
          </w:p>
          <w:p w14:paraId="09458172" w14:textId="4A83B207" w:rsidR="003B16B6" w:rsidRDefault="003B16B6" w:rsidP="003B16B6">
            <w:pPr>
              <w:rPr>
                <w:rFonts w:ascii="Arial" w:hAnsi="Arial" w:cs="Arial"/>
                <w:szCs w:val="24"/>
              </w:rPr>
            </w:pPr>
          </w:p>
          <w:p w14:paraId="3951988D" w14:textId="0A56232E" w:rsidR="003B16B6" w:rsidRDefault="003B16B6" w:rsidP="003B16B6">
            <w:pPr>
              <w:rPr>
                <w:rFonts w:ascii="Arial" w:hAnsi="Arial" w:cs="Arial"/>
                <w:szCs w:val="24"/>
              </w:rPr>
            </w:pPr>
          </w:p>
          <w:p w14:paraId="259059E7" w14:textId="2DD5C39E" w:rsidR="003B16B6" w:rsidRDefault="003B16B6" w:rsidP="003B16B6">
            <w:pPr>
              <w:rPr>
                <w:rFonts w:ascii="Arial" w:hAnsi="Arial" w:cs="Arial"/>
                <w:szCs w:val="24"/>
              </w:rPr>
            </w:pPr>
          </w:p>
          <w:p w14:paraId="7CBE4FEC" w14:textId="2C0D1489" w:rsidR="003B16B6" w:rsidRDefault="003B16B6" w:rsidP="003B16B6">
            <w:pPr>
              <w:rPr>
                <w:rFonts w:ascii="Arial" w:hAnsi="Arial" w:cs="Arial"/>
                <w:szCs w:val="24"/>
              </w:rPr>
            </w:pPr>
          </w:p>
          <w:p w14:paraId="0CD992BB" w14:textId="11DEC3F0" w:rsidR="003B16B6" w:rsidRDefault="003B16B6" w:rsidP="003B16B6">
            <w:pPr>
              <w:rPr>
                <w:rFonts w:ascii="Arial" w:hAnsi="Arial" w:cs="Arial"/>
                <w:szCs w:val="24"/>
              </w:rPr>
            </w:pPr>
          </w:p>
          <w:p w14:paraId="2A0F83EA" w14:textId="3044648D" w:rsidR="003B16B6" w:rsidRDefault="003B16B6" w:rsidP="003B16B6">
            <w:pPr>
              <w:rPr>
                <w:rFonts w:ascii="Arial" w:hAnsi="Arial" w:cs="Arial"/>
                <w:szCs w:val="24"/>
              </w:rPr>
            </w:pPr>
          </w:p>
          <w:p w14:paraId="4AD24612" w14:textId="77777777" w:rsidR="003B16B6" w:rsidRPr="00200EE4" w:rsidRDefault="003B16B6" w:rsidP="003B16B6">
            <w:pPr>
              <w:rPr>
                <w:rFonts w:ascii="Arial" w:hAnsi="Arial" w:cs="Arial"/>
                <w:szCs w:val="24"/>
              </w:rPr>
            </w:pPr>
          </w:p>
          <w:p w14:paraId="15958A5E" w14:textId="77777777" w:rsidR="003B16B6" w:rsidRDefault="003B16B6" w:rsidP="003B16B6">
            <w:pPr>
              <w:rPr>
                <w:rFonts w:ascii="Arial" w:hAnsi="Arial" w:cs="Arial"/>
                <w:b/>
                <w:szCs w:val="24"/>
              </w:rPr>
            </w:pPr>
          </w:p>
          <w:p w14:paraId="2D61D67D" w14:textId="77777777" w:rsidR="003B16B6" w:rsidRDefault="003B16B6" w:rsidP="003B16B6">
            <w:pPr>
              <w:rPr>
                <w:rFonts w:ascii="Arial" w:hAnsi="Arial" w:cs="Arial"/>
                <w:szCs w:val="24"/>
              </w:rPr>
            </w:pPr>
          </w:p>
          <w:p w14:paraId="64E31AAF" w14:textId="77777777" w:rsidR="003B16B6" w:rsidRDefault="003B16B6" w:rsidP="003B16B6">
            <w:pPr>
              <w:rPr>
                <w:rFonts w:ascii="Arial" w:hAnsi="Arial" w:cs="Arial"/>
                <w:szCs w:val="24"/>
              </w:rPr>
            </w:pPr>
          </w:p>
          <w:p w14:paraId="6A295ED7" w14:textId="77777777" w:rsidR="003B16B6" w:rsidRDefault="003B16B6" w:rsidP="003B16B6">
            <w:pPr>
              <w:rPr>
                <w:rFonts w:ascii="Arial" w:hAnsi="Arial" w:cs="Arial"/>
                <w:szCs w:val="24"/>
              </w:rPr>
            </w:pPr>
          </w:p>
          <w:p w14:paraId="375AD283" w14:textId="77777777" w:rsidR="003B16B6" w:rsidRDefault="003B16B6" w:rsidP="003B16B6">
            <w:pPr>
              <w:rPr>
                <w:rFonts w:ascii="Arial" w:hAnsi="Arial" w:cs="Arial"/>
                <w:szCs w:val="24"/>
              </w:rPr>
            </w:pPr>
          </w:p>
          <w:p w14:paraId="24E9E316" w14:textId="50285BE9" w:rsidR="003B16B6" w:rsidRPr="00200EE4" w:rsidRDefault="003B16B6" w:rsidP="003B16B6">
            <w:pPr>
              <w:rPr>
                <w:rFonts w:ascii="Arial" w:hAnsi="Arial" w:cs="Arial"/>
                <w:szCs w:val="24"/>
              </w:rPr>
            </w:pPr>
            <w:r w:rsidRPr="00200EE4">
              <w:rPr>
                <w:rFonts w:ascii="Arial" w:hAnsi="Arial" w:cs="Arial"/>
                <w:szCs w:val="24"/>
              </w:rPr>
              <w:t>4.2.2</w:t>
            </w:r>
          </w:p>
          <w:p w14:paraId="3BB9798A" w14:textId="77777777" w:rsidR="003B16B6" w:rsidRDefault="003B16B6" w:rsidP="003B16B6">
            <w:pPr>
              <w:rPr>
                <w:rFonts w:ascii="Arial" w:hAnsi="Arial" w:cs="Arial"/>
                <w:b/>
                <w:szCs w:val="24"/>
              </w:rPr>
            </w:pPr>
          </w:p>
          <w:p w14:paraId="557885F6" w14:textId="77777777" w:rsidR="003B16B6" w:rsidRDefault="003B16B6" w:rsidP="003B16B6">
            <w:pPr>
              <w:rPr>
                <w:rFonts w:ascii="Arial" w:hAnsi="Arial" w:cs="Arial"/>
                <w:b/>
                <w:szCs w:val="24"/>
              </w:rPr>
            </w:pPr>
          </w:p>
          <w:p w14:paraId="74C14EA8" w14:textId="77777777" w:rsidR="003B16B6" w:rsidRDefault="003B16B6" w:rsidP="003B16B6">
            <w:pPr>
              <w:rPr>
                <w:rFonts w:ascii="Arial" w:hAnsi="Arial" w:cs="Arial"/>
                <w:b/>
                <w:szCs w:val="24"/>
              </w:rPr>
            </w:pPr>
          </w:p>
          <w:p w14:paraId="332FF250" w14:textId="77777777" w:rsidR="003B16B6" w:rsidRDefault="003B16B6" w:rsidP="003B16B6">
            <w:pPr>
              <w:rPr>
                <w:rFonts w:ascii="Arial" w:hAnsi="Arial" w:cs="Arial"/>
                <w:b/>
                <w:szCs w:val="24"/>
              </w:rPr>
            </w:pPr>
          </w:p>
          <w:p w14:paraId="190E9D49" w14:textId="77777777" w:rsidR="003B16B6" w:rsidRDefault="003B16B6" w:rsidP="003B16B6">
            <w:pPr>
              <w:rPr>
                <w:rFonts w:ascii="Arial" w:hAnsi="Arial" w:cs="Arial"/>
                <w:b/>
                <w:szCs w:val="24"/>
              </w:rPr>
            </w:pPr>
          </w:p>
          <w:p w14:paraId="114602D1" w14:textId="77777777" w:rsidR="003B16B6" w:rsidRDefault="003B16B6" w:rsidP="003B16B6">
            <w:pPr>
              <w:rPr>
                <w:rFonts w:ascii="Arial" w:hAnsi="Arial" w:cs="Arial"/>
                <w:b/>
                <w:szCs w:val="24"/>
              </w:rPr>
            </w:pPr>
          </w:p>
          <w:p w14:paraId="728A616B" w14:textId="77777777" w:rsidR="003B16B6" w:rsidRDefault="003B16B6" w:rsidP="003B16B6">
            <w:pPr>
              <w:rPr>
                <w:rFonts w:ascii="Arial" w:hAnsi="Arial" w:cs="Arial"/>
                <w:b/>
                <w:szCs w:val="24"/>
              </w:rPr>
            </w:pPr>
          </w:p>
          <w:p w14:paraId="36A89117" w14:textId="77777777" w:rsidR="003B16B6" w:rsidRDefault="003B16B6" w:rsidP="003B16B6">
            <w:pPr>
              <w:rPr>
                <w:rFonts w:ascii="Arial" w:hAnsi="Arial" w:cs="Arial"/>
                <w:b/>
                <w:szCs w:val="24"/>
              </w:rPr>
            </w:pPr>
          </w:p>
          <w:p w14:paraId="1D3B8A70" w14:textId="77777777" w:rsidR="003B16B6" w:rsidRDefault="003B16B6" w:rsidP="003B16B6">
            <w:pPr>
              <w:rPr>
                <w:rFonts w:ascii="Arial" w:hAnsi="Arial" w:cs="Arial"/>
                <w:b/>
                <w:szCs w:val="24"/>
              </w:rPr>
            </w:pPr>
          </w:p>
          <w:p w14:paraId="3481DB0B" w14:textId="77777777" w:rsidR="003B16B6" w:rsidRDefault="003B16B6" w:rsidP="003B16B6">
            <w:pPr>
              <w:rPr>
                <w:rFonts w:ascii="Arial" w:hAnsi="Arial" w:cs="Arial"/>
                <w:b/>
                <w:szCs w:val="24"/>
              </w:rPr>
            </w:pPr>
          </w:p>
          <w:p w14:paraId="10B03ECB" w14:textId="77777777" w:rsidR="003B16B6" w:rsidRDefault="003B16B6" w:rsidP="003B16B6">
            <w:pPr>
              <w:rPr>
                <w:rFonts w:ascii="Arial" w:hAnsi="Arial" w:cs="Arial"/>
                <w:b/>
                <w:szCs w:val="24"/>
              </w:rPr>
            </w:pPr>
          </w:p>
          <w:p w14:paraId="5AB40B0D" w14:textId="77777777" w:rsidR="003B16B6" w:rsidRDefault="003B16B6" w:rsidP="003B16B6">
            <w:pPr>
              <w:rPr>
                <w:rFonts w:ascii="Arial" w:hAnsi="Arial" w:cs="Arial"/>
                <w:b/>
                <w:szCs w:val="24"/>
              </w:rPr>
            </w:pPr>
          </w:p>
          <w:p w14:paraId="7A96A15C" w14:textId="77777777" w:rsidR="003B16B6" w:rsidRDefault="003B16B6" w:rsidP="003B16B6">
            <w:pPr>
              <w:rPr>
                <w:rFonts w:ascii="Arial" w:hAnsi="Arial" w:cs="Arial"/>
                <w:b/>
                <w:szCs w:val="24"/>
              </w:rPr>
            </w:pPr>
          </w:p>
          <w:p w14:paraId="6EE3F075" w14:textId="77777777" w:rsidR="003B16B6" w:rsidRDefault="003B16B6" w:rsidP="003B16B6">
            <w:pPr>
              <w:rPr>
                <w:rFonts w:ascii="Arial" w:hAnsi="Arial" w:cs="Arial"/>
                <w:b/>
                <w:szCs w:val="24"/>
              </w:rPr>
            </w:pPr>
          </w:p>
          <w:p w14:paraId="6A73BC81" w14:textId="77777777" w:rsidR="003B16B6" w:rsidRDefault="003B16B6" w:rsidP="003B16B6">
            <w:pPr>
              <w:rPr>
                <w:rFonts w:ascii="Arial" w:hAnsi="Arial" w:cs="Arial"/>
                <w:b/>
                <w:szCs w:val="24"/>
              </w:rPr>
            </w:pPr>
          </w:p>
          <w:p w14:paraId="0BCF2998" w14:textId="77777777" w:rsidR="003B16B6" w:rsidRDefault="003B16B6" w:rsidP="003B16B6">
            <w:pPr>
              <w:rPr>
                <w:rFonts w:ascii="Arial" w:hAnsi="Arial" w:cs="Arial"/>
                <w:b/>
                <w:szCs w:val="24"/>
              </w:rPr>
            </w:pPr>
          </w:p>
          <w:p w14:paraId="0A6BF1D2" w14:textId="77777777" w:rsidR="003B16B6" w:rsidRDefault="003B16B6" w:rsidP="003B16B6">
            <w:pPr>
              <w:rPr>
                <w:rFonts w:ascii="Arial" w:hAnsi="Arial" w:cs="Arial"/>
                <w:b/>
                <w:szCs w:val="24"/>
              </w:rPr>
            </w:pPr>
          </w:p>
          <w:p w14:paraId="37D4C269" w14:textId="77777777" w:rsidR="003B16B6" w:rsidRDefault="003B16B6" w:rsidP="003B16B6">
            <w:pPr>
              <w:rPr>
                <w:rFonts w:ascii="Arial" w:hAnsi="Arial" w:cs="Arial"/>
                <w:b/>
                <w:szCs w:val="24"/>
              </w:rPr>
            </w:pPr>
          </w:p>
          <w:p w14:paraId="57C5A191" w14:textId="77777777" w:rsidR="003B16B6" w:rsidRDefault="003B16B6" w:rsidP="003B16B6">
            <w:pPr>
              <w:rPr>
                <w:rFonts w:ascii="Arial" w:hAnsi="Arial" w:cs="Arial"/>
                <w:b/>
                <w:szCs w:val="24"/>
              </w:rPr>
            </w:pPr>
          </w:p>
          <w:p w14:paraId="09F5C386" w14:textId="77777777" w:rsidR="003B16B6" w:rsidRDefault="003B16B6" w:rsidP="003B16B6">
            <w:pPr>
              <w:rPr>
                <w:rFonts w:ascii="Arial" w:hAnsi="Arial" w:cs="Arial"/>
                <w:b/>
                <w:szCs w:val="24"/>
              </w:rPr>
            </w:pPr>
          </w:p>
          <w:p w14:paraId="15F4380C" w14:textId="77777777" w:rsidR="003B16B6" w:rsidRDefault="003B16B6" w:rsidP="003B16B6">
            <w:pPr>
              <w:rPr>
                <w:rFonts w:ascii="Arial" w:hAnsi="Arial" w:cs="Arial"/>
                <w:b/>
                <w:szCs w:val="24"/>
              </w:rPr>
            </w:pPr>
          </w:p>
          <w:p w14:paraId="6ADB61F6" w14:textId="77777777" w:rsidR="003B16B6" w:rsidRDefault="003B16B6" w:rsidP="003B16B6">
            <w:pPr>
              <w:rPr>
                <w:rFonts w:ascii="Arial" w:hAnsi="Arial" w:cs="Arial"/>
                <w:b/>
                <w:szCs w:val="24"/>
              </w:rPr>
            </w:pPr>
          </w:p>
          <w:p w14:paraId="1B358F77" w14:textId="77777777" w:rsidR="003B16B6" w:rsidRDefault="003B16B6" w:rsidP="003B16B6">
            <w:pPr>
              <w:rPr>
                <w:rFonts w:ascii="Arial" w:hAnsi="Arial" w:cs="Arial"/>
                <w:b/>
                <w:szCs w:val="24"/>
              </w:rPr>
            </w:pPr>
          </w:p>
          <w:p w14:paraId="19A1B74E" w14:textId="5EB19B72" w:rsidR="003B16B6" w:rsidRDefault="003B16B6" w:rsidP="003B16B6">
            <w:pPr>
              <w:rPr>
                <w:rFonts w:ascii="Arial" w:hAnsi="Arial" w:cs="Arial"/>
                <w:b/>
                <w:szCs w:val="24"/>
              </w:rPr>
            </w:pPr>
          </w:p>
          <w:p w14:paraId="5EA53A5B" w14:textId="77777777" w:rsidR="002C5CBE" w:rsidRDefault="002C5CBE" w:rsidP="003B16B6">
            <w:pPr>
              <w:rPr>
                <w:rFonts w:ascii="Arial" w:hAnsi="Arial" w:cs="Arial"/>
                <w:b/>
                <w:szCs w:val="24"/>
              </w:rPr>
            </w:pPr>
          </w:p>
          <w:p w14:paraId="0BB81E9D" w14:textId="6C01D837" w:rsidR="003B16B6" w:rsidRDefault="003B16B6" w:rsidP="003B16B6">
            <w:pPr>
              <w:rPr>
                <w:rFonts w:ascii="Arial" w:hAnsi="Arial" w:cs="Arial"/>
                <w:b/>
                <w:szCs w:val="24"/>
              </w:rPr>
            </w:pPr>
            <w:r>
              <w:rPr>
                <w:rFonts w:ascii="Arial" w:hAnsi="Arial" w:cs="Arial"/>
                <w:b/>
                <w:szCs w:val="24"/>
              </w:rPr>
              <w:t>5.</w:t>
            </w:r>
          </w:p>
          <w:p w14:paraId="317B2442" w14:textId="77777777" w:rsidR="003B16B6" w:rsidRDefault="003B16B6" w:rsidP="003B16B6">
            <w:pPr>
              <w:rPr>
                <w:rFonts w:ascii="Arial" w:hAnsi="Arial" w:cs="Arial"/>
                <w:b/>
                <w:szCs w:val="24"/>
              </w:rPr>
            </w:pPr>
          </w:p>
          <w:p w14:paraId="5C2ACCCB" w14:textId="77777777" w:rsidR="003B16B6" w:rsidRPr="00C11400" w:rsidRDefault="003B16B6" w:rsidP="003B16B6">
            <w:pPr>
              <w:rPr>
                <w:rFonts w:ascii="Arial" w:hAnsi="Arial" w:cs="Arial"/>
                <w:szCs w:val="24"/>
              </w:rPr>
            </w:pPr>
            <w:r w:rsidRPr="00C11400">
              <w:rPr>
                <w:rFonts w:ascii="Arial" w:hAnsi="Arial" w:cs="Arial"/>
                <w:szCs w:val="24"/>
              </w:rPr>
              <w:t>5.1</w:t>
            </w:r>
          </w:p>
        </w:tc>
        <w:tc>
          <w:tcPr>
            <w:tcW w:w="8505" w:type="dxa"/>
          </w:tcPr>
          <w:p w14:paraId="70FF7943" w14:textId="77777777" w:rsidR="003B16B6" w:rsidRPr="001C29E2" w:rsidRDefault="003B16B6" w:rsidP="002C5CBE">
            <w:pPr>
              <w:ind w:right="-103"/>
              <w:jc w:val="both"/>
              <w:rPr>
                <w:rFonts w:ascii="Arial" w:hAnsi="Arial" w:cs="Arial"/>
                <w:szCs w:val="24"/>
              </w:rPr>
            </w:pPr>
            <w:r w:rsidRPr="001C29E2">
              <w:rPr>
                <w:rFonts w:ascii="Arial" w:hAnsi="Arial" w:cs="Arial"/>
                <w:szCs w:val="24"/>
              </w:rPr>
              <w:t xml:space="preserve">The following </w:t>
            </w:r>
            <w:r>
              <w:rPr>
                <w:rFonts w:ascii="Arial" w:hAnsi="Arial" w:cs="Arial"/>
                <w:szCs w:val="24"/>
              </w:rPr>
              <w:t>policy has been considered in line with the review schedule with no amendments.</w:t>
            </w:r>
          </w:p>
          <w:p w14:paraId="13DBE04D" w14:textId="77777777" w:rsidR="003B16B6" w:rsidRPr="00465FB3" w:rsidRDefault="003B16B6" w:rsidP="002C5CBE">
            <w:pPr>
              <w:jc w:val="both"/>
              <w:rPr>
                <w:rFonts w:ascii="Arial" w:hAnsi="Arial" w:cs="Arial"/>
                <w:szCs w:val="24"/>
              </w:rPr>
            </w:pPr>
          </w:p>
          <w:p w14:paraId="75389F3E" w14:textId="25671EDD" w:rsidR="003B16B6" w:rsidRDefault="003B16B6" w:rsidP="002C5CBE">
            <w:pPr>
              <w:numPr>
                <w:ilvl w:val="0"/>
                <w:numId w:val="25"/>
              </w:numPr>
              <w:jc w:val="both"/>
              <w:rPr>
                <w:rFonts w:ascii="Arial" w:hAnsi="Arial" w:cs="Arial"/>
                <w:szCs w:val="24"/>
              </w:rPr>
            </w:pPr>
            <w:r>
              <w:rPr>
                <w:rFonts w:ascii="Arial" w:hAnsi="Arial" w:cs="Arial"/>
                <w:szCs w:val="24"/>
              </w:rPr>
              <w:t>Service Equality Policy</w:t>
            </w:r>
          </w:p>
          <w:p w14:paraId="0017CC85" w14:textId="77777777" w:rsidR="003B16B6" w:rsidRPr="00BF09F9" w:rsidRDefault="003B16B6" w:rsidP="002C5CBE">
            <w:pPr>
              <w:jc w:val="both"/>
              <w:rPr>
                <w:rFonts w:ascii="Arial" w:hAnsi="Arial" w:cs="Arial"/>
                <w:szCs w:val="24"/>
              </w:rPr>
            </w:pPr>
          </w:p>
          <w:p w14:paraId="18421359" w14:textId="67F04951" w:rsidR="003B16B6" w:rsidRPr="00200EE4" w:rsidRDefault="00E52812" w:rsidP="002C5CBE">
            <w:pPr>
              <w:autoSpaceDE w:val="0"/>
              <w:autoSpaceDN w:val="0"/>
              <w:adjustRightInd w:val="0"/>
              <w:jc w:val="both"/>
              <w:rPr>
                <w:rFonts w:ascii="Arial" w:hAnsi="Arial" w:cs="Arial"/>
                <w:szCs w:val="24"/>
              </w:rPr>
            </w:pPr>
            <w:r>
              <w:rPr>
                <w:rFonts w:ascii="Arial" w:hAnsi="Arial" w:cs="Arial"/>
                <w:szCs w:val="24"/>
              </w:rPr>
              <w:t>For information</w:t>
            </w:r>
            <w:r w:rsidR="003B16B6" w:rsidRPr="00200EE4">
              <w:rPr>
                <w:rFonts w:ascii="Arial" w:hAnsi="Arial" w:cs="Arial"/>
                <w:szCs w:val="24"/>
              </w:rPr>
              <w:t>, the Guidance notes for the Special Leave Policy have been updated as follows:</w:t>
            </w:r>
          </w:p>
          <w:p w14:paraId="34F0E010" w14:textId="17D09384" w:rsidR="003B16B6" w:rsidRPr="00200EE4" w:rsidRDefault="003B16B6" w:rsidP="002C5CBE">
            <w:pPr>
              <w:autoSpaceDE w:val="0"/>
              <w:autoSpaceDN w:val="0"/>
              <w:adjustRightInd w:val="0"/>
              <w:jc w:val="both"/>
              <w:rPr>
                <w:rFonts w:ascii="Arial" w:hAnsi="Arial" w:cs="Arial"/>
                <w:szCs w:val="24"/>
              </w:rPr>
            </w:pPr>
          </w:p>
          <w:p w14:paraId="37B7F04B" w14:textId="78952793" w:rsidR="003B16B6" w:rsidRPr="00E52812" w:rsidRDefault="003B16B6" w:rsidP="002C5CBE">
            <w:pPr>
              <w:pStyle w:val="ListParagraph"/>
              <w:numPr>
                <w:ilvl w:val="0"/>
                <w:numId w:val="26"/>
              </w:numPr>
              <w:autoSpaceDE w:val="0"/>
              <w:autoSpaceDN w:val="0"/>
              <w:adjustRightInd w:val="0"/>
              <w:jc w:val="both"/>
              <w:rPr>
                <w:rFonts w:ascii="Arial" w:hAnsi="Arial" w:cs="Arial"/>
                <w:i/>
                <w:sz w:val="24"/>
                <w:szCs w:val="24"/>
              </w:rPr>
            </w:pPr>
            <w:r w:rsidRPr="00E52812">
              <w:rPr>
                <w:rFonts w:ascii="Arial" w:hAnsi="Arial" w:cs="Arial"/>
                <w:i/>
                <w:sz w:val="24"/>
                <w:szCs w:val="24"/>
              </w:rPr>
              <w:t>Section 5. Voluntary Service in Reserve Forces</w:t>
            </w:r>
          </w:p>
          <w:p w14:paraId="0D1C2E30" w14:textId="7799D3AA" w:rsidR="003B16B6" w:rsidRPr="00200EE4" w:rsidRDefault="003B16B6" w:rsidP="002C5CBE">
            <w:pPr>
              <w:autoSpaceDE w:val="0"/>
              <w:autoSpaceDN w:val="0"/>
              <w:adjustRightInd w:val="0"/>
              <w:ind w:left="360"/>
              <w:jc w:val="both"/>
              <w:rPr>
                <w:rFonts w:ascii="Arial" w:hAnsi="Arial" w:cs="Arial"/>
                <w:szCs w:val="24"/>
              </w:rPr>
            </w:pPr>
            <w:r w:rsidRPr="00200EE4">
              <w:rPr>
                <w:rFonts w:ascii="Arial" w:hAnsi="Arial" w:cs="Arial"/>
                <w:szCs w:val="24"/>
              </w:rPr>
              <w:t>Employees who are members of the reserve forces will now be entitled to full pay, without deduction of service pay or allowances, to attend annual training camp for up to 15 days in any year.</w:t>
            </w:r>
            <w:r>
              <w:rPr>
                <w:rFonts w:ascii="Arial" w:hAnsi="Arial" w:cs="Arial"/>
                <w:szCs w:val="24"/>
              </w:rPr>
              <w:t xml:space="preserve">  Employees were previously required to surrender any service pay.</w:t>
            </w:r>
          </w:p>
          <w:p w14:paraId="413DF919" w14:textId="018A0875" w:rsidR="003B16B6" w:rsidRPr="00200EE4" w:rsidRDefault="003B16B6" w:rsidP="002C5CBE">
            <w:pPr>
              <w:autoSpaceDE w:val="0"/>
              <w:autoSpaceDN w:val="0"/>
              <w:adjustRightInd w:val="0"/>
              <w:ind w:left="360"/>
              <w:jc w:val="both"/>
              <w:rPr>
                <w:rFonts w:ascii="Arial" w:hAnsi="Arial" w:cs="Arial"/>
                <w:szCs w:val="24"/>
              </w:rPr>
            </w:pPr>
          </w:p>
          <w:p w14:paraId="277311D9" w14:textId="20ACD607" w:rsidR="003B16B6" w:rsidRDefault="003B16B6" w:rsidP="002C5CBE">
            <w:pPr>
              <w:autoSpaceDE w:val="0"/>
              <w:autoSpaceDN w:val="0"/>
              <w:adjustRightInd w:val="0"/>
              <w:ind w:left="360"/>
              <w:jc w:val="both"/>
              <w:rPr>
                <w:rFonts w:ascii="Arial" w:hAnsi="Arial" w:cs="Arial"/>
                <w:szCs w:val="24"/>
              </w:rPr>
            </w:pPr>
            <w:r w:rsidRPr="00200EE4">
              <w:rPr>
                <w:rFonts w:ascii="Arial" w:hAnsi="Arial" w:cs="Arial"/>
                <w:szCs w:val="24"/>
              </w:rPr>
              <w:t xml:space="preserve">This </w:t>
            </w:r>
            <w:r>
              <w:rPr>
                <w:rFonts w:ascii="Arial" w:hAnsi="Arial" w:cs="Arial"/>
                <w:szCs w:val="24"/>
              </w:rPr>
              <w:t xml:space="preserve">change </w:t>
            </w:r>
            <w:r w:rsidRPr="00200EE4">
              <w:rPr>
                <w:rFonts w:ascii="Arial" w:hAnsi="Arial" w:cs="Arial"/>
                <w:szCs w:val="24"/>
              </w:rPr>
              <w:t xml:space="preserve">is </w:t>
            </w:r>
            <w:r>
              <w:rPr>
                <w:rFonts w:ascii="Arial" w:hAnsi="Arial" w:cs="Arial"/>
                <w:szCs w:val="24"/>
              </w:rPr>
              <w:t>in recognition</w:t>
            </w:r>
            <w:r w:rsidRPr="00200EE4">
              <w:rPr>
                <w:rFonts w:ascii="Arial" w:hAnsi="Arial" w:cs="Arial"/>
                <w:szCs w:val="24"/>
              </w:rPr>
              <w:t xml:space="preserve"> of </w:t>
            </w:r>
            <w:r>
              <w:rPr>
                <w:rFonts w:ascii="Arial" w:hAnsi="Arial" w:cs="Arial"/>
                <w:szCs w:val="24"/>
              </w:rPr>
              <w:t>HLH’s commitment to the</w:t>
            </w:r>
            <w:r w:rsidRPr="00200EE4">
              <w:rPr>
                <w:rFonts w:ascii="Arial" w:hAnsi="Arial" w:cs="Arial"/>
                <w:szCs w:val="24"/>
              </w:rPr>
              <w:t xml:space="preserve"> Armed Forces Covenant</w:t>
            </w:r>
            <w:r>
              <w:rPr>
                <w:rFonts w:ascii="Arial" w:hAnsi="Arial" w:cs="Arial"/>
                <w:szCs w:val="24"/>
              </w:rPr>
              <w:t xml:space="preserve"> and application for the Employment Recognition Scheme Gold Award</w:t>
            </w:r>
            <w:r w:rsidRPr="00200EE4">
              <w:rPr>
                <w:rFonts w:ascii="Arial" w:hAnsi="Arial" w:cs="Arial"/>
                <w:szCs w:val="24"/>
              </w:rPr>
              <w:t xml:space="preserve">. </w:t>
            </w:r>
            <w:r>
              <w:rPr>
                <w:rFonts w:ascii="Arial" w:hAnsi="Arial" w:cs="Arial"/>
                <w:szCs w:val="24"/>
              </w:rPr>
              <w:t>It is not envisaged the amendment to the guidelines will result in anything other than an extremely minimal number of requests for this type of leave.</w:t>
            </w:r>
          </w:p>
          <w:p w14:paraId="306FF96C" w14:textId="52C083D8" w:rsidR="003B16B6" w:rsidRDefault="003B16B6" w:rsidP="002C5CBE">
            <w:pPr>
              <w:autoSpaceDE w:val="0"/>
              <w:autoSpaceDN w:val="0"/>
              <w:adjustRightInd w:val="0"/>
              <w:ind w:left="360"/>
              <w:jc w:val="both"/>
              <w:rPr>
                <w:rFonts w:ascii="Arial" w:hAnsi="Arial" w:cs="Arial"/>
                <w:szCs w:val="24"/>
              </w:rPr>
            </w:pPr>
          </w:p>
          <w:p w14:paraId="63E2FE97" w14:textId="718C43DF" w:rsidR="003B16B6" w:rsidRPr="00E52812" w:rsidRDefault="003B16B6" w:rsidP="002C5CBE">
            <w:pPr>
              <w:pStyle w:val="ListParagraph"/>
              <w:numPr>
                <w:ilvl w:val="0"/>
                <w:numId w:val="26"/>
              </w:numPr>
              <w:autoSpaceDE w:val="0"/>
              <w:autoSpaceDN w:val="0"/>
              <w:adjustRightInd w:val="0"/>
              <w:spacing w:after="0"/>
              <w:jc w:val="both"/>
              <w:rPr>
                <w:rFonts w:ascii="Arial" w:hAnsi="Arial" w:cs="Arial"/>
                <w:i/>
                <w:sz w:val="24"/>
                <w:szCs w:val="24"/>
              </w:rPr>
            </w:pPr>
            <w:r w:rsidRPr="00E52812">
              <w:rPr>
                <w:rFonts w:ascii="Arial" w:hAnsi="Arial" w:cs="Arial"/>
                <w:i/>
                <w:sz w:val="24"/>
                <w:szCs w:val="24"/>
              </w:rPr>
              <w:t>Section 7. Bereavement</w:t>
            </w:r>
          </w:p>
          <w:p w14:paraId="2D14B913" w14:textId="77777777" w:rsidR="003B16B6" w:rsidRPr="00200EE4" w:rsidRDefault="003B16B6" w:rsidP="002C5CBE">
            <w:pPr>
              <w:autoSpaceDE w:val="0"/>
              <w:autoSpaceDN w:val="0"/>
              <w:adjustRightInd w:val="0"/>
              <w:ind w:left="360"/>
              <w:jc w:val="both"/>
              <w:rPr>
                <w:rFonts w:ascii="Arial" w:hAnsi="Arial" w:cs="Arial"/>
                <w:szCs w:val="24"/>
              </w:rPr>
            </w:pPr>
          </w:p>
          <w:p w14:paraId="20D59EF6" w14:textId="77777777" w:rsidR="003B16B6" w:rsidRDefault="003B16B6" w:rsidP="002C5CBE">
            <w:pPr>
              <w:ind w:left="458"/>
              <w:jc w:val="both"/>
              <w:rPr>
                <w:rFonts w:ascii="Arial" w:hAnsi="Arial" w:cs="Arial"/>
              </w:rPr>
            </w:pPr>
            <w:r>
              <w:rPr>
                <w:rFonts w:ascii="Arial" w:hAnsi="Arial" w:cs="Arial"/>
              </w:rPr>
              <w:t xml:space="preserve">If an employee seeks special leave with pay in the event of a death of a relative, it will be at the discretion of their Line Manager – the following is a guide to the number of days paid bereavement leave: </w:t>
            </w:r>
          </w:p>
          <w:p w14:paraId="3E4015DD" w14:textId="77777777" w:rsidR="003B16B6" w:rsidRDefault="003B16B6" w:rsidP="002C5CBE">
            <w:pPr>
              <w:ind w:left="458"/>
              <w:jc w:val="both"/>
              <w:rPr>
                <w:rFonts w:ascii="Arial" w:hAnsi="Arial" w:cs="Arial"/>
              </w:rPr>
            </w:pPr>
          </w:p>
          <w:p w14:paraId="3B93989A" w14:textId="0BC94A26" w:rsidR="003B16B6" w:rsidRDefault="003B16B6" w:rsidP="002C5CBE">
            <w:pPr>
              <w:ind w:left="458"/>
              <w:jc w:val="both"/>
              <w:rPr>
                <w:rFonts w:ascii="Arial" w:hAnsi="Arial" w:cs="Arial"/>
              </w:rPr>
            </w:pPr>
            <w:r>
              <w:rPr>
                <w:rFonts w:ascii="Arial" w:hAnsi="Arial" w:cs="Arial"/>
                <w:b/>
                <w:bCs/>
              </w:rPr>
              <w:t xml:space="preserve">Up to 10 working days paid leave </w:t>
            </w:r>
            <w:r>
              <w:rPr>
                <w:rFonts w:ascii="Arial" w:hAnsi="Arial" w:cs="Arial"/>
              </w:rPr>
              <w:t>– on the death of a husband, wife, civil partner or partner (incl</w:t>
            </w:r>
            <w:r w:rsidR="00E52812">
              <w:rPr>
                <w:rFonts w:ascii="Arial" w:hAnsi="Arial" w:cs="Arial"/>
              </w:rPr>
              <w:t>uding</w:t>
            </w:r>
            <w:r>
              <w:rPr>
                <w:rFonts w:ascii="Arial" w:hAnsi="Arial" w:cs="Arial"/>
              </w:rPr>
              <w:t xml:space="preserve"> same sex </w:t>
            </w:r>
            <w:proofErr w:type="gramStart"/>
            <w:r>
              <w:rPr>
                <w:rFonts w:ascii="Arial" w:hAnsi="Arial" w:cs="Arial"/>
              </w:rPr>
              <w:t>partner)*</w:t>
            </w:r>
            <w:proofErr w:type="gramEnd"/>
            <w:r w:rsidR="00E52812">
              <w:rPr>
                <w:rFonts w:ascii="Arial" w:hAnsi="Arial" w:cs="Arial"/>
              </w:rPr>
              <w:t>,</w:t>
            </w:r>
            <w:r>
              <w:rPr>
                <w:rFonts w:ascii="Arial" w:hAnsi="Arial" w:cs="Arial"/>
              </w:rPr>
              <w:t xml:space="preserve"> son or daughter**, parent, step-parent, brother or sister, step-brother/sister, or a person with whom the employee is in a relationship of domestic dependency. </w:t>
            </w:r>
          </w:p>
          <w:p w14:paraId="28521334" w14:textId="77777777" w:rsidR="003B16B6" w:rsidRDefault="003B16B6" w:rsidP="002C5CBE">
            <w:pPr>
              <w:ind w:left="458"/>
              <w:jc w:val="both"/>
              <w:rPr>
                <w:rFonts w:ascii="Arial" w:hAnsi="Arial" w:cs="Arial"/>
              </w:rPr>
            </w:pPr>
          </w:p>
          <w:p w14:paraId="6FB781C3" w14:textId="77777777" w:rsidR="003B16B6" w:rsidRDefault="003B16B6" w:rsidP="002C5CBE">
            <w:pPr>
              <w:ind w:left="458"/>
              <w:jc w:val="both"/>
              <w:rPr>
                <w:rFonts w:ascii="Arial" w:hAnsi="Arial" w:cs="Arial"/>
              </w:rPr>
            </w:pPr>
            <w:r>
              <w:rPr>
                <w:rFonts w:ascii="Arial" w:hAnsi="Arial" w:cs="Arial"/>
                <w:b/>
                <w:bCs/>
              </w:rPr>
              <w:t xml:space="preserve">Up to 5 working days paid leave </w:t>
            </w:r>
            <w:r>
              <w:rPr>
                <w:rFonts w:ascii="Arial" w:hAnsi="Arial" w:cs="Arial"/>
              </w:rPr>
              <w:t xml:space="preserve">– on the death of a grandparent, grandchild, father/mother-in-law or son/daughter-in-law. </w:t>
            </w:r>
          </w:p>
          <w:p w14:paraId="07FF050E" w14:textId="77777777" w:rsidR="003B16B6" w:rsidRDefault="003B16B6" w:rsidP="002C5CBE">
            <w:pPr>
              <w:ind w:left="458"/>
              <w:jc w:val="both"/>
              <w:rPr>
                <w:rFonts w:ascii="Arial" w:hAnsi="Arial" w:cs="Arial"/>
              </w:rPr>
            </w:pPr>
          </w:p>
          <w:p w14:paraId="5D719CA9" w14:textId="77777777" w:rsidR="003B16B6" w:rsidRDefault="003B16B6" w:rsidP="002C5CBE">
            <w:pPr>
              <w:ind w:left="458"/>
              <w:jc w:val="both"/>
              <w:rPr>
                <w:rFonts w:ascii="Arial" w:hAnsi="Arial" w:cs="Arial"/>
              </w:rPr>
            </w:pPr>
            <w:r>
              <w:rPr>
                <w:rFonts w:ascii="Arial" w:hAnsi="Arial" w:cs="Arial"/>
              </w:rPr>
              <w:t xml:space="preserve">From April 2020, Parents who suffer the loss of a child under age 18 are entitled to 2 weeks statutory bereavement leave. This also applies to employees who have a still birth from the 24th week of pregnancy. </w:t>
            </w:r>
          </w:p>
          <w:p w14:paraId="6A93F089" w14:textId="77777777" w:rsidR="003B16B6" w:rsidRDefault="003B16B6" w:rsidP="002C5CBE">
            <w:pPr>
              <w:ind w:left="458"/>
              <w:jc w:val="both"/>
              <w:rPr>
                <w:rFonts w:ascii="Arial" w:hAnsi="Arial" w:cs="Arial"/>
              </w:rPr>
            </w:pPr>
          </w:p>
          <w:p w14:paraId="487F9C40" w14:textId="182FC2D0" w:rsidR="003B16B6" w:rsidRDefault="003B16B6" w:rsidP="002C5CBE">
            <w:pPr>
              <w:ind w:left="458"/>
              <w:jc w:val="both"/>
              <w:rPr>
                <w:rFonts w:ascii="Arial" w:hAnsi="Arial" w:cs="Arial"/>
              </w:rPr>
            </w:pPr>
            <w:r>
              <w:rPr>
                <w:rFonts w:ascii="Arial" w:hAnsi="Arial" w:cs="Arial"/>
                <w:b/>
                <w:bCs/>
              </w:rPr>
              <w:t>Up to 1 day paid leave</w:t>
            </w:r>
            <w:r>
              <w:rPr>
                <w:rFonts w:ascii="Arial" w:hAnsi="Arial" w:cs="Arial"/>
              </w:rPr>
              <w:t xml:space="preserve"> may be agreed on the death of any other relative to facilitate attendance at the funeral. </w:t>
            </w:r>
          </w:p>
          <w:p w14:paraId="2CEFB934" w14:textId="77777777" w:rsidR="00E52812" w:rsidRDefault="00E52812" w:rsidP="002C5CBE">
            <w:pPr>
              <w:jc w:val="both"/>
              <w:rPr>
                <w:rFonts w:ascii="Arial" w:hAnsi="Arial" w:cs="Arial"/>
              </w:rPr>
            </w:pPr>
          </w:p>
          <w:p w14:paraId="03A0C979" w14:textId="77777777" w:rsidR="00E52812" w:rsidRPr="002C5CBE" w:rsidRDefault="00E52812" w:rsidP="002C5CBE">
            <w:pPr>
              <w:ind w:left="458"/>
              <w:jc w:val="both"/>
              <w:rPr>
                <w:rFonts w:ascii="Arial" w:hAnsi="Arial" w:cs="Arial"/>
                <w:szCs w:val="24"/>
              </w:rPr>
            </w:pPr>
            <w:r w:rsidRPr="002C5CBE">
              <w:rPr>
                <w:rFonts w:ascii="Arial" w:hAnsi="Arial" w:cs="Arial"/>
                <w:szCs w:val="24"/>
              </w:rPr>
              <w:t xml:space="preserve">*Includes a partner with whom the employee is cohabiting, but who is not the employee’s legal spouse/partner. </w:t>
            </w:r>
          </w:p>
          <w:p w14:paraId="4A5DE8AB" w14:textId="77777777" w:rsidR="00E52812" w:rsidRPr="002C5CBE" w:rsidRDefault="00E52812" w:rsidP="002C5CBE">
            <w:pPr>
              <w:ind w:left="458"/>
              <w:jc w:val="both"/>
              <w:rPr>
                <w:rFonts w:ascii="Arial" w:hAnsi="Arial" w:cs="Arial"/>
                <w:szCs w:val="24"/>
              </w:rPr>
            </w:pPr>
            <w:r w:rsidRPr="002C5CBE">
              <w:rPr>
                <w:rFonts w:ascii="Arial" w:hAnsi="Arial" w:cs="Arial"/>
                <w:szCs w:val="24"/>
              </w:rPr>
              <w:t xml:space="preserve">** Includes children in respect of whom the employee is the adoptive parent, legal guardian or carer. </w:t>
            </w:r>
          </w:p>
          <w:p w14:paraId="6749ECF7" w14:textId="77777777" w:rsidR="003B16B6" w:rsidRDefault="003B16B6" w:rsidP="002C5CBE">
            <w:pPr>
              <w:autoSpaceDE w:val="0"/>
              <w:autoSpaceDN w:val="0"/>
              <w:adjustRightInd w:val="0"/>
              <w:jc w:val="both"/>
              <w:rPr>
                <w:rFonts w:ascii="Arial" w:hAnsi="Arial" w:cs="Arial"/>
                <w:b/>
              </w:rPr>
            </w:pPr>
          </w:p>
          <w:p w14:paraId="39ED00B1" w14:textId="79345265" w:rsidR="003B16B6" w:rsidRDefault="003B16B6" w:rsidP="002C5CBE">
            <w:pPr>
              <w:autoSpaceDE w:val="0"/>
              <w:autoSpaceDN w:val="0"/>
              <w:adjustRightInd w:val="0"/>
              <w:jc w:val="both"/>
              <w:rPr>
                <w:rFonts w:ascii="Arial" w:hAnsi="Arial" w:cs="Arial"/>
                <w:b/>
              </w:rPr>
            </w:pPr>
            <w:r>
              <w:rPr>
                <w:rFonts w:ascii="Arial" w:hAnsi="Arial" w:cs="Arial"/>
                <w:b/>
              </w:rPr>
              <w:t>Volunteer and Staff Awards 2020</w:t>
            </w:r>
          </w:p>
          <w:p w14:paraId="54406B74" w14:textId="77777777" w:rsidR="003B16B6" w:rsidRDefault="003B16B6" w:rsidP="002C5CBE">
            <w:pPr>
              <w:autoSpaceDE w:val="0"/>
              <w:autoSpaceDN w:val="0"/>
              <w:adjustRightInd w:val="0"/>
              <w:jc w:val="both"/>
              <w:rPr>
                <w:rFonts w:ascii="Arial" w:hAnsi="Arial" w:cs="Arial"/>
                <w:b/>
              </w:rPr>
            </w:pPr>
          </w:p>
          <w:p w14:paraId="46672339" w14:textId="52A4F98E" w:rsidR="003B16B6" w:rsidRPr="00C11400" w:rsidRDefault="003B16B6" w:rsidP="002C5CBE">
            <w:pPr>
              <w:autoSpaceDE w:val="0"/>
              <w:autoSpaceDN w:val="0"/>
              <w:adjustRightInd w:val="0"/>
              <w:jc w:val="both"/>
              <w:rPr>
                <w:rFonts w:ascii="Arial" w:hAnsi="Arial" w:cs="Arial"/>
              </w:rPr>
            </w:pPr>
            <w:r w:rsidRPr="00C11400">
              <w:rPr>
                <w:rFonts w:ascii="Arial" w:hAnsi="Arial" w:cs="Arial"/>
              </w:rPr>
              <w:t>In light of the current Covid-19 situation, the HLH Volunteer</w:t>
            </w:r>
            <w:r>
              <w:rPr>
                <w:rFonts w:ascii="Arial" w:hAnsi="Arial" w:cs="Arial"/>
              </w:rPr>
              <w:t xml:space="preserve">, </w:t>
            </w:r>
            <w:r w:rsidRPr="00C11400">
              <w:rPr>
                <w:rFonts w:ascii="Arial" w:hAnsi="Arial" w:cs="Arial"/>
              </w:rPr>
              <w:t xml:space="preserve">Staff </w:t>
            </w:r>
            <w:r>
              <w:rPr>
                <w:rFonts w:ascii="Arial" w:hAnsi="Arial" w:cs="Arial"/>
              </w:rPr>
              <w:t xml:space="preserve">and Long Services </w:t>
            </w:r>
            <w:r w:rsidRPr="00C11400">
              <w:rPr>
                <w:rFonts w:ascii="Arial" w:hAnsi="Arial" w:cs="Arial"/>
              </w:rPr>
              <w:t xml:space="preserve">Awards Ceremony, normally held in June each year, has been postponed for the time being.  A decision on when or whether the event can be rescheduled will be taken once further information is available from Government regarding social distancing and gatherings once </w:t>
            </w:r>
            <w:r>
              <w:rPr>
                <w:rFonts w:ascii="Arial" w:hAnsi="Arial" w:cs="Arial"/>
              </w:rPr>
              <w:t>restrictions are relaxed/removed</w:t>
            </w:r>
            <w:r w:rsidRPr="00C11400">
              <w:rPr>
                <w:rFonts w:ascii="Arial" w:hAnsi="Arial" w:cs="Arial"/>
              </w:rPr>
              <w:t xml:space="preserve">. </w:t>
            </w:r>
          </w:p>
          <w:p w14:paraId="7DBF12A0" w14:textId="77777777" w:rsidR="003B16B6" w:rsidRPr="00751A5C" w:rsidRDefault="003B16B6" w:rsidP="002C5CBE">
            <w:pPr>
              <w:autoSpaceDE w:val="0"/>
              <w:autoSpaceDN w:val="0"/>
              <w:adjustRightInd w:val="0"/>
              <w:jc w:val="both"/>
              <w:rPr>
                <w:rFonts w:ascii="Arial" w:hAnsi="Arial" w:cs="Arial"/>
                <w:b/>
              </w:rPr>
            </w:pPr>
          </w:p>
        </w:tc>
      </w:tr>
      <w:tr w:rsidR="003B16B6" w:rsidRPr="00717E7E" w14:paraId="218D62F2" w14:textId="77777777" w:rsidTr="00835331">
        <w:trPr>
          <w:trHeight w:val="80"/>
        </w:trPr>
        <w:tc>
          <w:tcPr>
            <w:tcW w:w="959" w:type="dxa"/>
          </w:tcPr>
          <w:p w14:paraId="2EF050E2" w14:textId="77777777" w:rsidR="003B16B6" w:rsidRPr="00FD39F5" w:rsidRDefault="003B16B6" w:rsidP="003B16B6">
            <w:pPr>
              <w:rPr>
                <w:rFonts w:ascii="Arial" w:hAnsi="Arial" w:cs="Arial"/>
                <w:b/>
                <w:szCs w:val="24"/>
              </w:rPr>
            </w:pPr>
            <w:r>
              <w:rPr>
                <w:rFonts w:ascii="Arial" w:hAnsi="Arial" w:cs="Arial"/>
                <w:b/>
                <w:szCs w:val="24"/>
              </w:rPr>
              <w:t>6</w:t>
            </w:r>
            <w:r w:rsidRPr="00FD39F5">
              <w:rPr>
                <w:rFonts w:ascii="Arial" w:hAnsi="Arial" w:cs="Arial"/>
                <w:b/>
                <w:szCs w:val="24"/>
              </w:rPr>
              <w:t>.</w:t>
            </w:r>
          </w:p>
          <w:p w14:paraId="545BBD13" w14:textId="77777777" w:rsidR="003B16B6" w:rsidRDefault="003B16B6" w:rsidP="003B16B6">
            <w:pPr>
              <w:rPr>
                <w:rFonts w:ascii="Arial" w:hAnsi="Arial" w:cs="Arial"/>
                <w:szCs w:val="24"/>
              </w:rPr>
            </w:pPr>
          </w:p>
          <w:p w14:paraId="5E716CF9" w14:textId="77777777" w:rsidR="003B16B6" w:rsidRDefault="003B16B6" w:rsidP="003B16B6">
            <w:pPr>
              <w:rPr>
                <w:rFonts w:ascii="Arial" w:hAnsi="Arial" w:cs="Arial"/>
                <w:szCs w:val="24"/>
              </w:rPr>
            </w:pPr>
            <w:r>
              <w:rPr>
                <w:rFonts w:ascii="Arial" w:hAnsi="Arial" w:cs="Arial"/>
                <w:szCs w:val="24"/>
              </w:rPr>
              <w:t>6.1</w:t>
            </w:r>
          </w:p>
          <w:p w14:paraId="406E7BF3" w14:textId="77777777" w:rsidR="003B16B6" w:rsidRDefault="003B16B6" w:rsidP="003B16B6">
            <w:pPr>
              <w:rPr>
                <w:rFonts w:ascii="Arial" w:hAnsi="Arial" w:cs="Arial"/>
                <w:szCs w:val="24"/>
              </w:rPr>
            </w:pPr>
          </w:p>
          <w:p w14:paraId="6995FDE7" w14:textId="77777777" w:rsidR="003B16B6" w:rsidRDefault="003B16B6" w:rsidP="003B16B6">
            <w:pPr>
              <w:rPr>
                <w:rFonts w:ascii="Arial" w:hAnsi="Arial" w:cs="Arial"/>
                <w:szCs w:val="24"/>
              </w:rPr>
            </w:pPr>
          </w:p>
          <w:p w14:paraId="3A3A84F3" w14:textId="77777777" w:rsidR="003B16B6" w:rsidRDefault="003B16B6" w:rsidP="003B16B6">
            <w:pPr>
              <w:rPr>
                <w:rFonts w:ascii="Arial" w:hAnsi="Arial" w:cs="Arial"/>
                <w:szCs w:val="24"/>
              </w:rPr>
            </w:pPr>
            <w:r>
              <w:rPr>
                <w:rFonts w:ascii="Arial" w:hAnsi="Arial" w:cs="Arial"/>
                <w:szCs w:val="24"/>
              </w:rPr>
              <w:t>6.2</w:t>
            </w:r>
          </w:p>
          <w:p w14:paraId="720B25AE" w14:textId="77777777" w:rsidR="003B16B6" w:rsidRDefault="003B16B6" w:rsidP="003B16B6">
            <w:pPr>
              <w:rPr>
                <w:rFonts w:ascii="Arial" w:hAnsi="Arial" w:cs="Arial"/>
                <w:szCs w:val="24"/>
              </w:rPr>
            </w:pPr>
          </w:p>
          <w:p w14:paraId="30B18863" w14:textId="77777777" w:rsidR="003B16B6" w:rsidRDefault="003B16B6" w:rsidP="003B16B6">
            <w:pPr>
              <w:rPr>
                <w:rFonts w:ascii="Arial" w:hAnsi="Arial" w:cs="Arial"/>
                <w:szCs w:val="24"/>
              </w:rPr>
            </w:pPr>
          </w:p>
          <w:p w14:paraId="25CA0154" w14:textId="77777777" w:rsidR="003B16B6" w:rsidRDefault="003B16B6" w:rsidP="003B16B6">
            <w:pPr>
              <w:rPr>
                <w:rFonts w:ascii="Arial" w:hAnsi="Arial" w:cs="Arial"/>
                <w:szCs w:val="24"/>
              </w:rPr>
            </w:pPr>
            <w:r>
              <w:rPr>
                <w:rFonts w:ascii="Arial" w:hAnsi="Arial" w:cs="Arial"/>
                <w:szCs w:val="24"/>
              </w:rPr>
              <w:t>6.3</w:t>
            </w:r>
          </w:p>
          <w:p w14:paraId="51A1B24E" w14:textId="77777777" w:rsidR="003B16B6" w:rsidRDefault="003B16B6" w:rsidP="003B16B6">
            <w:pPr>
              <w:rPr>
                <w:rFonts w:ascii="Arial" w:hAnsi="Arial" w:cs="Arial"/>
                <w:szCs w:val="24"/>
              </w:rPr>
            </w:pPr>
          </w:p>
          <w:p w14:paraId="43423C6B" w14:textId="77777777" w:rsidR="003B16B6" w:rsidRDefault="003B16B6" w:rsidP="003B16B6">
            <w:pPr>
              <w:rPr>
                <w:rFonts w:ascii="Arial" w:hAnsi="Arial" w:cs="Arial"/>
                <w:szCs w:val="24"/>
              </w:rPr>
            </w:pPr>
          </w:p>
          <w:p w14:paraId="5F14A5CB" w14:textId="77777777" w:rsidR="003B16B6" w:rsidRPr="00DB7D86" w:rsidRDefault="003B16B6" w:rsidP="003B16B6">
            <w:pPr>
              <w:rPr>
                <w:rFonts w:ascii="Arial" w:hAnsi="Arial" w:cs="Arial"/>
                <w:szCs w:val="24"/>
              </w:rPr>
            </w:pPr>
            <w:r>
              <w:rPr>
                <w:rFonts w:ascii="Arial" w:hAnsi="Arial" w:cs="Arial"/>
                <w:szCs w:val="24"/>
              </w:rPr>
              <w:t>6.4</w:t>
            </w:r>
          </w:p>
        </w:tc>
        <w:tc>
          <w:tcPr>
            <w:tcW w:w="8505" w:type="dxa"/>
          </w:tcPr>
          <w:p w14:paraId="36293D2E" w14:textId="77777777" w:rsidR="003B16B6" w:rsidRDefault="003B16B6" w:rsidP="003B16B6">
            <w:pPr>
              <w:autoSpaceDE w:val="0"/>
              <w:autoSpaceDN w:val="0"/>
              <w:adjustRightInd w:val="0"/>
              <w:jc w:val="both"/>
              <w:rPr>
                <w:rFonts w:ascii="Arial" w:hAnsi="Arial" w:cs="Arial"/>
                <w:b/>
              </w:rPr>
            </w:pPr>
            <w:r w:rsidRPr="00751A5C">
              <w:rPr>
                <w:rFonts w:ascii="Arial" w:hAnsi="Arial" w:cs="Arial"/>
                <w:b/>
              </w:rPr>
              <w:t>Implications</w:t>
            </w:r>
          </w:p>
          <w:p w14:paraId="671CDEC8" w14:textId="77777777" w:rsidR="003B16B6" w:rsidRDefault="003B16B6" w:rsidP="003B16B6">
            <w:pPr>
              <w:autoSpaceDE w:val="0"/>
              <w:autoSpaceDN w:val="0"/>
              <w:adjustRightInd w:val="0"/>
              <w:jc w:val="both"/>
              <w:rPr>
                <w:rFonts w:ascii="Arial" w:hAnsi="Arial" w:cs="Arial"/>
                <w:b/>
              </w:rPr>
            </w:pPr>
          </w:p>
          <w:p w14:paraId="599B8D06" w14:textId="77777777" w:rsidR="003B16B6" w:rsidRDefault="003B16B6" w:rsidP="003B16B6">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14:paraId="3F7E0E60" w14:textId="77777777" w:rsidR="003B16B6" w:rsidRDefault="003B16B6" w:rsidP="003B16B6">
            <w:pPr>
              <w:autoSpaceDE w:val="0"/>
              <w:autoSpaceDN w:val="0"/>
              <w:adjustRightInd w:val="0"/>
              <w:jc w:val="both"/>
              <w:rPr>
                <w:rFonts w:ascii="Arial" w:hAnsi="Arial" w:cs="Arial"/>
              </w:rPr>
            </w:pPr>
          </w:p>
          <w:p w14:paraId="61FA41A1" w14:textId="77777777" w:rsidR="003B16B6" w:rsidRDefault="003B16B6" w:rsidP="003B16B6">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14:paraId="58B4A5A3" w14:textId="77777777" w:rsidR="003B16B6" w:rsidRDefault="003B16B6" w:rsidP="003B16B6">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14:paraId="26B7B259" w14:textId="77777777" w:rsidR="003B16B6" w:rsidRDefault="003B16B6" w:rsidP="003B16B6">
            <w:pPr>
              <w:jc w:val="both"/>
              <w:rPr>
                <w:rFonts w:ascii="Arial" w:hAnsi="Arial" w:cs="Arial"/>
              </w:rPr>
            </w:pPr>
            <w:r>
              <w:rPr>
                <w:rFonts w:ascii="Arial" w:hAnsi="Arial" w:cs="Arial"/>
              </w:rPr>
              <w:t>Risk Implications – there are no new risks arising from the recommendations of this report.</w:t>
            </w:r>
          </w:p>
          <w:p w14:paraId="25434A7D" w14:textId="1210B9E1" w:rsidR="00E52812" w:rsidRPr="00DB7D86" w:rsidRDefault="00E52812" w:rsidP="003B16B6">
            <w:pPr>
              <w:jc w:val="both"/>
              <w:rPr>
                <w:rFonts w:ascii="Arial" w:hAnsi="Arial" w:cs="Arial"/>
                <w:szCs w:val="24"/>
                <w:u w:val="single"/>
              </w:rPr>
            </w:pPr>
          </w:p>
        </w:tc>
      </w:tr>
      <w:tr w:rsidR="003B16B6" w:rsidRPr="00717E7E" w14:paraId="4F11A8E6" w14:textId="77777777" w:rsidTr="00835331">
        <w:trPr>
          <w:trHeight w:val="80"/>
        </w:trPr>
        <w:tc>
          <w:tcPr>
            <w:tcW w:w="959" w:type="dxa"/>
          </w:tcPr>
          <w:p w14:paraId="4819A6F8" w14:textId="77777777" w:rsidR="003B16B6" w:rsidRDefault="003B16B6" w:rsidP="003B16B6">
            <w:pPr>
              <w:rPr>
                <w:rFonts w:ascii="Arial" w:hAnsi="Arial" w:cs="Arial"/>
                <w:b/>
                <w:szCs w:val="24"/>
              </w:rPr>
            </w:pPr>
          </w:p>
        </w:tc>
        <w:tc>
          <w:tcPr>
            <w:tcW w:w="8505" w:type="dxa"/>
          </w:tcPr>
          <w:p w14:paraId="1B2755C2" w14:textId="77777777" w:rsidR="003B16B6" w:rsidRPr="00DB7D86" w:rsidRDefault="003B16B6" w:rsidP="003B16B6">
            <w:pPr>
              <w:jc w:val="both"/>
              <w:rPr>
                <w:rFonts w:ascii="Arial" w:hAnsi="Arial" w:cs="Arial"/>
                <w:szCs w:val="24"/>
              </w:rPr>
            </w:pPr>
          </w:p>
        </w:tc>
      </w:tr>
      <w:tr w:rsidR="003B16B6" w:rsidRPr="007214D1" w14:paraId="2CC28771" w14:textId="77777777" w:rsidTr="0083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14:paraId="73896CF2" w14:textId="3A81EBEC" w:rsidR="003B16B6" w:rsidRPr="00E52812" w:rsidRDefault="003B16B6" w:rsidP="003B16B6">
            <w:pPr>
              <w:jc w:val="both"/>
              <w:rPr>
                <w:rFonts w:ascii="Arial" w:hAnsi="Arial" w:cs="Arial"/>
                <w:szCs w:val="24"/>
              </w:rPr>
            </w:pPr>
            <w:r w:rsidRPr="00E52812">
              <w:rPr>
                <w:rFonts w:ascii="Arial" w:hAnsi="Arial" w:cs="Arial"/>
                <w:szCs w:val="24"/>
              </w:rPr>
              <w:t xml:space="preserve">It is recommended that Directors: </w:t>
            </w:r>
          </w:p>
          <w:p w14:paraId="7A25879B" w14:textId="77777777" w:rsidR="003B16B6" w:rsidRPr="00E52812" w:rsidRDefault="003B16B6" w:rsidP="003B16B6">
            <w:pPr>
              <w:jc w:val="both"/>
              <w:rPr>
                <w:rFonts w:ascii="Arial" w:hAnsi="Arial" w:cs="Arial"/>
                <w:szCs w:val="24"/>
              </w:rPr>
            </w:pPr>
          </w:p>
          <w:p w14:paraId="497D8214" w14:textId="31CB72FD" w:rsidR="003B16B6" w:rsidRPr="00E52812" w:rsidRDefault="00E52812" w:rsidP="003B16B6">
            <w:pPr>
              <w:pStyle w:val="ListParagraph"/>
              <w:numPr>
                <w:ilvl w:val="0"/>
                <w:numId w:val="3"/>
              </w:numPr>
              <w:jc w:val="both"/>
              <w:rPr>
                <w:rFonts w:ascii="Arial" w:hAnsi="Arial" w:cs="Arial"/>
                <w:sz w:val="24"/>
                <w:szCs w:val="24"/>
              </w:rPr>
            </w:pPr>
            <w:r w:rsidRPr="00E52812">
              <w:rPr>
                <w:rFonts w:ascii="Arial" w:hAnsi="Arial" w:cs="Arial"/>
                <w:sz w:val="24"/>
                <w:szCs w:val="24"/>
              </w:rPr>
              <w:t xml:space="preserve">note and comment on </w:t>
            </w:r>
            <w:r w:rsidR="003B16B6" w:rsidRPr="00E52812">
              <w:rPr>
                <w:rFonts w:ascii="Arial" w:hAnsi="Arial" w:cs="Arial"/>
                <w:sz w:val="24"/>
                <w:szCs w:val="24"/>
              </w:rPr>
              <w:t>the content of the quarterly HR report including the update on the staffing establishment</w:t>
            </w:r>
            <w:r w:rsidRPr="00E52812">
              <w:rPr>
                <w:rFonts w:ascii="Arial" w:hAnsi="Arial" w:cs="Arial"/>
                <w:sz w:val="24"/>
                <w:szCs w:val="24"/>
              </w:rPr>
              <w:t xml:space="preserve">; </w:t>
            </w:r>
          </w:p>
          <w:p w14:paraId="7155E007" w14:textId="77777777" w:rsidR="00E52812" w:rsidRPr="00E52812" w:rsidRDefault="00E52812" w:rsidP="003B16B6">
            <w:pPr>
              <w:pStyle w:val="ListParagraph"/>
              <w:numPr>
                <w:ilvl w:val="0"/>
                <w:numId w:val="3"/>
              </w:numPr>
              <w:jc w:val="both"/>
              <w:rPr>
                <w:rFonts w:ascii="Arial" w:hAnsi="Arial" w:cs="Arial"/>
                <w:sz w:val="24"/>
                <w:szCs w:val="24"/>
              </w:rPr>
            </w:pPr>
            <w:r w:rsidRPr="00E52812">
              <w:rPr>
                <w:rFonts w:ascii="Arial" w:hAnsi="Arial" w:cs="Arial"/>
                <w:sz w:val="24"/>
                <w:szCs w:val="24"/>
              </w:rPr>
              <w:t>note the amendments to the Special Leave Policy guidance notes; and</w:t>
            </w:r>
          </w:p>
          <w:p w14:paraId="0CD043B7" w14:textId="7C75BCCD" w:rsidR="00E52812" w:rsidRPr="00CC5DB0" w:rsidRDefault="00E52812" w:rsidP="003B16B6">
            <w:pPr>
              <w:pStyle w:val="ListParagraph"/>
              <w:numPr>
                <w:ilvl w:val="0"/>
                <w:numId w:val="3"/>
              </w:numPr>
              <w:jc w:val="both"/>
              <w:rPr>
                <w:rFonts w:ascii="Arial" w:hAnsi="Arial" w:cs="Arial"/>
                <w:szCs w:val="24"/>
              </w:rPr>
            </w:pPr>
            <w:r w:rsidRPr="00E52812">
              <w:rPr>
                <w:rFonts w:ascii="Arial" w:hAnsi="Arial" w:cs="Arial"/>
                <w:sz w:val="24"/>
                <w:szCs w:val="24"/>
              </w:rPr>
              <w:t>note the postponement of the 2020 Volunteer and Staff and Long Service Awards.</w:t>
            </w:r>
          </w:p>
        </w:tc>
      </w:tr>
    </w:tbl>
    <w:p w14:paraId="3DD2CA39" w14:textId="77777777" w:rsidR="008E3C2A" w:rsidRDefault="008E3C2A" w:rsidP="00416BFF">
      <w:pPr>
        <w:rPr>
          <w:rFonts w:ascii="Arial" w:hAnsi="Arial" w:cs="Arial"/>
          <w:szCs w:val="24"/>
        </w:rPr>
      </w:pPr>
    </w:p>
    <w:p w14:paraId="5AA4D42F" w14:textId="77777777"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14:paraId="006CE300" w14:textId="77777777" w:rsidR="0039450A" w:rsidRPr="007214D1" w:rsidRDefault="0039450A" w:rsidP="00416BFF">
      <w:pPr>
        <w:rPr>
          <w:rFonts w:ascii="Arial" w:hAnsi="Arial" w:cs="Arial"/>
          <w:szCs w:val="24"/>
        </w:rPr>
      </w:pPr>
    </w:p>
    <w:p w14:paraId="6C4D14E5" w14:textId="75B9E897" w:rsidR="008B36C4"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2C5CBE">
        <w:rPr>
          <w:rFonts w:ascii="Arial" w:hAnsi="Arial" w:cs="Arial"/>
          <w:szCs w:val="24"/>
        </w:rPr>
        <w:t xml:space="preserve">4 </w:t>
      </w:r>
      <w:r w:rsidR="00C11400">
        <w:rPr>
          <w:rFonts w:ascii="Arial" w:hAnsi="Arial" w:cs="Arial"/>
          <w:szCs w:val="24"/>
        </w:rPr>
        <w:t>June</w:t>
      </w:r>
      <w:r w:rsidR="00142251">
        <w:rPr>
          <w:rFonts w:ascii="Arial" w:hAnsi="Arial" w:cs="Arial"/>
          <w:szCs w:val="24"/>
        </w:rPr>
        <w:t xml:space="preserve"> 20</w:t>
      </w:r>
      <w:r w:rsidR="00FF2178">
        <w:rPr>
          <w:rFonts w:ascii="Arial" w:hAnsi="Arial" w:cs="Arial"/>
          <w:szCs w:val="24"/>
        </w:rPr>
        <w:t>20</w:t>
      </w:r>
    </w:p>
    <w:p w14:paraId="6427813D" w14:textId="77777777" w:rsidR="008B36C4" w:rsidRDefault="008B36C4">
      <w:pPr>
        <w:rPr>
          <w:rFonts w:ascii="Arial" w:hAnsi="Arial" w:cs="Arial"/>
          <w:szCs w:val="24"/>
        </w:rPr>
      </w:pPr>
      <w:r>
        <w:rPr>
          <w:rFonts w:ascii="Arial" w:hAnsi="Arial" w:cs="Arial"/>
          <w:szCs w:val="24"/>
        </w:rPr>
        <w:br w:type="page"/>
      </w:r>
    </w:p>
    <w:p w14:paraId="5A95E3B1" w14:textId="77777777" w:rsidR="00AB4988" w:rsidRDefault="00AB4988" w:rsidP="00380CDF">
      <w:pPr>
        <w:rPr>
          <w:rFonts w:ascii="Arial" w:hAnsi="Arial" w:cs="Arial"/>
          <w:szCs w:val="24"/>
        </w:rPr>
      </w:pPr>
    </w:p>
    <w:p w14:paraId="434CD1AC" w14:textId="77777777" w:rsidR="00AB4988" w:rsidRDefault="00AB4988" w:rsidP="00380CDF">
      <w:pPr>
        <w:rPr>
          <w:rFonts w:ascii="Arial" w:hAnsi="Arial" w:cs="Arial"/>
          <w:szCs w:val="24"/>
        </w:rPr>
      </w:pPr>
    </w:p>
    <w:p w14:paraId="75147B30" w14:textId="77777777" w:rsidR="000B6190" w:rsidRDefault="00C8333C" w:rsidP="00C8333C">
      <w:pPr>
        <w:jc w:val="right"/>
        <w:rPr>
          <w:rFonts w:ascii="Arial" w:hAnsi="Arial" w:cs="Arial"/>
          <w:b/>
          <w:szCs w:val="24"/>
        </w:rPr>
      </w:pPr>
      <w:r>
        <w:rPr>
          <w:rFonts w:ascii="Arial" w:hAnsi="Arial" w:cs="Arial"/>
          <w:b/>
          <w:szCs w:val="24"/>
        </w:rPr>
        <w:t>APPENDIX A</w:t>
      </w:r>
    </w:p>
    <w:p w14:paraId="2DC6DA1F" w14:textId="77777777" w:rsidR="00C8333C" w:rsidRDefault="00C8333C">
      <w:pPr>
        <w:rPr>
          <w:rFonts w:ascii="Arial" w:hAnsi="Arial" w:cs="Arial"/>
          <w:b/>
          <w:szCs w:val="24"/>
        </w:rPr>
      </w:pPr>
    </w:p>
    <w:p w14:paraId="40AAB080" w14:textId="77777777" w:rsidR="003C1B3B" w:rsidRDefault="00AB4988">
      <w:pPr>
        <w:rPr>
          <w:rFonts w:ascii="Arial" w:hAnsi="Arial" w:cs="Arial"/>
          <w:b/>
          <w:szCs w:val="24"/>
        </w:rPr>
      </w:pPr>
      <w:r>
        <w:rPr>
          <w:rFonts w:ascii="Arial" w:hAnsi="Arial" w:cs="Arial"/>
          <w:b/>
          <w:szCs w:val="24"/>
        </w:rPr>
        <w:t xml:space="preserve">CHANGES TO STAFFING ESTABLISHMENT IN QUARTER </w:t>
      </w:r>
      <w:r w:rsidR="00C11400">
        <w:rPr>
          <w:rFonts w:ascii="Arial" w:hAnsi="Arial" w:cs="Arial"/>
          <w:b/>
          <w:szCs w:val="24"/>
        </w:rPr>
        <w:t>4</w:t>
      </w:r>
    </w:p>
    <w:p w14:paraId="6F420526" w14:textId="77777777" w:rsidR="00AB4988" w:rsidRDefault="0019125C">
      <w:pPr>
        <w:rPr>
          <w:rFonts w:ascii="Arial" w:hAnsi="Arial" w:cs="Arial"/>
          <w:b/>
          <w:szCs w:val="24"/>
        </w:rPr>
      </w:pPr>
      <w:r>
        <w:rPr>
          <w:rFonts w:ascii="Arial" w:hAnsi="Arial" w:cs="Arial"/>
          <w:b/>
          <w:szCs w:val="24"/>
        </w:rPr>
        <w:t>(</w:t>
      </w:r>
      <w:r w:rsidR="004076AD">
        <w:rPr>
          <w:rFonts w:ascii="Arial" w:hAnsi="Arial" w:cs="Arial"/>
          <w:b/>
          <w:szCs w:val="24"/>
        </w:rPr>
        <w:t>January - March</w:t>
      </w:r>
      <w:r>
        <w:rPr>
          <w:rFonts w:ascii="Arial" w:hAnsi="Arial" w:cs="Arial"/>
          <w:b/>
          <w:szCs w:val="24"/>
        </w:rPr>
        <w:t xml:space="preserve"> 20</w:t>
      </w:r>
      <w:r w:rsidR="004076AD">
        <w:rPr>
          <w:rFonts w:ascii="Arial" w:hAnsi="Arial" w:cs="Arial"/>
          <w:b/>
          <w:szCs w:val="24"/>
        </w:rPr>
        <w:t>20</w:t>
      </w:r>
      <w:r>
        <w:rPr>
          <w:rFonts w:ascii="Arial" w:hAnsi="Arial" w:cs="Arial"/>
          <w:b/>
          <w:szCs w:val="24"/>
        </w:rPr>
        <w:t>)</w:t>
      </w:r>
    </w:p>
    <w:p w14:paraId="52CC7D29" w14:textId="77777777" w:rsidR="004319E3" w:rsidRDefault="004319E3">
      <w:pPr>
        <w:rPr>
          <w:rFonts w:ascii="Arial" w:hAnsi="Arial" w:cs="Arial"/>
          <w:b/>
          <w:szCs w:val="24"/>
        </w:rPr>
      </w:pPr>
    </w:p>
    <w:p w14:paraId="09EA7F90" w14:textId="77777777" w:rsidR="004319E3" w:rsidRDefault="004319E3">
      <w:pPr>
        <w:rPr>
          <w:rFonts w:ascii="Arial" w:hAnsi="Arial" w:cs="Arial"/>
          <w:b/>
          <w:szCs w:val="24"/>
        </w:rPr>
      </w:pPr>
    </w:p>
    <w:tbl>
      <w:tblPr>
        <w:tblW w:w="9042" w:type="dxa"/>
        <w:tblInd w:w="108" w:type="dxa"/>
        <w:tblLook w:val="04A0" w:firstRow="1" w:lastRow="0" w:firstColumn="1" w:lastColumn="0" w:noHBand="0" w:noVBand="1"/>
      </w:tblPr>
      <w:tblGrid>
        <w:gridCol w:w="3261"/>
        <w:gridCol w:w="3685"/>
        <w:gridCol w:w="31"/>
        <w:gridCol w:w="2056"/>
        <w:gridCol w:w="9"/>
      </w:tblGrid>
      <w:tr w:rsidR="004319E3" w:rsidRPr="002B4037" w14:paraId="39BB2A86" w14:textId="77777777" w:rsidTr="0019125C">
        <w:trPr>
          <w:trHeight w:val="3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C7FD9" w14:textId="77777777" w:rsidR="004319E3" w:rsidRPr="004319E3" w:rsidRDefault="004319E3" w:rsidP="004319E3">
            <w:pPr>
              <w:rPr>
                <w:rFonts w:ascii="Arial" w:hAnsi="Arial" w:cs="Arial"/>
                <w:b/>
                <w:color w:val="000000"/>
                <w:szCs w:val="24"/>
              </w:rPr>
            </w:pPr>
            <w:r w:rsidRPr="004319E3">
              <w:rPr>
                <w:rFonts w:ascii="Arial" w:hAnsi="Arial" w:cs="Arial"/>
                <w:b/>
                <w:color w:val="000000"/>
                <w:szCs w:val="24"/>
              </w:rPr>
              <w:t>Post</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154B7" w14:textId="77777777" w:rsidR="004319E3" w:rsidRPr="004319E3" w:rsidRDefault="004319E3" w:rsidP="004319E3">
            <w:pPr>
              <w:rPr>
                <w:rFonts w:ascii="Arial" w:hAnsi="Arial" w:cs="Arial"/>
                <w:b/>
                <w:color w:val="000000"/>
                <w:szCs w:val="24"/>
              </w:rPr>
            </w:pPr>
            <w:r w:rsidRPr="004319E3">
              <w:rPr>
                <w:rFonts w:ascii="Arial" w:hAnsi="Arial" w:cs="Arial"/>
                <w:b/>
                <w:color w:val="000000"/>
                <w:szCs w:val="24"/>
              </w:rPr>
              <w:t>Location</w:t>
            </w:r>
          </w:p>
        </w:tc>
        <w:tc>
          <w:tcPr>
            <w:tcW w:w="20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BC2C1" w14:textId="77777777" w:rsidR="004319E3" w:rsidRPr="004319E3" w:rsidRDefault="004319E3" w:rsidP="004319E3">
            <w:pPr>
              <w:jc w:val="center"/>
              <w:rPr>
                <w:rFonts w:ascii="Arial" w:hAnsi="Arial" w:cs="Arial"/>
                <w:b/>
                <w:color w:val="000000"/>
                <w:szCs w:val="24"/>
              </w:rPr>
            </w:pPr>
            <w:r w:rsidRPr="004319E3">
              <w:rPr>
                <w:rFonts w:ascii="Arial" w:hAnsi="Arial" w:cs="Arial"/>
                <w:b/>
                <w:color w:val="000000"/>
                <w:szCs w:val="24"/>
              </w:rPr>
              <w:t>FTE</w:t>
            </w:r>
          </w:p>
        </w:tc>
      </w:tr>
      <w:tr w:rsidR="0019125C" w:rsidRPr="0019125C" w14:paraId="09BE155F" w14:textId="77777777"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14:paraId="5C5B2A4C" w14:textId="77777777" w:rsidR="0019125C" w:rsidRPr="0019125C" w:rsidRDefault="009E7AF8" w:rsidP="0019125C">
            <w:pPr>
              <w:rPr>
                <w:rFonts w:ascii="Arial" w:hAnsi="Arial" w:cs="Arial"/>
                <w:color w:val="000000"/>
                <w:szCs w:val="24"/>
              </w:rPr>
            </w:pPr>
            <w:r>
              <w:rPr>
                <w:rFonts w:ascii="Arial" w:hAnsi="Arial" w:cs="Arial"/>
                <w:color w:val="000000"/>
                <w:szCs w:val="24"/>
              </w:rPr>
              <w:t>Network Librarian</w:t>
            </w:r>
          </w:p>
        </w:tc>
        <w:tc>
          <w:tcPr>
            <w:tcW w:w="3716" w:type="dxa"/>
            <w:gridSpan w:val="2"/>
            <w:shd w:val="clear" w:color="auto" w:fill="auto"/>
            <w:noWrap/>
            <w:vAlign w:val="center"/>
            <w:hideMark/>
          </w:tcPr>
          <w:p w14:paraId="30729AB9" w14:textId="77777777" w:rsidR="0019125C" w:rsidRPr="0019125C" w:rsidRDefault="009E7AF8" w:rsidP="0019125C">
            <w:pPr>
              <w:rPr>
                <w:rFonts w:ascii="Arial" w:hAnsi="Arial" w:cs="Arial"/>
                <w:color w:val="000000"/>
                <w:szCs w:val="24"/>
              </w:rPr>
            </w:pPr>
            <w:r>
              <w:rPr>
                <w:rFonts w:ascii="Arial" w:hAnsi="Arial" w:cs="Arial"/>
                <w:color w:val="000000"/>
                <w:szCs w:val="24"/>
              </w:rPr>
              <w:t>Lochaber</w:t>
            </w:r>
          </w:p>
        </w:tc>
        <w:tc>
          <w:tcPr>
            <w:tcW w:w="2056" w:type="dxa"/>
            <w:shd w:val="clear" w:color="auto" w:fill="auto"/>
            <w:noWrap/>
            <w:vAlign w:val="center"/>
            <w:hideMark/>
          </w:tcPr>
          <w:p w14:paraId="37A68160" w14:textId="77777777" w:rsidR="0019125C" w:rsidRPr="0019125C" w:rsidRDefault="004076AD" w:rsidP="0019125C">
            <w:pPr>
              <w:jc w:val="center"/>
              <w:rPr>
                <w:rFonts w:ascii="Arial" w:hAnsi="Arial" w:cs="Arial"/>
                <w:color w:val="000000"/>
                <w:szCs w:val="24"/>
              </w:rPr>
            </w:pPr>
            <w:r>
              <w:rPr>
                <w:rFonts w:ascii="Arial" w:hAnsi="Arial" w:cs="Arial"/>
                <w:color w:val="000000"/>
                <w:szCs w:val="24"/>
              </w:rPr>
              <w:t>-</w:t>
            </w:r>
            <w:r w:rsidR="0019125C" w:rsidRPr="0019125C">
              <w:rPr>
                <w:rFonts w:ascii="Arial" w:hAnsi="Arial" w:cs="Arial"/>
                <w:color w:val="000000"/>
                <w:szCs w:val="24"/>
              </w:rPr>
              <w:t>1</w:t>
            </w:r>
          </w:p>
        </w:tc>
      </w:tr>
      <w:tr w:rsidR="0019125C" w:rsidRPr="0019125C" w14:paraId="4ACF22B3" w14:textId="77777777"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hideMark/>
          </w:tcPr>
          <w:p w14:paraId="5C469AA7" w14:textId="77777777" w:rsidR="0019125C" w:rsidRPr="0019125C" w:rsidRDefault="004076AD" w:rsidP="0019125C">
            <w:pPr>
              <w:rPr>
                <w:rFonts w:ascii="Arial" w:hAnsi="Arial" w:cs="Arial"/>
                <w:color w:val="000000"/>
                <w:szCs w:val="24"/>
              </w:rPr>
            </w:pPr>
            <w:r>
              <w:rPr>
                <w:rFonts w:ascii="Arial" w:hAnsi="Arial" w:cs="Arial"/>
                <w:color w:val="000000"/>
                <w:szCs w:val="24"/>
              </w:rPr>
              <w:t>Library Assistant</w:t>
            </w:r>
          </w:p>
        </w:tc>
        <w:tc>
          <w:tcPr>
            <w:tcW w:w="3716" w:type="dxa"/>
            <w:gridSpan w:val="2"/>
            <w:shd w:val="clear" w:color="auto" w:fill="auto"/>
            <w:noWrap/>
            <w:vAlign w:val="center"/>
            <w:hideMark/>
          </w:tcPr>
          <w:p w14:paraId="1BA7DAE7" w14:textId="77777777" w:rsidR="0019125C" w:rsidRPr="0019125C" w:rsidRDefault="004076AD" w:rsidP="0019125C">
            <w:pPr>
              <w:rPr>
                <w:rFonts w:ascii="Arial" w:hAnsi="Arial" w:cs="Arial"/>
                <w:color w:val="000000"/>
                <w:szCs w:val="24"/>
              </w:rPr>
            </w:pPr>
            <w:r>
              <w:rPr>
                <w:rFonts w:ascii="Arial" w:hAnsi="Arial" w:cs="Arial"/>
                <w:color w:val="000000"/>
                <w:szCs w:val="24"/>
              </w:rPr>
              <w:t>Lochaber</w:t>
            </w:r>
          </w:p>
        </w:tc>
        <w:tc>
          <w:tcPr>
            <w:tcW w:w="2056" w:type="dxa"/>
            <w:shd w:val="clear" w:color="auto" w:fill="auto"/>
            <w:noWrap/>
            <w:vAlign w:val="center"/>
            <w:hideMark/>
          </w:tcPr>
          <w:p w14:paraId="1185886B" w14:textId="77777777" w:rsidR="0019125C" w:rsidRPr="0019125C" w:rsidRDefault="004076AD" w:rsidP="0019125C">
            <w:pPr>
              <w:jc w:val="center"/>
              <w:rPr>
                <w:rFonts w:ascii="Arial" w:hAnsi="Arial" w:cs="Arial"/>
                <w:color w:val="000000"/>
                <w:szCs w:val="24"/>
              </w:rPr>
            </w:pPr>
            <w:r>
              <w:rPr>
                <w:rFonts w:ascii="Arial" w:hAnsi="Arial" w:cs="Arial"/>
                <w:color w:val="000000"/>
                <w:szCs w:val="24"/>
              </w:rPr>
              <w:t>0.87</w:t>
            </w:r>
          </w:p>
        </w:tc>
      </w:tr>
      <w:tr w:rsidR="0019125C" w:rsidRPr="0019125C" w14:paraId="08DE483E" w14:textId="77777777" w:rsidTr="00191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300"/>
        </w:trPr>
        <w:tc>
          <w:tcPr>
            <w:tcW w:w="3261" w:type="dxa"/>
            <w:shd w:val="clear" w:color="auto" w:fill="auto"/>
            <w:noWrap/>
            <w:vAlign w:val="center"/>
          </w:tcPr>
          <w:p w14:paraId="0772FEDA" w14:textId="77777777" w:rsidR="0019125C" w:rsidRPr="0019125C" w:rsidRDefault="0019125C" w:rsidP="0019125C">
            <w:pPr>
              <w:rPr>
                <w:rFonts w:ascii="Arial" w:hAnsi="Arial" w:cs="Arial"/>
                <w:b/>
                <w:color w:val="000000"/>
                <w:szCs w:val="24"/>
              </w:rPr>
            </w:pPr>
            <w:r w:rsidRPr="0019125C">
              <w:rPr>
                <w:rFonts w:ascii="Arial" w:hAnsi="Arial" w:cs="Arial"/>
                <w:b/>
                <w:color w:val="000000"/>
                <w:szCs w:val="24"/>
              </w:rPr>
              <w:t>TOTAL</w:t>
            </w:r>
          </w:p>
        </w:tc>
        <w:tc>
          <w:tcPr>
            <w:tcW w:w="3716" w:type="dxa"/>
            <w:gridSpan w:val="2"/>
            <w:shd w:val="clear" w:color="auto" w:fill="auto"/>
            <w:noWrap/>
            <w:vAlign w:val="center"/>
          </w:tcPr>
          <w:p w14:paraId="61A7B228" w14:textId="77777777" w:rsidR="0019125C" w:rsidRPr="0019125C" w:rsidRDefault="0019125C" w:rsidP="0019125C">
            <w:pPr>
              <w:rPr>
                <w:rFonts w:ascii="Arial" w:hAnsi="Arial" w:cs="Arial"/>
                <w:b/>
                <w:color w:val="000000"/>
                <w:szCs w:val="24"/>
              </w:rPr>
            </w:pPr>
          </w:p>
        </w:tc>
        <w:tc>
          <w:tcPr>
            <w:tcW w:w="2056" w:type="dxa"/>
            <w:shd w:val="clear" w:color="auto" w:fill="auto"/>
            <w:noWrap/>
            <w:vAlign w:val="center"/>
          </w:tcPr>
          <w:p w14:paraId="796A94E0" w14:textId="77777777" w:rsidR="0019125C" w:rsidRPr="0019125C" w:rsidRDefault="004076AD" w:rsidP="0019125C">
            <w:pPr>
              <w:jc w:val="center"/>
              <w:rPr>
                <w:rFonts w:ascii="Arial" w:hAnsi="Arial" w:cs="Arial"/>
                <w:b/>
                <w:color w:val="000000"/>
                <w:szCs w:val="24"/>
              </w:rPr>
            </w:pPr>
            <w:r>
              <w:rPr>
                <w:rFonts w:ascii="Arial" w:hAnsi="Arial" w:cs="Arial"/>
                <w:b/>
                <w:color w:val="000000"/>
                <w:szCs w:val="24"/>
              </w:rPr>
              <w:t>-0.13</w:t>
            </w:r>
          </w:p>
        </w:tc>
      </w:tr>
    </w:tbl>
    <w:p w14:paraId="52863788" w14:textId="77777777" w:rsidR="00C437C7" w:rsidRDefault="00C437C7">
      <w:pPr>
        <w:rPr>
          <w:rFonts w:ascii="Arial" w:hAnsi="Arial" w:cs="Arial"/>
          <w:szCs w:val="24"/>
        </w:rPr>
      </w:pPr>
    </w:p>
    <w:sectPr w:rsidR="00C437C7" w:rsidSect="00544D61">
      <w:pgSz w:w="11906" w:h="16838"/>
      <w:pgMar w:top="851"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7F98D" w14:textId="77777777" w:rsidR="00A004F4" w:rsidRDefault="00A004F4">
      <w:r>
        <w:separator/>
      </w:r>
    </w:p>
  </w:endnote>
  <w:endnote w:type="continuationSeparator" w:id="0">
    <w:p w14:paraId="2C401E7D" w14:textId="77777777" w:rsidR="00A004F4" w:rsidRDefault="00A0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4FD65" w14:textId="77777777" w:rsidR="00A004F4" w:rsidRDefault="00A004F4">
      <w:r>
        <w:separator/>
      </w:r>
    </w:p>
  </w:footnote>
  <w:footnote w:type="continuationSeparator" w:id="0">
    <w:p w14:paraId="0A8CABC5" w14:textId="77777777" w:rsidR="00A004F4" w:rsidRDefault="00A0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7C1"/>
    <w:multiLevelType w:val="hybridMultilevel"/>
    <w:tmpl w:val="38E6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0FE7"/>
    <w:multiLevelType w:val="hybridMultilevel"/>
    <w:tmpl w:val="A97A19C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09390A7A"/>
    <w:multiLevelType w:val="hybridMultilevel"/>
    <w:tmpl w:val="B1268F28"/>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75665"/>
    <w:multiLevelType w:val="hybridMultilevel"/>
    <w:tmpl w:val="5FC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8623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D096F"/>
    <w:multiLevelType w:val="hybridMultilevel"/>
    <w:tmpl w:val="249E089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B069A"/>
    <w:multiLevelType w:val="multilevel"/>
    <w:tmpl w:val="D0E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D1145"/>
    <w:multiLevelType w:val="hybridMultilevel"/>
    <w:tmpl w:val="A1D63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C7731F"/>
    <w:multiLevelType w:val="hybridMultilevel"/>
    <w:tmpl w:val="9F783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8B0604"/>
    <w:multiLevelType w:val="hybridMultilevel"/>
    <w:tmpl w:val="EAC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00050"/>
    <w:multiLevelType w:val="hybridMultilevel"/>
    <w:tmpl w:val="A516DF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43C1BF0"/>
    <w:multiLevelType w:val="hybridMultilevel"/>
    <w:tmpl w:val="1C8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05493"/>
    <w:multiLevelType w:val="hybridMultilevel"/>
    <w:tmpl w:val="E6C6F1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E01366"/>
    <w:multiLevelType w:val="hybridMultilevel"/>
    <w:tmpl w:val="E238FD3E"/>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581624"/>
    <w:multiLevelType w:val="hybridMultilevel"/>
    <w:tmpl w:val="123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B5238"/>
    <w:multiLevelType w:val="hybridMultilevel"/>
    <w:tmpl w:val="E9C4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65F4F"/>
    <w:multiLevelType w:val="hybridMultilevel"/>
    <w:tmpl w:val="D1B4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C6913"/>
    <w:multiLevelType w:val="hybridMultilevel"/>
    <w:tmpl w:val="789E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5695E"/>
    <w:multiLevelType w:val="hybridMultilevel"/>
    <w:tmpl w:val="B19C351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FC411B"/>
    <w:multiLevelType w:val="hybridMultilevel"/>
    <w:tmpl w:val="B4E4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86A12"/>
    <w:multiLevelType w:val="hybridMultilevel"/>
    <w:tmpl w:val="1C9E1BD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2161F"/>
    <w:multiLevelType w:val="hybridMultilevel"/>
    <w:tmpl w:val="8BF4808A"/>
    <w:lvl w:ilvl="0" w:tplc="72FEDC64">
      <w:numFmt w:val="bullet"/>
      <w:lvlText w:val="•"/>
      <w:lvlJc w:val="left"/>
      <w:pPr>
        <w:ind w:left="725" w:hanging="408"/>
      </w:pPr>
      <w:rPr>
        <w:rFonts w:ascii="Arial" w:eastAsia="Times New Roman"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2" w15:restartNumberingAfterBreak="0">
    <w:nsid w:val="6EAF0858"/>
    <w:multiLevelType w:val="hybridMultilevel"/>
    <w:tmpl w:val="B6B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84343"/>
    <w:multiLevelType w:val="hybridMultilevel"/>
    <w:tmpl w:val="5C2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BA3DA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num w:numId="1">
    <w:abstractNumId w:val="25"/>
  </w:num>
  <w:num w:numId="2">
    <w:abstractNumId w:val="24"/>
  </w:num>
  <w:num w:numId="3">
    <w:abstractNumId w:val="4"/>
  </w:num>
  <w:num w:numId="4">
    <w:abstractNumId w:val="11"/>
  </w:num>
  <w:num w:numId="5">
    <w:abstractNumId w:val="17"/>
  </w:num>
  <w:num w:numId="6">
    <w:abstractNumId w:val="22"/>
  </w:num>
  <w:num w:numId="7">
    <w:abstractNumId w:val="16"/>
  </w:num>
  <w:num w:numId="8">
    <w:abstractNumId w:val="0"/>
  </w:num>
  <w:num w:numId="9">
    <w:abstractNumId w:val="8"/>
  </w:num>
  <w:num w:numId="10">
    <w:abstractNumId w:val="23"/>
  </w:num>
  <w:num w:numId="11">
    <w:abstractNumId w:val="7"/>
  </w:num>
  <w:num w:numId="12">
    <w:abstractNumId w:val="1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9"/>
  </w:num>
  <w:num w:numId="17">
    <w:abstractNumId w:val="19"/>
  </w:num>
  <w:num w:numId="18">
    <w:abstractNumId w:val="15"/>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5"/>
  </w:num>
  <w:num w:numId="24">
    <w:abstractNumId w:val="20"/>
  </w:num>
  <w:num w:numId="25">
    <w:abstractNumId w:val="12"/>
  </w:num>
  <w:num w:numId="26">
    <w:abstractNumId w:val="2"/>
  </w:num>
  <w:num w:numId="27">
    <w:abstractNumId w:val="1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0A"/>
    <w:rsid w:val="00003FEE"/>
    <w:rsid w:val="00004D29"/>
    <w:rsid w:val="000125A3"/>
    <w:rsid w:val="00015F4F"/>
    <w:rsid w:val="00017D2E"/>
    <w:rsid w:val="00021173"/>
    <w:rsid w:val="0002128B"/>
    <w:rsid w:val="00026EA5"/>
    <w:rsid w:val="0003553F"/>
    <w:rsid w:val="00042D0F"/>
    <w:rsid w:val="0005088A"/>
    <w:rsid w:val="00050D79"/>
    <w:rsid w:val="00052C00"/>
    <w:rsid w:val="00053FE4"/>
    <w:rsid w:val="00054DE1"/>
    <w:rsid w:val="000620A6"/>
    <w:rsid w:val="000631BD"/>
    <w:rsid w:val="000764B4"/>
    <w:rsid w:val="00077197"/>
    <w:rsid w:val="000817F9"/>
    <w:rsid w:val="0008795E"/>
    <w:rsid w:val="00087CCD"/>
    <w:rsid w:val="000953AF"/>
    <w:rsid w:val="00095BC4"/>
    <w:rsid w:val="00097529"/>
    <w:rsid w:val="000975F9"/>
    <w:rsid w:val="000A6A1A"/>
    <w:rsid w:val="000B0D29"/>
    <w:rsid w:val="000B6190"/>
    <w:rsid w:val="000B744A"/>
    <w:rsid w:val="000C1BF4"/>
    <w:rsid w:val="000C6FDE"/>
    <w:rsid w:val="000C71AB"/>
    <w:rsid w:val="000D0794"/>
    <w:rsid w:val="000D245B"/>
    <w:rsid w:val="000D5427"/>
    <w:rsid w:val="000D616A"/>
    <w:rsid w:val="000D620F"/>
    <w:rsid w:val="000D6CAA"/>
    <w:rsid w:val="000D7731"/>
    <w:rsid w:val="000E00E2"/>
    <w:rsid w:val="000E0C6D"/>
    <w:rsid w:val="000E16F2"/>
    <w:rsid w:val="000E5B8A"/>
    <w:rsid w:val="000E6453"/>
    <w:rsid w:val="000F0A78"/>
    <w:rsid w:val="000F274B"/>
    <w:rsid w:val="000F4575"/>
    <w:rsid w:val="000F5A33"/>
    <w:rsid w:val="000F6071"/>
    <w:rsid w:val="000F6FD8"/>
    <w:rsid w:val="000F7512"/>
    <w:rsid w:val="000F78D3"/>
    <w:rsid w:val="001065FE"/>
    <w:rsid w:val="001072B4"/>
    <w:rsid w:val="0010757C"/>
    <w:rsid w:val="001077A9"/>
    <w:rsid w:val="001100A3"/>
    <w:rsid w:val="00116689"/>
    <w:rsid w:val="00120225"/>
    <w:rsid w:val="00121552"/>
    <w:rsid w:val="00124C17"/>
    <w:rsid w:val="0012567C"/>
    <w:rsid w:val="00132839"/>
    <w:rsid w:val="00141185"/>
    <w:rsid w:val="00141508"/>
    <w:rsid w:val="00142251"/>
    <w:rsid w:val="00144164"/>
    <w:rsid w:val="001448BE"/>
    <w:rsid w:val="001500BA"/>
    <w:rsid w:val="00153171"/>
    <w:rsid w:val="0015326F"/>
    <w:rsid w:val="0017031E"/>
    <w:rsid w:val="00176013"/>
    <w:rsid w:val="00177A7B"/>
    <w:rsid w:val="0018152E"/>
    <w:rsid w:val="001866ED"/>
    <w:rsid w:val="00186DF3"/>
    <w:rsid w:val="00190BC9"/>
    <w:rsid w:val="0019125C"/>
    <w:rsid w:val="00192FBE"/>
    <w:rsid w:val="001A7AF1"/>
    <w:rsid w:val="001B1FC0"/>
    <w:rsid w:val="001B55F1"/>
    <w:rsid w:val="001C15DE"/>
    <w:rsid w:val="001C29E2"/>
    <w:rsid w:val="001C380A"/>
    <w:rsid w:val="001C41BF"/>
    <w:rsid w:val="001C52A6"/>
    <w:rsid w:val="001C7E6F"/>
    <w:rsid w:val="001D1D38"/>
    <w:rsid w:val="001D2FE9"/>
    <w:rsid w:val="001D541F"/>
    <w:rsid w:val="001E41AE"/>
    <w:rsid w:val="001F2FFC"/>
    <w:rsid w:val="001F7122"/>
    <w:rsid w:val="00200EE4"/>
    <w:rsid w:val="002029D7"/>
    <w:rsid w:val="0020611C"/>
    <w:rsid w:val="0021160B"/>
    <w:rsid w:val="00220164"/>
    <w:rsid w:val="00220978"/>
    <w:rsid w:val="00223DB5"/>
    <w:rsid w:val="002245D8"/>
    <w:rsid w:val="00227DC9"/>
    <w:rsid w:val="00232563"/>
    <w:rsid w:val="00240268"/>
    <w:rsid w:val="0024033E"/>
    <w:rsid w:val="00241F01"/>
    <w:rsid w:val="00244480"/>
    <w:rsid w:val="00247212"/>
    <w:rsid w:val="00255A31"/>
    <w:rsid w:val="00256CC8"/>
    <w:rsid w:val="0026117D"/>
    <w:rsid w:val="00261D72"/>
    <w:rsid w:val="00261E11"/>
    <w:rsid w:val="00262480"/>
    <w:rsid w:val="00263F37"/>
    <w:rsid w:val="002654E9"/>
    <w:rsid w:val="00265F13"/>
    <w:rsid w:val="00277B5F"/>
    <w:rsid w:val="00282805"/>
    <w:rsid w:val="002829AC"/>
    <w:rsid w:val="00284D5A"/>
    <w:rsid w:val="00286A03"/>
    <w:rsid w:val="00293E6F"/>
    <w:rsid w:val="00295EE6"/>
    <w:rsid w:val="002967A3"/>
    <w:rsid w:val="002A1B27"/>
    <w:rsid w:val="002A5188"/>
    <w:rsid w:val="002A57F2"/>
    <w:rsid w:val="002B086D"/>
    <w:rsid w:val="002B0A2F"/>
    <w:rsid w:val="002B36C8"/>
    <w:rsid w:val="002B4037"/>
    <w:rsid w:val="002B7DC4"/>
    <w:rsid w:val="002C4B6B"/>
    <w:rsid w:val="002C5CBE"/>
    <w:rsid w:val="002C60C2"/>
    <w:rsid w:val="002C6BFA"/>
    <w:rsid w:val="002D009F"/>
    <w:rsid w:val="002D0DC9"/>
    <w:rsid w:val="002D1539"/>
    <w:rsid w:val="002D5EDE"/>
    <w:rsid w:val="002D70B5"/>
    <w:rsid w:val="002D7DD6"/>
    <w:rsid w:val="002E0015"/>
    <w:rsid w:val="002E6BF4"/>
    <w:rsid w:val="002E6C9F"/>
    <w:rsid w:val="002E7918"/>
    <w:rsid w:val="002F12AA"/>
    <w:rsid w:val="002F215D"/>
    <w:rsid w:val="002F40EE"/>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4B2E"/>
    <w:rsid w:val="00344062"/>
    <w:rsid w:val="00344849"/>
    <w:rsid w:val="0034569A"/>
    <w:rsid w:val="00345B42"/>
    <w:rsid w:val="00347328"/>
    <w:rsid w:val="00347734"/>
    <w:rsid w:val="0035282E"/>
    <w:rsid w:val="00354C5E"/>
    <w:rsid w:val="003551D4"/>
    <w:rsid w:val="00355775"/>
    <w:rsid w:val="00356B53"/>
    <w:rsid w:val="00360402"/>
    <w:rsid w:val="003649D9"/>
    <w:rsid w:val="003702A5"/>
    <w:rsid w:val="00371EFA"/>
    <w:rsid w:val="00372702"/>
    <w:rsid w:val="00373E7E"/>
    <w:rsid w:val="00380A34"/>
    <w:rsid w:val="00380CDF"/>
    <w:rsid w:val="00381B81"/>
    <w:rsid w:val="00383500"/>
    <w:rsid w:val="0038355A"/>
    <w:rsid w:val="003917DC"/>
    <w:rsid w:val="0039450A"/>
    <w:rsid w:val="003964ED"/>
    <w:rsid w:val="003A069E"/>
    <w:rsid w:val="003A19F1"/>
    <w:rsid w:val="003A4B9C"/>
    <w:rsid w:val="003A5434"/>
    <w:rsid w:val="003A7DB0"/>
    <w:rsid w:val="003B16B6"/>
    <w:rsid w:val="003B3A9B"/>
    <w:rsid w:val="003B62D6"/>
    <w:rsid w:val="003C1B3B"/>
    <w:rsid w:val="003C4EA9"/>
    <w:rsid w:val="003C6779"/>
    <w:rsid w:val="003C7AFE"/>
    <w:rsid w:val="003D2CBE"/>
    <w:rsid w:val="003D5C03"/>
    <w:rsid w:val="003E0170"/>
    <w:rsid w:val="003E159A"/>
    <w:rsid w:val="003E4183"/>
    <w:rsid w:val="003F2745"/>
    <w:rsid w:val="003F321A"/>
    <w:rsid w:val="00403CDA"/>
    <w:rsid w:val="00405EBC"/>
    <w:rsid w:val="004076AD"/>
    <w:rsid w:val="00407982"/>
    <w:rsid w:val="004115FF"/>
    <w:rsid w:val="004120A6"/>
    <w:rsid w:val="00413B84"/>
    <w:rsid w:val="00416BFF"/>
    <w:rsid w:val="0042698E"/>
    <w:rsid w:val="004319E3"/>
    <w:rsid w:val="00432FF9"/>
    <w:rsid w:val="004375DD"/>
    <w:rsid w:val="004403F8"/>
    <w:rsid w:val="0044083B"/>
    <w:rsid w:val="004438C9"/>
    <w:rsid w:val="00444E77"/>
    <w:rsid w:val="00445A72"/>
    <w:rsid w:val="00447C8A"/>
    <w:rsid w:val="0045207E"/>
    <w:rsid w:val="0045580C"/>
    <w:rsid w:val="00455913"/>
    <w:rsid w:val="0045618C"/>
    <w:rsid w:val="00460DE4"/>
    <w:rsid w:val="00462977"/>
    <w:rsid w:val="00465229"/>
    <w:rsid w:val="00465FB3"/>
    <w:rsid w:val="00466CDA"/>
    <w:rsid w:val="00474274"/>
    <w:rsid w:val="00477C58"/>
    <w:rsid w:val="0048062D"/>
    <w:rsid w:val="00482CC4"/>
    <w:rsid w:val="004843C9"/>
    <w:rsid w:val="00484B52"/>
    <w:rsid w:val="00484E83"/>
    <w:rsid w:val="0049451D"/>
    <w:rsid w:val="004A5372"/>
    <w:rsid w:val="004A5E30"/>
    <w:rsid w:val="004A7F5F"/>
    <w:rsid w:val="004B2287"/>
    <w:rsid w:val="004B292E"/>
    <w:rsid w:val="004B58CE"/>
    <w:rsid w:val="004B6573"/>
    <w:rsid w:val="004B7E68"/>
    <w:rsid w:val="004C1ADD"/>
    <w:rsid w:val="004C3A30"/>
    <w:rsid w:val="004C4336"/>
    <w:rsid w:val="004D02E4"/>
    <w:rsid w:val="004D6EED"/>
    <w:rsid w:val="004D776E"/>
    <w:rsid w:val="004E08EF"/>
    <w:rsid w:val="004E23C6"/>
    <w:rsid w:val="004E241D"/>
    <w:rsid w:val="004E5019"/>
    <w:rsid w:val="004F08B1"/>
    <w:rsid w:val="004F24D2"/>
    <w:rsid w:val="004F2C6F"/>
    <w:rsid w:val="004F5E0A"/>
    <w:rsid w:val="004F64EA"/>
    <w:rsid w:val="00501B18"/>
    <w:rsid w:val="00503FD6"/>
    <w:rsid w:val="005047A4"/>
    <w:rsid w:val="005047F6"/>
    <w:rsid w:val="0050754F"/>
    <w:rsid w:val="0051080D"/>
    <w:rsid w:val="0051107E"/>
    <w:rsid w:val="00511496"/>
    <w:rsid w:val="005123FB"/>
    <w:rsid w:val="00516D9F"/>
    <w:rsid w:val="005179D9"/>
    <w:rsid w:val="00521295"/>
    <w:rsid w:val="005258F0"/>
    <w:rsid w:val="00526DF1"/>
    <w:rsid w:val="0053594A"/>
    <w:rsid w:val="00544A3E"/>
    <w:rsid w:val="00544D61"/>
    <w:rsid w:val="00550DE1"/>
    <w:rsid w:val="005540B4"/>
    <w:rsid w:val="0055493F"/>
    <w:rsid w:val="00554F8A"/>
    <w:rsid w:val="00555643"/>
    <w:rsid w:val="00563DC7"/>
    <w:rsid w:val="00570EC5"/>
    <w:rsid w:val="00570FC5"/>
    <w:rsid w:val="00571309"/>
    <w:rsid w:val="00571965"/>
    <w:rsid w:val="00576B2E"/>
    <w:rsid w:val="00581032"/>
    <w:rsid w:val="00590C36"/>
    <w:rsid w:val="00592045"/>
    <w:rsid w:val="00592F39"/>
    <w:rsid w:val="0059426B"/>
    <w:rsid w:val="005950EE"/>
    <w:rsid w:val="005A2910"/>
    <w:rsid w:val="005A2986"/>
    <w:rsid w:val="005B4523"/>
    <w:rsid w:val="005B4C3A"/>
    <w:rsid w:val="005B6EDC"/>
    <w:rsid w:val="005C565B"/>
    <w:rsid w:val="005C6B41"/>
    <w:rsid w:val="005C76D1"/>
    <w:rsid w:val="005C7755"/>
    <w:rsid w:val="005D0401"/>
    <w:rsid w:val="005D450E"/>
    <w:rsid w:val="005D4C2B"/>
    <w:rsid w:val="005D4D8D"/>
    <w:rsid w:val="005D54D8"/>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60090F"/>
    <w:rsid w:val="00600CE7"/>
    <w:rsid w:val="00605C08"/>
    <w:rsid w:val="0060608D"/>
    <w:rsid w:val="00610457"/>
    <w:rsid w:val="006130E7"/>
    <w:rsid w:val="00616E6F"/>
    <w:rsid w:val="00617AB9"/>
    <w:rsid w:val="006207E6"/>
    <w:rsid w:val="00623941"/>
    <w:rsid w:val="006240C2"/>
    <w:rsid w:val="006314BD"/>
    <w:rsid w:val="00647FE6"/>
    <w:rsid w:val="0065745A"/>
    <w:rsid w:val="00660A42"/>
    <w:rsid w:val="00663093"/>
    <w:rsid w:val="006658B6"/>
    <w:rsid w:val="00665BD4"/>
    <w:rsid w:val="0067538A"/>
    <w:rsid w:val="00682545"/>
    <w:rsid w:val="00682E0E"/>
    <w:rsid w:val="00684594"/>
    <w:rsid w:val="00690634"/>
    <w:rsid w:val="0069225C"/>
    <w:rsid w:val="006925F5"/>
    <w:rsid w:val="00693BFC"/>
    <w:rsid w:val="00694065"/>
    <w:rsid w:val="006A1248"/>
    <w:rsid w:val="006A164D"/>
    <w:rsid w:val="006A38A2"/>
    <w:rsid w:val="006A3AC2"/>
    <w:rsid w:val="006A7897"/>
    <w:rsid w:val="006B06E6"/>
    <w:rsid w:val="006B3C26"/>
    <w:rsid w:val="006B590D"/>
    <w:rsid w:val="006B6421"/>
    <w:rsid w:val="006B67F8"/>
    <w:rsid w:val="006C09E9"/>
    <w:rsid w:val="006C0AEA"/>
    <w:rsid w:val="006C2F41"/>
    <w:rsid w:val="006C36C3"/>
    <w:rsid w:val="006C7C0A"/>
    <w:rsid w:val="006D0028"/>
    <w:rsid w:val="006D3293"/>
    <w:rsid w:val="006D44D7"/>
    <w:rsid w:val="006F04E6"/>
    <w:rsid w:val="006F3879"/>
    <w:rsid w:val="006F4934"/>
    <w:rsid w:val="006F5801"/>
    <w:rsid w:val="006F5F8F"/>
    <w:rsid w:val="00703673"/>
    <w:rsid w:val="00703861"/>
    <w:rsid w:val="007053BE"/>
    <w:rsid w:val="00705B99"/>
    <w:rsid w:val="00707C87"/>
    <w:rsid w:val="00710B7E"/>
    <w:rsid w:val="00711367"/>
    <w:rsid w:val="007127E4"/>
    <w:rsid w:val="00717E7E"/>
    <w:rsid w:val="007203F1"/>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32"/>
    <w:rsid w:val="00766EF9"/>
    <w:rsid w:val="00772596"/>
    <w:rsid w:val="00776348"/>
    <w:rsid w:val="00777F11"/>
    <w:rsid w:val="00782718"/>
    <w:rsid w:val="00783F85"/>
    <w:rsid w:val="00784401"/>
    <w:rsid w:val="0078733B"/>
    <w:rsid w:val="00791D36"/>
    <w:rsid w:val="00794A0C"/>
    <w:rsid w:val="007A0AAC"/>
    <w:rsid w:val="007A2F50"/>
    <w:rsid w:val="007A3904"/>
    <w:rsid w:val="007A7EBB"/>
    <w:rsid w:val="007B1176"/>
    <w:rsid w:val="007B3C3E"/>
    <w:rsid w:val="007B3DC7"/>
    <w:rsid w:val="007B5E32"/>
    <w:rsid w:val="007B64B5"/>
    <w:rsid w:val="007C13C5"/>
    <w:rsid w:val="007C60A1"/>
    <w:rsid w:val="007C6D32"/>
    <w:rsid w:val="007C7B5A"/>
    <w:rsid w:val="007D1832"/>
    <w:rsid w:val="007D4675"/>
    <w:rsid w:val="007D577F"/>
    <w:rsid w:val="007E7860"/>
    <w:rsid w:val="007F0BFD"/>
    <w:rsid w:val="007F17B4"/>
    <w:rsid w:val="007F468C"/>
    <w:rsid w:val="007F57B7"/>
    <w:rsid w:val="007F78AE"/>
    <w:rsid w:val="00804BA5"/>
    <w:rsid w:val="00805D7B"/>
    <w:rsid w:val="00810982"/>
    <w:rsid w:val="00816302"/>
    <w:rsid w:val="00816E35"/>
    <w:rsid w:val="00823029"/>
    <w:rsid w:val="008249DA"/>
    <w:rsid w:val="00825FD9"/>
    <w:rsid w:val="00826907"/>
    <w:rsid w:val="00830CD4"/>
    <w:rsid w:val="00834A8E"/>
    <w:rsid w:val="00834E2D"/>
    <w:rsid w:val="00835331"/>
    <w:rsid w:val="008363B0"/>
    <w:rsid w:val="00841643"/>
    <w:rsid w:val="00841F81"/>
    <w:rsid w:val="0084209E"/>
    <w:rsid w:val="00842A9A"/>
    <w:rsid w:val="00843EEF"/>
    <w:rsid w:val="00847811"/>
    <w:rsid w:val="00867BF5"/>
    <w:rsid w:val="008837D3"/>
    <w:rsid w:val="00896987"/>
    <w:rsid w:val="00897566"/>
    <w:rsid w:val="008978D2"/>
    <w:rsid w:val="008A023C"/>
    <w:rsid w:val="008A0E3E"/>
    <w:rsid w:val="008A1F14"/>
    <w:rsid w:val="008A3FB6"/>
    <w:rsid w:val="008A57F3"/>
    <w:rsid w:val="008B36C4"/>
    <w:rsid w:val="008B3E56"/>
    <w:rsid w:val="008B4E68"/>
    <w:rsid w:val="008C03E3"/>
    <w:rsid w:val="008C1B47"/>
    <w:rsid w:val="008C3C98"/>
    <w:rsid w:val="008D300F"/>
    <w:rsid w:val="008D5929"/>
    <w:rsid w:val="008D61AA"/>
    <w:rsid w:val="008D64EF"/>
    <w:rsid w:val="008E16E5"/>
    <w:rsid w:val="008E3C2A"/>
    <w:rsid w:val="008F18C3"/>
    <w:rsid w:val="008F41D8"/>
    <w:rsid w:val="008F5A22"/>
    <w:rsid w:val="008F66E6"/>
    <w:rsid w:val="008F74CA"/>
    <w:rsid w:val="00902A9A"/>
    <w:rsid w:val="00905E89"/>
    <w:rsid w:val="00912498"/>
    <w:rsid w:val="009151B3"/>
    <w:rsid w:val="00920271"/>
    <w:rsid w:val="00920970"/>
    <w:rsid w:val="00924053"/>
    <w:rsid w:val="00926C4E"/>
    <w:rsid w:val="00931C91"/>
    <w:rsid w:val="00931E33"/>
    <w:rsid w:val="00933183"/>
    <w:rsid w:val="00935BDF"/>
    <w:rsid w:val="00935FC7"/>
    <w:rsid w:val="00941073"/>
    <w:rsid w:val="009430F2"/>
    <w:rsid w:val="009526B8"/>
    <w:rsid w:val="00962E81"/>
    <w:rsid w:val="00976F24"/>
    <w:rsid w:val="00985181"/>
    <w:rsid w:val="00985CFD"/>
    <w:rsid w:val="00985DE5"/>
    <w:rsid w:val="00987DFB"/>
    <w:rsid w:val="00990CFB"/>
    <w:rsid w:val="00991247"/>
    <w:rsid w:val="00995C74"/>
    <w:rsid w:val="00997203"/>
    <w:rsid w:val="0099723B"/>
    <w:rsid w:val="009A09D4"/>
    <w:rsid w:val="009A2020"/>
    <w:rsid w:val="009B1034"/>
    <w:rsid w:val="009B7A20"/>
    <w:rsid w:val="009C0A57"/>
    <w:rsid w:val="009C1F2A"/>
    <w:rsid w:val="009C29D8"/>
    <w:rsid w:val="009C631C"/>
    <w:rsid w:val="009C6666"/>
    <w:rsid w:val="009C6DDB"/>
    <w:rsid w:val="009C7634"/>
    <w:rsid w:val="009C77CF"/>
    <w:rsid w:val="009D078F"/>
    <w:rsid w:val="009D3236"/>
    <w:rsid w:val="009D49AE"/>
    <w:rsid w:val="009D691A"/>
    <w:rsid w:val="009D6A45"/>
    <w:rsid w:val="009D6FD0"/>
    <w:rsid w:val="009D7511"/>
    <w:rsid w:val="009E0A66"/>
    <w:rsid w:val="009E1C50"/>
    <w:rsid w:val="009E26DF"/>
    <w:rsid w:val="009E5EB5"/>
    <w:rsid w:val="009E7291"/>
    <w:rsid w:val="009E7AF8"/>
    <w:rsid w:val="009E7E1D"/>
    <w:rsid w:val="009F0139"/>
    <w:rsid w:val="009F4896"/>
    <w:rsid w:val="00A004F4"/>
    <w:rsid w:val="00A01760"/>
    <w:rsid w:val="00A035C1"/>
    <w:rsid w:val="00A03B68"/>
    <w:rsid w:val="00A06051"/>
    <w:rsid w:val="00A067FA"/>
    <w:rsid w:val="00A06B88"/>
    <w:rsid w:val="00A06F5D"/>
    <w:rsid w:val="00A1003D"/>
    <w:rsid w:val="00A105B9"/>
    <w:rsid w:val="00A15484"/>
    <w:rsid w:val="00A1733F"/>
    <w:rsid w:val="00A23EF2"/>
    <w:rsid w:val="00A252F3"/>
    <w:rsid w:val="00A265AA"/>
    <w:rsid w:val="00A27D3B"/>
    <w:rsid w:val="00A3006B"/>
    <w:rsid w:val="00A33E17"/>
    <w:rsid w:val="00A34C35"/>
    <w:rsid w:val="00A36747"/>
    <w:rsid w:val="00A44B54"/>
    <w:rsid w:val="00A44C7B"/>
    <w:rsid w:val="00A45F54"/>
    <w:rsid w:val="00A47A09"/>
    <w:rsid w:val="00A47AAF"/>
    <w:rsid w:val="00A506DE"/>
    <w:rsid w:val="00A5134F"/>
    <w:rsid w:val="00A60358"/>
    <w:rsid w:val="00A701E8"/>
    <w:rsid w:val="00A75273"/>
    <w:rsid w:val="00A813FC"/>
    <w:rsid w:val="00A8159A"/>
    <w:rsid w:val="00A8515A"/>
    <w:rsid w:val="00A852FC"/>
    <w:rsid w:val="00A95347"/>
    <w:rsid w:val="00AA15DA"/>
    <w:rsid w:val="00AA6A6A"/>
    <w:rsid w:val="00AB2B69"/>
    <w:rsid w:val="00AB3D83"/>
    <w:rsid w:val="00AB4988"/>
    <w:rsid w:val="00AB5455"/>
    <w:rsid w:val="00AC3EDE"/>
    <w:rsid w:val="00AC5BBD"/>
    <w:rsid w:val="00AD0D67"/>
    <w:rsid w:val="00AD33D1"/>
    <w:rsid w:val="00AE3455"/>
    <w:rsid w:val="00AE44B9"/>
    <w:rsid w:val="00AE69D4"/>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E26"/>
    <w:rsid w:val="00B3785C"/>
    <w:rsid w:val="00B4511E"/>
    <w:rsid w:val="00B45128"/>
    <w:rsid w:val="00B45357"/>
    <w:rsid w:val="00B47D2F"/>
    <w:rsid w:val="00B50D69"/>
    <w:rsid w:val="00B50E9D"/>
    <w:rsid w:val="00B547EA"/>
    <w:rsid w:val="00B56CDC"/>
    <w:rsid w:val="00B61410"/>
    <w:rsid w:val="00B6149F"/>
    <w:rsid w:val="00B62B17"/>
    <w:rsid w:val="00B67AEB"/>
    <w:rsid w:val="00B76CAE"/>
    <w:rsid w:val="00B84929"/>
    <w:rsid w:val="00B859CD"/>
    <w:rsid w:val="00B86838"/>
    <w:rsid w:val="00B87B5D"/>
    <w:rsid w:val="00B90704"/>
    <w:rsid w:val="00BA01AD"/>
    <w:rsid w:val="00BA0979"/>
    <w:rsid w:val="00BA2BC7"/>
    <w:rsid w:val="00BB3F9D"/>
    <w:rsid w:val="00BB4A08"/>
    <w:rsid w:val="00BC1E56"/>
    <w:rsid w:val="00BC1EB4"/>
    <w:rsid w:val="00BD48D1"/>
    <w:rsid w:val="00BD7355"/>
    <w:rsid w:val="00BE1206"/>
    <w:rsid w:val="00BE477C"/>
    <w:rsid w:val="00BE6360"/>
    <w:rsid w:val="00BF09F9"/>
    <w:rsid w:val="00C02142"/>
    <w:rsid w:val="00C11400"/>
    <w:rsid w:val="00C14B28"/>
    <w:rsid w:val="00C15B6B"/>
    <w:rsid w:val="00C173F4"/>
    <w:rsid w:val="00C214F8"/>
    <w:rsid w:val="00C3461A"/>
    <w:rsid w:val="00C351C8"/>
    <w:rsid w:val="00C360E6"/>
    <w:rsid w:val="00C41E6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2306"/>
    <w:rsid w:val="00CD339D"/>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20EFC"/>
    <w:rsid w:val="00D230BF"/>
    <w:rsid w:val="00D23370"/>
    <w:rsid w:val="00D23435"/>
    <w:rsid w:val="00D30472"/>
    <w:rsid w:val="00D3078D"/>
    <w:rsid w:val="00D409D2"/>
    <w:rsid w:val="00D44B45"/>
    <w:rsid w:val="00D45787"/>
    <w:rsid w:val="00D4627A"/>
    <w:rsid w:val="00D46356"/>
    <w:rsid w:val="00D47971"/>
    <w:rsid w:val="00D47C49"/>
    <w:rsid w:val="00D54670"/>
    <w:rsid w:val="00D57CDF"/>
    <w:rsid w:val="00D6031D"/>
    <w:rsid w:val="00D604A7"/>
    <w:rsid w:val="00D655B8"/>
    <w:rsid w:val="00D658D1"/>
    <w:rsid w:val="00D65A67"/>
    <w:rsid w:val="00D66EB1"/>
    <w:rsid w:val="00D66EB7"/>
    <w:rsid w:val="00D71DD2"/>
    <w:rsid w:val="00D73FED"/>
    <w:rsid w:val="00D74F5F"/>
    <w:rsid w:val="00D75611"/>
    <w:rsid w:val="00D75FE6"/>
    <w:rsid w:val="00D75FFC"/>
    <w:rsid w:val="00D82ADF"/>
    <w:rsid w:val="00D842DB"/>
    <w:rsid w:val="00D906F4"/>
    <w:rsid w:val="00D916D2"/>
    <w:rsid w:val="00D92CE0"/>
    <w:rsid w:val="00D93D96"/>
    <w:rsid w:val="00DA1988"/>
    <w:rsid w:val="00DB0F9C"/>
    <w:rsid w:val="00DB3601"/>
    <w:rsid w:val="00DB3CD6"/>
    <w:rsid w:val="00DB7D86"/>
    <w:rsid w:val="00DC01DD"/>
    <w:rsid w:val="00DC17DA"/>
    <w:rsid w:val="00DC4937"/>
    <w:rsid w:val="00DD0516"/>
    <w:rsid w:val="00DD0581"/>
    <w:rsid w:val="00DD3547"/>
    <w:rsid w:val="00DD3B83"/>
    <w:rsid w:val="00DD5D75"/>
    <w:rsid w:val="00DD614F"/>
    <w:rsid w:val="00DD6371"/>
    <w:rsid w:val="00DE07A3"/>
    <w:rsid w:val="00DE1942"/>
    <w:rsid w:val="00DE1E6C"/>
    <w:rsid w:val="00DE2B44"/>
    <w:rsid w:val="00DE2E0D"/>
    <w:rsid w:val="00DE5F32"/>
    <w:rsid w:val="00DE6623"/>
    <w:rsid w:val="00DF1F68"/>
    <w:rsid w:val="00DF3520"/>
    <w:rsid w:val="00DF462B"/>
    <w:rsid w:val="00DF55D6"/>
    <w:rsid w:val="00DF6E1D"/>
    <w:rsid w:val="00E0196C"/>
    <w:rsid w:val="00E04193"/>
    <w:rsid w:val="00E064A6"/>
    <w:rsid w:val="00E10E07"/>
    <w:rsid w:val="00E11B89"/>
    <w:rsid w:val="00E11BD9"/>
    <w:rsid w:val="00E1395A"/>
    <w:rsid w:val="00E15CE1"/>
    <w:rsid w:val="00E16021"/>
    <w:rsid w:val="00E16703"/>
    <w:rsid w:val="00E20FE9"/>
    <w:rsid w:val="00E216D0"/>
    <w:rsid w:val="00E25B8B"/>
    <w:rsid w:val="00E25FDA"/>
    <w:rsid w:val="00E26CEE"/>
    <w:rsid w:val="00E3069B"/>
    <w:rsid w:val="00E345B1"/>
    <w:rsid w:val="00E355EE"/>
    <w:rsid w:val="00E42F84"/>
    <w:rsid w:val="00E4402F"/>
    <w:rsid w:val="00E45F94"/>
    <w:rsid w:val="00E523CD"/>
    <w:rsid w:val="00E52812"/>
    <w:rsid w:val="00E52B44"/>
    <w:rsid w:val="00E52BA0"/>
    <w:rsid w:val="00E61239"/>
    <w:rsid w:val="00E66429"/>
    <w:rsid w:val="00E74E2C"/>
    <w:rsid w:val="00E75F39"/>
    <w:rsid w:val="00E75F6B"/>
    <w:rsid w:val="00E92F59"/>
    <w:rsid w:val="00EA2EBC"/>
    <w:rsid w:val="00EA30B4"/>
    <w:rsid w:val="00EA6559"/>
    <w:rsid w:val="00EA6C6E"/>
    <w:rsid w:val="00EB228F"/>
    <w:rsid w:val="00EB2A40"/>
    <w:rsid w:val="00EC095C"/>
    <w:rsid w:val="00EC259F"/>
    <w:rsid w:val="00EC47E3"/>
    <w:rsid w:val="00EC5441"/>
    <w:rsid w:val="00EC6323"/>
    <w:rsid w:val="00ED2EFE"/>
    <w:rsid w:val="00ED6A31"/>
    <w:rsid w:val="00ED7383"/>
    <w:rsid w:val="00EE2913"/>
    <w:rsid w:val="00EE4C7B"/>
    <w:rsid w:val="00EE5FC4"/>
    <w:rsid w:val="00EE63AE"/>
    <w:rsid w:val="00EF3BF8"/>
    <w:rsid w:val="00EF45E6"/>
    <w:rsid w:val="00EF4F9D"/>
    <w:rsid w:val="00F00F06"/>
    <w:rsid w:val="00F06261"/>
    <w:rsid w:val="00F1364E"/>
    <w:rsid w:val="00F148EC"/>
    <w:rsid w:val="00F20271"/>
    <w:rsid w:val="00F2111F"/>
    <w:rsid w:val="00F25E7E"/>
    <w:rsid w:val="00F27088"/>
    <w:rsid w:val="00F31E35"/>
    <w:rsid w:val="00F32954"/>
    <w:rsid w:val="00F370F9"/>
    <w:rsid w:val="00F42CF3"/>
    <w:rsid w:val="00F469C4"/>
    <w:rsid w:val="00F503ED"/>
    <w:rsid w:val="00F55F2F"/>
    <w:rsid w:val="00F60031"/>
    <w:rsid w:val="00F6026F"/>
    <w:rsid w:val="00F63B22"/>
    <w:rsid w:val="00F63E64"/>
    <w:rsid w:val="00F661EC"/>
    <w:rsid w:val="00F76AA4"/>
    <w:rsid w:val="00F76C2A"/>
    <w:rsid w:val="00F77121"/>
    <w:rsid w:val="00F839E2"/>
    <w:rsid w:val="00F858E0"/>
    <w:rsid w:val="00F95FA6"/>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9F5"/>
    <w:rsid w:val="00FD3F7E"/>
    <w:rsid w:val="00FE1C80"/>
    <w:rsid w:val="00FE4D79"/>
    <w:rsid w:val="00FE65CF"/>
    <w:rsid w:val="00FF110F"/>
    <w:rsid w:val="00FF2178"/>
    <w:rsid w:val="00FF3B4B"/>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94D29"/>
  <w15:docId w15:val="{4D6EC18A-124B-4C8A-BCF8-D9DB9F0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CBE"/>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284317576">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1949894778">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BF106-820D-4D8E-A8FE-929E62C6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13</cp:revision>
  <cp:lastPrinted>2020-06-04T07:44:00Z</cp:lastPrinted>
  <dcterms:created xsi:type="dcterms:W3CDTF">2020-05-18T09:28:00Z</dcterms:created>
  <dcterms:modified xsi:type="dcterms:W3CDTF">2020-06-05T13:39:00Z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