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6" w:type="dxa"/>
        <w:tblLayout w:type="fixed"/>
        <w:tblLook w:val="0000" w:firstRow="0" w:lastRow="0" w:firstColumn="0" w:lastColumn="0" w:noHBand="0" w:noVBand="0"/>
      </w:tblPr>
      <w:tblGrid>
        <w:gridCol w:w="5954"/>
        <w:gridCol w:w="3402"/>
      </w:tblGrid>
      <w:tr w:rsidR="005D4CFC" w:rsidRPr="00266AC3" w14:paraId="103D297D" w14:textId="77777777" w:rsidTr="005D4CFC">
        <w:trPr>
          <w:cantSplit/>
          <w:trHeight w:val="993"/>
        </w:trPr>
        <w:tc>
          <w:tcPr>
            <w:tcW w:w="5954" w:type="dxa"/>
          </w:tcPr>
          <w:p w14:paraId="401AE232" w14:textId="77777777" w:rsidR="005D4CFC" w:rsidRPr="00266AC3" w:rsidRDefault="005D4CFC" w:rsidP="00DC6AB5">
            <w:pPr>
              <w:contextualSpacing/>
              <w:rPr>
                <w:rFonts w:ascii="Arial" w:hAnsi="Arial" w:cs="Arial"/>
                <w:b/>
                <w:szCs w:val="24"/>
              </w:rPr>
            </w:pPr>
            <w:r w:rsidRPr="00266AC3">
              <w:rPr>
                <w:rFonts w:ascii="Arial" w:hAnsi="Arial" w:cs="Arial"/>
                <w:b/>
                <w:szCs w:val="24"/>
              </w:rPr>
              <w:t xml:space="preserve">HIGH LIFE HIGHLAND </w:t>
            </w:r>
          </w:p>
          <w:p w14:paraId="62646770" w14:textId="27674D4E" w:rsidR="005D4CFC" w:rsidRPr="00266AC3" w:rsidRDefault="005D4CFC" w:rsidP="00DC6AB5">
            <w:pPr>
              <w:contextualSpacing/>
              <w:rPr>
                <w:rFonts w:ascii="Arial" w:hAnsi="Arial" w:cs="Arial"/>
                <w:b/>
                <w:szCs w:val="24"/>
              </w:rPr>
            </w:pPr>
            <w:r w:rsidRPr="00266AC3">
              <w:rPr>
                <w:rFonts w:ascii="Arial" w:hAnsi="Arial" w:cs="Arial"/>
                <w:b/>
                <w:szCs w:val="24"/>
              </w:rPr>
              <w:t xml:space="preserve">REPORT TO </w:t>
            </w:r>
            <w:r w:rsidR="00BE0510">
              <w:rPr>
                <w:rFonts w:ascii="Arial" w:hAnsi="Arial" w:cs="Arial"/>
                <w:b/>
                <w:szCs w:val="24"/>
              </w:rPr>
              <w:t>BOARD OF DIRECTORS</w:t>
            </w:r>
          </w:p>
          <w:p w14:paraId="40E11445" w14:textId="3BB8A82F" w:rsidR="005D4CFC" w:rsidRPr="00266AC3" w:rsidRDefault="00BE0510" w:rsidP="00DC6AB5">
            <w:pPr>
              <w:contextualSpacing/>
              <w:rPr>
                <w:rFonts w:ascii="Arial" w:hAnsi="Arial" w:cs="Arial"/>
                <w:b/>
                <w:szCs w:val="24"/>
              </w:rPr>
            </w:pPr>
            <w:r>
              <w:rPr>
                <w:rFonts w:ascii="Arial" w:hAnsi="Arial" w:cs="Arial"/>
                <w:b/>
                <w:szCs w:val="24"/>
              </w:rPr>
              <w:t>18 June</w:t>
            </w:r>
            <w:r w:rsidR="005D4CFC">
              <w:rPr>
                <w:rFonts w:ascii="Arial" w:hAnsi="Arial" w:cs="Arial"/>
                <w:b/>
                <w:szCs w:val="24"/>
              </w:rPr>
              <w:t xml:space="preserve"> 2020</w:t>
            </w:r>
            <w:r w:rsidR="005D4CFC" w:rsidRPr="00266AC3">
              <w:rPr>
                <w:rFonts w:ascii="Arial" w:hAnsi="Arial" w:cs="Arial"/>
                <w:b/>
                <w:szCs w:val="24"/>
              </w:rPr>
              <w:fldChar w:fldCharType="begin"/>
            </w:r>
            <w:r w:rsidR="005D4CFC" w:rsidRPr="00266AC3">
              <w:rPr>
                <w:rFonts w:ascii="Arial" w:hAnsi="Arial" w:cs="Arial"/>
                <w:b/>
                <w:szCs w:val="24"/>
              </w:rPr>
              <w:instrText xml:space="preserve">  </w:instrText>
            </w:r>
            <w:r w:rsidR="005D4CFC" w:rsidRPr="00266AC3">
              <w:rPr>
                <w:rFonts w:ascii="Arial" w:hAnsi="Arial" w:cs="Arial"/>
                <w:szCs w:val="24"/>
              </w:rPr>
              <w:fldChar w:fldCharType="end"/>
            </w:r>
          </w:p>
        </w:tc>
        <w:tc>
          <w:tcPr>
            <w:tcW w:w="3402" w:type="dxa"/>
          </w:tcPr>
          <w:p w14:paraId="15D37A14" w14:textId="77777777" w:rsidR="005D4CFC" w:rsidRPr="00266AC3" w:rsidRDefault="005D4CFC" w:rsidP="00DC6AB5">
            <w:pPr>
              <w:contextualSpacing/>
              <w:rPr>
                <w:rFonts w:ascii="Arial" w:hAnsi="Arial" w:cs="Arial"/>
                <w:szCs w:val="24"/>
              </w:rPr>
            </w:pPr>
            <w:r w:rsidRPr="00266AC3">
              <w:rPr>
                <w:rFonts w:ascii="Arial" w:hAnsi="Arial" w:cs="Arial"/>
                <w:szCs w:val="24"/>
              </w:rPr>
              <w:t xml:space="preserve">AGENDA ITEM </w:t>
            </w:r>
          </w:p>
          <w:p w14:paraId="6CFF1107" w14:textId="39921A52" w:rsidR="005D4CFC" w:rsidRPr="00266AC3" w:rsidRDefault="005D4CFC" w:rsidP="00DC6AB5">
            <w:pPr>
              <w:contextualSpacing/>
              <w:rPr>
                <w:rFonts w:ascii="Arial" w:hAnsi="Arial" w:cs="Arial"/>
                <w:szCs w:val="24"/>
              </w:rPr>
            </w:pPr>
            <w:r w:rsidRPr="00266AC3">
              <w:rPr>
                <w:rFonts w:ascii="Arial" w:hAnsi="Arial" w:cs="Arial"/>
                <w:szCs w:val="24"/>
              </w:rPr>
              <w:t xml:space="preserve">REPORT No </w:t>
            </w:r>
            <w:r>
              <w:rPr>
                <w:rFonts w:ascii="Arial" w:hAnsi="Arial" w:cs="Arial"/>
                <w:szCs w:val="24"/>
              </w:rPr>
              <w:t>HLH</w:t>
            </w:r>
            <w:proofErr w:type="gramStart"/>
            <w:r>
              <w:rPr>
                <w:rFonts w:ascii="Arial" w:hAnsi="Arial" w:cs="Arial"/>
                <w:szCs w:val="24"/>
              </w:rPr>
              <w:t>/</w:t>
            </w:r>
            <w:r w:rsidR="00BE0510">
              <w:rPr>
                <w:rFonts w:ascii="Arial" w:hAnsi="Arial" w:cs="Arial"/>
                <w:szCs w:val="24"/>
              </w:rPr>
              <w:t xml:space="preserve"> </w:t>
            </w:r>
            <w:r>
              <w:rPr>
                <w:rFonts w:ascii="Arial" w:hAnsi="Arial" w:cs="Arial"/>
                <w:szCs w:val="24"/>
              </w:rPr>
              <w:t xml:space="preserve"> </w:t>
            </w:r>
            <w:r w:rsidRPr="000B78EB">
              <w:rPr>
                <w:rFonts w:ascii="Arial" w:hAnsi="Arial" w:cs="Arial"/>
                <w:szCs w:val="24"/>
              </w:rPr>
              <w:t>/</w:t>
            </w:r>
            <w:proofErr w:type="gramEnd"/>
            <w:r>
              <w:rPr>
                <w:rFonts w:ascii="Arial" w:hAnsi="Arial" w:cs="Arial"/>
                <w:szCs w:val="24"/>
              </w:rPr>
              <w:t>20</w:t>
            </w:r>
          </w:p>
        </w:tc>
      </w:tr>
    </w:tbl>
    <w:p w14:paraId="3C53980D" w14:textId="2BC3AA4D" w:rsidR="0039450A" w:rsidRDefault="005D4CFC" w:rsidP="00416BFF">
      <w:pPr>
        <w:jc w:val="both"/>
        <w:rPr>
          <w:rFonts w:ascii="Arial" w:hAnsi="Arial" w:cs="Arial"/>
          <w:b/>
          <w:szCs w:val="24"/>
        </w:rPr>
      </w:pPr>
      <w:r>
        <w:rPr>
          <w:rFonts w:ascii="Arial" w:hAnsi="Arial" w:cs="Arial"/>
          <w:b/>
          <w:szCs w:val="24"/>
        </w:rPr>
        <w:t>JOB RETENTION SCHEME AND WORKFORCE PAYMENT – Report by Chief Executive</w:t>
      </w:r>
    </w:p>
    <w:p w14:paraId="0C6918A1" w14:textId="77777777" w:rsidR="005D4CFC" w:rsidRPr="005D4CFC" w:rsidRDefault="005D4CFC" w:rsidP="00416BFF">
      <w:pPr>
        <w:jc w:val="both"/>
        <w:rPr>
          <w:rFonts w:ascii="Arial" w:hAnsi="Arial" w:cs="Arial"/>
          <w:b/>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39450A" w:rsidRPr="0089449E" w14:paraId="571B734A" w14:textId="77777777">
        <w:trPr>
          <w:cantSplit/>
        </w:trPr>
        <w:tc>
          <w:tcPr>
            <w:tcW w:w="9464" w:type="dxa"/>
          </w:tcPr>
          <w:p w14:paraId="6DFD078E" w14:textId="77777777" w:rsidR="0039450A" w:rsidRPr="0089449E" w:rsidRDefault="002B7DC4" w:rsidP="00416BFF">
            <w:pPr>
              <w:pStyle w:val="Heading2"/>
              <w:rPr>
                <w:rFonts w:ascii="Arial" w:hAnsi="Arial" w:cs="Arial"/>
                <w:b/>
                <w:szCs w:val="24"/>
                <w:u w:val="none"/>
              </w:rPr>
            </w:pPr>
            <w:r w:rsidRPr="0089449E">
              <w:rPr>
                <w:rFonts w:ascii="Arial" w:hAnsi="Arial" w:cs="Arial"/>
                <w:b/>
                <w:szCs w:val="24"/>
                <w:u w:val="none"/>
              </w:rPr>
              <w:t>Summary</w:t>
            </w:r>
          </w:p>
          <w:p w14:paraId="78DE5776" w14:textId="77777777" w:rsidR="00B775D5" w:rsidRDefault="00B775D5" w:rsidP="002B7DC4">
            <w:pPr>
              <w:rPr>
                <w:rFonts w:ascii="Arial" w:hAnsi="Arial" w:cs="Arial"/>
              </w:rPr>
            </w:pPr>
          </w:p>
          <w:p w14:paraId="6F43CF2B" w14:textId="125D0829" w:rsidR="00B775D5" w:rsidRDefault="00896D6C" w:rsidP="00B775D5">
            <w:pPr>
              <w:jc w:val="both"/>
              <w:rPr>
                <w:rFonts w:ascii="Arial" w:hAnsi="Arial" w:cs="Arial"/>
              </w:rPr>
            </w:pPr>
            <w:r>
              <w:rPr>
                <w:rFonts w:ascii="Arial" w:hAnsi="Arial" w:cs="Arial"/>
              </w:rPr>
              <w:t>Following a</w:t>
            </w:r>
            <w:r w:rsidR="00B775D5">
              <w:rPr>
                <w:rFonts w:ascii="Arial" w:hAnsi="Arial" w:cs="Arial"/>
              </w:rPr>
              <w:t xml:space="preserve"> request from The Highland Council (THC) Executive Chief Officer Finance and Resources a </w:t>
            </w:r>
            <w:r>
              <w:rPr>
                <w:rFonts w:ascii="Arial" w:hAnsi="Arial" w:cs="Arial"/>
              </w:rPr>
              <w:t>briefing note (</w:t>
            </w:r>
            <w:r w:rsidRPr="00896D6C">
              <w:rPr>
                <w:rFonts w:ascii="Arial" w:hAnsi="Arial" w:cs="Arial"/>
                <w:b/>
              </w:rPr>
              <w:t>Appendix A</w:t>
            </w:r>
            <w:r>
              <w:rPr>
                <w:rFonts w:ascii="Arial" w:hAnsi="Arial" w:cs="Arial"/>
              </w:rPr>
              <w:t>)</w:t>
            </w:r>
            <w:r w:rsidR="00B775D5">
              <w:rPr>
                <w:rFonts w:ascii="Arial" w:hAnsi="Arial" w:cs="Arial"/>
              </w:rPr>
              <w:t xml:space="preserve"> </w:t>
            </w:r>
            <w:r>
              <w:rPr>
                <w:rFonts w:ascii="Arial" w:hAnsi="Arial" w:cs="Arial"/>
              </w:rPr>
              <w:t xml:space="preserve">was prepared </w:t>
            </w:r>
            <w:r w:rsidR="00B775D5">
              <w:rPr>
                <w:rFonts w:ascii="Arial" w:hAnsi="Arial" w:cs="Arial"/>
              </w:rPr>
              <w:t>on H</w:t>
            </w:r>
            <w:r w:rsidR="003758B9">
              <w:rPr>
                <w:rFonts w:ascii="Arial" w:hAnsi="Arial" w:cs="Arial"/>
              </w:rPr>
              <w:t xml:space="preserve">igh </w:t>
            </w:r>
            <w:r w:rsidR="00B775D5">
              <w:rPr>
                <w:rFonts w:ascii="Arial" w:hAnsi="Arial" w:cs="Arial"/>
              </w:rPr>
              <w:t>L</w:t>
            </w:r>
            <w:r w:rsidR="003758B9">
              <w:rPr>
                <w:rFonts w:ascii="Arial" w:hAnsi="Arial" w:cs="Arial"/>
              </w:rPr>
              <w:t xml:space="preserve">ife </w:t>
            </w:r>
            <w:proofErr w:type="gramStart"/>
            <w:r w:rsidR="00B775D5">
              <w:rPr>
                <w:rFonts w:ascii="Arial" w:hAnsi="Arial" w:cs="Arial"/>
              </w:rPr>
              <w:t>H</w:t>
            </w:r>
            <w:r w:rsidR="003758B9">
              <w:rPr>
                <w:rFonts w:ascii="Arial" w:hAnsi="Arial" w:cs="Arial"/>
              </w:rPr>
              <w:t>ighland</w:t>
            </w:r>
            <w:r w:rsidR="00B775D5">
              <w:rPr>
                <w:rFonts w:ascii="Arial" w:hAnsi="Arial" w:cs="Arial"/>
              </w:rPr>
              <w:t xml:space="preserve">’s </w:t>
            </w:r>
            <w:r w:rsidR="003758B9">
              <w:rPr>
                <w:rFonts w:ascii="Arial" w:hAnsi="Arial" w:cs="Arial"/>
              </w:rPr>
              <w:t xml:space="preserve"> </w:t>
            </w:r>
            <w:r w:rsidR="00B775D5">
              <w:rPr>
                <w:rFonts w:ascii="Arial" w:hAnsi="Arial" w:cs="Arial"/>
              </w:rPr>
              <w:t>Job</w:t>
            </w:r>
            <w:proofErr w:type="gramEnd"/>
            <w:r w:rsidR="00B775D5">
              <w:rPr>
                <w:rFonts w:ascii="Arial" w:hAnsi="Arial" w:cs="Arial"/>
              </w:rPr>
              <w:t xml:space="preserve"> Retention Scheme (JRS) application and decision to pay its furloughed workforce 100% of their pay</w:t>
            </w:r>
            <w:r>
              <w:rPr>
                <w:rFonts w:ascii="Arial" w:hAnsi="Arial" w:cs="Arial"/>
              </w:rPr>
              <w:t xml:space="preserve"> </w:t>
            </w:r>
            <w:r w:rsidR="00EA0DD4">
              <w:rPr>
                <w:rFonts w:ascii="Arial" w:hAnsi="Arial" w:cs="Arial"/>
              </w:rPr>
              <w:t>to allow this to be presented to the THC Administration meeting on Monday 27 April 2020</w:t>
            </w:r>
            <w:r>
              <w:rPr>
                <w:rFonts w:ascii="Arial" w:hAnsi="Arial" w:cs="Arial"/>
              </w:rPr>
              <w:t xml:space="preserve">.  </w:t>
            </w:r>
          </w:p>
          <w:p w14:paraId="4140CA40" w14:textId="6D9BD243" w:rsidR="00896D6C" w:rsidRDefault="00896D6C" w:rsidP="00B775D5">
            <w:pPr>
              <w:jc w:val="both"/>
              <w:rPr>
                <w:rFonts w:ascii="Arial" w:hAnsi="Arial" w:cs="Arial"/>
              </w:rPr>
            </w:pPr>
          </w:p>
          <w:p w14:paraId="197C9377" w14:textId="3F9BBE55" w:rsidR="00896D6C" w:rsidRDefault="00896D6C" w:rsidP="00B775D5">
            <w:pPr>
              <w:jc w:val="both"/>
              <w:rPr>
                <w:rFonts w:ascii="Arial" w:hAnsi="Arial" w:cs="Arial"/>
              </w:rPr>
            </w:pPr>
            <w:r>
              <w:rPr>
                <w:rFonts w:ascii="Arial" w:hAnsi="Arial" w:cs="Arial"/>
              </w:rPr>
              <w:t xml:space="preserve">It is recommended that </w:t>
            </w:r>
            <w:r w:rsidR="00BE0510">
              <w:rPr>
                <w:rFonts w:ascii="Arial" w:hAnsi="Arial" w:cs="Arial"/>
              </w:rPr>
              <w:t>Directors</w:t>
            </w:r>
            <w:r>
              <w:rPr>
                <w:rFonts w:ascii="Arial" w:hAnsi="Arial" w:cs="Arial"/>
              </w:rPr>
              <w:t>:</w:t>
            </w:r>
          </w:p>
          <w:p w14:paraId="2A0FD306" w14:textId="77777777" w:rsidR="00896D6C" w:rsidRDefault="00896D6C" w:rsidP="00B775D5">
            <w:pPr>
              <w:jc w:val="both"/>
              <w:rPr>
                <w:rFonts w:ascii="Arial" w:hAnsi="Arial" w:cs="Arial"/>
              </w:rPr>
            </w:pPr>
          </w:p>
          <w:p w14:paraId="3E22C63A" w14:textId="5A74B6AF" w:rsidR="00BE0510" w:rsidRPr="00BE7D50" w:rsidRDefault="00BE0510" w:rsidP="00BE0510">
            <w:pPr>
              <w:pStyle w:val="ListParagraph"/>
              <w:numPr>
                <w:ilvl w:val="0"/>
                <w:numId w:val="23"/>
              </w:numPr>
              <w:ind w:left="731" w:hanging="371"/>
              <w:jc w:val="both"/>
              <w:rPr>
                <w:rFonts w:ascii="Arial" w:hAnsi="Arial" w:cs="Arial"/>
                <w:sz w:val="24"/>
                <w:szCs w:val="24"/>
              </w:rPr>
            </w:pPr>
            <w:r>
              <w:rPr>
                <w:rFonts w:ascii="Arial" w:hAnsi="Arial" w:cs="Arial"/>
                <w:sz w:val="24"/>
                <w:szCs w:val="24"/>
              </w:rPr>
              <w:t>agree their continued support</w:t>
            </w:r>
            <w:r w:rsidR="00896D6C" w:rsidRPr="00896D6C">
              <w:rPr>
                <w:rFonts w:ascii="Arial" w:hAnsi="Arial" w:cs="Arial"/>
                <w:sz w:val="24"/>
                <w:szCs w:val="24"/>
              </w:rPr>
              <w:t xml:space="preserve"> </w:t>
            </w:r>
            <w:r w:rsidR="00896D6C">
              <w:rPr>
                <w:rFonts w:ascii="Arial" w:hAnsi="Arial" w:cs="Arial"/>
                <w:sz w:val="24"/>
                <w:szCs w:val="24"/>
              </w:rPr>
              <w:t xml:space="preserve">to maintain the current position paying </w:t>
            </w:r>
            <w:r w:rsidR="00896D6C" w:rsidRPr="00896D6C">
              <w:rPr>
                <w:rFonts w:ascii="Arial" w:hAnsi="Arial" w:cs="Arial"/>
                <w:sz w:val="24"/>
                <w:szCs w:val="24"/>
              </w:rPr>
              <w:t>100%</w:t>
            </w:r>
            <w:r w:rsidR="00896D6C">
              <w:rPr>
                <w:rFonts w:ascii="Arial" w:hAnsi="Arial" w:cs="Arial"/>
                <w:sz w:val="24"/>
                <w:szCs w:val="24"/>
              </w:rPr>
              <w:t xml:space="preserve">, subject to </w:t>
            </w:r>
            <w:r>
              <w:rPr>
                <w:rFonts w:ascii="Arial" w:hAnsi="Arial" w:cs="Arial"/>
                <w:sz w:val="24"/>
                <w:szCs w:val="24"/>
              </w:rPr>
              <w:t xml:space="preserve">further </w:t>
            </w:r>
            <w:r w:rsidR="00896D6C">
              <w:rPr>
                <w:rFonts w:ascii="Arial" w:hAnsi="Arial" w:cs="Arial"/>
                <w:sz w:val="24"/>
                <w:szCs w:val="24"/>
              </w:rPr>
              <w:t>review as the furlough scheme and financial planning process evolves.</w:t>
            </w:r>
          </w:p>
        </w:tc>
      </w:tr>
    </w:tbl>
    <w:p w14:paraId="5322BE04" w14:textId="77777777" w:rsidR="0097099E" w:rsidRPr="0089449E" w:rsidRDefault="0097099E" w:rsidP="00416BFF">
      <w:pPr>
        <w:jc w:val="both"/>
        <w:rPr>
          <w:rFonts w:ascii="Arial" w:hAnsi="Arial" w:cs="Arial"/>
          <w:szCs w:val="24"/>
        </w:rPr>
      </w:pPr>
    </w:p>
    <w:tbl>
      <w:tblPr>
        <w:tblW w:w="9606" w:type="dxa"/>
        <w:tblLayout w:type="fixed"/>
        <w:tblLook w:val="0000" w:firstRow="0" w:lastRow="0" w:firstColumn="0" w:lastColumn="0" w:noHBand="0" w:noVBand="0"/>
      </w:tblPr>
      <w:tblGrid>
        <w:gridCol w:w="851"/>
        <w:gridCol w:w="8647"/>
        <w:gridCol w:w="108"/>
      </w:tblGrid>
      <w:tr w:rsidR="005D4CFC" w:rsidRPr="0089449E" w14:paraId="159C9FE1" w14:textId="77777777" w:rsidTr="00896D6C">
        <w:tc>
          <w:tcPr>
            <w:tcW w:w="851" w:type="dxa"/>
            <w:tcBorders>
              <w:top w:val="nil"/>
              <w:left w:val="nil"/>
              <w:bottom w:val="nil"/>
              <w:right w:val="nil"/>
            </w:tcBorders>
          </w:tcPr>
          <w:p w14:paraId="01A5775A" w14:textId="77777777" w:rsidR="005D4CFC" w:rsidRPr="00266AC3" w:rsidRDefault="005D4CFC" w:rsidP="005D4CFC">
            <w:pPr>
              <w:contextualSpacing/>
              <w:rPr>
                <w:rFonts w:ascii="Arial" w:hAnsi="Arial" w:cs="Arial"/>
                <w:b/>
                <w:szCs w:val="24"/>
              </w:rPr>
            </w:pPr>
            <w:r w:rsidRPr="00266AC3">
              <w:rPr>
                <w:rFonts w:ascii="Arial" w:hAnsi="Arial" w:cs="Arial"/>
                <w:b/>
                <w:szCs w:val="24"/>
              </w:rPr>
              <w:t>1.</w:t>
            </w:r>
          </w:p>
          <w:p w14:paraId="43E068D9" w14:textId="77777777" w:rsidR="005D4CFC" w:rsidRPr="00266AC3" w:rsidRDefault="005D4CFC" w:rsidP="005D4CFC">
            <w:pPr>
              <w:contextualSpacing/>
              <w:rPr>
                <w:rFonts w:ascii="Arial" w:hAnsi="Arial" w:cs="Arial"/>
                <w:b/>
                <w:szCs w:val="24"/>
              </w:rPr>
            </w:pPr>
          </w:p>
          <w:p w14:paraId="44CCD530" w14:textId="13232CAB" w:rsidR="005D4CFC" w:rsidRDefault="005D4CFC" w:rsidP="005D4CFC">
            <w:pPr>
              <w:rPr>
                <w:rFonts w:ascii="Arial" w:hAnsi="Arial" w:cs="Arial"/>
                <w:b/>
                <w:szCs w:val="24"/>
              </w:rPr>
            </w:pPr>
            <w:r w:rsidRPr="00266AC3">
              <w:rPr>
                <w:rFonts w:ascii="Arial" w:hAnsi="Arial" w:cs="Arial"/>
                <w:szCs w:val="24"/>
              </w:rPr>
              <w:t>1.1</w:t>
            </w:r>
          </w:p>
        </w:tc>
        <w:tc>
          <w:tcPr>
            <w:tcW w:w="8755" w:type="dxa"/>
            <w:gridSpan w:val="2"/>
            <w:tcBorders>
              <w:top w:val="nil"/>
              <w:left w:val="nil"/>
              <w:bottom w:val="nil"/>
              <w:right w:val="nil"/>
            </w:tcBorders>
          </w:tcPr>
          <w:p w14:paraId="47756746" w14:textId="77777777" w:rsidR="005D4CFC" w:rsidRPr="00266AC3" w:rsidRDefault="005D4CFC" w:rsidP="005D4CFC">
            <w:pPr>
              <w:contextualSpacing/>
              <w:jc w:val="both"/>
              <w:rPr>
                <w:rFonts w:ascii="Arial" w:hAnsi="Arial" w:cs="Arial"/>
                <w:b/>
                <w:szCs w:val="24"/>
              </w:rPr>
            </w:pPr>
            <w:r w:rsidRPr="00266AC3">
              <w:rPr>
                <w:rFonts w:ascii="Arial" w:hAnsi="Arial" w:cs="Arial"/>
                <w:b/>
                <w:szCs w:val="24"/>
              </w:rPr>
              <w:t>Business Plan Contribution</w:t>
            </w:r>
          </w:p>
          <w:p w14:paraId="7E07C962" w14:textId="77777777" w:rsidR="005D4CFC" w:rsidRPr="00266AC3" w:rsidRDefault="005D4CFC" w:rsidP="005D4CFC">
            <w:pPr>
              <w:contextualSpacing/>
              <w:jc w:val="both"/>
              <w:rPr>
                <w:rFonts w:ascii="Arial" w:hAnsi="Arial" w:cs="Arial"/>
                <w:b/>
                <w:szCs w:val="24"/>
              </w:rPr>
            </w:pPr>
          </w:p>
          <w:p w14:paraId="0BC5B675" w14:textId="77777777" w:rsidR="005D4CFC" w:rsidRDefault="005D4CFC" w:rsidP="005D4CFC">
            <w:pPr>
              <w:contextualSpacing/>
              <w:jc w:val="both"/>
              <w:rPr>
                <w:rFonts w:ascii="Arial" w:hAnsi="Arial" w:cs="Arial"/>
                <w:szCs w:val="24"/>
              </w:rPr>
            </w:pPr>
            <w:r w:rsidRPr="00266AC3">
              <w:rPr>
                <w:rFonts w:ascii="Arial" w:hAnsi="Arial" w:cs="Arial"/>
                <w:szCs w:val="24"/>
              </w:rPr>
              <w:t>This report supports the highlighted Business Outcomes from the High Life Highland (HLH) Business Plan:</w:t>
            </w:r>
          </w:p>
          <w:p w14:paraId="3AF551BD" w14:textId="77777777" w:rsidR="005D4CFC" w:rsidRPr="00266AC3" w:rsidRDefault="005D4CFC" w:rsidP="005D4CFC">
            <w:pPr>
              <w:contextualSpacing/>
              <w:jc w:val="both"/>
              <w:rPr>
                <w:rFonts w:ascii="Arial" w:hAnsi="Arial" w:cs="Arial"/>
                <w:szCs w:val="24"/>
              </w:rPr>
            </w:pPr>
          </w:p>
          <w:p w14:paraId="704D9214" w14:textId="77777777" w:rsidR="005D4CFC" w:rsidRPr="004F5D79" w:rsidRDefault="005D4CFC" w:rsidP="005D4CFC">
            <w:pPr>
              <w:numPr>
                <w:ilvl w:val="0"/>
                <w:numId w:val="1"/>
              </w:numPr>
              <w:contextualSpacing/>
              <w:jc w:val="both"/>
              <w:rPr>
                <w:rFonts w:ascii="Arial" w:hAnsi="Arial" w:cs="Arial"/>
                <w:bCs/>
                <w:szCs w:val="24"/>
              </w:rPr>
            </w:pPr>
            <w:r w:rsidRPr="004F5D79">
              <w:rPr>
                <w:rFonts w:ascii="Arial" w:hAnsi="Arial" w:cs="Arial"/>
                <w:bCs/>
                <w:szCs w:val="24"/>
              </w:rPr>
              <w:t>Sustain a high standard of health and safety, and environmental performance</w:t>
            </w:r>
          </w:p>
          <w:p w14:paraId="6AEA01F9" w14:textId="77777777" w:rsidR="005D4CFC" w:rsidRPr="004F5D79" w:rsidRDefault="005D4CFC" w:rsidP="005D4CFC">
            <w:pPr>
              <w:numPr>
                <w:ilvl w:val="0"/>
                <w:numId w:val="1"/>
              </w:numPr>
              <w:contextualSpacing/>
              <w:jc w:val="both"/>
              <w:rPr>
                <w:rFonts w:ascii="Arial" w:hAnsi="Arial" w:cs="Arial"/>
                <w:b/>
                <w:bCs/>
                <w:szCs w:val="24"/>
              </w:rPr>
            </w:pPr>
            <w:r w:rsidRPr="004F5D79">
              <w:rPr>
                <w:rFonts w:ascii="Arial" w:hAnsi="Arial" w:cs="Arial"/>
                <w:b/>
                <w:bCs/>
                <w:szCs w:val="24"/>
              </w:rPr>
              <w:t>Implement the Service Delivery Contract with THC</w:t>
            </w:r>
          </w:p>
          <w:p w14:paraId="2E5A9F46" w14:textId="77777777" w:rsidR="005D4CFC" w:rsidRPr="004F5D79" w:rsidRDefault="005D4CFC" w:rsidP="005D4CFC">
            <w:pPr>
              <w:numPr>
                <w:ilvl w:val="0"/>
                <w:numId w:val="1"/>
              </w:numPr>
              <w:contextualSpacing/>
              <w:jc w:val="both"/>
              <w:rPr>
                <w:rFonts w:ascii="Arial" w:hAnsi="Arial" w:cs="Arial"/>
                <w:bCs/>
                <w:szCs w:val="24"/>
              </w:rPr>
            </w:pPr>
            <w:r w:rsidRPr="004F5D79">
              <w:rPr>
                <w:rFonts w:ascii="Arial" w:hAnsi="Arial" w:cs="Arial"/>
                <w:bCs/>
                <w:szCs w:val="24"/>
              </w:rPr>
              <w:t>Improving customer engagement and satisfaction</w:t>
            </w:r>
          </w:p>
          <w:p w14:paraId="659D16F8" w14:textId="77777777" w:rsidR="005D4CFC" w:rsidRPr="004F5D79" w:rsidRDefault="005D4CFC" w:rsidP="005D4CFC">
            <w:pPr>
              <w:numPr>
                <w:ilvl w:val="0"/>
                <w:numId w:val="1"/>
              </w:numPr>
              <w:contextualSpacing/>
              <w:jc w:val="both"/>
              <w:rPr>
                <w:rFonts w:ascii="Arial" w:hAnsi="Arial" w:cs="Arial"/>
                <w:bCs/>
                <w:szCs w:val="24"/>
              </w:rPr>
            </w:pPr>
            <w:r w:rsidRPr="004F5D79">
              <w:rPr>
                <w:rFonts w:ascii="Arial" w:hAnsi="Arial" w:cs="Arial"/>
                <w:bCs/>
                <w:szCs w:val="24"/>
              </w:rPr>
              <w:t>Improving staff engagement and satisfaction</w:t>
            </w:r>
          </w:p>
          <w:p w14:paraId="5687206D" w14:textId="77777777" w:rsidR="005D4CFC" w:rsidRPr="004F5D79" w:rsidRDefault="005D4CFC" w:rsidP="005D4CFC">
            <w:pPr>
              <w:numPr>
                <w:ilvl w:val="0"/>
                <w:numId w:val="1"/>
              </w:numPr>
              <w:contextualSpacing/>
              <w:jc w:val="both"/>
              <w:rPr>
                <w:rFonts w:ascii="Arial" w:hAnsi="Arial" w:cs="Arial"/>
                <w:bCs/>
                <w:szCs w:val="24"/>
              </w:rPr>
            </w:pPr>
            <w:r w:rsidRPr="004F5D79">
              <w:rPr>
                <w:rFonts w:ascii="Arial" w:hAnsi="Arial" w:cs="Arial"/>
                <w:bCs/>
                <w:szCs w:val="24"/>
              </w:rPr>
              <w:t>Enhance the positive charity image</w:t>
            </w:r>
          </w:p>
          <w:p w14:paraId="18F3EADD" w14:textId="77777777" w:rsidR="005D4CFC" w:rsidRPr="004F5D79" w:rsidRDefault="005D4CFC" w:rsidP="005D4CFC">
            <w:pPr>
              <w:numPr>
                <w:ilvl w:val="0"/>
                <w:numId w:val="1"/>
              </w:numPr>
              <w:contextualSpacing/>
              <w:jc w:val="both"/>
              <w:rPr>
                <w:rFonts w:ascii="Arial" w:hAnsi="Arial" w:cs="Arial"/>
                <w:b/>
                <w:bCs/>
                <w:szCs w:val="24"/>
              </w:rPr>
            </w:pPr>
            <w:r w:rsidRPr="004F5D79">
              <w:rPr>
                <w:rFonts w:ascii="Arial" w:hAnsi="Arial" w:cs="Arial"/>
                <w:b/>
                <w:bCs/>
                <w:szCs w:val="24"/>
              </w:rPr>
              <w:t>Be a trusted and effective partner</w:t>
            </w:r>
          </w:p>
          <w:p w14:paraId="6085DE06" w14:textId="77777777" w:rsidR="005D4CFC" w:rsidRPr="004F5D79" w:rsidRDefault="005D4CFC" w:rsidP="005D4CFC">
            <w:pPr>
              <w:numPr>
                <w:ilvl w:val="0"/>
                <w:numId w:val="1"/>
              </w:numPr>
              <w:contextualSpacing/>
              <w:jc w:val="both"/>
              <w:rPr>
                <w:rFonts w:ascii="Arial" w:hAnsi="Arial" w:cs="Arial"/>
                <w:b/>
                <w:bCs/>
                <w:szCs w:val="24"/>
              </w:rPr>
            </w:pPr>
            <w:r w:rsidRPr="004F5D79">
              <w:rPr>
                <w:rFonts w:ascii="Arial" w:hAnsi="Arial" w:cs="Arial"/>
                <w:b/>
                <w:bCs/>
                <w:szCs w:val="24"/>
              </w:rPr>
              <w:t>Achieve sustainable growth across the organisation</w:t>
            </w:r>
          </w:p>
          <w:p w14:paraId="0AA37FCC" w14:textId="77777777" w:rsidR="005D4CFC" w:rsidRPr="004F5D79" w:rsidRDefault="005D4CFC" w:rsidP="005D4CFC">
            <w:pPr>
              <w:numPr>
                <w:ilvl w:val="0"/>
                <w:numId w:val="1"/>
              </w:numPr>
              <w:contextualSpacing/>
              <w:jc w:val="both"/>
              <w:rPr>
                <w:rFonts w:ascii="Arial" w:hAnsi="Arial" w:cs="Arial"/>
                <w:bCs/>
                <w:szCs w:val="24"/>
              </w:rPr>
            </w:pPr>
            <w:r w:rsidRPr="004F5D79">
              <w:rPr>
                <w:rFonts w:ascii="Arial" w:hAnsi="Arial" w:cs="Arial"/>
                <w:bCs/>
                <w:szCs w:val="24"/>
              </w:rPr>
              <w:t>Develop health and wellbeing across Highland communities</w:t>
            </w:r>
          </w:p>
          <w:p w14:paraId="3D6A7300" w14:textId="77777777" w:rsidR="005D4CFC" w:rsidRPr="004F5D79" w:rsidRDefault="005D4CFC" w:rsidP="005D4CFC">
            <w:pPr>
              <w:numPr>
                <w:ilvl w:val="0"/>
                <w:numId w:val="1"/>
              </w:numPr>
              <w:contextualSpacing/>
              <w:jc w:val="both"/>
              <w:rPr>
                <w:rFonts w:ascii="Arial" w:hAnsi="Arial" w:cs="Arial"/>
                <w:bCs/>
                <w:szCs w:val="24"/>
              </w:rPr>
            </w:pPr>
            <w:r w:rsidRPr="004F5D79">
              <w:rPr>
                <w:rFonts w:ascii="Arial" w:hAnsi="Arial" w:cs="Arial"/>
                <w:bCs/>
                <w:szCs w:val="24"/>
              </w:rPr>
              <w:t>Develop and promote the High Life brand</w:t>
            </w:r>
          </w:p>
          <w:p w14:paraId="011B7679" w14:textId="77777777" w:rsidR="005D4CFC" w:rsidRDefault="005D4CFC" w:rsidP="005D4CFC">
            <w:pPr>
              <w:snapToGrid w:val="0"/>
              <w:rPr>
                <w:rFonts w:ascii="Arial" w:hAnsi="Arial" w:cs="Arial"/>
                <w:b/>
              </w:rPr>
            </w:pPr>
          </w:p>
        </w:tc>
      </w:tr>
      <w:tr w:rsidR="005D4CFC" w:rsidRPr="0089449E" w14:paraId="237CDBA9" w14:textId="77777777" w:rsidTr="00896D6C">
        <w:tc>
          <w:tcPr>
            <w:tcW w:w="851" w:type="dxa"/>
          </w:tcPr>
          <w:p w14:paraId="13AAB90D" w14:textId="73BCE772" w:rsidR="005D4CFC" w:rsidRPr="0089449E" w:rsidRDefault="005D4CFC" w:rsidP="005D4CFC">
            <w:pPr>
              <w:rPr>
                <w:rFonts w:ascii="Arial" w:hAnsi="Arial" w:cs="Arial"/>
                <w:b/>
                <w:szCs w:val="24"/>
              </w:rPr>
            </w:pPr>
            <w:r>
              <w:rPr>
                <w:rFonts w:ascii="Arial" w:hAnsi="Arial" w:cs="Arial"/>
                <w:b/>
                <w:szCs w:val="24"/>
              </w:rPr>
              <w:t>2.</w:t>
            </w:r>
          </w:p>
        </w:tc>
        <w:tc>
          <w:tcPr>
            <w:tcW w:w="8755" w:type="dxa"/>
            <w:gridSpan w:val="2"/>
          </w:tcPr>
          <w:p w14:paraId="1789EC82" w14:textId="77777777" w:rsidR="005D4CFC" w:rsidRDefault="005D4CFC" w:rsidP="005D4CFC">
            <w:pPr>
              <w:snapToGrid w:val="0"/>
              <w:rPr>
                <w:rFonts w:ascii="Arial" w:hAnsi="Arial" w:cs="Arial"/>
                <w:b/>
              </w:rPr>
            </w:pPr>
            <w:r>
              <w:rPr>
                <w:rFonts w:ascii="Arial" w:hAnsi="Arial" w:cs="Arial"/>
                <w:b/>
              </w:rPr>
              <w:t>Background</w:t>
            </w:r>
          </w:p>
          <w:p w14:paraId="21430754" w14:textId="77777777" w:rsidR="005D4CFC" w:rsidRPr="0089449E" w:rsidRDefault="005D4CFC" w:rsidP="005D4CFC">
            <w:pPr>
              <w:snapToGrid w:val="0"/>
              <w:rPr>
                <w:rFonts w:ascii="Arial" w:hAnsi="Arial" w:cs="Arial"/>
                <w:szCs w:val="24"/>
              </w:rPr>
            </w:pPr>
          </w:p>
        </w:tc>
      </w:tr>
      <w:tr w:rsidR="005D4CFC" w:rsidRPr="0089449E" w14:paraId="1A1C7B13" w14:textId="77777777" w:rsidTr="00896D6C">
        <w:tc>
          <w:tcPr>
            <w:tcW w:w="851" w:type="dxa"/>
          </w:tcPr>
          <w:p w14:paraId="0803BA70" w14:textId="1B5CFB87" w:rsidR="005D4CFC" w:rsidRDefault="005D4CFC" w:rsidP="005D4CFC">
            <w:pPr>
              <w:rPr>
                <w:rFonts w:ascii="Arial" w:hAnsi="Arial" w:cs="Arial"/>
                <w:szCs w:val="24"/>
              </w:rPr>
            </w:pPr>
            <w:r>
              <w:rPr>
                <w:rFonts w:ascii="Arial" w:hAnsi="Arial" w:cs="Arial"/>
                <w:szCs w:val="24"/>
              </w:rPr>
              <w:t>2.1</w:t>
            </w:r>
          </w:p>
          <w:p w14:paraId="12141E93" w14:textId="77777777" w:rsidR="005D4CFC" w:rsidRDefault="005D4CFC" w:rsidP="005D4CFC">
            <w:pPr>
              <w:rPr>
                <w:rFonts w:ascii="Arial" w:hAnsi="Arial" w:cs="Arial"/>
                <w:szCs w:val="24"/>
              </w:rPr>
            </w:pPr>
          </w:p>
          <w:p w14:paraId="28E5B69C" w14:textId="35EBED3F" w:rsidR="005D4CFC" w:rsidRDefault="005D4CFC" w:rsidP="005D4CFC">
            <w:pPr>
              <w:rPr>
                <w:rFonts w:ascii="Arial" w:hAnsi="Arial" w:cs="Arial"/>
                <w:szCs w:val="24"/>
              </w:rPr>
            </w:pPr>
          </w:p>
          <w:p w14:paraId="36F95E1B" w14:textId="77777777" w:rsidR="005D4CFC" w:rsidRDefault="005D4CFC" w:rsidP="005D4CFC">
            <w:pPr>
              <w:rPr>
                <w:rFonts w:ascii="Arial" w:hAnsi="Arial" w:cs="Arial"/>
                <w:szCs w:val="24"/>
              </w:rPr>
            </w:pPr>
          </w:p>
          <w:p w14:paraId="6821B6F4" w14:textId="70748BD9" w:rsidR="003758B9" w:rsidRDefault="005D4CFC" w:rsidP="005D4CFC">
            <w:pPr>
              <w:rPr>
                <w:rFonts w:ascii="Arial" w:hAnsi="Arial" w:cs="Arial"/>
                <w:szCs w:val="24"/>
              </w:rPr>
            </w:pPr>
            <w:r>
              <w:rPr>
                <w:rFonts w:ascii="Arial" w:hAnsi="Arial" w:cs="Arial"/>
                <w:szCs w:val="24"/>
              </w:rPr>
              <w:t>2.2</w:t>
            </w:r>
          </w:p>
          <w:p w14:paraId="2C2F76E0" w14:textId="33F04638" w:rsidR="005D4CFC" w:rsidRDefault="005D4CFC" w:rsidP="005D4CFC">
            <w:pPr>
              <w:rPr>
                <w:rFonts w:ascii="Arial" w:hAnsi="Arial" w:cs="Arial"/>
                <w:szCs w:val="24"/>
              </w:rPr>
            </w:pPr>
          </w:p>
          <w:p w14:paraId="23C299D4" w14:textId="7B94186D" w:rsidR="005D4CFC" w:rsidRDefault="005D4CFC" w:rsidP="005D4CFC">
            <w:pPr>
              <w:rPr>
                <w:rFonts w:ascii="Arial" w:hAnsi="Arial" w:cs="Arial"/>
                <w:szCs w:val="24"/>
              </w:rPr>
            </w:pPr>
          </w:p>
          <w:p w14:paraId="58FFEF2E" w14:textId="77777777" w:rsidR="005D4CFC" w:rsidRPr="00306BAA" w:rsidRDefault="005D4CFC" w:rsidP="005D4CFC">
            <w:pPr>
              <w:rPr>
                <w:rFonts w:ascii="Arial" w:hAnsi="Arial" w:cs="Arial"/>
                <w:szCs w:val="24"/>
              </w:rPr>
            </w:pPr>
          </w:p>
        </w:tc>
        <w:tc>
          <w:tcPr>
            <w:tcW w:w="8755" w:type="dxa"/>
            <w:gridSpan w:val="2"/>
          </w:tcPr>
          <w:p w14:paraId="64A3E52C" w14:textId="4923AE4F" w:rsidR="005D4CFC" w:rsidRDefault="005D4CFC" w:rsidP="005D4CFC">
            <w:pPr>
              <w:tabs>
                <w:tab w:val="left" w:pos="993"/>
              </w:tabs>
              <w:spacing w:after="200"/>
              <w:contextualSpacing/>
              <w:jc w:val="both"/>
              <w:rPr>
                <w:rFonts w:ascii="Arial" w:hAnsi="Arial" w:cs="Arial"/>
                <w:szCs w:val="24"/>
              </w:rPr>
            </w:pPr>
            <w:r>
              <w:rPr>
                <w:rFonts w:ascii="Arial" w:hAnsi="Arial" w:cs="Arial"/>
                <w:szCs w:val="24"/>
              </w:rPr>
              <w:t xml:space="preserve">At a meeting of the HLH Board held electronically on 2 April 2020 Board members </w:t>
            </w:r>
            <w:r w:rsidRPr="007F70DD">
              <w:rPr>
                <w:rFonts w:ascii="Arial" w:hAnsi="Arial" w:cs="Arial"/>
                <w:b/>
                <w:szCs w:val="24"/>
              </w:rPr>
              <w:t>AGREED</w:t>
            </w:r>
            <w:r>
              <w:rPr>
                <w:rFonts w:ascii="Arial" w:hAnsi="Arial" w:cs="Arial"/>
                <w:szCs w:val="24"/>
              </w:rPr>
              <w:t xml:space="preserve"> </w:t>
            </w:r>
            <w:r w:rsidRPr="00AB1626">
              <w:rPr>
                <w:rFonts w:ascii="Arial" w:hAnsi="Arial" w:cs="Arial"/>
                <w:szCs w:val="24"/>
              </w:rPr>
              <w:t xml:space="preserve">that an application </w:t>
            </w:r>
            <w:r>
              <w:rPr>
                <w:rFonts w:ascii="Arial" w:hAnsi="Arial" w:cs="Arial"/>
                <w:szCs w:val="24"/>
              </w:rPr>
              <w:t>be</w:t>
            </w:r>
            <w:r w:rsidRPr="00AB1626">
              <w:rPr>
                <w:rFonts w:ascii="Arial" w:hAnsi="Arial" w:cs="Arial"/>
                <w:szCs w:val="24"/>
              </w:rPr>
              <w:t xml:space="preserve"> made to HMRC seeking funding under the UK Government Employee Retention Scheme for High Life Highland employees</w:t>
            </w:r>
            <w:r>
              <w:rPr>
                <w:rFonts w:ascii="Arial" w:hAnsi="Arial" w:cs="Arial"/>
                <w:szCs w:val="24"/>
              </w:rPr>
              <w:t xml:space="preserve">.   </w:t>
            </w:r>
          </w:p>
          <w:p w14:paraId="4D6D212B" w14:textId="77777777" w:rsidR="005D4CFC" w:rsidRDefault="005D4CFC" w:rsidP="005D4CFC">
            <w:pPr>
              <w:jc w:val="both"/>
              <w:rPr>
                <w:rFonts w:ascii="Arial" w:hAnsi="Arial" w:cs="Arial"/>
                <w:szCs w:val="24"/>
              </w:rPr>
            </w:pPr>
          </w:p>
          <w:p w14:paraId="141B57C2" w14:textId="42260289" w:rsidR="005D4CFC" w:rsidRDefault="005D4CFC" w:rsidP="005D4CFC">
            <w:pPr>
              <w:widowControl w:val="0"/>
              <w:tabs>
                <w:tab w:val="left" w:pos="993"/>
              </w:tabs>
              <w:jc w:val="both"/>
              <w:rPr>
                <w:rFonts w:ascii="Arial" w:hAnsi="Arial" w:cs="Arial"/>
                <w:color w:val="0B0C0C"/>
                <w:szCs w:val="24"/>
                <w:shd w:val="clear" w:color="auto" w:fill="FFFFFF"/>
              </w:rPr>
            </w:pPr>
            <w:r>
              <w:rPr>
                <w:rFonts w:ascii="Arial" w:hAnsi="Arial" w:cs="Arial"/>
                <w:color w:val="0B0C0C"/>
                <w:szCs w:val="24"/>
                <w:shd w:val="clear" w:color="auto" w:fill="FFFFFF"/>
              </w:rPr>
              <w:t xml:space="preserve">At this meeting </w:t>
            </w:r>
            <w:r w:rsidRPr="00170162">
              <w:rPr>
                <w:rFonts w:ascii="Arial" w:hAnsi="Arial" w:cs="Arial"/>
                <w:color w:val="0B0C0C"/>
                <w:szCs w:val="24"/>
                <w:shd w:val="clear" w:color="auto" w:fill="FFFFFF"/>
              </w:rPr>
              <w:t xml:space="preserve">clarification was sought, and provided, that staff would receive 100% of their monthly wage, with HLH choosing to top up the </w:t>
            </w:r>
            <w:proofErr w:type="spellStart"/>
            <w:proofErr w:type="gramStart"/>
            <w:r w:rsidRPr="00170162">
              <w:rPr>
                <w:rFonts w:ascii="Arial" w:hAnsi="Arial" w:cs="Arial"/>
                <w:color w:val="0B0C0C"/>
                <w:szCs w:val="24"/>
                <w:shd w:val="clear" w:color="auto" w:fill="FFFFFF"/>
              </w:rPr>
              <w:t>employees</w:t>
            </w:r>
            <w:proofErr w:type="spellEnd"/>
            <w:proofErr w:type="gramEnd"/>
            <w:r w:rsidRPr="00170162">
              <w:rPr>
                <w:rFonts w:ascii="Arial" w:hAnsi="Arial" w:cs="Arial"/>
                <w:color w:val="0B0C0C"/>
                <w:szCs w:val="24"/>
                <w:shd w:val="clear" w:color="auto" w:fill="FFFFFF"/>
              </w:rPr>
              <w:t xml:space="preserve"> salaries to 100%</w:t>
            </w:r>
            <w:r>
              <w:rPr>
                <w:rFonts w:ascii="Arial" w:hAnsi="Arial" w:cs="Arial"/>
                <w:color w:val="0B0C0C"/>
                <w:szCs w:val="24"/>
                <w:shd w:val="clear" w:color="auto" w:fill="FFFFFF"/>
              </w:rPr>
              <w:t>.</w:t>
            </w:r>
          </w:p>
          <w:p w14:paraId="0424FD77" w14:textId="4FC04039" w:rsidR="005D4CFC" w:rsidRPr="001B577B" w:rsidRDefault="005D4CFC" w:rsidP="005D4CFC">
            <w:pPr>
              <w:jc w:val="both"/>
              <w:rPr>
                <w:rFonts w:ascii="Arial" w:hAnsi="Arial" w:cs="Arial"/>
                <w:szCs w:val="24"/>
              </w:rPr>
            </w:pPr>
          </w:p>
        </w:tc>
      </w:tr>
      <w:tr w:rsidR="005D4CFC" w:rsidRPr="0089449E" w14:paraId="28F61F98" w14:textId="77777777" w:rsidTr="00896D6C">
        <w:tc>
          <w:tcPr>
            <w:tcW w:w="851" w:type="dxa"/>
          </w:tcPr>
          <w:p w14:paraId="51AA4E42" w14:textId="2974AD35" w:rsidR="005D4CFC" w:rsidRPr="001B577B" w:rsidRDefault="00FD06BF" w:rsidP="005D4CFC">
            <w:pPr>
              <w:autoSpaceDE w:val="0"/>
              <w:autoSpaceDN w:val="0"/>
              <w:adjustRightInd w:val="0"/>
              <w:rPr>
                <w:rFonts w:ascii="Arial" w:hAnsi="Arial" w:cs="Arial"/>
                <w:b/>
              </w:rPr>
            </w:pPr>
            <w:r>
              <w:rPr>
                <w:rFonts w:ascii="Arial" w:hAnsi="Arial" w:cs="Arial"/>
                <w:b/>
              </w:rPr>
              <w:t>3</w:t>
            </w:r>
            <w:r w:rsidR="005D4CFC" w:rsidRPr="001B577B">
              <w:rPr>
                <w:rFonts w:ascii="Arial" w:hAnsi="Arial" w:cs="Arial"/>
                <w:b/>
              </w:rPr>
              <w:t>.</w:t>
            </w:r>
          </w:p>
        </w:tc>
        <w:tc>
          <w:tcPr>
            <w:tcW w:w="8755" w:type="dxa"/>
            <w:gridSpan w:val="2"/>
          </w:tcPr>
          <w:p w14:paraId="6203057B" w14:textId="345719A8" w:rsidR="005D4CFC" w:rsidRPr="00BF489C" w:rsidRDefault="005D4CFC" w:rsidP="005D4CFC">
            <w:pPr>
              <w:rPr>
                <w:rFonts w:ascii="Arial" w:hAnsi="Arial" w:cs="Arial"/>
                <w:color w:val="0070C0"/>
              </w:rPr>
            </w:pPr>
            <w:r>
              <w:rPr>
                <w:rFonts w:ascii="Arial" w:hAnsi="Arial" w:cs="Arial"/>
                <w:b/>
              </w:rPr>
              <w:t>Engagement with THC and update to Administration</w:t>
            </w:r>
          </w:p>
        </w:tc>
      </w:tr>
      <w:tr w:rsidR="005D4CFC" w:rsidRPr="0089449E" w14:paraId="2CBE74F7" w14:textId="77777777" w:rsidTr="00896D6C">
        <w:trPr>
          <w:trHeight w:val="1365"/>
        </w:trPr>
        <w:tc>
          <w:tcPr>
            <w:tcW w:w="851" w:type="dxa"/>
          </w:tcPr>
          <w:p w14:paraId="5754FF1B" w14:textId="77777777" w:rsidR="005D4CFC" w:rsidRDefault="005D4CFC" w:rsidP="005D4CFC">
            <w:pPr>
              <w:autoSpaceDE w:val="0"/>
              <w:autoSpaceDN w:val="0"/>
              <w:adjustRightInd w:val="0"/>
              <w:rPr>
                <w:rFonts w:ascii="Arial" w:hAnsi="Arial" w:cs="Arial"/>
              </w:rPr>
            </w:pPr>
          </w:p>
          <w:p w14:paraId="0526D0E1" w14:textId="4960120C" w:rsidR="005D4CFC" w:rsidRDefault="00FD06BF" w:rsidP="005D4CFC">
            <w:pPr>
              <w:autoSpaceDE w:val="0"/>
              <w:autoSpaceDN w:val="0"/>
              <w:adjustRightInd w:val="0"/>
              <w:rPr>
                <w:rFonts w:ascii="Arial" w:hAnsi="Arial" w:cs="Arial"/>
              </w:rPr>
            </w:pPr>
            <w:r>
              <w:rPr>
                <w:rFonts w:ascii="Arial" w:hAnsi="Arial" w:cs="Arial"/>
              </w:rPr>
              <w:t>3</w:t>
            </w:r>
            <w:r w:rsidR="005D4CFC">
              <w:rPr>
                <w:rFonts w:ascii="Arial" w:hAnsi="Arial" w:cs="Arial"/>
              </w:rPr>
              <w:t>.1</w:t>
            </w:r>
          </w:p>
          <w:p w14:paraId="3D28063B" w14:textId="77777777" w:rsidR="005D4CFC" w:rsidRDefault="005D4CFC" w:rsidP="005D4CFC">
            <w:pPr>
              <w:autoSpaceDE w:val="0"/>
              <w:autoSpaceDN w:val="0"/>
              <w:adjustRightInd w:val="0"/>
              <w:rPr>
                <w:rFonts w:ascii="Arial" w:hAnsi="Arial" w:cs="Arial"/>
              </w:rPr>
            </w:pPr>
          </w:p>
          <w:p w14:paraId="4383CBA4" w14:textId="77777777" w:rsidR="005D4CFC" w:rsidRDefault="005D4CFC" w:rsidP="005D4CFC">
            <w:pPr>
              <w:autoSpaceDE w:val="0"/>
              <w:autoSpaceDN w:val="0"/>
              <w:adjustRightInd w:val="0"/>
              <w:rPr>
                <w:rFonts w:ascii="Arial" w:hAnsi="Arial" w:cs="Arial"/>
              </w:rPr>
            </w:pPr>
          </w:p>
          <w:p w14:paraId="1CC732D8" w14:textId="159A50FE" w:rsidR="005D4CFC" w:rsidRDefault="00FD06BF" w:rsidP="005D4CFC">
            <w:pPr>
              <w:autoSpaceDE w:val="0"/>
              <w:autoSpaceDN w:val="0"/>
              <w:adjustRightInd w:val="0"/>
              <w:rPr>
                <w:rFonts w:ascii="Arial" w:hAnsi="Arial" w:cs="Arial"/>
              </w:rPr>
            </w:pPr>
            <w:r>
              <w:rPr>
                <w:rFonts w:ascii="Arial" w:hAnsi="Arial" w:cs="Arial"/>
              </w:rPr>
              <w:t>3</w:t>
            </w:r>
            <w:r w:rsidR="005D4CFC">
              <w:rPr>
                <w:rFonts w:ascii="Arial" w:hAnsi="Arial" w:cs="Arial"/>
              </w:rPr>
              <w:t>.2</w:t>
            </w:r>
          </w:p>
          <w:p w14:paraId="20F6562C" w14:textId="77777777" w:rsidR="005D4CFC" w:rsidRDefault="005D4CFC" w:rsidP="005D4CFC">
            <w:pPr>
              <w:autoSpaceDE w:val="0"/>
              <w:autoSpaceDN w:val="0"/>
              <w:adjustRightInd w:val="0"/>
              <w:rPr>
                <w:rFonts w:ascii="Arial" w:hAnsi="Arial" w:cs="Arial"/>
              </w:rPr>
            </w:pPr>
          </w:p>
          <w:p w14:paraId="25549753" w14:textId="77777777" w:rsidR="005D4CFC" w:rsidRDefault="005D4CFC" w:rsidP="005D4CFC">
            <w:pPr>
              <w:autoSpaceDE w:val="0"/>
              <w:autoSpaceDN w:val="0"/>
              <w:adjustRightInd w:val="0"/>
              <w:rPr>
                <w:rFonts w:ascii="Arial" w:hAnsi="Arial" w:cs="Arial"/>
              </w:rPr>
            </w:pPr>
          </w:p>
          <w:p w14:paraId="393E0D9D" w14:textId="558DE57C" w:rsidR="005D4CFC" w:rsidRDefault="005D4CFC" w:rsidP="005D4CFC">
            <w:pPr>
              <w:autoSpaceDE w:val="0"/>
              <w:autoSpaceDN w:val="0"/>
              <w:adjustRightInd w:val="0"/>
              <w:rPr>
                <w:rFonts w:ascii="Arial" w:hAnsi="Arial" w:cs="Arial"/>
              </w:rPr>
            </w:pPr>
          </w:p>
          <w:p w14:paraId="61A2A54C" w14:textId="1AE765DA" w:rsidR="005D4CFC" w:rsidRDefault="00FD06BF" w:rsidP="005D4CFC">
            <w:pPr>
              <w:autoSpaceDE w:val="0"/>
              <w:autoSpaceDN w:val="0"/>
              <w:adjustRightInd w:val="0"/>
              <w:rPr>
                <w:rFonts w:ascii="Arial" w:hAnsi="Arial" w:cs="Arial"/>
              </w:rPr>
            </w:pPr>
            <w:r>
              <w:rPr>
                <w:rFonts w:ascii="Arial" w:hAnsi="Arial" w:cs="Arial"/>
              </w:rPr>
              <w:t>3</w:t>
            </w:r>
            <w:r w:rsidR="005D4CFC">
              <w:rPr>
                <w:rFonts w:ascii="Arial" w:hAnsi="Arial" w:cs="Arial"/>
              </w:rPr>
              <w:t>.3</w:t>
            </w:r>
          </w:p>
          <w:p w14:paraId="030B9865" w14:textId="6EE21043" w:rsidR="005D4CFC" w:rsidRDefault="005D4CFC" w:rsidP="005D4CFC">
            <w:pPr>
              <w:autoSpaceDE w:val="0"/>
              <w:autoSpaceDN w:val="0"/>
              <w:adjustRightInd w:val="0"/>
              <w:rPr>
                <w:rFonts w:ascii="Arial" w:hAnsi="Arial" w:cs="Arial"/>
              </w:rPr>
            </w:pPr>
          </w:p>
          <w:p w14:paraId="7196D5AC" w14:textId="28581C52" w:rsidR="005D4CFC" w:rsidRDefault="005D4CFC" w:rsidP="005D4CFC">
            <w:pPr>
              <w:autoSpaceDE w:val="0"/>
              <w:autoSpaceDN w:val="0"/>
              <w:adjustRightInd w:val="0"/>
              <w:rPr>
                <w:rFonts w:ascii="Arial" w:hAnsi="Arial" w:cs="Arial"/>
              </w:rPr>
            </w:pPr>
          </w:p>
          <w:p w14:paraId="57432BDE" w14:textId="4CCD0662" w:rsidR="005D4CFC" w:rsidRDefault="005D4CFC" w:rsidP="005D4CFC">
            <w:pPr>
              <w:autoSpaceDE w:val="0"/>
              <w:autoSpaceDN w:val="0"/>
              <w:adjustRightInd w:val="0"/>
              <w:rPr>
                <w:rFonts w:ascii="Arial" w:hAnsi="Arial" w:cs="Arial"/>
              </w:rPr>
            </w:pPr>
          </w:p>
          <w:p w14:paraId="65113157" w14:textId="77777777" w:rsidR="005D4CFC" w:rsidRPr="00AC77DC" w:rsidRDefault="005D4CFC" w:rsidP="005D4CFC">
            <w:pPr>
              <w:autoSpaceDE w:val="0"/>
              <w:autoSpaceDN w:val="0"/>
              <w:adjustRightInd w:val="0"/>
              <w:rPr>
                <w:rFonts w:ascii="Arial" w:hAnsi="Arial" w:cs="Arial"/>
              </w:rPr>
            </w:pPr>
          </w:p>
        </w:tc>
        <w:tc>
          <w:tcPr>
            <w:tcW w:w="8755" w:type="dxa"/>
            <w:gridSpan w:val="2"/>
          </w:tcPr>
          <w:p w14:paraId="0418F20D" w14:textId="5A9A91CF" w:rsidR="005D4CFC" w:rsidRPr="00A5204E" w:rsidRDefault="005D4CFC" w:rsidP="005D4CFC">
            <w:pPr>
              <w:pStyle w:val="NormalWeb"/>
              <w:shd w:val="clear" w:color="auto" w:fill="FFFFFF"/>
              <w:spacing w:before="300" w:beforeAutospacing="0" w:after="300" w:afterAutospacing="0"/>
              <w:jc w:val="both"/>
              <w:rPr>
                <w:rFonts w:ascii="Arial" w:hAnsi="Arial" w:cs="Arial"/>
                <w:color w:val="0B0C0C"/>
              </w:rPr>
            </w:pPr>
            <w:r w:rsidRPr="00A5204E">
              <w:rPr>
                <w:rFonts w:ascii="Arial" w:hAnsi="Arial" w:cs="Arial"/>
                <w:color w:val="0B0C0C"/>
              </w:rPr>
              <w:t>As a company limited by guarantee, with THC as its sole member, the Chief Executive has formally engaged with THC throughout this crisis</w:t>
            </w:r>
            <w:r>
              <w:rPr>
                <w:rFonts w:ascii="Arial" w:hAnsi="Arial" w:cs="Arial"/>
                <w:color w:val="0B0C0C"/>
              </w:rPr>
              <w:t>.</w:t>
            </w:r>
          </w:p>
          <w:p w14:paraId="3586D084" w14:textId="21B187AF" w:rsidR="005D4CFC" w:rsidRPr="00A5204E" w:rsidRDefault="005D4CFC" w:rsidP="005D4CFC">
            <w:pPr>
              <w:jc w:val="both"/>
              <w:rPr>
                <w:rFonts w:ascii="Arial" w:hAnsi="Arial" w:cs="Arial"/>
              </w:rPr>
            </w:pPr>
            <w:r w:rsidRPr="00A5204E">
              <w:rPr>
                <w:rFonts w:ascii="Arial" w:hAnsi="Arial" w:cs="Arial"/>
              </w:rPr>
              <w:t xml:space="preserve">A request was received from </w:t>
            </w:r>
            <w:r>
              <w:rPr>
                <w:rFonts w:ascii="Arial" w:hAnsi="Arial" w:cs="Arial"/>
              </w:rPr>
              <w:t>THC’s</w:t>
            </w:r>
            <w:r w:rsidRPr="00A5204E">
              <w:rPr>
                <w:rFonts w:ascii="Arial" w:hAnsi="Arial" w:cs="Arial"/>
              </w:rPr>
              <w:t xml:space="preserve"> ECO Finance and Resources on Friday 24 April for a paper on HLH’s JRS application and decision to pay 100% to </w:t>
            </w:r>
            <w:r>
              <w:rPr>
                <w:rFonts w:ascii="Arial" w:hAnsi="Arial" w:cs="Arial"/>
              </w:rPr>
              <w:t xml:space="preserve">allow this to </w:t>
            </w:r>
            <w:r w:rsidRPr="00A5204E">
              <w:rPr>
                <w:rFonts w:ascii="Arial" w:hAnsi="Arial" w:cs="Arial"/>
              </w:rPr>
              <w:t xml:space="preserve">be presented to the THC Administration meeting on Monday 27 April 2020.  </w:t>
            </w:r>
          </w:p>
          <w:p w14:paraId="098F0A5D" w14:textId="77777777" w:rsidR="005D4CFC" w:rsidRPr="00A5204E" w:rsidRDefault="005D4CFC" w:rsidP="005D4CFC">
            <w:pPr>
              <w:jc w:val="both"/>
              <w:rPr>
                <w:rFonts w:ascii="Arial" w:hAnsi="Arial" w:cs="Arial"/>
              </w:rPr>
            </w:pPr>
          </w:p>
          <w:p w14:paraId="335D551B" w14:textId="2EF77AC1" w:rsidR="005D4CFC" w:rsidRPr="00A5204E" w:rsidRDefault="005D4CFC" w:rsidP="005D4CFC">
            <w:pPr>
              <w:jc w:val="both"/>
              <w:rPr>
                <w:rFonts w:ascii="Arial" w:hAnsi="Arial" w:cs="Arial"/>
              </w:rPr>
            </w:pPr>
            <w:r w:rsidRPr="00A5204E">
              <w:rPr>
                <w:rFonts w:ascii="Arial" w:hAnsi="Arial" w:cs="Arial"/>
              </w:rPr>
              <w:t xml:space="preserve">The briefing note </w:t>
            </w:r>
            <w:r>
              <w:rPr>
                <w:rFonts w:ascii="Arial" w:hAnsi="Arial" w:cs="Arial"/>
              </w:rPr>
              <w:t xml:space="preserve">submitted to the Council </w:t>
            </w:r>
            <w:r w:rsidRPr="00DE2763">
              <w:rPr>
                <w:rFonts w:ascii="Arial" w:hAnsi="Arial" w:cs="Arial"/>
                <w:b/>
              </w:rPr>
              <w:t>(</w:t>
            </w:r>
            <w:r>
              <w:rPr>
                <w:rFonts w:ascii="Arial" w:hAnsi="Arial" w:cs="Arial"/>
                <w:b/>
              </w:rPr>
              <w:t xml:space="preserve">attached at </w:t>
            </w:r>
            <w:r w:rsidRPr="00DE2763">
              <w:rPr>
                <w:rFonts w:ascii="Arial" w:hAnsi="Arial" w:cs="Arial"/>
                <w:b/>
              </w:rPr>
              <w:t>Appendix A)</w:t>
            </w:r>
            <w:r>
              <w:rPr>
                <w:rFonts w:ascii="Arial" w:hAnsi="Arial" w:cs="Arial"/>
              </w:rPr>
              <w:t xml:space="preserve"> and detailed below </w:t>
            </w:r>
            <w:r w:rsidRPr="00A5204E">
              <w:rPr>
                <w:rFonts w:ascii="Arial" w:hAnsi="Arial" w:cs="Arial"/>
              </w:rPr>
              <w:t xml:space="preserve">provided context on HLH’s application to the UK Government Job Retention Scheme (JRS) </w:t>
            </w:r>
            <w:r>
              <w:rPr>
                <w:rFonts w:ascii="Arial" w:hAnsi="Arial" w:cs="Arial"/>
              </w:rPr>
              <w:t xml:space="preserve">including </w:t>
            </w:r>
            <w:r>
              <w:rPr>
                <w:rFonts w:ascii="Arial" w:hAnsi="Arial" w:cs="Arial"/>
                <w:szCs w:val="24"/>
              </w:rPr>
              <w:t>the moral, financial, benchmarking, employee relations, risk and policy rationale of this decision</w:t>
            </w:r>
            <w:r w:rsidRPr="00A5204E">
              <w:rPr>
                <w:rFonts w:ascii="Arial" w:hAnsi="Arial" w:cs="Arial"/>
              </w:rPr>
              <w:t xml:space="preserve"> as follows:</w:t>
            </w:r>
          </w:p>
          <w:p w14:paraId="167BF6F9" w14:textId="2646BB52" w:rsidR="005D4CFC" w:rsidRPr="003758B9" w:rsidRDefault="005D4CFC" w:rsidP="003758B9">
            <w:pPr>
              <w:jc w:val="both"/>
              <w:rPr>
                <w:rFonts w:ascii="Arial" w:hAnsi="Arial" w:cs="Arial"/>
              </w:rPr>
            </w:pPr>
          </w:p>
        </w:tc>
      </w:tr>
      <w:tr w:rsidR="00896D6C" w:rsidRPr="0089449E" w14:paraId="17CB3033" w14:textId="77777777" w:rsidTr="00896D6C">
        <w:tc>
          <w:tcPr>
            <w:tcW w:w="851" w:type="dxa"/>
          </w:tcPr>
          <w:p w14:paraId="68AEE189" w14:textId="0A27E4E1" w:rsidR="00896D6C" w:rsidRDefault="00FD06BF" w:rsidP="005D4CFC">
            <w:pPr>
              <w:autoSpaceDE w:val="0"/>
              <w:autoSpaceDN w:val="0"/>
              <w:adjustRightInd w:val="0"/>
              <w:rPr>
                <w:rFonts w:ascii="Arial" w:hAnsi="Arial" w:cs="Arial"/>
              </w:rPr>
            </w:pPr>
            <w:r>
              <w:rPr>
                <w:rFonts w:ascii="Arial" w:hAnsi="Arial" w:cs="Arial"/>
              </w:rPr>
              <w:t>3</w:t>
            </w:r>
            <w:r w:rsidR="003758B9">
              <w:rPr>
                <w:rFonts w:ascii="Arial" w:hAnsi="Arial" w:cs="Arial"/>
              </w:rPr>
              <w:t>.3.1</w:t>
            </w:r>
          </w:p>
        </w:tc>
        <w:tc>
          <w:tcPr>
            <w:tcW w:w="8755" w:type="dxa"/>
            <w:gridSpan w:val="2"/>
          </w:tcPr>
          <w:p w14:paraId="1D34D40D" w14:textId="77777777" w:rsidR="00896D6C" w:rsidRPr="00896D6C" w:rsidRDefault="00896D6C" w:rsidP="00FD06BF">
            <w:pPr>
              <w:jc w:val="both"/>
              <w:rPr>
                <w:rFonts w:ascii="Arial" w:hAnsi="Arial" w:cs="Arial"/>
                <w:szCs w:val="24"/>
              </w:rPr>
            </w:pPr>
            <w:r w:rsidRPr="00896D6C">
              <w:rPr>
                <w:rFonts w:ascii="Arial" w:hAnsi="Arial" w:cs="Arial"/>
                <w:szCs w:val="24"/>
              </w:rPr>
              <w:t>Introduction:</w:t>
            </w:r>
          </w:p>
          <w:p w14:paraId="0EB7AD33" w14:textId="77777777" w:rsidR="00896D6C" w:rsidRPr="00A5204E" w:rsidRDefault="00896D6C" w:rsidP="00FD06BF">
            <w:pPr>
              <w:pStyle w:val="ListParagraph"/>
              <w:spacing w:line="240" w:lineRule="auto"/>
              <w:ind w:left="488" w:hanging="425"/>
              <w:jc w:val="both"/>
              <w:rPr>
                <w:rFonts w:ascii="Arial" w:hAnsi="Arial" w:cs="Arial"/>
                <w:sz w:val="24"/>
                <w:szCs w:val="24"/>
              </w:rPr>
            </w:pPr>
          </w:p>
          <w:p w14:paraId="377C3307" w14:textId="77777777" w:rsidR="00896D6C" w:rsidRPr="00A5204E" w:rsidRDefault="00896D6C" w:rsidP="00FD06BF">
            <w:pPr>
              <w:pStyle w:val="ListParagraph"/>
              <w:numPr>
                <w:ilvl w:val="0"/>
                <w:numId w:val="24"/>
              </w:numPr>
              <w:spacing w:line="240" w:lineRule="auto"/>
              <w:ind w:left="458" w:hanging="425"/>
              <w:jc w:val="both"/>
              <w:rPr>
                <w:rFonts w:ascii="Arial" w:hAnsi="Arial" w:cs="Arial"/>
                <w:sz w:val="24"/>
                <w:szCs w:val="24"/>
              </w:rPr>
            </w:pPr>
            <w:r w:rsidRPr="00A5204E">
              <w:rPr>
                <w:rFonts w:ascii="Arial" w:hAnsi="Arial" w:cs="Arial"/>
                <w:sz w:val="24"/>
                <w:szCs w:val="24"/>
              </w:rPr>
              <w:t xml:space="preserve">the Scheme presented a rapidly changing scenario where Government policy and legal advice changed daily;  </w:t>
            </w:r>
          </w:p>
          <w:p w14:paraId="5C98B44F" w14:textId="77777777" w:rsidR="003758B9" w:rsidRPr="003758B9" w:rsidRDefault="00896D6C" w:rsidP="00FD06BF">
            <w:pPr>
              <w:pStyle w:val="ListParagraph"/>
              <w:numPr>
                <w:ilvl w:val="0"/>
                <w:numId w:val="24"/>
              </w:numPr>
              <w:spacing w:line="240" w:lineRule="auto"/>
              <w:ind w:left="488" w:hanging="425"/>
              <w:jc w:val="both"/>
              <w:rPr>
                <w:rFonts w:ascii="Arial" w:hAnsi="Arial" w:cs="Arial"/>
                <w:szCs w:val="24"/>
              </w:rPr>
            </w:pPr>
            <w:r w:rsidRPr="00A5204E">
              <w:rPr>
                <w:rFonts w:ascii="Arial" w:hAnsi="Arial" w:cs="Arial"/>
                <w:sz w:val="24"/>
                <w:szCs w:val="24"/>
              </w:rPr>
              <w:t xml:space="preserve">HLH formally informed THC on 27 March of the intention to apply to the scheme and that a high level of lobbying was being conducted by Community Leisure UK and </w:t>
            </w:r>
            <w:proofErr w:type="spellStart"/>
            <w:r w:rsidRPr="00A5204E">
              <w:rPr>
                <w:rFonts w:ascii="Arial" w:hAnsi="Arial" w:cs="Arial"/>
                <w:sz w:val="24"/>
                <w:szCs w:val="24"/>
              </w:rPr>
              <w:t>sportscotland</w:t>
            </w:r>
            <w:proofErr w:type="spellEnd"/>
            <w:r w:rsidRPr="00A5204E">
              <w:rPr>
                <w:rFonts w:ascii="Arial" w:hAnsi="Arial" w:cs="Arial"/>
                <w:sz w:val="24"/>
                <w:szCs w:val="24"/>
              </w:rPr>
              <w:t xml:space="preserve"> to ensure that Leisure Trusts were eligible for the </w:t>
            </w:r>
            <w:proofErr w:type="gramStart"/>
            <w:r w:rsidRPr="00A5204E">
              <w:rPr>
                <w:rFonts w:ascii="Arial" w:hAnsi="Arial" w:cs="Arial"/>
                <w:sz w:val="24"/>
                <w:szCs w:val="24"/>
              </w:rPr>
              <w:t xml:space="preserve">Scheme;  </w:t>
            </w:r>
            <w:r>
              <w:rPr>
                <w:rFonts w:ascii="Arial" w:hAnsi="Arial" w:cs="Arial"/>
                <w:sz w:val="24"/>
                <w:szCs w:val="24"/>
              </w:rPr>
              <w:t>and</w:t>
            </w:r>
            <w:proofErr w:type="gramEnd"/>
          </w:p>
          <w:p w14:paraId="180F2355" w14:textId="16E14ECC" w:rsidR="00896D6C" w:rsidRDefault="00896D6C" w:rsidP="00FD06BF">
            <w:pPr>
              <w:pStyle w:val="ListParagraph"/>
              <w:numPr>
                <w:ilvl w:val="0"/>
                <w:numId w:val="24"/>
              </w:numPr>
              <w:spacing w:line="240" w:lineRule="auto"/>
              <w:ind w:left="488" w:hanging="425"/>
              <w:jc w:val="both"/>
              <w:rPr>
                <w:rFonts w:ascii="Arial" w:hAnsi="Arial" w:cs="Arial"/>
                <w:szCs w:val="24"/>
              </w:rPr>
            </w:pPr>
            <w:r>
              <w:rPr>
                <w:rFonts w:ascii="Arial" w:hAnsi="Arial" w:cs="Arial"/>
                <w:sz w:val="24"/>
                <w:szCs w:val="24"/>
              </w:rPr>
              <w:t>c</w:t>
            </w:r>
            <w:r w:rsidRPr="00A5204E">
              <w:rPr>
                <w:rFonts w:ascii="Arial" w:hAnsi="Arial" w:cs="Arial"/>
                <w:sz w:val="24"/>
                <w:szCs w:val="24"/>
              </w:rPr>
              <w:t>oncentrated on the moral, benchmarking, financial, employee relations and risk assessment components behind the decision to continue to pay HLH employees their full salary</w:t>
            </w:r>
            <w:r>
              <w:rPr>
                <w:rFonts w:ascii="Arial" w:hAnsi="Arial" w:cs="Arial"/>
                <w:sz w:val="24"/>
                <w:szCs w:val="24"/>
              </w:rPr>
              <w:t>.</w:t>
            </w:r>
          </w:p>
        </w:tc>
      </w:tr>
      <w:tr w:rsidR="005D4CFC" w:rsidRPr="0089449E" w14:paraId="501B3A93" w14:textId="77777777" w:rsidTr="00896D6C">
        <w:tc>
          <w:tcPr>
            <w:tcW w:w="851" w:type="dxa"/>
          </w:tcPr>
          <w:p w14:paraId="75B6504E" w14:textId="57D4BC46" w:rsidR="005D4CFC" w:rsidRPr="00B85745" w:rsidRDefault="00FD06BF" w:rsidP="005D4CFC">
            <w:pPr>
              <w:autoSpaceDE w:val="0"/>
              <w:autoSpaceDN w:val="0"/>
              <w:adjustRightInd w:val="0"/>
              <w:rPr>
                <w:rFonts w:ascii="Arial" w:hAnsi="Arial" w:cs="Arial"/>
              </w:rPr>
            </w:pPr>
            <w:r>
              <w:rPr>
                <w:rFonts w:ascii="Arial" w:hAnsi="Arial" w:cs="Arial"/>
              </w:rPr>
              <w:t>3</w:t>
            </w:r>
            <w:r w:rsidR="005D4CFC" w:rsidRPr="00B85745">
              <w:rPr>
                <w:rFonts w:ascii="Arial" w:hAnsi="Arial" w:cs="Arial"/>
              </w:rPr>
              <w:t>.3.2</w:t>
            </w:r>
          </w:p>
        </w:tc>
        <w:tc>
          <w:tcPr>
            <w:tcW w:w="8755" w:type="dxa"/>
            <w:gridSpan w:val="2"/>
          </w:tcPr>
          <w:p w14:paraId="5DCF706B" w14:textId="2939B1E6" w:rsidR="005D4CFC" w:rsidRDefault="005D4CFC" w:rsidP="00FD06BF">
            <w:pPr>
              <w:jc w:val="both"/>
              <w:rPr>
                <w:rFonts w:ascii="Arial" w:hAnsi="Arial" w:cs="Arial"/>
                <w:szCs w:val="24"/>
              </w:rPr>
            </w:pPr>
            <w:r>
              <w:rPr>
                <w:rFonts w:ascii="Arial" w:hAnsi="Arial" w:cs="Arial"/>
                <w:szCs w:val="24"/>
              </w:rPr>
              <w:t>Policy:</w:t>
            </w:r>
          </w:p>
          <w:p w14:paraId="1C7BF963" w14:textId="77777777" w:rsidR="005D4CFC" w:rsidRDefault="005D4CFC" w:rsidP="00FD06BF">
            <w:pPr>
              <w:jc w:val="both"/>
              <w:rPr>
                <w:rFonts w:ascii="Arial" w:hAnsi="Arial" w:cs="Arial"/>
                <w:szCs w:val="24"/>
              </w:rPr>
            </w:pPr>
          </w:p>
          <w:p w14:paraId="77773193" w14:textId="483A2A4B" w:rsidR="005D4CFC" w:rsidRPr="00B85745" w:rsidRDefault="005D4CFC" w:rsidP="00FD06BF">
            <w:pPr>
              <w:pStyle w:val="ListParagraph"/>
              <w:numPr>
                <w:ilvl w:val="0"/>
                <w:numId w:val="16"/>
              </w:numPr>
              <w:spacing w:line="240" w:lineRule="auto"/>
              <w:ind w:left="488" w:hanging="425"/>
              <w:jc w:val="both"/>
              <w:rPr>
                <w:rFonts w:ascii="Arial" w:hAnsi="Arial" w:cs="Arial"/>
                <w:sz w:val="24"/>
                <w:szCs w:val="24"/>
              </w:rPr>
            </w:pPr>
            <w:r w:rsidRPr="00B85745">
              <w:rPr>
                <w:rFonts w:ascii="Arial" w:hAnsi="Arial" w:cs="Arial"/>
                <w:sz w:val="24"/>
                <w:szCs w:val="24"/>
              </w:rPr>
              <w:t>every effort has been made to communicate regularly with council officers, given the unprecedented pace of change and availability of key people;</w:t>
            </w:r>
          </w:p>
          <w:p w14:paraId="32B5CC97" w14:textId="730B16BE" w:rsidR="005D4CFC" w:rsidRPr="00A5204E" w:rsidRDefault="005D4CFC" w:rsidP="00FD06BF">
            <w:pPr>
              <w:pStyle w:val="ListParagraph"/>
              <w:numPr>
                <w:ilvl w:val="0"/>
                <w:numId w:val="16"/>
              </w:numPr>
              <w:spacing w:line="240" w:lineRule="auto"/>
              <w:ind w:left="488" w:hanging="425"/>
              <w:jc w:val="both"/>
              <w:rPr>
                <w:rFonts w:ascii="Arial" w:hAnsi="Arial" w:cs="Arial"/>
                <w:sz w:val="24"/>
                <w:szCs w:val="24"/>
              </w:rPr>
            </w:pPr>
            <w:r>
              <w:rPr>
                <w:rFonts w:ascii="Arial" w:hAnsi="Arial" w:cs="Arial"/>
                <w:sz w:val="24"/>
                <w:szCs w:val="24"/>
              </w:rPr>
              <w:t>i</w:t>
            </w:r>
            <w:r w:rsidRPr="00A5204E">
              <w:rPr>
                <w:rFonts w:ascii="Arial" w:hAnsi="Arial" w:cs="Arial"/>
                <w:sz w:val="24"/>
                <w:szCs w:val="24"/>
              </w:rPr>
              <w:t>n what has been a busy, hectic environm</w:t>
            </w:r>
            <w:r>
              <w:rPr>
                <w:rFonts w:ascii="Arial" w:hAnsi="Arial" w:cs="Arial"/>
                <w:sz w:val="24"/>
                <w:szCs w:val="24"/>
              </w:rPr>
              <w:t>ent</w:t>
            </w:r>
            <w:r w:rsidRPr="00A5204E">
              <w:rPr>
                <w:rFonts w:ascii="Arial" w:hAnsi="Arial" w:cs="Arial"/>
                <w:sz w:val="24"/>
                <w:szCs w:val="24"/>
              </w:rPr>
              <w:t>, there has been no intent whatsoever to bypass long-standing communication channels with THC and honour the agreement between parties.  Although decisions have been made rapidly, every effort has been expended to ensure that council colleagues have been aware of HLH intentions.  However, we are very willing to share lessons in order to ensure that good governance is always assiduously followed</w:t>
            </w:r>
            <w:r w:rsidR="00392356">
              <w:rPr>
                <w:rFonts w:ascii="Arial" w:hAnsi="Arial" w:cs="Arial"/>
                <w:sz w:val="24"/>
                <w:szCs w:val="24"/>
              </w:rPr>
              <w:t>;</w:t>
            </w:r>
          </w:p>
          <w:p w14:paraId="03767DD3" w14:textId="77777777" w:rsidR="005D4CFC" w:rsidRDefault="005D4CFC" w:rsidP="00FD06BF">
            <w:pPr>
              <w:pStyle w:val="ListParagraph"/>
              <w:numPr>
                <w:ilvl w:val="0"/>
                <w:numId w:val="16"/>
              </w:numPr>
              <w:spacing w:line="240" w:lineRule="auto"/>
              <w:ind w:left="488" w:hanging="425"/>
              <w:jc w:val="both"/>
              <w:rPr>
                <w:rFonts w:ascii="Arial" w:hAnsi="Arial" w:cs="Arial"/>
                <w:sz w:val="24"/>
                <w:szCs w:val="24"/>
              </w:rPr>
            </w:pPr>
            <w:r w:rsidRPr="00A5204E">
              <w:rPr>
                <w:rFonts w:ascii="Arial" w:hAnsi="Arial" w:cs="Arial"/>
                <w:sz w:val="24"/>
                <w:szCs w:val="24"/>
              </w:rPr>
              <w:t>recognised a shared acceptance of responsibility for any missed communication and for this to be accepted in the spirit intended</w:t>
            </w:r>
            <w:r>
              <w:rPr>
                <w:rFonts w:ascii="Arial" w:hAnsi="Arial" w:cs="Arial"/>
                <w:sz w:val="24"/>
                <w:szCs w:val="24"/>
              </w:rPr>
              <w:t>;</w:t>
            </w:r>
          </w:p>
          <w:p w14:paraId="73C5A745" w14:textId="1CF353F4" w:rsidR="005D4CFC" w:rsidRDefault="005D4CFC" w:rsidP="00FD06BF">
            <w:pPr>
              <w:pStyle w:val="ListParagraph"/>
              <w:numPr>
                <w:ilvl w:val="0"/>
                <w:numId w:val="16"/>
              </w:numPr>
              <w:spacing w:line="240" w:lineRule="auto"/>
              <w:ind w:left="488" w:hanging="425"/>
              <w:jc w:val="both"/>
              <w:rPr>
                <w:rFonts w:ascii="Arial" w:hAnsi="Arial" w:cs="Arial"/>
                <w:sz w:val="24"/>
                <w:szCs w:val="24"/>
              </w:rPr>
            </w:pPr>
            <w:r w:rsidRPr="00A5204E">
              <w:rPr>
                <w:rFonts w:ascii="Arial" w:hAnsi="Arial" w:cs="Arial"/>
                <w:sz w:val="24"/>
                <w:szCs w:val="24"/>
              </w:rPr>
              <w:t>present</w:t>
            </w:r>
            <w:r>
              <w:rPr>
                <w:rFonts w:ascii="Arial" w:hAnsi="Arial" w:cs="Arial"/>
                <w:sz w:val="24"/>
                <w:szCs w:val="24"/>
              </w:rPr>
              <w:t xml:space="preserve">ed </w:t>
            </w:r>
            <w:r w:rsidRPr="00A5204E">
              <w:rPr>
                <w:rFonts w:ascii="Arial" w:hAnsi="Arial" w:cs="Arial"/>
                <w:sz w:val="24"/>
                <w:szCs w:val="24"/>
              </w:rPr>
              <w:t xml:space="preserve">clarification on the data-driven, </w:t>
            </w:r>
            <w:proofErr w:type="gramStart"/>
            <w:r w:rsidRPr="00A5204E">
              <w:rPr>
                <w:rFonts w:ascii="Arial" w:hAnsi="Arial" w:cs="Arial"/>
                <w:sz w:val="24"/>
                <w:szCs w:val="24"/>
              </w:rPr>
              <w:t>evidence based</w:t>
            </w:r>
            <w:proofErr w:type="gramEnd"/>
            <w:r w:rsidRPr="00A5204E">
              <w:rPr>
                <w:rFonts w:ascii="Arial" w:hAnsi="Arial" w:cs="Arial"/>
                <w:sz w:val="24"/>
                <w:szCs w:val="24"/>
              </w:rPr>
              <w:t xml:space="preserve"> approach that has been taken in respect of the JRS application to maintain status quo and pay </w:t>
            </w:r>
            <w:r>
              <w:rPr>
                <w:rFonts w:ascii="Arial" w:hAnsi="Arial" w:cs="Arial"/>
                <w:sz w:val="24"/>
                <w:szCs w:val="24"/>
              </w:rPr>
              <w:t>HLH</w:t>
            </w:r>
            <w:r w:rsidRPr="00A5204E">
              <w:rPr>
                <w:rFonts w:ascii="Arial" w:hAnsi="Arial" w:cs="Arial"/>
                <w:sz w:val="24"/>
                <w:szCs w:val="24"/>
              </w:rPr>
              <w:t xml:space="preserve"> employees at 100% salary with no change to the current payroll position</w:t>
            </w:r>
            <w:r>
              <w:rPr>
                <w:rFonts w:ascii="Arial" w:hAnsi="Arial" w:cs="Arial"/>
                <w:sz w:val="24"/>
                <w:szCs w:val="24"/>
              </w:rPr>
              <w:t>; and</w:t>
            </w:r>
          </w:p>
          <w:p w14:paraId="6E33B107" w14:textId="494A4C8F" w:rsidR="003758B9" w:rsidRPr="00FD06BF" w:rsidRDefault="005D4CFC" w:rsidP="00FD06BF">
            <w:pPr>
              <w:pStyle w:val="ListParagraph"/>
              <w:numPr>
                <w:ilvl w:val="0"/>
                <w:numId w:val="16"/>
              </w:numPr>
              <w:spacing w:line="240" w:lineRule="auto"/>
              <w:ind w:left="488" w:hanging="425"/>
              <w:jc w:val="both"/>
              <w:rPr>
                <w:rFonts w:ascii="Arial" w:hAnsi="Arial" w:cs="Arial"/>
              </w:rPr>
            </w:pPr>
            <w:r w:rsidRPr="00A5204E">
              <w:rPr>
                <w:rFonts w:ascii="Arial" w:hAnsi="Arial" w:cs="Arial"/>
                <w:sz w:val="24"/>
                <w:szCs w:val="24"/>
              </w:rPr>
              <w:t xml:space="preserve">at the time of writing </w:t>
            </w:r>
            <w:r>
              <w:rPr>
                <w:rFonts w:ascii="Arial" w:hAnsi="Arial" w:cs="Arial"/>
                <w:sz w:val="24"/>
                <w:szCs w:val="24"/>
              </w:rPr>
              <w:t xml:space="preserve">the briefing note </w:t>
            </w:r>
            <w:r w:rsidRPr="00A5204E">
              <w:rPr>
                <w:rFonts w:ascii="Arial" w:hAnsi="Arial" w:cs="Arial"/>
                <w:sz w:val="24"/>
                <w:szCs w:val="24"/>
              </w:rPr>
              <w:t xml:space="preserve">HLH was the only trust in Scotland that had made an application to the JRS that had been accepted into the HMRC portal, due in no small part to the dedicated approach of </w:t>
            </w:r>
            <w:r>
              <w:rPr>
                <w:rFonts w:ascii="Arial" w:hAnsi="Arial" w:cs="Arial"/>
                <w:sz w:val="24"/>
                <w:szCs w:val="24"/>
              </w:rPr>
              <w:t xml:space="preserve">the </w:t>
            </w:r>
            <w:proofErr w:type="gramStart"/>
            <w:r>
              <w:rPr>
                <w:rFonts w:ascii="Arial" w:hAnsi="Arial" w:cs="Arial"/>
                <w:sz w:val="24"/>
                <w:szCs w:val="24"/>
              </w:rPr>
              <w:t xml:space="preserve">HLH </w:t>
            </w:r>
            <w:r w:rsidRPr="00A5204E">
              <w:rPr>
                <w:rFonts w:ascii="Arial" w:hAnsi="Arial" w:cs="Arial"/>
                <w:sz w:val="24"/>
                <w:szCs w:val="24"/>
              </w:rPr>
              <w:t xml:space="preserve"> team</w:t>
            </w:r>
            <w:proofErr w:type="gramEnd"/>
            <w:r w:rsidRPr="00A5204E">
              <w:rPr>
                <w:rFonts w:ascii="Arial" w:hAnsi="Arial" w:cs="Arial"/>
                <w:sz w:val="24"/>
                <w:szCs w:val="24"/>
              </w:rPr>
              <w:t>.</w:t>
            </w:r>
            <w:r w:rsidRPr="00A5204E">
              <w:rPr>
                <w:rFonts w:ascii="Arial" w:hAnsi="Arial" w:cs="Arial"/>
              </w:rPr>
              <w:t xml:space="preserve">  </w:t>
            </w:r>
          </w:p>
        </w:tc>
      </w:tr>
      <w:tr w:rsidR="005D4CFC" w:rsidRPr="0089449E" w14:paraId="133628B0" w14:textId="77777777" w:rsidTr="00896D6C">
        <w:tc>
          <w:tcPr>
            <w:tcW w:w="851" w:type="dxa"/>
          </w:tcPr>
          <w:p w14:paraId="5FCB4FC7" w14:textId="339710FF" w:rsidR="005D4CFC" w:rsidRPr="00B85745" w:rsidRDefault="00FD06BF" w:rsidP="005D4CFC">
            <w:pPr>
              <w:autoSpaceDE w:val="0"/>
              <w:autoSpaceDN w:val="0"/>
              <w:adjustRightInd w:val="0"/>
              <w:rPr>
                <w:rFonts w:ascii="Arial" w:hAnsi="Arial" w:cs="Arial"/>
              </w:rPr>
            </w:pPr>
            <w:r>
              <w:rPr>
                <w:rFonts w:ascii="Arial" w:hAnsi="Arial" w:cs="Arial"/>
              </w:rPr>
              <w:t>3</w:t>
            </w:r>
            <w:r w:rsidR="005D4CFC" w:rsidRPr="00B85745">
              <w:rPr>
                <w:rFonts w:ascii="Arial" w:hAnsi="Arial" w:cs="Arial"/>
              </w:rPr>
              <w:t>.3.3</w:t>
            </w:r>
          </w:p>
        </w:tc>
        <w:tc>
          <w:tcPr>
            <w:tcW w:w="8755" w:type="dxa"/>
            <w:gridSpan w:val="2"/>
          </w:tcPr>
          <w:p w14:paraId="3580AB56" w14:textId="77777777" w:rsidR="005D4CFC" w:rsidRPr="00B85745" w:rsidRDefault="005D4CFC" w:rsidP="00FD06BF">
            <w:pPr>
              <w:autoSpaceDE w:val="0"/>
              <w:autoSpaceDN w:val="0"/>
              <w:adjustRightInd w:val="0"/>
              <w:jc w:val="both"/>
              <w:rPr>
                <w:rFonts w:ascii="Arial" w:hAnsi="Arial" w:cs="Arial"/>
                <w:szCs w:val="24"/>
              </w:rPr>
            </w:pPr>
            <w:r w:rsidRPr="00B85745">
              <w:rPr>
                <w:rFonts w:ascii="Arial" w:hAnsi="Arial" w:cs="Arial"/>
                <w:szCs w:val="24"/>
              </w:rPr>
              <w:t>Moral:</w:t>
            </w:r>
          </w:p>
          <w:p w14:paraId="57A0A71F" w14:textId="77777777" w:rsidR="005D4CFC" w:rsidRPr="00B85745" w:rsidRDefault="005D4CFC" w:rsidP="00FD06BF">
            <w:pPr>
              <w:autoSpaceDE w:val="0"/>
              <w:autoSpaceDN w:val="0"/>
              <w:adjustRightInd w:val="0"/>
              <w:jc w:val="both"/>
              <w:rPr>
                <w:rFonts w:ascii="Arial" w:hAnsi="Arial" w:cs="Arial"/>
                <w:szCs w:val="24"/>
              </w:rPr>
            </w:pPr>
          </w:p>
          <w:p w14:paraId="174316E0" w14:textId="2ACD7092" w:rsidR="005D4CFC" w:rsidRDefault="005D4CFC" w:rsidP="00FD06BF">
            <w:pPr>
              <w:pStyle w:val="ListParagraph"/>
              <w:numPr>
                <w:ilvl w:val="0"/>
                <w:numId w:val="17"/>
              </w:numPr>
              <w:autoSpaceDE w:val="0"/>
              <w:autoSpaceDN w:val="0"/>
              <w:adjustRightInd w:val="0"/>
              <w:spacing w:line="240" w:lineRule="auto"/>
              <w:ind w:left="488" w:hanging="284"/>
              <w:jc w:val="both"/>
              <w:rPr>
                <w:rFonts w:ascii="Arial" w:hAnsi="Arial" w:cs="Arial"/>
                <w:sz w:val="24"/>
                <w:szCs w:val="24"/>
              </w:rPr>
            </w:pPr>
            <w:r>
              <w:rPr>
                <w:rFonts w:ascii="Arial" w:hAnsi="Arial" w:cs="Arial"/>
                <w:sz w:val="24"/>
                <w:szCs w:val="24"/>
              </w:rPr>
              <w:t>not paying the top-up would place 51% (c.700) of HLH employees below the level of the Scottish Living Wage.  Paying 80% would also have a disproportionate impact on lower paid employees, potentially inadvertently placing many individuals and families in poverty across the Highlands; and</w:t>
            </w:r>
          </w:p>
          <w:p w14:paraId="15C07431" w14:textId="72F82757" w:rsidR="005D4CFC" w:rsidRPr="00B85745" w:rsidRDefault="005D4CFC" w:rsidP="00FD06BF">
            <w:pPr>
              <w:pStyle w:val="ListParagraph"/>
              <w:numPr>
                <w:ilvl w:val="0"/>
                <w:numId w:val="17"/>
              </w:numPr>
              <w:autoSpaceDE w:val="0"/>
              <w:autoSpaceDN w:val="0"/>
              <w:adjustRightInd w:val="0"/>
              <w:spacing w:line="240" w:lineRule="auto"/>
              <w:ind w:left="488" w:hanging="284"/>
              <w:jc w:val="both"/>
              <w:rPr>
                <w:rFonts w:ascii="Arial" w:hAnsi="Arial" w:cs="Arial"/>
                <w:sz w:val="24"/>
                <w:szCs w:val="24"/>
              </w:rPr>
            </w:pPr>
            <w:r>
              <w:rPr>
                <w:rFonts w:ascii="Arial" w:hAnsi="Arial" w:cs="Arial"/>
                <w:sz w:val="24"/>
                <w:szCs w:val="24"/>
              </w:rPr>
              <w:t>another consideration was the hundreds of HLH employees volunteering across the Highlands, many working alongside Highland Council and NHS(H) colleagues.  The reputational impact of reducing their salaries by 20% whilst they are involved in this type of work would be difficult to contain.</w:t>
            </w:r>
          </w:p>
        </w:tc>
      </w:tr>
      <w:tr w:rsidR="005D4CFC" w:rsidRPr="0089449E" w14:paraId="23544D59" w14:textId="77777777" w:rsidTr="00896D6C">
        <w:tc>
          <w:tcPr>
            <w:tcW w:w="851" w:type="dxa"/>
          </w:tcPr>
          <w:p w14:paraId="49C6BD49" w14:textId="07FC0B11" w:rsidR="005D4CFC" w:rsidRPr="00B85745" w:rsidRDefault="00FD06BF" w:rsidP="005D4CFC">
            <w:pPr>
              <w:autoSpaceDE w:val="0"/>
              <w:autoSpaceDN w:val="0"/>
              <w:adjustRightInd w:val="0"/>
              <w:rPr>
                <w:rFonts w:ascii="Arial" w:hAnsi="Arial" w:cs="Arial"/>
              </w:rPr>
            </w:pPr>
            <w:r>
              <w:rPr>
                <w:rFonts w:ascii="Arial" w:hAnsi="Arial" w:cs="Arial"/>
              </w:rPr>
              <w:t>3</w:t>
            </w:r>
            <w:r w:rsidR="005D4CFC">
              <w:rPr>
                <w:rFonts w:ascii="Arial" w:hAnsi="Arial" w:cs="Arial"/>
              </w:rPr>
              <w:t>.3.4</w:t>
            </w:r>
          </w:p>
        </w:tc>
        <w:tc>
          <w:tcPr>
            <w:tcW w:w="8755" w:type="dxa"/>
            <w:gridSpan w:val="2"/>
          </w:tcPr>
          <w:p w14:paraId="4879F227" w14:textId="73955473" w:rsidR="005D4CFC" w:rsidRDefault="005D4CFC" w:rsidP="00FD06BF">
            <w:pPr>
              <w:autoSpaceDE w:val="0"/>
              <w:autoSpaceDN w:val="0"/>
              <w:adjustRightInd w:val="0"/>
              <w:jc w:val="both"/>
              <w:rPr>
                <w:rFonts w:ascii="Arial" w:hAnsi="Arial" w:cs="Arial"/>
                <w:szCs w:val="24"/>
              </w:rPr>
            </w:pPr>
            <w:r>
              <w:rPr>
                <w:rFonts w:ascii="Arial" w:hAnsi="Arial" w:cs="Arial"/>
                <w:szCs w:val="24"/>
              </w:rPr>
              <w:t>National position:</w:t>
            </w:r>
          </w:p>
          <w:p w14:paraId="42D5AEF9" w14:textId="1AA6664B" w:rsidR="005D4CFC" w:rsidRPr="00B85745" w:rsidRDefault="005D4CFC" w:rsidP="00FD06BF">
            <w:pPr>
              <w:autoSpaceDE w:val="0"/>
              <w:autoSpaceDN w:val="0"/>
              <w:adjustRightInd w:val="0"/>
              <w:ind w:left="488" w:hanging="284"/>
              <w:jc w:val="both"/>
              <w:rPr>
                <w:rFonts w:ascii="Arial" w:hAnsi="Arial" w:cs="Arial"/>
                <w:szCs w:val="24"/>
              </w:rPr>
            </w:pPr>
          </w:p>
          <w:p w14:paraId="68586CD6" w14:textId="64B26E45" w:rsidR="005D4CFC" w:rsidRPr="00B85745" w:rsidRDefault="005D4CFC" w:rsidP="00FD06BF">
            <w:pPr>
              <w:pStyle w:val="ListParagraph"/>
              <w:numPr>
                <w:ilvl w:val="0"/>
                <w:numId w:val="18"/>
              </w:numPr>
              <w:autoSpaceDE w:val="0"/>
              <w:autoSpaceDN w:val="0"/>
              <w:adjustRightInd w:val="0"/>
              <w:spacing w:line="240" w:lineRule="auto"/>
              <w:ind w:left="488" w:hanging="284"/>
              <w:jc w:val="both"/>
              <w:rPr>
                <w:rFonts w:ascii="Arial" w:hAnsi="Arial" w:cs="Arial"/>
                <w:sz w:val="24"/>
                <w:szCs w:val="24"/>
              </w:rPr>
            </w:pPr>
            <w:r>
              <w:rPr>
                <w:rFonts w:ascii="Arial" w:hAnsi="Arial" w:cs="Arial"/>
                <w:sz w:val="24"/>
                <w:szCs w:val="24"/>
              </w:rPr>
              <w:t>a</w:t>
            </w:r>
            <w:r w:rsidRPr="00B85745">
              <w:rPr>
                <w:rFonts w:ascii="Arial" w:hAnsi="Arial" w:cs="Arial"/>
                <w:sz w:val="24"/>
                <w:szCs w:val="24"/>
              </w:rPr>
              <w:t>t the time of writing, as far as we have been able to ascertain from the Community Leisure Scotland cohort, all but two trusts in the country have elected to pay their employees at their full salary.</w:t>
            </w:r>
          </w:p>
        </w:tc>
      </w:tr>
      <w:tr w:rsidR="005D4CFC" w:rsidRPr="0089449E" w14:paraId="1998CE76" w14:textId="77777777" w:rsidTr="00896D6C">
        <w:tc>
          <w:tcPr>
            <w:tcW w:w="851" w:type="dxa"/>
          </w:tcPr>
          <w:p w14:paraId="41BD1B97" w14:textId="7AADDE4C" w:rsidR="005D4CFC" w:rsidRPr="00B85745" w:rsidRDefault="00FD06BF" w:rsidP="005D4CFC">
            <w:pPr>
              <w:autoSpaceDE w:val="0"/>
              <w:autoSpaceDN w:val="0"/>
              <w:adjustRightInd w:val="0"/>
              <w:rPr>
                <w:rFonts w:ascii="Arial" w:hAnsi="Arial" w:cs="Arial"/>
              </w:rPr>
            </w:pPr>
            <w:r>
              <w:rPr>
                <w:rFonts w:ascii="Arial" w:hAnsi="Arial" w:cs="Arial"/>
              </w:rPr>
              <w:t>3</w:t>
            </w:r>
            <w:r w:rsidR="005D4CFC">
              <w:rPr>
                <w:rFonts w:ascii="Arial" w:hAnsi="Arial" w:cs="Arial"/>
              </w:rPr>
              <w:t>.3.5</w:t>
            </w:r>
          </w:p>
        </w:tc>
        <w:tc>
          <w:tcPr>
            <w:tcW w:w="8755" w:type="dxa"/>
            <w:gridSpan w:val="2"/>
          </w:tcPr>
          <w:p w14:paraId="32C79196" w14:textId="16B95412" w:rsidR="005D4CFC" w:rsidRDefault="005D4CFC" w:rsidP="00FD06BF">
            <w:pPr>
              <w:autoSpaceDE w:val="0"/>
              <w:autoSpaceDN w:val="0"/>
              <w:adjustRightInd w:val="0"/>
              <w:jc w:val="both"/>
              <w:rPr>
                <w:rFonts w:ascii="Arial" w:hAnsi="Arial" w:cs="Arial"/>
                <w:szCs w:val="24"/>
              </w:rPr>
            </w:pPr>
            <w:r>
              <w:rPr>
                <w:rFonts w:ascii="Arial" w:hAnsi="Arial" w:cs="Arial"/>
                <w:szCs w:val="24"/>
              </w:rPr>
              <w:t>Financial:</w:t>
            </w:r>
          </w:p>
          <w:p w14:paraId="5EDAEAEA" w14:textId="7026B01C" w:rsidR="005D4CFC" w:rsidRPr="00385053" w:rsidRDefault="005D4CFC" w:rsidP="00FD06BF">
            <w:pPr>
              <w:autoSpaceDE w:val="0"/>
              <w:autoSpaceDN w:val="0"/>
              <w:adjustRightInd w:val="0"/>
              <w:jc w:val="both"/>
              <w:rPr>
                <w:rFonts w:ascii="Arial" w:hAnsi="Arial" w:cs="Arial"/>
                <w:szCs w:val="24"/>
              </w:rPr>
            </w:pPr>
          </w:p>
          <w:p w14:paraId="173F1065" w14:textId="0863F542" w:rsidR="005D4CFC" w:rsidRDefault="005D4CFC" w:rsidP="00FD06BF">
            <w:pPr>
              <w:pStyle w:val="ListParagraph"/>
              <w:numPr>
                <w:ilvl w:val="0"/>
                <w:numId w:val="19"/>
              </w:numPr>
              <w:autoSpaceDE w:val="0"/>
              <w:autoSpaceDN w:val="0"/>
              <w:adjustRightInd w:val="0"/>
              <w:spacing w:line="240" w:lineRule="auto"/>
              <w:ind w:left="488" w:hanging="425"/>
              <w:jc w:val="both"/>
              <w:rPr>
                <w:rFonts w:ascii="Arial" w:hAnsi="Arial" w:cs="Arial"/>
                <w:sz w:val="24"/>
                <w:szCs w:val="24"/>
              </w:rPr>
            </w:pPr>
            <w:r>
              <w:rPr>
                <w:rFonts w:ascii="Arial" w:hAnsi="Arial" w:cs="Arial"/>
                <w:sz w:val="24"/>
                <w:szCs w:val="24"/>
              </w:rPr>
              <w:t xml:space="preserve">the financial position is complex, with a variety of variable factors to consider.  On initial estimates of membership and income attrition, it seemed likely that, if eligible for the scheme and with use of reserves and rapid business recovery, the financial year end position was secure.  As the situation has developed, the financial implications have shifted as </w:t>
            </w:r>
            <w:r w:rsidR="003758B9">
              <w:rPr>
                <w:rFonts w:ascii="Arial" w:hAnsi="Arial" w:cs="Arial"/>
                <w:sz w:val="24"/>
                <w:szCs w:val="24"/>
              </w:rPr>
              <w:t xml:space="preserve">it </w:t>
            </w:r>
            <w:r>
              <w:rPr>
                <w:rFonts w:ascii="Arial" w:hAnsi="Arial" w:cs="Arial"/>
                <w:sz w:val="24"/>
                <w:szCs w:val="24"/>
              </w:rPr>
              <w:t>does not consider the UK Government announcement that the JRS will be extended</w:t>
            </w:r>
            <w:r w:rsidR="003758B9">
              <w:rPr>
                <w:rFonts w:ascii="Arial" w:hAnsi="Arial" w:cs="Arial"/>
                <w:sz w:val="24"/>
                <w:szCs w:val="24"/>
              </w:rPr>
              <w:t>.</w:t>
            </w:r>
            <w:r>
              <w:rPr>
                <w:rFonts w:ascii="Arial" w:hAnsi="Arial" w:cs="Arial"/>
                <w:sz w:val="24"/>
                <w:szCs w:val="24"/>
              </w:rPr>
              <w:t xml:space="preserve">  The extension</w:t>
            </w:r>
            <w:r w:rsidR="003758B9">
              <w:rPr>
                <w:rFonts w:ascii="Arial" w:hAnsi="Arial" w:cs="Arial"/>
                <w:sz w:val="24"/>
                <w:szCs w:val="24"/>
              </w:rPr>
              <w:t xml:space="preserve"> of the scheme</w:t>
            </w:r>
            <w:r>
              <w:rPr>
                <w:rFonts w:ascii="Arial" w:hAnsi="Arial" w:cs="Arial"/>
                <w:sz w:val="24"/>
                <w:szCs w:val="24"/>
              </w:rPr>
              <w:t xml:space="preserve"> will improve the financial position significantly although the exact implications have yet to be worked out in detail;</w:t>
            </w:r>
          </w:p>
          <w:p w14:paraId="2817731C" w14:textId="7AC7CD9A" w:rsidR="005D4CFC" w:rsidRDefault="005D4CFC" w:rsidP="00FD06BF">
            <w:pPr>
              <w:pStyle w:val="ListParagraph"/>
              <w:numPr>
                <w:ilvl w:val="0"/>
                <w:numId w:val="19"/>
              </w:numPr>
              <w:autoSpaceDE w:val="0"/>
              <w:autoSpaceDN w:val="0"/>
              <w:adjustRightInd w:val="0"/>
              <w:spacing w:line="240" w:lineRule="auto"/>
              <w:ind w:left="488" w:hanging="425"/>
              <w:jc w:val="both"/>
              <w:rPr>
                <w:rFonts w:ascii="Arial" w:hAnsi="Arial" w:cs="Arial"/>
                <w:sz w:val="24"/>
                <w:szCs w:val="24"/>
              </w:rPr>
            </w:pPr>
            <w:r>
              <w:rPr>
                <w:rFonts w:ascii="Arial" w:hAnsi="Arial" w:cs="Arial"/>
                <w:sz w:val="24"/>
                <w:szCs w:val="24"/>
              </w:rPr>
              <w:t xml:space="preserve">the cost of the 20% top up per month is c. £200k, this number will vary as more staff are placed on furlough leave, these staff are peer-reviewed by senior management on a </w:t>
            </w:r>
            <w:proofErr w:type="gramStart"/>
            <w:r>
              <w:rPr>
                <w:rFonts w:ascii="Arial" w:hAnsi="Arial" w:cs="Arial"/>
                <w:sz w:val="24"/>
                <w:szCs w:val="24"/>
              </w:rPr>
              <w:t>weekly  basis</w:t>
            </w:r>
            <w:proofErr w:type="gramEnd"/>
            <w:r>
              <w:rPr>
                <w:rFonts w:ascii="Arial" w:hAnsi="Arial" w:cs="Arial"/>
                <w:sz w:val="24"/>
                <w:szCs w:val="24"/>
              </w:rPr>
              <w:t>; and</w:t>
            </w:r>
          </w:p>
          <w:p w14:paraId="0ED84341" w14:textId="10024F5B" w:rsidR="005D4CFC" w:rsidRPr="00B85745" w:rsidRDefault="005D4CFC" w:rsidP="00FD06BF">
            <w:pPr>
              <w:pStyle w:val="ListParagraph"/>
              <w:numPr>
                <w:ilvl w:val="0"/>
                <w:numId w:val="19"/>
              </w:numPr>
              <w:autoSpaceDE w:val="0"/>
              <w:autoSpaceDN w:val="0"/>
              <w:adjustRightInd w:val="0"/>
              <w:spacing w:line="240" w:lineRule="auto"/>
              <w:ind w:left="488" w:hanging="425"/>
              <w:jc w:val="both"/>
              <w:rPr>
                <w:rFonts w:ascii="Arial" w:hAnsi="Arial" w:cs="Arial"/>
                <w:sz w:val="24"/>
                <w:szCs w:val="24"/>
              </w:rPr>
            </w:pPr>
            <w:bookmarkStart w:id="0" w:name="_Hlk39569452"/>
            <w:r>
              <w:rPr>
                <w:rFonts w:ascii="Arial" w:hAnsi="Arial" w:cs="Arial"/>
                <w:sz w:val="24"/>
                <w:szCs w:val="24"/>
              </w:rPr>
              <w:t xml:space="preserve">cost of redundancy was a factor on financial calculations, the JRS requires consultation at individual level offering employees either to join the scheme, unpaid leave or redundancy.  In accord with a number of other trusts </w:t>
            </w:r>
            <w:proofErr w:type="gramStart"/>
            <w:r>
              <w:rPr>
                <w:rFonts w:ascii="Arial" w:hAnsi="Arial" w:cs="Arial"/>
                <w:sz w:val="24"/>
                <w:szCs w:val="24"/>
              </w:rPr>
              <w:t>HLH  have</w:t>
            </w:r>
            <w:proofErr w:type="gramEnd"/>
            <w:r>
              <w:rPr>
                <w:rFonts w:ascii="Arial" w:hAnsi="Arial" w:cs="Arial"/>
                <w:sz w:val="24"/>
                <w:szCs w:val="24"/>
              </w:rPr>
              <w:t xml:space="preserve"> agreed with Trade Unions, that redundancy would only be offered on statutory terms, this was contingent upon payment of the top up.  Given that 15% of HLH employees have in excess of 20 </w:t>
            </w:r>
            <w:proofErr w:type="spellStart"/>
            <w:r>
              <w:rPr>
                <w:rFonts w:ascii="Arial" w:hAnsi="Arial" w:cs="Arial"/>
                <w:sz w:val="24"/>
                <w:szCs w:val="24"/>
              </w:rPr>
              <w:t>years service</w:t>
            </w:r>
            <w:proofErr w:type="spellEnd"/>
            <w:r>
              <w:rPr>
                <w:rFonts w:ascii="Arial" w:hAnsi="Arial" w:cs="Arial"/>
                <w:sz w:val="24"/>
                <w:szCs w:val="24"/>
              </w:rPr>
              <w:t>, the risks were significant.  Based on an estimated take up of 2% of our workforce electing to take this option, the redundancy costs in year would have been c. £900K, outweighing the risks of top up.  This does not take account of the business risk of key workers electing to leave the organisation.</w:t>
            </w:r>
            <w:bookmarkEnd w:id="0"/>
          </w:p>
        </w:tc>
      </w:tr>
      <w:tr w:rsidR="005D4CFC" w:rsidRPr="0089449E" w14:paraId="7EAB7C12" w14:textId="77777777" w:rsidTr="00896D6C">
        <w:tc>
          <w:tcPr>
            <w:tcW w:w="851" w:type="dxa"/>
          </w:tcPr>
          <w:p w14:paraId="4F72F23C" w14:textId="61A213A3" w:rsidR="005D4CFC" w:rsidRPr="00385053" w:rsidRDefault="00FD06BF" w:rsidP="005D4CFC">
            <w:pPr>
              <w:autoSpaceDE w:val="0"/>
              <w:autoSpaceDN w:val="0"/>
              <w:adjustRightInd w:val="0"/>
              <w:rPr>
                <w:rFonts w:ascii="Arial" w:hAnsi="Arial" w:cs="Arial"/>
              </w:rPr>
            </w:pPr>
            <w:r>
              <w:rPr>
                <w:rFonts w:ascii="Arial" w:hAnsi="Arial" w:cs="Arial"/>
              </w:rPr>
              <w:t>3</w:t>
            </w:r>
            <w:r w:rsidR="005D4CFC">
              <w:rPr>
                <w:rFonts w:ascii="Arial" w:hAnsi="Arial" w:cs="Arial"/>
              </w:rPr>
              <w:t>.3.6</w:t>
            </w:r>
          </w:p>
        </w:tc>
        <w:tc>
          <w:tcPr>
            <w:tcW w:w="8755" w:type="dxa"/>
            <w:gridSpan w:val="2"/>
          </w:tcPr>
          <w:p w14:paraId="1591CF4B" w14:textId="4F758DC8" w:rsidR="005D4CFC" w:rsidRPr="00385053" w:rsidRDefault="005D4CFC" w:rsidP="00FD06BF">
            <w:pPr>
              <w:autoSpaceDE w:val="0"/>
              <w:autoSpaceDN w:val="0"/>
              <w:adjustRightInd w:val="0"/>
              <w:jc w:val="both"/>
              <w:rPr>
                <w:rFonts w:ascii="Arial" w:hAnsi="Arial" w:cs="Arial"/>
                <w:szCs w:val="24"/>
              </w:rPr>
            </w:pPr>
            <w:r w:rsidRPr="00385053">
              <w:rPr>
                <w:rFonts w:ascii="Arial" w:hAnsi="Arial" w:cs="Arial"/>
              </w:rPr>
              <w:t>Employee Relations</w:t>
            </w:r>
            <w:r>
              <w:rPr>
                <w:rFonts w:ascii="Arial" w:hAnsi="Arial" w:cs="Arial"/>
              </w:rPr>
              <w:t>:</w:t>
            </w:r>
          </w:p>
          <w:p w14:paraId="6BCCFF48" w14:textId="326A4DE4" w:rsidR="005D4CFC" w:rsidRPr="00385053" w:rsidRDefault="005D4CFC" w:rsidP="00FD06BF">
            <w:pPr>
              <w:autoSpaceDE w:val="0"/>
              <w:autoSpaceDN w:val="0"/>
              <w:adjustRightInd w:val="0"/>
              <w:jc w:val="both"/>
              <w:rPr>
                <w:rFonts w:ascii="Arial" w:hAnsi="Arial" w:cs="Arial"/>
                <w:szCs w:val="24"/>
              </w:rPr>
            </w:pPr>
          </w:p>
          <w:p w14:paraId="07C3D412" w14:textId="78DD3A09" w:rsidR="005D4CFC" w:rsidRPr="00F43674" w:rsidRDefault="005D4CFC" w:rsidP="00FD06BF">
            <w:pPr>
              <w:pStyle w:val="ListParagraph"/>
              <w:numPr>
                <w:ilvl w:val="0"/>
                <w:numId w:val="20"/>
              </w:numPr>
              <w:autoSpaceDE w:val="0"/>
              <w:autoSpaceDN w:val="0"/>
              <w:adjustRightInd w:val="0"/>
              <w:spacing w:line="240" w:lineRule="auto"/>
              <w:ind w:left="488" w:hanging="425"/>
              <w:jc w:val="both"/>
              <w:rPr>
                <w:rFonts w:ascii="Arial" w:hAnsi="Arial" w:cs="Arial"/>
                <w:sz w:val="24"/>
                <w:szCs w:val="24"/>
              </w:rPr>
            </w:pPr>
            <w:r>
              <w:rPr>
                <w:rFonts w:ascii="Arial" w:hAnsi="Arial" w:cs="Arial"/>
                <w:sz w:val="24"/>
                <w:szCs w:val="24"/>
              </w:rPr>
              <w:t>HLH has entered into a collective agreement with GMB, Unison and Unite with respect to the application of the JRS and how it is being applied to the workforce.  The agreement is being used as an exemplar templa</w:t>
            </w:r>
            <w:r w:rsidR="003758B9">
              <w:rPr>
                <w:rFonts w:ascii="Arial" w:hAnsi="Arial" w:cs="Arial"/>
                <w:sz w:val="24"/>
                <w:szCs w:val="24"/>
              </w:rPr>
              <w:t>t</w:t>
            </w:r>
            <w:r>
              <w:rPr>
                <w:rFonts w:ascii="Arial" w:hAnsi="Arial" w:cs="Arial"/>
                <w:sz w:val="24"/>
                <w:szCs w:val="24"/>
              </w:rPr>
              <w:t xml:space="preserve">e and is currently in the process of being adopted by a number of other trusts.  The strength of a collective agreement with unions will also help with any uncertainty over eligibility with HMRC and protects our </w:t>
            </w:r>
            <w:proofErr w:type="gramStart"/>
            <w:r>
              <w:rPr>
                <w:rFonts w:ascii="Arial" w:hAnsi="Arial" w:cs="Arial"/>
                <w:sz w:val="24"/>
                <w:szCs w:val="24"/>
              </w:rPr>
              <w:t>hard earned</w:t>
            </w:r>
            <w:proofErr w:type="gramEnd"/>
            <w:r>
              <w:rPr>
                <w:rFonts w:ascii="Arial" w:hAnsi="Arial" w:cs="Arial"/>
                <w:sz w:val="24"/>
                <w:szCs w:val="24"/>
              </w:rPr>
              <w:t xml:space="preserve"> reputation as a responsible, fair minded employer.  The collective agreement also includes a commitment to pay staff 100%.</w:t>
            </w:r>
          </w:p>
        </w:tc>
      </w:tr>
      <w:tr w:rsidR="005D4CFC" w:rsidRPr="0089449E" w14:paraId="2E46A66B" w14:textId="77777777" w:rsidTr="00896D6C">
        <w:tc>
          <w:tcPr>
            <w:tcW w:w="851" w:type="dxa"/>
          </w:tcPr>
          <w:p w14:paraId="47ED4309" w14:textId="00AD3B42" w:rsidR="005D4CFC" w:rsidRDefault="00FD06BF" w:rsidP="005D4CFC">
            <w:pPr>
              <w:autoSpaceDE w:val="0"/>
              <w:autoSpaceDN w:val="0"/>
              <w:adjustRightInd w:val="0"/>
              <w:rPr>
                <w:rFonts w:ascii="Arial" w:hAnsi="Arial" w:cs="Arial"/>
              </w:rPr>
            </w:pPr>
            <w:r>
              <w:rPr>
                <w:rFonts w:ascii="Arial" w:hAnsi="Arial" w:cs="Arial"/>
              </w:rPr>
              <w:t>3</w:t>
            </w:r>
            <w:r w:rsidR="005D4CFC">
              <w:rPr>
                <w:rFonts w:ascii="Arial" w:hAnsi="Arial" w:cs="Arial"/>
              </w:rPr>
              <w:t>.3.7</w:t>
            </w:r>
          </w:p>
        </w:tc>
        <w:tc>
          <w:tcPr>
            <w:tcW w:w="8755" w:type="dxa"/>
            <w:gridSpan w:val="2"/>
          </w:tcPr>
          <w:p w14:paraId="62DCDBB0" w14:textId="72B54545" w:rsidR="005D4CFC" w:rsidRDefault="005D4CFC" w:rsidP="00FD06BF">
            <w:pPr>
              <w:autoSpaceDE w:val="0"/>
              <w:autoSpaceDN w:val="0"/>
              <w:adjustRightInd w:val="0"/>
              <w:jc w:val="both"/>
              <w:rPr>
                <w:rFonts w:ascii="Arial" w:hAnsi="Arial" w:cs="Arial"/>
              </w:rPr>
            </w:pPr>
            <w:r>
              <w:rPr>
                <w:rFonts w:ascii="Arial" w:hAnsi="Arial" w:cs="Arial"/>
              </w:rPr>
              <w:t>Business Risks:</w:t>
            </w:r>
          </w:p>
          <w:p w14:paraId="2F2F6E1D" w14:textId="49A026BA" w:rsidR="005D4CFC" w:rsidRPr="004223C7" w:rsidRDefault="005D4CFC" w:rsidP="00FD06BF">
            <w:pPr>
              <w:autoSpaceDE w:val="0"/>
              <w:autoSpaceDN w:val="0"/>
              <w:adjustRightInd w:val="0"/>
              <w:jc w:val="both"/>
              <w:rPr>
                <w:rFonts w:ascii="Arial" w:hAnsi="Arial" w:cs="Arial"/>
                <w:szCs w:val="24"/>
              </w:rPr>
            </w:pPr>
          </w:p>
          <w:p w14:paraId="1FFA7F65" w14:textId="6A0104BF" w:rsidR="005D4CFC" w:rsidRDefault="005D4CFC" w:rsidP="00FD06BF">
            <w:pPr>
              <w:pStyle w:val="ListParagraph"/>
              <w:numPr>
                <w:ilvl w:val="0"/>
                <w:numId w:val="21"/>
              </w:numPr>
              <w:autoSpaceDE w:val="0"/>
              <w:autoSpaceDN w:val="0"/>
              <w:adjustRightInd w:val="0"/>
              <w:spacing w:line="240" w:lineRule="auto"/>
              <w:ind w:left="488" w:hanging="488"/>
              <w:jc w:val="both"/>
              <w:rPr>
                <w:rFonts w:ascii="Arial" w:hAnsi="Arial" w:cs="Arial"/>
                <w:sz w:val="24"/>
                <w:szCs w:val="24"/>
              </w:rPr>
            </w:pPr>
            <w:r>
              <w:rPr>
                <w:rFonts w:ascii="Arial" w:hAnsi="Arial" w:cs="Arial"/>
                <w:sz w:val="24"/>
                <w:szCs w:val="24"/>
              </w:rPr>
              <w:t xml:space="preserve">The briefing note to THC Administration was relatively rapidly constructed and more detail was offered to be made available as required.  The business risks associated with JRS will be mitigated by constant re-evaluation of the approach taken, including top up.  However, the first major risk was eligibility to the scheme – this has now been confirmed with the first </w:t>
            </w:r>
            <w:r w:rsidR="003758B9">
              <w:rPr>
                <w:rFonts w:ascii="Arial" w:hAnsi="Arial" w:cs="Arial"/>
                <w:sz w:val="24"/>
                <w:szCs w:val="24"/>
              </w:rPr>
              <w:t xml:space="preserve">two </w:t>
            </w:r>
            <w:r>
              <w:rPr>
                <w:rFonts w:ascii="Arial" w:hAnsi="Arial" w:cs="Arial"/>
                <w:sz w:val="24"/>
                <w:szCs w:val="24"/>
              </w:rPr>
              <w:t>payment</w:t>
            </w:r>
            <w:r w:rsidR="003758B9">
              <w:rPr>
                <w:rFonts w:ascii="Arial" w:hAnsi="Arial" w:cs="Arial"/>
                <w:sz w:val="24"/>
                <w:szCs w:val="24"/>
              </w:rPr>
              <w:t>s</w:t>
            </w:r>
            <w:r>
              <w:rPr>
                <w:rFonts w:ascii="Arial" w:hAnsi="Arial" w:cs="Arial"/>
                <w:sz w:val="24"/>
                <w:szCs w:val="24"/>
              </w:rPr>
              <w:t xml:space="preserve"> received.</w:t>
            </w:r>
          </w:p>
          <w:p w14:paraId="622AF0E6" w14:textId="77599A35" w:rsidR="005D4CFC" w:rsidRDefault="005D4CFC" w:rsidP="00FD06BF">
            <w:pPr>
              <w:pStyle w:val="ListParagraph"/>
              <w:numPr>
                <w:ilvl w:val="0"/>
                <w:numId w:val="21"/>
              </w:numPr>
              <w:autoSpaceDE w:val="0"/>
              <w:autoSpaceDN w:val="0"/>
              <w:adjustRightInd w:val="0"/>
              <w:spacing w:line="240" w:lineRule="auto"/>
              <w:ind w:left="488" w:hanging="488"/>
              <w:jc w:val="both"/>
              <w:rPr>
                <w:rFonts w:ascii="Arial" w:hAnsi="Arial" w:cs="Arial"/>
                <w:sz w:val="24"/>
                <w:szCs w:val="24"/>
              </w:rPr>
            </w:pPr>
            <w:r>
              <w:rPr>
                <w:rFonts w:ascii="Arial" w:hAnsi="Arial" w:cs="Arial"/>
                <w:sz w:val="24"/>
                <w:szCs w:val="24"/>
              </w:rPr>
              <w:t>HLH has set up a Recovery Action Group with a focus on the most likely scenario for re-introduction of services and restoration of income.  Part of the process will be how best to leverage the innovation and technology solutions that have been put in place to deliver services more efficiently during lockdown; early collaboration with Council members and colleagues to share opportunities for the joint realisation of benefits would be hugely welcomed.</w:t>
            </w:r>
          </w:p>
          <w:p w14:paraId="53240227" w14:textId="1B2F5172" w:rsidR="005D4CFC" w:rsidRDefault="005D4CFC" w:rsidP="00FD06BF">
            <w:pPr>
              <w:pStyle w:val="ListParagraph"/>
              <w:numPr>
                <w:ilvl w:val="0"/>
                <w:numId w:val="21"/>
              </w:numPr>
              <w:autoSpaceDE w:val="0"/>
              <w:autoSpaceDN w:val="0"/>
              <w:adjustRightInd w:val="0"/>
              <w:spacing w:after="0" w:line="240" w:lineRule="auto"/>
              <w:ind w:left="488" w:hanging="488"/>
              <w:jc w:val="both"/>
              <w:rPr>
                <w:rFonts w:ascii="Arial" w:hAnsi="Arial" w:cs="Arial"/>
                <w:sz w:val="24"/>
                <w:szCs w:val="24"/>
              </w:rPr>
            </w:pPr>
            <w:r w:rsidRPr="00DE7BF4">
              <w:rPr>
                <w:rFonts w:ascii="Arial" w:hAnsi="Arial" w:cs="Arial"/>
                <w:sz w:val="24"/>
                <w:szCs w:val="24"/>
              </w:rPr>
              <w:t>Finally, in addition to the routine engagements at officer level, the Chair of the High Life Highland Board, Ian Ross, having expressed his willingness to speak with THC elected members to seek to gain a shared understanding of the challenges both organisations face, with an aim of supporting officers with clear strategic guidance between the HLH Board and elected members</w:t>
            </w:r>
            <w:r>
              <w:rPr>
                <w:rFonts w:ascii="Arial" w:hAnsi="Arial" w:cs="Arial"/>
                <w:sz w:val="24"/>
                <w:szCs w:val="24"/>
              </w:rPr>
              <w:t xml:space="preserve"> </w:t>
            </w:r>
            <w:r w:rsidRPr="00DE7BF4">
              <w:rPr>
                <w:rFonts w:ascii="Arial" w:hAnsi="Arial" w:cs="Arial"/>
                <w:sz w:val="24"/>
                <w:szCs w:val="24"/>
              </w:rPr>
              <w:t>has already participated in the first meeting with THC senior administration members on</w:t>
            </w:r>
            <w:r>
              <w:rPr>
                <w:rFonts w:ascii="Arial" w:hAnsi="Arial" w:cs="Arial"/>
                <w:sz w:val="24"/>
                <w:szCs w:val="24"/>
              </w:rPr>
              <w:t xml:space="preserve"> 5 May 2020.</w:t>
            </w:r>
          </w:p>
          <w:p w14:paraId="74319C50" w14:textId="5855156E" w:rsidR="005D4CFC" w:rsidRPr="004223C7" w:rsidRDefault="005D4CFC" w:rsidP="00FD06BF">
            <w:pPr>
              <w:pStyle w:val="ListParagraph"/>
              <w:autoSpaceDE w:val="0"/>
              <w:autoSpaceDN w:val="0"/>
              <w:adjustRightInd w:val="0"/>
              <w:spacing w:after="0" w:line="240" w:lineRule="auto"/>
              <w:ind w:left="488"/>
              <w:jc w:val="both"/>
              <w:rPr>
                <w:rFonts w:ascii="Arial" w:hAnsi="Arial" w:cs="Arial"/>
                <w:sz w:val="24"/>
                <w:szCs w:val="24"/>
              </w:rPr>
            </w:pPr>
          </w:p>
        </w:tc>
      </w:tr>
      <w:tr w:rsidR="005D4CFC" w:rsidRPr="0089449E" w14:paraId="2A565C32" w14:textId="77777777" w:rsidTr="00896D6C">
        <w:tc>
          <w:tcPr>
            <w:tcW w:w="851" w:type="dxa"/>
          </w:tcPr>
          <w:p w14:paraId="1EF98294" w14:textId="3D5DECAD" w:rsidR="005D4CFC" w:rsidRPr="00EB11F3" w:rsidRDefault="00FD06BF" w:rsidP="005D4CFC">
            <w:pPr>
              <w:autoSpaceDE w:val="0"/>
              <w:autoSpaceDN w:val="0"/>
              <w:adjustRightInd w:val="0"/>
              <w:rPr>
                <w:rFonts w:ascii="Arial" w:hAnsi="Arial" w:cs="Arial"/>
                <w:b/>
              </w:rPr>
            </w:pPr>
            <w:r>
              <w:rPr>
                <w:rFonts w:ascii="Arial" w:hAnsi="Arial" w:cs="Arial"/>
                <w:b/>
              </w:rPr>
              <w:t>4</w:t>
            </w:r>
            <w:r w:rsidR="005D4CFC" w:rsidRPr="00EB11F3">
              <w:rPr>
                <w:rFonts w:ascii="Arial" w:hAnsi="Arial" w:cs="Arial"/>
                <w:b/>
              </w:rPr>
              <w:t>.</w:t>
            </w:r>
          </w:p>
        </w:tc>
        <w:tc>
          <w:tcPr>
            <w:tcW w:w="8755" w:type="dxa"/>
            <w:gridSpan w:val="2"/>
          </w:tcPr>
          <w:p w14:paraId="1259B0FB" w14:textId="77777777" w:rsidR="005D4CFC" w:rsidRPr="00EB11F3" w:rsidRDefault="005D4CFC" w:rsidP="005D4CFC">
            <w:pPr>
              <w:autoSpaceDE w:val="0"/>
              <w:autoSpaceDN w:val="0"/>
              <w:adjustRightInd w:val="0"/>
              <w:jc w:val="both"/>
              <w:rPr>
                <w:rFonts w:ascii="Arial" w:hAnsi="Arial" w:cs="Arial"/>
                <w:b/>
              </w:rPr>
            </w:pPr>
            <w:r w:rsidRPr="00EB11F3">
              <w:rPr>
                <w:rFonts w:ascii="Arial" w:hAnsi="Arial" w:cs="Arial"/>
                <w:b/>
              </w:rPr>
              <w:t>Review</w:t>
            </w:r>
          </w:p>
          <w:p w14:paraId="651323EE" w14:textId="0446272E" w:rsidR="005D4CFC" w:rsidRPr="00EB11F3" w:rsidRDefault="005D4CFC" w:rsidP="005D4CFC">
            <w:pPr>
              <w:autoSpaceDE w:val="0"/>
              <w:autoSpaceDN w:val="0"/>
              <w:adjustRightInd w:val="0"/>
              <w:jc w:val="both"/>
              <w:rPr>
                <w:rFonts w:ascii="Arial" w:hAnsi="Arial" w:cs="Arial"/>
                <w:b/>
              </w:rPr>
            </w:pPr>
          </w:p>
        </w:tc>
      </w:tr>
      <w:tr w:rsidR="005D4CFC" w:rsidRPr="0089449E" w14:paraId="267C1342" w14:textId="77777777" w:rsidTr="00896D6C">
        <w:tc>
          <w:tcPr>
            <w:tcW w:w="851" w:type="dxa"/>
          </w:tcPr>
          <w:p w14:paraId="4A217EC3" w14:textId="5565E705" w:rsidR="005D4CFC" w:rsidRDefault="00FD06BF" w:rsidP="005D4CFC">
            <w:pPr>
              <w:autoSpaceDE w:val="0"/>
              <w:autoSpaceDN w:val="0"/>
              <w:adjustRightInd w:val="0"/>
              <w:rPr>
                <w:rFonts w:ascii="Arial" w:hAnsi="Arial" w:cs="Arial"/>
              </w:rPr>
            </w:pPr>
            <w:r>
              <w:rPr>
                <w:rFonts w:ascii="Arial" w:hAnsi="Arial" w:cs="Arial"/>
              </w:rPr>
              <w:t>4</w:t>
            </w:r>
            <w:r w:rsidR="005D4CFC">
              <w:rPr>
                <w:rFonts w:ascii="Arial" w:hAnsi="Arial" w:cs="Arial"/>
              </w:rPr>
              <w:t>.1</w:t>
            </w:r>
          </w:p>
        </w:tc>
        <w:tc>
          <w:tcPr>
            <w:tcW w:w="8755" w:type="dxa"/>
            <w:gridSpan w:val="2"/>
          </w:tcPr>
          <w:p w14:paraId="78D1EA63" w14:textId="3F57A335" w:rsidR="005C219B" w:rsidRPr="005C219B" w:rsidRDefault="005C219B" w:rsidP="005D4CFC">
            <w:pPr>
              <w:jc w:val="both"/>
              <w:rPr>
                <w:rFonts w:ascii="Arial" w:hAnsi="Arial" w:cs="Arial"/>
                <w:szCs w:val="24"/>
              </w:rPr>
            </w:pPr>
            <w:r w:rsidRPr="005C219B">
              <w:rPr>
                <w:rFonts w:ascii="Arial" w:hAnsi="Arial" w:cs="Arial"/>
                <w:szCs w:val="24"/>
              </w:rPr>
              <w:t xml:space="preserve">The </w:t>
            </w:r>
            <w:r>
              <w:rPr>
                <w:rFonts w:ascii="Arial" w:hAnsi="Arial" w:cs="Arial"/>
                <w:szCs w:val="24"/>
              </w:rPr>
              <w:t xml:space="preserve">approach taken will be subject to continuous review as the furlough scheme and the financial planning process evolves with any proposed changes coming to the HLH Board for approval. </w:t>
            </w:r>
          </w:p>
          <w:p w14:paraId="0208CBB8" w14:textId="77777777" w:rsidR="005D4CFC" w:rsidRDefault="005D4CFC" w:rsidP="005C219B">
            <w:pPr>
              <w:jc w:val="both"/>
              <w:rPr>
                <w:rFonts w:ascii="Arial" w:hAnsi="Arial" w:cs="Arial"/>
              </w:rPr>
            </w:pPr>
          </w:p>
        </w:tc>
      </w:tr>
      <w:tr w:rsidR="005D4CFC" w:rsidRPr="00266AC3" w14:paraId="2B517897" w14:textId="77777777" w:rsidTr="00896D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851" w:type="dxa"/>
            <w:tcBorders>
              <w:top w:val="nil"/>
              <w:left w:val="nil"/>
              <w:bottom w:val="nil"/>
              <w:right w:val="nil"/>
            </w:tcBorders>
          </w:tcPr>
          <w:p w14:paraId="58018538" w14:textId="15097654" w:rsidR="005D4CFC" w:rsidRPr="00266AC3" w:rsidRDefault="00FD06BF" w:rsidP="00DC6AB5">
            <w:pPr>
              <w:rPr>
                <w:rFonts w:ascii="Arial" w:hAnsi="Arial" w:cs="Arial"/>
                <w:b/>
                <w:szCs w:val="24"/>
              </w:rPr>
            </w:pPr>
            <w:r>
              <w:rPr>
                <w:rFonts w:ascii="Arial" w:hAnsi="Arial" w:cs="Arial"/>
                <w:b/>
                <w:szCs w:val="24"/>
              </w:rPr>
              <w:t>5</w:t>
            </w:r>
            <w:r w:rsidR="005D4CFC">
              <w:rPr>
                <w:rFonts w:ascii="Arial" w:hAnsi="Arial" w:cs="Arial"/>
                <w:b/>
                <w:szCs w:val="24"/>
              </w:rPr>
              <w:t>.</w:t>
            </w:r>
          </w:p>
          <w:p w14:paraId="4D608BE3" w14:textId="77777777" w:rsidR="005D4CFC" w:rsidRDefault="005D4CFC" w:rsidP="00DC6AB5">
            <w:pPr>
              <w:contextualSpacing/>
              <w:rPr>
                <w:rFonts w:ascii="Arial" w:hAnsi="Arial" w:cs="Arial"/>
                <w:szCs w:val="24"/>
              </w:rPr>
            </w:pPr>
          </w:p>
        </w:tc>
        <w:tc>
          <w:tcPr>
            <w:tcW w:w="8647" w:type="dxa"/>
            <w:tcBorders>
              <w:top w:val="nil"/>
              <w:left w:val="nil"/>
              <w:bottom w:val="nil"/>
              <w:right w:val="nil"/>
            </w:tcBorders>
          </w:tcPr>
          <w:p w14:paraId="0BE35571" w14:textId="77777777" w:rsidR="005D4CFC" w:rsidRPr="00266AC3" w:rsidRDefault="005D4CFC" w:rsidP="00DC6AB5">
            <w:pPr>
              <w:jc w:val="both"/>
              <w:rPr>
                <w:rFonts w:ascii="Arial" w:hAnsi="Arial" w:cs="Arial"/>
                <w:szCs w:val="24"/>
              </w:rPr>
            </w:pPr>
            <w:r w:rsidRPr="00266AC3">
              <w:rPr>
                <w:rFonts w:ascii="Arial" w:hAnsi="Arial" w:cs="Arial"/>
                <w:b/>
                <w:szCs w:val="24"/>
              </w:rPr>
              <w:t>Implications</w:t>
            </w:r>
          </w:p>
        </w:tc>
      </w:tr>
      <w:tr w:rsidR="005D4CFC" w:rsidRPr="005C219B" w14:paraId="25201E8A" w14:textId="77777777" w:rsidTr="00896D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851" w:type="dxa"/>
            <w:tcBorders>
              <w:top w:val="nil"/>
              <w:left w:val="nil"/>
              <w:bottom w:val="nil"/>
              <w:right w:val="nil"/>
            </w:tcBorders>
          </w:tcPr>
          <w:p w14:paraId="6F8BF698" w14:textId="3EBE4D34" w:rsidR="005D4CFC" w:rsidRPr="00266AC3" w:rsidRDefault="00FD06BF" w:rsidP="00DC6AB5">
            <w:pPr>
              <w:contextualSpacing/>
              <w:rPr>
                <w:rFonts w:ascii="Arial" w:hAnsi="Arial" w:cs="Arial"/>
                <w:szCs w:val="24"/>
              </w:rPr>
            </w:pPr>
            <w:r>
              <w:rPr>
                <w:rFonts w:ascii="Arial" w:hAnsi="Arial" w:cs="Arial"/>
                <w:szCs w:val="24"/>
              </w:rPr>
              <w:t>5</w:t>
            </w:r>
            <w:r w:rsidR="005D4CFC">
              <w:rPr>
                <w:rFonts w:ascii="Arial" w:hAnsi="Arial" w:cs="Arial"/>
                <w:szCs w:val="24"/>
              </w:rPr>
              <w:t>.1</w:t>
            </w:r>
          </w:p>
          <w:p w14:paraId="678018D5" w14:textId="77777777" w:rsidR="005D4CFC" w:rsidRPr="0041318E" w:rsidRDefault="005D4CFC" w:rsidP="00DC6AB5">
            <w:pPr>
              <w:contextualSpacing/>
              <w:rPr>
                <w:rFonts w:ascii="Arial" w:hAnsi="Arial" w:cs="Arial"/>
                <w:szCs w:val="24"/>
              </w:rPr>
            </w:pPr>
          </w:p>
        </w:tc>
        <w:tc>
          <w:tcPr>
            <w:tcW w:w="8647" w:type="dxa"/>
            <w:tcBorders>
              <w:top w:val="nil"/>
              <w:left w:val="nil"/>
              <w:bottom w:val="nil"/>
              <w:right w:val="nil"/>
            </w:tcBorders>
          </w:tcPr>
          <w:p w14:paraId="384587B5" w14:textId="44200A99" w:rsidR="005D4CFC" w:rsidRPr="005C219B" w:rsidRDefault="005D4CFC" w:rsidP="00DC6AB5">
            <w:pPr>
              <w:jc w:val="both"/>
              <w:rPr>
                <w:rFonts w:ascii="Arial" w:hAnsi="Arial" w:cs="Arial"/>
                <w:szCs w:val="24"/>
              </w:rPr>
            </w:pPr>
            <w:r w:rsidRPr="005C219B">
              <w:rPr>
                <w:rFonts w:ascii="Arial" w:hAnsi="Arial" w:cs="Arial"/>
                <w:szCs w:val="24"/>
              </w:rPr>
              <w:t xml:space="preserve">Resource Implications – there are no new resource implications associated with the recommendations of this report.  </w:t>
            </w:r>
          </w:p>
          <w:p w14:paraId="5E740CE9" w14:textId="77777777" w:rsidR="005D4CFC" w:rsidRPr="005C219B" w:rsidRDefault="005D4CFC" w:rsidP="00DC6AB5">
            <w:pPr>
              <w:jc w:val="both"/>
              <w:rPr>
                <w:rFonts w:ascii="Arial" w:hAnsi="Arial" w:cs="Arial"/>
                <w:szCs w:val="24"/>
              </w:rPr>
            </w:pPr>
          </w:p>
        </w:tc>
      </w:tr>
      <w:tr w:rsidR="005D4CFC" w:rsidRPr="005C219B" w14:paraId="1DCAD857" w14:textId="77777777" w:rsidTr="00896D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851" w:type="dxa"/>
            <w:tcBorders>
              <w:top w:val="nil"/>
              <w:left w:val="nil"/>
              <w:bottom w:val="nil"/>
              <w:right w:val="nil"/>
            </w:tcBorders>
          </w:tcPr>
          <w:p w14:paraId="5C404A14" w14:textId="386ED328" w:rsidR="005D4CFC" w:rsidRPr="00266AC3" w:rsidRDefault="00FD06BF" w:rsidP="00DC6AB5">
            <w:pPr>
              <w:rPr>
                <w:rFonts w:ascii="Arial" w:hAnsi="Arial" w:cs="Arial"/>
                <w:szCs w:val="24"/>
              </w:rPr>
            </w:pPr>
            <w:r>
              <w:rPr>
                <w:rFonts w:ascii="Arial" w:hAnsi="Arial" w:cs="Arial"/>
                <w:szCs w:val="24"/>
              </w:rPr>
              <w:t>5</w:t>
            </w:r>
            <w:r w:rsidR="005D4CFC">
              <w:rPr>
                <w:rFonts w:ascii="Arial" w:hAnsi="Arial" w:cs="Arial"/>
                <w:szCs w:val="24"/>
              </w:rPr>
              <w:t>.2</w:t>
            </w:r>
          </w:p>
        </w:tc>
        <w:tc>
          <w:tcPr>
            <w:tcW w:w="8647" w:type="dxa"/>
            <w:tcBorders>
              <w:top w:val="nil"/>
              <w:left w:val="nil"/>
              <w:bottom w:val="nil"/>
              <w:right w:val="nil"/>
            </w:tcBorders>
          </w:tcPr>
          <w:p w14:paraId="2966D914" w14:textId="77777777" w:rsidR="005D4CFC" w:rsidRPr="005C219B" w:rsidRDefault="005D4CFC" w:rsidP="00DC6AB5">
            <w:pPr>
              <w:jc w:val="both"/>
              <w:rPr>
                <w:rFonts w:ascii="Arial" w:hAnsi="Arial" w:cs="Arial"/>
                <w:szCs w:val="24"/>
              </w:rPr>
            </w:pPr>
            <w:r w:rsidRPr="005C219B">
              <w:rPr>
                <w:rFonts w:ascii="Arial" w:hAnsi="Arial" w:cs="Arial"/>
                <w:szCs w:val="24"/>
              </w:rPr>
              <w:t>Legal Implications – there are no new legal implications associated with the recommendations of this report.</w:t>
            </w:r>
          </w:p>
          <w:p w14:paraId="69A298BF" w14:textId="77777777" w:rsidR="005D4CFC" w:rsidRPr="005C219B" w:rsidRDefault="005D4CFC" w:rsidP="00DC6AB5">
            <w:pPr>
              <w:rPr>
                <w:rFonts w:ascii="Arial" w:hAnsi="Arial" w:cs="Arial"/>
                <w:szCs w:val="24"/>
              </w:rPr>
            </w:pPr>
          </w:p>
        </w:tc>
      </w:tr>
      <w:tr w:rsidR="005D4CFC" w:rsidRPr="005C219B" w14:paraId="38547BAA" w14:textId="77777777" w:rsidTr="00896D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851" w:type="dxa"/>
            <w:tcBorders>
              <w:top w:val="nil"/>
              <w:left w:val="nil"/>
              <w:bottom w:val="nil"/>
              <w:right w:val="nil"/>
            </w:tcBorders>
          </w:tcPr>
          <w:p w14:paraId="09DA4C3D" w14:textId="49BFFD57" w:rsidR="005D4CFC" w:rsidRPr="00266AC3" w:rsidRDefault="00FD06BF" w:rsidP="00DC6AB5">
            <w:pPr>
              <w:rPr>
                <w:rFonts w:ascii="Arial" w:hAnsi="Arial" w:cs="Arial"/>
                <w:b/>
                <w:szCs w:val="24"/>
              </w:rPr>
            </w:pPr>
            <w:r>
              <w:rPr>
                <w:rFonts w:ascii="Arial" w:hAnsi="Arial" w:cs="Arial"/>
                <w:szCs w:val="24"/>
              </w:rPr>
              <w:t>5</w:t>
            </w:r>
            <w:r w:rsidR="005D4CFC">
              <w:rPr>
                <w:rFonts w:ascii="Arial" w:hAnsi="Arial" w:cs="Arial"/>
                <w:szCs w:val="24"/>
              </w:rPr>
              <w:t>.3</w:t>
            </w:r>
          </w:p>
        </w:tc>
        <w:tc>
          <w:tcPr>
            <w:tcW w:w="8647" w:type="dxa"/>
            <w:tcBorders>
              <w:top w:val="nil"/>
              <w:left w:val="nil"/>
              <w:bottom w:val="nil"/>
              <w:right w:val="nil"/>
            </w:tcBorders>
          </w:tcPr>
          <w:p w14:paraId="16AB7058" w14:textId="77777777" w:rsidR="005D4CFC" w:rsidRPr="005C219B" w:rsidRDefault="005D4CFC" w:rsidP="00DC6AB5">
            <w:pPr>
              <w:jc w:val="both"/>
              <w:rPr>
                <w:rFonts w:ascii="Arial" w:hAnsi="Arial" w:cs="Arial"/>
                <w:szCs w:val="24"/>
              </w:rPr>
            </w:pPr>
            <w:r w:rsidRPr="005C219B">
              <w:rPr>
                <w:rFonts w:ascii="Arial" w:hAnsi="Arial" w:cs="Arial"/>
                <w:szCs w:val="24"/>
              </w:rPr>
              <w:t>Risk Implications – there are no new risk implications associated with the recommendations of this report.</w:t>
            </w:r>
          </w:p>
          <w:p w14:paraId="4A018B94" w14:textId="77777777" w:rsidR="005D4CFC" w:rsidRPr="005C219B" w:rsidRDefault="005D4CFC" w:rsidP="00DC6AB5">
            <w:pPr>
              <w:jc w:val="both"/>
              <w:rPr>
                <w:rFonts w:ascii="Arial" w:hAnsi="Arial" w:cs="Arial"/>
                <w:szCs w:val="24"/>
              </w:rPr>
            </w:pPr>
          </w:p>
        </w:tc>
      </w:tr>
      <w:tr w:rsidR="005D4CFC" w:rsidRPr="005C219B" w14:paraId="00A3BC5F" w14:textId="77777777" w:rsidTr="00896D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851" w:type="dxa"/>
            <w:tcBorders>
              <w:top w:val="nil"/>
              <w:left w:val="nil"/>
              <w:bottom w:val="single" w:sz="4" w:space="0" w:color="auto"/>
              <w:right w:val="nil"/>
            </w:tcBorders>
          </w:tcPr>
          <w:p w14:paraId="1C190CDD" w14:textId="343C7D66" w:rsidR="005D4CFC" w:rsidRPr="00266AC3" w:rsidRDefault="00FD06BF" w:rsidP="00DC6AB5">
            <w:pPr>
              <w:rPr>
                <w:rFonts w:ascii="Arial" w:hAnsi="Arial" w:cs="Arial"/>
                <w:b/>
                <w:szCs w:val="24"/>
              </w:rPr>
            </w:pPr>
            <w:r>
              <w:rPr>
                <w:rFonts w:ascii="Arial" w:hAnsi="Arial" w:cs="Arial"/>
                <w:szCs w:val="24"/>
              </w:rPr>
              <w:t>5</w:t>
            </w:r>
            <w:r w:rsidR="005D4CFC">
              <w:rPr>
                <w:rFonts w:ascii="Arial" w:hAnsi="Arial" w:cs="Arial"/>
                <w:szCs w:val="24"/>
              </w:rPr>
              <w:t>.4</w:t>
            </w:r>
          </w:p>
        </w:tc>
        <w:tc>
          <w:tcPr>
            <w:tcW w:w="8647" w:type="dxa"/>
            <w:tcBorders>
              <w:top w:val="nil"/>
              <w:left w:val="nil"/>
              <w:bottom w:val="single" w:sz="4" w:space="0" w:color="auto"/>
              <w:right w:val="nil"/>
            </w:tcBorders>
          </w:tcPr>
          <w:p w14:paraId="080F478A" w14:textId="77777777" w:rsidR="005D4CFC" w:rsidRPr="005C219B" w:rsidRDefault="005D4CFC" w:rsidP="00DC6AB5">
            <w:pPr>
              <w:jc w:val="both"/>
              <w:rPr>
                <w:rFonts w:ascii="Arial" w:hAnsi="Arial" w:cs="Arial"/>
                <w:szCs w:val="24"/>
              </w:rPr>
            </w:pPr>
            <w:r w:rsidRPr="005C219B">
              <w:rPr>
                <w:rFonts w:ascii="Arial" w:hAnsi="Arial" w:cs="Arial"/>
                <w:szCs w:val="24"/>
              </w:rPr>
              <w:t>Equality Implications – there are no new equality implications associated with the recommendations of this report.</w:t>
            </w:r>
          </w:p>
          <w:p w14:paraId="4D383706" w14:textId="77777777" w:rsidR="005D4CFC" w:rsidRPr="005C219B" w:rsidRDefault="005D4CFC" w:rsidP="00DC6AB5">
            <w:pPr>
              <w:jc w:val="both"/>
              <w:rPr>
                <w:rFonts w:ascii="Arial" w:hAnsi="Arial" w:cs="Arial"/>
                <w:szCs w:val="24"/>
              </w:rPr>
            </w:pPr>
          </w:p>
        </w:tc>
      </w:tr>
      <w:tr w:rsidR="005D4CFC" w:rsidRPr="00266AC3" w14:paraId="4B166593" w14:textId="77777777" w:rsidTr="00896D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4" w:type="dxa"/>
          <w:cantSplit/>
        </w:trPr>
        <w:tc>
          <w:tcPr>
            <w:tcW w:w="9502" w:type="dxa"/>
            <w:gridSpan w:val="2"/>
            <w:tcBorders>
              <w:top w:val="single" w:sz="4" w:space="0" w:color="auto"/>
              <w:left w:val="single" w:sz="4" w:space="0" w:color="auto"/>
              <w:bottom w:val="single" w:sz="4" w:space="0" w:color="auto"/>
              <w:right w:val="single" w:sz="4" w:space="0" w:color="auto"/>
            </w:tcBorders>
          </w:tcPr>
          <w:p w14:paraId="247E3E2A" w14:textId="77777777" w:rsidR="005D4CFC" w:rsidRDefault="005D4CFC" w:rsidP="00DC6AB5">
            <w:pPr>
              <w:shd w:val="clear" w:color="auto" w:fill="FFFFFF"/>
              <w:rPr>
                <w:rFonts w:ascii="Arial" w:hAnsi="Arial" w:cs="Arial"/>
                <w:b/>
                <w:szCs w:val="24"/>
              </w:rPr>
            </w:pPr>
            <w:r w:rsidRPr="00C67F56">
              <w:rPr>
                <w:rFonts w:ascii="Arial" w:hAnsi="Arial" w:cs="Arial"/>
                <w:b/>
                <w:szCs w:val="24"/>
              </w:rPr>
              <w:t>Recommendation</w:t>
            </w:r>
          </w:p>
          <w:p w14:paraId="1A2386D6" w14:textId="77777777" w:rsidR="005D4CFC" w:rsidRPr="00C67F56" w:rsidRDefault="005D4CFC" w:rsidP="00DC6AB5">
            <w:pPr>
              <w:shd w:val="clear" w:color="auto" w:fill="FFFFFF"/>
              <w:rPr>
                <w:rFonts w:ascii="Arial" w:hAnsi="Arial" w:cs="Arial"/>
                <w:b/>
                <w:szCs w:val="24"/>
              </w:rPr>
            </w:pPr>
          </w:p>
          <w:p w14:paraId="5735F74E" w14:textId="3D8F8E21" w:rsidR="005C219B" w:rsidRDefault="005C219B" w:rsidP="005C219B">
            <w:pPr>
              <w:jc w:val="both"/>
              <w:rPr>
                <w:rFonts w:ascii="Arial" w:hAnsi="Arial" w:cs="Arial"/>
              </w:rPr>
            </w:pPr>
            <w:r>
              <w:rPr>
                <w:rFonts w:ascii="Arial" w:hAnsi="Arial" w:cs="Arial"/>
              </w:rPr>
              <w:t xml:space="preserve">It is recommended that </w:t>
            </w:r>
            <w:r w:rsidR="00BE0510">
              <w:rPr>
                <w:rFonts w:ascii="Arial" w:hAnsi="Arial" w:cs="Arial"/>
              </w:rPr>
              <w:t>Directors</w:t>
            </w:r>
            <w:r>
              <w:rPr>
                <w:rFonts w:ascii="Arial" w:hAnsi="Arial" w:cs="Arial"/>
              </w:rPr>
              <w:t>:</w:t>
            </w:r>
            <w:bookmarkStart w:id="1" w:name="_GoBack"/>
            <w:bookmarkEnd w:id="1"/>
          </w:p>
          <w:p w14:paraId="4C5D50A3" w14:textId="77777777" w:rsidR="005C219B" w:rsidRDefault="005C219B" w:rsidP="005C219B">
            <w:pPr>
              <w:jc w:val="both"/>
              <w:rPr>
                <w:rFonts w:ascii="Arial" w:hAnsi="Arial" w:cs="Arial"/>
              </w:rPr>
            </w:pPr>
          </w:p>
          <w:p w14:paraId="2991DE3B" w14:textId="77777777" w:rsidR="00BE0510" w:rsidRDefault="00BE0510" w:rsidP="00BE0510">
            <w:pPr>
              <w:jc w:val="both"/>
              <w:rPr>
                <w:rFonts w:ascii="Arial" w:hAnsi="Arial" w:cs="Arial"/>
              </w:rPr>
            </w:pPr>
            <w:r>
              <w:rPr>
                <w:rFonts w:ascii="Arial" w:hAnsi="Arial" w:cs="Arial"/>
              </w:rPr>
              <w:t>It is recommended that Directors:</w:t>
            </w:r>
          </w:p>
          <w:p w14:paraId="5C074F1B" w14:textId="77777777" w:rsidR="00BE0510" w:rsidRDefault="00BE0510" w:rsidP="00BE0510">
            <w:pPr>
              <w:jc w:val="both"/>
              <w:rPr>
                <w:rFonts w:ascii="Arial" w:hAnsi="Arial" w:cs="Arial"/>
              </w:rPr>
            </w:pPr>
          </w:p>
          <w:p w14:paraId="4B16F734" w14:textId="46F0AED4" w:rsidR="005D4CFC" w:rsidRPr="00BE7D50" w:rsidRDefault="00BE0510" w:rsidP="00FD06BF">
            <w:pPr>
              <w:pStyle w:val="ListParagraph"/>
              <w:numPr>
                <w:ilvl w:val="0"/>
                <w:numId w:val="27"/>
              </w:numPr>
              <w:spacing w:line="240" w:lineRule="auto"/>
              <w:jc w:val="both"/>
              <w:rPr>
                <w:rFonts w:ascii="Arial" w:hAnsi="Arial" w:cs="Arial"/>
                <w:sz w:val="24"/>
                <w:szCs w:val="24"/>
              </w:rPr>
            </w:pPr>
            <w:r>
              <w:rPr>
                <w:rFonts w:ascii="Arial" w:hAnsi="Arial" w:cs="Arial"/>
                <w:sz w:val="24"/>
                <w:szCs w:val="24"/>
              </w:rPr>
              <w:t>agree their continued support</w:t>
            </w:r>
            <w:r w:rsidRPr="00896D6C">
              <w:rPr>
                <w:rFonts w:ascii="Arial" w:hAnsi="Arial" w:cs="Arial"/>
                <w:sz w:val="24"/>
                <w:szCs w:val="24"/>
              </w:rPr>
              <w:t xml:space="preserve"> </w:t>
            </w:r>
            <w:r>
              <w:rPr>
                <w:rFonts w:ascii="Arial" w:hAnsi="Arial" w:cs="Arial"/>
                <w:sz w:val="24"/>
                <w:szCs w:val="24"/>
              </w:rPr>
              <w:t xml:space="preserve">to maintain the current position paying </w:t>
            </w:r>
            <w:r w:rsidRPr="00896D6C">
              <w:rPr>
                <w:rFonts w:ascii="Arial" w:hAnsi="Arial" w:cs="Arial"/>
                <w:sz w:val="24"/>
                <w:szCs w:val="24"/>
              </w:rPr>
              <w:t>100%</w:t>
            </w:r>
            <w:r>
              <w:rPr>
                <w:rFonts w:ascii="Arial" w:hAnsi="Arial" w:cs="Arial"/>
                <w:sz w:val="24"/>
                <w:szCs w:val="24"/>
              </w:rPr>
              <w:t>, subject to further review as the furlough scheme and financial planning process evolves.</w:t>
            </w:r>
          </w:p>
        </w:tc>
      </w:tr>
    </w:tbl>
    <w:p w14:paraId="35439085" w14:textId="77777777" w:rsidR="005D4CFC" w:rsidRPr="007D5128" w:rsidRDefault="005D4CFC" w:rsidP="005D4CFC">
      <w:pPr>
        <w:rPr>
          <w:rFonts w:ascii="Arial" w:hAnsi="Arial" w:cs="Arial"/>
          <w:szCs w:val="24"/>
        </w:rPr>
      </w:pPr>
      <w:r w:rsidRPr="007D5128">
        <w:rPr>
          <w:rFonts w:ascii="Arial" w:hAnsi="Arial" w:cs="Arial"/>
          <w:szCs w:val="24"/>
        </w:rPr>
        <w:t xml:space="preserve">    </w:t>
      </w:r>
      <w:r w:rsidRPr="007D5128">
        <w:rPr>
          <w:rFonts w:ascii="Arial" w:hAnsi="Arial" w:cs="Arial"/>
          <w:szCs w:val="24"/>
        </w:rPr>
        <w:tab/>
      </w:r>
    </w:p>
    <w:p w14:paraId="7C0C092B" w14:textId="77777777" w:rsidR="005D4CFC" w:rsidRDefault="005D4CFC" w:rsidP="005D4CFC">
      <w:pPr>
        <w:rPr>
          <w:rFonts w:ascii="Arial" w:hAnsi="Arial" w:cs="Arial"/>
          <w:szCs w:val="24"/>
        </w:rPr>
      </w:pPr>
      <w:r w:rsidRPr="007D5128">
        <w:rPr>
          <w:rFonts w:ascii="Arial" w:hAnsi="Arial" w:cs="Arial"/>
          <w:szCs w:val="24"/>
        </w:rPr>
        <w:t>Designation:</w:t>
      </w:r>
      <w:r w:rsidRPr="007D5128">
        <w:rPr>
          <w:rFonts w:ascii="Arial" w:hAnsi="Arial" w:cs="Arial"/>
          <w:szCs w:val="24"/>
        </w:rPr>
        <w:tab/>
      </w:r>
      <w:r w:rsidRPr="007D5128">
        <w:rPr>
          <w:rFonts w:ascii="Arial" w:hAnsi="Arial" w:cs="Arial"/>
          <w:szCs w:val="24"/>
        </w:rPr>
        <w:tab/>
        <w:t>Chief Executive</w:t>
      </w:r>
    </w:p>
    <w:p w14:paraId="74C8A211" w14:textId="77777777" w:rsidR="005D4CFC" w:rsidRPr="007D5128" w:rsidRDefault="005D4CFC" w:rsidP="005D4CFC">
      <w:pPr>
        <w:rPr>
          <w:rFonts w:ascii="Arial" w:hAnsi="Arial" w:cs="Arial"/>
          <w:szCs w:val="24"/>
        </w:rPr>
      </w:pPr>
    </w:p>
    <w:p w14:paraId="4FFE524C" w14:textId="3CE4A194" w:rsidR="005D4CFC" w:rsidRDefault="005D4CFC" w:rsidP="005D4CFC">
      <w:pPr>
        <w:rPr>
          <w:rFonts w:ascii="Arial" w:hAnsi="Arial" w:cs="Arial"/>
          <w:szCs w:val="24"/>
        </w:rPr>
      </w:pPr>
      <w:r>
        <w:rPr>
          <w:rFonts w:ascii="Arial" w:hAnsi="Arial" w:cs="Arial"/>
          <w:szCs w:val="24"/>
        </w:rPr>
        <w:t>Date:</w:t>
      </w:r>
      <w:r>
        <w:rPr>
          <w:rFonts w:ascii="Arial" w:hAnsi="Arial" w:cs="Arial"/>
          <w:szCs w:val="24"/>
        </w:rPr>
        <w:tab/>
      </w:r>
      <w:r>
        <w:rPr>
          <w:rFonts w:ascii="Arial" w:hAnsi="Arial" w:cs="Arial"/>
          <w:szCs w:val="24"/>
        </w:rPr>
        <w:tab/>
        <w:t xml:space="preserve">           </w:t>
      </w:r>
      <w:r w:rsidR="005F3BBF">
        <w:rPr>
          <w:rFonts w:ascii="Arial" w:hAnsi="Arial" w:cs="Arial"/>
          <w:szCs w:val="24"/>
        </w:rPr>
        <w:t>4</w:t>
      </w:r>
      <w:r w:rsidR="00BE0510">
        <w:rPr>
          <w:rFonts w:ascii="Arial" w:hAnsi="Arial" w:cs="Arial"/>
          <w:szCs w:val="24"/>
        </w:rPr>
        <w:t xml:space="preserve"> June</w:t>
      </w:r>
      <w:r>
        <w:rPr>
          <w:rFonts w:ascii="Arial" w:hAnsi="Arial" w:cs="Arial"/>
          <w:szCs w:val="24"/>
        </w:rPr>
        <w:t xml:space="preserve"> 2020</w:t>
      </w:r>
    </w:p>
    <w:p w14:paraId="7FC4B49D" w14:textId="77777777" w:rsidR="0039450A" w:rsidRDefault="0039450A" w:rsidP="00416BFF">
      <w:pPr>
        <w:rPr>
          <w:rFonts w:ascii="Arial" w:hAnsi="Arial" w:cs="Arial"/>
          <w:szCs w:val="24"/>
        </w:rPr>
      </w:pPr>
    </w:p>
    <w:p w14:paraId="11E1ED62" w14:textId="2D8ECABA" w:rsidR="00E32AFC" w:rsidRDefault="00E32AFC">
      <w:pPr>
        <w:rPr>
          <w:rFonts w:ascii="Arial" w:hAnsi="Arial" w:cs="Arial"/>
          <w:szCs w:val="24"/>
        </w:rPr>
      </w:pPr>
    </w:p>
    <w:p w14:paraId="5A04066E" w14:textId="67778107" w:rsidR="00DE2763" w:rsidRDefault="00DE2763">
      <w:pPr>
        <w:rPr>
          <w:rFonts w:ascii="Arial" w:hAnsi="Arial" w:cs="Arial"/>
          <w:szCs w:val="24"/>
        </w:rPr>
      </w:pPr>
    </w:p>
    <w:p w14:paraId="6E9DC5ED" w14:textId="35BF13E1" w:rsidR="00DE2763" w:rsidRDefault="00DE2763">
      <w:pPr>
        <w:rPr>
          <w:rFonts w:ascii="Arial" w:hAnsi="Arial" w:cs="Arial"/>
          <w:szCs w:val="24"/>
        </w:rPr>
      </w:pPr>
      <w:r>
        <w:rPr>
          <w:rFonts w:ascii="Arial" w:hAnsi="Arial" w:cs="Arial"/>
          <w:szCs w:val="24"/>
        </w:rPr>
        <w:br w:type="page"/>
      </w:r>
    </w:p>
    <w:p w14:paraId="7E6A5F19" w14:textId="0EBE7041" w:rsidR="00DE2763" w:rsidRDefault="00DE2763" w:rsidP="00DE2763">
      <w:pPr>
        <w:jc w:val="right"/>
        <w:rPr>
          <w:rFonts w:ascii="Arial" w:hAnsi="Arial" w:cs="Arial"/>
          <w:b/>
          <w:szCs w:val="24"/>
        </w:rPr>
      </w:pPr>
      <w:r w:rsidRPr="00DE2763">
        <w:rPr>
          <w:rFonts w:ascii="Arial" w:hAnsi="Arial" w:cs="Arial"/>
          <w:b/>
          <w:szCs w:val="24"/>
        </w:rPr>
        <w:t>Appendix A</w:t>
      </w:r>
    </w:p>
    <w:p w14:paraId="3AE528A8" w14:textId="77777777" w:rsidR="00DE2763" w:rsidRPr="00DE2763" w:rsidRDefault="00DE2763" w:rsidP="00DE2763">
      <w:pPr>
        <w:jc w:val="both"/>
        <w:rPr>
          <w:rFonts w:ascii="Arial" w:hAnsi="Arial" w:cs="Arial"/>
          <w:b/>
          <w:szCs w:val="24"/>
        </w:rPr>
      </w:pPr>
    </w:p>
    <w:p w14:paraId="01E7322A" w14:textId="77777777" w:rsidR="00B7046A" w:rsidRPr="00512269" w:rsidRDefault="00B7046A" w:rsidP="00B7046A">
      <w:pPr>
        <w:jc w:val="both"/>
        <w:rPr>
          <w:rFonts w:ascii="Arial" w:hAnsi="Arial" w:cs="Arial"/>
          <w:b/>
          <w:sz w:val="23"/>
          <w:szCs w:val="23"/>
        </w:rPr>
      </w:pPr>
      <w:r w:rsidRPr="00512269">
        <w:rPr>
          <w:rFonts w:ascii="Arial" w:hAnsi="Arial" w:cs="Arial"/>
          <w:b/>
          <w:sz w:val="23"/>
          <w:szCs w:val="23"/>
        </w:rPr>
        <w:t>24 April 2020</w:t>
      </w:r>
    </w:p>
    <w:p w14:paraId="198B055C" w14:textId="77777777" w:rsidR="00B7046A" w:rsidRPr="00512269" w:rsidRDefault="00B7046A" w:rsidP="00B7046A">
      <w:pPr>
        <w:jc w:val="both"/>
        <w:rPr>
          <w:rFonts w:ascii="Arial" w:hAnsi="Arial" w:cs="Arial"/>
          <w:sz w:val="23"/>
          <w:szCs w:val="23"/>
        </w:rPr>
      </w:pPr>
    </w:p>
    <w:p w14:paraId="75146753" w14:textId="0BECE147" w:rsidR="00B7046A" w:rsidRPr="00512269" w:rsidRDefault="00B7046A" w:rsidP="00B7046A">
      <w:pPr>
        <w:jc w:val="both"/>
        <w:rPr>
          <w:rFonts w:ascii="Arial" w:hAnsi="Arial" w:cs="Arial"/>
          <w:sz w:val="23"/>
          <w:szCs w:val="23"/>
        </w:rPr>
      </w:pPr>
      <w:r w:rsidRPr="00512269">
        <w:rPr>
          <w:rFonts w:ascii="Arial" w:hAnsi="Arial" w:cs="Arial"/>
          <w:sz w:val="23"/>
          <w:szCs w:val="23"/>
        </w:rPr>
        <w:t xml:space="preserve">Reference: Highlife Highland Confidential Report to Board of Directors – </w:t>
      </w:r>
    </w:p>
    <w:p w14:paraId="1D7C2570" w14:textId="22D112C0" w:rsidR="00B7046A" w:rsidRPr="00512269" w:rsidRDefault="00B7046A" w:rsidP="00B7046A">
      <w:pPr>
        <w:jc w:val="both"/>
        <w:rPr>
          <w:rFonts w:ascii="Arial" w:hAnsi="Arial" w:cs="Arial"/>
          <w:b/>
          <w:sz w:val="23"/>
          <w:szCs w:val="23"/>
        </w:rPr>
      </w:pPr>
      <w:r w:rsidRPr="00512269">
        <w:rPr>
          <w:rFonts w:ascii="Arial" w:hAnsi="Arial" w:cs="Arial"/>
          <w:b/>
          <w:sz w:val="23"/>
          <w:szCs w:val="23"/>
        </w:rPr>
        <w:t>COVID 19 – SITUATION REPORT AT 16</w:t>
      </w:r>
      <w:r w:rsidRPr="00512269">
        <w:rPr>
          <w:rFonts w:ascii="Arial" w:hAnsi="Arial" w:cs="Arial"/>
          <w:b/>
          <w:sz w:val="23"/>
          <w:szCs w:val="23"/>
          <w:vertAlign w:val="superscript"/>
        </w:rPr>
        <w:t>TH</w:t>
      </w:r>
      <w:r w:rsidRPr="00512269">
        <w:rPr>
          <w:rFonts w:ascii="Arial" w:hAnsi="Arial" w:cs="Arial"/>
          <w:b/>
          <w:sz w:val="23"/>
          <w:szCs w:val="23"/>
        </w:rPr>
        <w:t xml:space="preserve"> APRIL - Report by Chief Executive dated 16</w:t>
      </w:r>
      <w:r w:rsidRPr="00512269">
        <w:rPr>
          <w:rFonts w:ascii="Arial" w:hAnsi="Arial" w:cs="Arial"/>
          <w:b/>
          <w:sz w:val="23"/>
          <w:szCs w:val="23"/>
          <w:vertAlign w:val="superscript"/>
        </w:rPr>
        <w:t>th</w:t>
      </w:r>
      <w:r w:rsidRPr="00512269">
        <w:rPr>
          <w:rFonts w:ascii="Arial" w:hAnsi="Arial" w:cs="Arial"/>
          <w:b/>
          <w:sz w:val="23"/>
          <w:szCs w:val="23"/>
        </w:rPr>
        <w:t xml:space="preserve"> April 2020</w:t>
      </w:r>
    </w:p>
    <w:p w14:paraId="49C92026" w14:textId="77777777" w:rsidR="00B7046A" w:rsidRPr="00512269" w:rsidRDefault="00B7046A" w:rsidP="00B7046A">
      <w:pPr>
        <w:jc w:val="both"/>
        <w:rPr>
          <w:rFonts w:ascii="Arial" w:hAnsi="Arial" w:cs="Arial"/>
          <w:sz w:val="23"/>
          <w:szCs w:val="23"/>
        </w:rPr>
      </w:pPr>
    </w:p>
    <w:p w14:paraId="3EB50BA9" w14:textId="2A8D9BE4" w:rsidR="00B7046A" w:rsidRPr="00512269" w:rsidRDefault="00B7046A" w:rsidP="00B7046A">
      <w:pPr>
        <w:jc w:val="both"/>
        <w:rPr>
          <w:rFonts w:ascii="Arial" w:hAnsi="Arial" w:cs="Arial"/>
          <w:b/>
          <w:sz w:val="23"/>
          <w:szCs w:val="23"/>
        </w:rPr>
      </w:pPr>
      <w:r w:rsidRPr="00512269">
        <w:rPr>
          <w:rFonts w:ascii="Arial" w:hAnsi="Arial" w:cs="Arial"/>
          <w:b/>
          <w:sz w:val="23"/>
          <w:szCs w:val="23"/>
        </w:rPr>
        <w:t xml:space="preserve">Briefing Note to Highland Council Senior Administration Members </w:t>
      </w:r>
    </w:p>
    <w:p w14:paraId="15A23C38" w14:textId="77777777" w:rsidR="00B7046A" w:rsidRPr="00512269" w:rsidRDefault="00B7046A" w:rsidP="00B7046A">
      <w:pPr>
        <w:jc w:val="both"/>
        <w:rPr>
          <w:rFonts w:ascii="Arial" w:hAnsi="Arial" w:cs="Arial"/>
          <w:b/>
          <w:sz w:val="23"/>
          <w:szCs w:val="23"/>
        </w:rPr>
      </w:pPr>
    </w:p>
    <w:p w14:paraId="428D384C" w14:textId="77777777" w:rsidR="00B7046A" w:rsidRPr="00512269" w:rsidRDefault="00B7046A" w:rsidP="00B7046A">
      <w:pPr>
        <w:jc w:val="both"/>
        <w:rPr>
          <w:rFonts w:ascii="Arial" w:hAnsi="Arial" w:cs="Arial"/>
          <w:b/>
          <w:sz w:val="23"/>
          <w:szCs w:val="23"/>
        </w:rPr>
      </w:pPr>
      <w:r w:rsidRPr="00512269">
        <w:rPr>
          <w:rFonts w:ascii="Arial" w:hAnsi="Arial" w:cs="Arial"/>
          <w:b/>
          <w:sz w:val="23"/>
          <w:szCs w:val="23"/>
        </w:rPr>
        <w:t>Introduction</w:t>
      </w:r>
    </w:p>
    <w:p w14:paraId="3EB596A6" w14:textId="73F2980C" w:rsidR="00B7046A" w:rsidRPr="00512269" w:rsidRDefault="00B7046A" w:rsidP="00B7046A">
      <w:pPr>
        <w:jc w:val="both"/>
        <w:rPr>
          <w:rFonts w:ascii="Arial" w:hAnsi="Arial" w:cs="Arial"/>
          <w:sz w:val="23"/>
          <w:szCs w:val="23"/>
        </w:rPr>
      </w:pPr>
      <w:r w:rsidRPr="00512269">
        <w:rPr>
          <w:rFonts w:ascii="Arial" w:hAnsi="Arial" w:cs="Arial"/>
          <w:sz w:val="23"/>
          <w:szCs w:val="23"/>
        </w:rPr>
        <w:t>This note provides context on High Life Highland’s application to the UK Government Job Retention Scheme (JRS). The Scheme has presented a rapidly changing scenario where Government policy and legal advice has changed daily. HLH formally informed HC on 27</w:t>
      </w:r>
      <w:r w:rsidRPr="00512269">
        <w:rPr>
          <w:rFonts w:ascii="Arial" w:hAnsi="Arial" w:cs="Arial"/>
          <w:sz w:val="23"/>
          <w:szCs w:val="23"/>
          <w:vertAlign w:val="superscript"/>
        </w:rPr>
        <w:t>th</w:t>
      </w:r>
      <w:r w:rsidRPr="00512269">
        <w:rPr>
          <w:rFonts w:ascii="Arial" w:hAnsi="Arial" w:cs="Arial"/>
          <w:sz w:val="23"/>
          <w:szCs w:val="23"/>
        </w:rPr>
        <w:t xml:space="preserve"> March of the intention to apply to the scheme and that a high level of lobbying was being conducted by Community leisure UK and Sport Scotland to ensure that Leisure Trusts were eligible for the scheme. This briefing note concentrates on the moral, benchmarking, financial, employee relations and risk assessment components behind the decision to continue to pay High Life Highland employees their full salary.</w:t>
      </w:r>
    </w:p>
    <w:p w14:paraId="3CBFF102" w14:textId="77777777" w:rsidR="00B7046A" w:rsidRPr="00512269" w:rsidRDefault="00B7046A" w:rsidP="00B7046A">
      <w:pPr>
        <w:jc w:val="both"/>
        <w:rPr>
          <w:rFonts w:ascii="Arial" w:hAnsi="Arial" w:cs="Arial"/>
          <w:sz w:val="23"/>
          <w:szCs w:val="23"/>
        </w:rPr>
      </w:pPr>
    </w:p>
    <w:p w14:paraId="57612C61" w14:textId="77777777" w:rsidR="00B7046A" w:rsidRPr="00512269" w:rsidRDefault="00B7046A" w:rsidP="00B7046A">
      <w:pPr>
        <w:jc w:val="both"/>
        <w:rPr>
          <w:rFonts w:ascii="Arial" w:hAnsi="Arial" w:cs="Arial"/>
          <w:b/>
          <w:sz w:val="23"/>
          <w:szCs w:val="23"/>
        </w:rPr>
      </w:pPr>
      <w:r w:rsidRPr="00512269">
        <w:rPr>
          <w:rFonts w:ascii="Arial" w:hAnsi="Arial" w:cs="Arial"/>
          <w:b/>
          <w:sz w:val="23"/>
          <w:szCs w:val="23"/>
        </w:rPr>
        <w:t>Policy</w:t>
      </w:r>
    </w:p>
    <w:p w14:paraId="45F0696B" w14:textId="0559667A" w:rsidR="00B7046A" w:rsidRPr="00512269" w:rsidRDefault="00B7046A" w:rsidP="00B7046A">
      <w:pPr>
        <w:jc w:val="both"/>
        <w:rPr>
          <w:rFonts w:ascii="Arial" w:hAnsi="Arial" w:cs="Arial"/>
          <w:sz w:val="23"/>
          <w:szCs w:val="23"/>
        </w:rPr>
      </w:pPr>
      <w:r w:rsidRPr="00512269">
        <w:rPr>
          <w:rFonts w:ascii="Arial" w:hAnsi="Arial" w:cs="Arial"/>
          <w:sz w:val="23"/>
          <w:szCs w:val="23"/>
        </w:rPr>
        <w:t xml:space="preserve">I apologise personally as Chief Executive if I have inadvertently not been clear enough regarding board decisions or on our intent.  I have made every effort to communicate regularly with council officers, given the unprecedented pace of change and availability of key people, I hope that a shared acceptance of responsibility for any missed communication can be accepted in the spirit intended. </w:t>
      </w:r>
    </w:p>
    <w:p w14:paraId="51BD17CF" w14:textId="77777777" w:rsidR="00B7046A" w:rsidRPr="00512269" w:rsidRDefault="00B7046A" w:rsidP="00B7046A">
      <w:pPr>
        <w:jc w:val="both"/>
        <w:rPr>
          <w:rFonts w:ascii="Arial" w:hAnsi="Arial" w:cs="Arial"/>
          <w:sz w:val="23"/>
          <w:szCs w:val="23"/>
        </w:rPr>
      </w:pPr>
    </w:p>
    <w:p w14:paraId="33090217" w14:textId="5E473099" w:rsidR="00B7046A" w:rsidRPr="00512269" w:rsidRDefault="00B7046A" w:rsidP="00B7046A">
      <w:pPr>
        <w:jc w:val="both"/>
        <w:rPr>
          <w:rFonts w:ascii="Arial" w:hAnsi="Arial" w:cs="Arial"/>
          <w:sz w:val="23"/>
          <w:szCs w:val="23"/>
        </w:rPr>
      </w:pPr>
      <w:r w:rsidRPr="00512269">
        <w:rPr>
          <w:rFonts w:ascii="Arial" w:hAnsi="Arial" w:cs="Arial"/>
          <w:sz w:val="23"/>
          <w:szCs w:val="23"/>
        </w:rPr>
        <w:t xml:space="preserve">In what has been a busy, hectic environment, there has been no intent whatsoever to bypass our long-standing communication channels with HC and honour the agreement between parties. Although decisions have been made rapidly, every effort has been expended to ensure that council colleagues have been aware of HLH intentions. However, we are very willing to share lessons in order to ensure that good governance is always assiduously followed. </w:t>
      </w:r>
    </w:p>
    <w:p w14:paraId="6C203399" w14:textId="77777777" w:rsidR="00B7046A" w:rsidRPr="00512269" w:rsidRDefault="00B7046A" w:rsidP="00B7046A">
      <w:pPr>
        <w:jc w:val="both"/>
        <w:rPr>
          <w:rFonts w:ascii="Arial" w:hAnsi="Arial" w:cs="Arial"/>
          <w:sz w:val="23"/>
          <w:szCs w:val="23"/>
        </w:rPr>
      </w:pPr>
    </w:p>
    <w:p w14:paraId="7BA20C7C" w14:textId="2A686281" w:rsidR="00B7046A" w:rsidRPr="00512269" w:rsidRDefault="00B7046A" w:rsidP="00B7046A">
      <w:pPr>
        <w:jc w:val="both"/>
        <w:rPr>
          <w:rFonts w:ascii="Arial" w:hAnsi="Arial" w:cs="Arial"/>
          <w:sz w:val="23"/>
          <w:szCs w:val="23"/>
        </w:rPr>
      </w:pPr>
      <w:r w:rsidRPr="00512269">
        <w:rPr>
          <w:rFonts w:ascii="Arial" w:hAnsi="Arial" w:cs="Arial"/>
          <w:sz w:val="23"/>
          <w:szCs w:val="23"/>
        </w:rPr>
        <w:t xml:space="preserve">This briefing note presents clarification on the data-driven, evidence-based approach that has been taken in respect of the JRS application to maintain status quo and pay our employees at 100% salary with no change to the current payroll position.  </w:t>
      </w:r>
    </w:p>
    <w:p w14:paraId="0197B453" w14:textId="77777777" w:rsidR="00B7046A" w:rsidRPr="00512269" w:rsidRDefault="00B7046A" w:rsidP="00B7046A">
      <w:pPr>
        <w:jc w:val="both"/>
        <w:rPr>
          <w:rFonts w:ascii="Arial" w:hAnsi="Arial" w:cs="Arial"/>
          <w:sz w:val="23"/>
          <w:szCs w:val="23"/>
        </w:rPr>
      </w:pPr>
    </w:p>
    <w:p w14:paraId="12C5F2FA" w14:textId="77777777" w:rsidR="00B7046A" w:rsidRPr="00512269" w:rsidRDefault="00B7046A" w:rsidP="00B7046A">
      <w:pPr>
        <w:jc w:val="both"/>
        <w:rPr>
          <w:rFonts w:ascii="Arial" w:hAnsi="Arial" w:cs="Arial"/>
          <w:sz w:val="23"/>
          <w:szCs w:val="23"/>
        </w:rPr>
      </w:pPr>
      <w:r w:rsidRPr="00512269">
        <w:rPr>
          <w:rFonts w:ascii="Arial" w:hAnsi="Arial" w:cs="Arial"/>
          <w:sz w:val="23"/>
          <w:szCs w:val="23"/>
        </w:rPr>
        <w:t>As of yesterday, HLH was the only trust in Scotland that had made an application to the JRS that has been accepted into the HMRC portal, due in no small part to the dedicated approach of our team. This initial application covers 23 to 31 March, with 1,325 staff furloughed in the first batch.</w:t>
      </w:r>
    </w:p>
    <w:p w14:paraId="7B1A6F0B" w14:textId="77777777" w:rsidR="00B7046A" w:rsidRPr="00512269" w:rsidRDefault="00B7046A" w:rsidP="00B7046A">
      <w:pPr>
        <w:jc w:val="both"/>
        <w:rPr>
          <w:rFonts w:ascii="Arial" w:hAnsi="Arial" w:cs="Arial"/>
          <w:b/>
          <w:sz w:val="23"/>
          <w:szCs w:val="23"/>
        </w:rPr>
      </w:pPr>
    </w:p>
    <w:p w14:paraId="4F071319" w14:textId="602B604E" w:rsidR="00B7046A" w:rsidRPr="00512269" w:rsidRDefault="00B7046A" w:rsidP="00B7046A">
      <w:pPr>
        <w:jc w:val="both"/>
        <w:rPr>
          <w:rFonts w:ascii="Arial" w:hAnsi="Arial" w:cs="Arial"/>
          <w:b/>
          <w:sz w:val="23"/>
          <w:szCs w:val="23"/>
        </w:rPr>
      </w:pPr>
      <w:r w:rsidRPr="00512269">
        <w:rPr>
          <w:rFonts w:ascii="Arial" w:hAnsi="Arial" w:cs="Arial"/>
          <w:b/>
          <w:sz w:val="23"/>
          <w:szCs w:val="23"/>
        </w:rPr>
        <w:t>Moral</w:t>
      </w:r>
    </w:p>
    <w:p w14:paraId="5D747B59" w14:textId="77777777" w:rsidR="00B7046A" w:rsidRPr="00512269" w:rsidRDefault="00B7046A" w:rsidP="00B7046A">
      <w:pPr>
        <w:pStyle w:val="xmsonormal"/>
        <w:spacing w:after="240"/>
        <w:jc w:val="both"/>
        <w:rPr>
          <w:rFonts w:ascii="Arial" w:hAnsi="Arial" w:cs="Arial"/>
          <w:color w:val="000000"/>
          <w:sz w:val="23"/>
          <w:szCs w:val="23"/>
        </w:rPr>
      </w:pPr>
      <w:r w:rsidRPr="00512269">
        <w:rPr>
          <w:rFonts w:ascii="Arial" w:hAnsi="Arial" w:cs="Arial"/>
          <w:color w:val="000000"/>
          <w:sz w:val="23"/>
          <w:szCs w:val="23"/>
        </w:rPr>
        <w:t>Not paying the top-up would place 51% (c700)</w:t>
      </w:r>
      <w:r w:rsidRPr="00512269">
        <w:rPr>
          <w:rFonts w:ascii="Arial" w:hAnsi="Arial" w:cs="Arial"/>
          <w:color w:val="FF0000"/>
          <w:sz w:val="23"/>
          <w:szCs w:val="23"/>
        </w:rPr>
        <w:t xml:space="preserve"> </w:t>
      </w:r>
      <w:r w:rsidRPr="00512269">
        <w:rPr>
          <w:rFonts w:ascii="Arial" w:hAnsi="Arial" w:cs="Arial"/>
          <w:color w:val="000000"/>
          <w:sz w:val="23"/>
          <w:szCs w:val="23"/>
        </w:rPr>
        <w:t xml:space="preserve">of our employees below the level of the Scottish Living Wage. Paying 80% would also have a disproportionate impact on our lower-paid employees, potentially inadvertently placing many individuals and families in poverty across the Highlands. </w:t>
      </w:r>
    </w:p>
    <w:p w14:paraId="2A642D52" w14:textId="77777777" w:rsidR="00B7046A" w:rsidRPr="00512269" w:rsidRDefault="00B7046A" w:rsidP="00B7046A">
      <w:pPr>
        <w:pStyle w:val="xmsonormal"/>
        <w:spacing w:after="240"/>
        <w:jc w:val="both"/>
        <w:rPr>
          <w:rFonts w:ascii="Arial" w:hAnsi="Arial" w:cs="Arial"/>
          <w:color w:val="000000"/>
          <w:sz w:val="23"/>
          <w:szCs w:val="23"/>
        </w:rPr>
      </w:pPr>
      <w:r w:rsidRPr="00512269">
        <w:rPr>
          <w:rFonts w:ascii="Arial" w:hAnsi="Arial" w:cs="Arial"/>
          <w:color w:val="000000"/>
          <w:sz w:val="23"/>
          <w:szCs w:val="23"/>
        </w:rPr>
        <w:t xml:space="preserve">Another consideration was the hundreds of HLH employees volunteering across the Highlands, many working alongside Highland Council and NHS(H) colleagues. The reputational impact of reducing their salaries by 20% whilst they are involved in this type of work would be difficult to contain. </w:t>
      </w:r>
    </w:p>
    <w:p w14:paraId="75734613" w14:textId="77777777" w:rsidR="004C688A" w:rsidRDefault="004C688A" w:rsidP="00B7046A">
      <w:pPr>
        <w:pStyle w:val="xmsonormal"/>
        <w:jc w:val="both"/>
        <w:rPr>
          <w:rFonts w:ascii="Arial" w:hAnsi="Arial" w:cs="Arial"/>
          <w:b/>
          <w:sz w:val="23"/>
          <w:szCs w:val="23"/>
        </w:rPr>
      </w:pPr>
    </w:p>
    <w:p w14:paraId="579758C7" w14:textId="77777777" w:rsidR="004C688A" w:rsidRDefault="004C688A" w:rsidP="00B7046A">
      <w:pPr>
        <w:pStyle w:val="xmsonormal"/>
        <w:jc w:val="both"/>
        <w:rPr>
          <w:rFonts w:ascii="Arial" w:hAnsi="Arial" w:cs="Arial"/>
          <w:b/>
          <w:sz w:val="23"/>
          <w:szCs w:val="23"/>
        </w:rPr>
      </w:pPr>
    </w:p>
    <w:p w14:paraId="561EB387" w14:textId="6254503E" w:rsidR="00B7046A" w:rsidRPr="00512269" w:rsidRDefault="00B7046A" w:rsidP="00B7046A">
      <w:pPr>
        <w:pStyle w:val="xmsonormal"/>
        <w:jc w:val="both"/>
        <w:rPr>
          <w:rFonts w:ascii="Arial" w:hAnsi="Arial" w:cs="Arial"/>
          <w:b/>
          <w:sz w:val="23"/>
          <w:szCs w:val="23"/>
        </w:rPr>
      </w:pPr>
      <w:r w:rsidRPr="00512269">
        <w:rPr>
          <w:rFonts w:ascii="Arial" w:hAnsi="Arial" w:cs="Arial"/>
          <w:b/>
          <w:sz w:val="23"/>
          <w:szCs w:val="23"/>
        </w:rPr>
        <w:t xml:space="preserve">National position </w:t>
      </w:r>
    </w:p>
    <w:p w14:paraId="63B8FED7" w14:textId="72DA314F" w:rsidR="00B7046A" w:rsidRPr="00512269" w:rsidRDefault="00B7046A" w:rsidP="00B7046A">
      <w:pPr>
        <w:pStyle w:val="xmsonormal"/>
        <w:jc w:val="both"/>
        <w:rPr>
          <w:rFonts w:ascii="Arial" w:hAnsi="Arial" w:cs="Arial"/>
          <w:sz w:val="23"/>
          <w:szCs w:val="23"/>
        </w:rPr>
      </w:pPr>
      <w:r w:rsidRPr="00512269">
        <w:rPr>
          <w:rFonts w:ascii="Arial" w:hAnsi="Arial" w:cs="Arial"/>
          <w:sz w:val="23"/>
          <w:szCs w:val="23"/>
        </w:rPr>
        <w:t xml:space="preserve">As far as we have been able to ascertain from the Community Leisure Scotland cohort, all but 2 trusts in the country have elected to pay their employees at their full salary. </w:t>
      </w:r>
    </w:p>
    <w:p w14:paraId="37A299C9" w14:textId="77777777" w:rsidR="00B7046A" w:rsidRPr="00512269" w:rsidRDefault="00B7046A" w:rsidP="00B7046A">
      <w:pPr>
        <w:pStyle w:val="xmsonormal"/>
        <w:jc w:val="both"/>
        <w:rPr>
          <w:rFonts w:ascii="Arial" w:hAnsi="Arial" w:cs="Arial"/>
          <w:sz w:val="23"/>
          <w:szCs w:val="23"/>
        </w:rPr>
      </w:pPr>
    </w:p>
    <w:p w14:paraId="4B1560EF" w14:textId="77777777" w:rsidR="00B7046A" w:rsidRPr="00512269" w:rsidRDefault="00B7046A" w:rsidP="00B7046A">
      <w:pPr>
        <w:jc w:val="both"/>
        <w:rPr>
          <w:rFonts w:ascii="Arial" w:hAnsi="Arial" w:cs="Arial"/>
          <w:b/>
          <w:sz w:val="23"/>
          <w:szCs w:val="23"/>
        </w:rPr>
      </w:pPr>
      <w:r w:rsidRPr="00512269">
        <w:rPr>
          <w:rFonts w:ascii="Arial" w:hAnsi="Arial" w:cs="Arial"/>
          <w:b/>
          <w:sz w:val="23"/>
          <w:szCs w:val="23"/>
        </w:rPr>
        <w:t xml:space="preserve">Financial </w:t>
      </w:r>
    </w:p>
    <w:p w14:paraId="0A0C0851" w14:textId="77777777" w:rsidR="00B7046A" w:rsidRPr="00512269" w:rsidRDefault="00B7046A" w:rsidP="00B7046A">
      <w:pPr>
        <w:jc w:val="both"/>
        <w:rPr>
          <w:rFonts w:ascii="Arial" w:hAnsi="Arial" w:cs="Arial"/>
          <w:sz w:val="23"/>
          <w:szCs w:val="23"/>
        </w:rPr>
      </w:pPr>
      <w:r w:rsidRPr="00512269">
        <w:rPr>
          <w:rFonts w:ascii="Arial" w:hAnsi="Arial" w:cs="Arial"/>
          <w:sz w:val="23"/>
          <w:szCs w:val="23"/>
        </w:rPr>
        <w:t xml:space="preserve">The financial position is complex, with a variety of variable factors to consider. On initial estimates of membership and income attrition, it seemed likely that, if eligible for the scheme and with use of reserves and rapid business recovery, the financial year-end position was secure.  As the situation has developed, the financial implications have shifted as detailed in our paper at the reference. However, the paper attached does not consider the UK Government announcement that the JRS will be extended by a further month. The extension will improve the financial position significantly although the exact implications have yet to be worked out in detail.  </w:t>
      </w:r>
    </w:p>
    <w:p w14:paraId="0E34A112" w14:textId="60752B53" w:rsidR="00B7046A" w:rsidRPr="00512269" w:rsidRDefault="00B7046A" w:rsidP="00B7046A">
      <w:pPr>
        <w:jc w:val="both"/>
        <w:rPr>
          <w:rFonts w:ascii="Arial" w:hAnsi="Arial" w:cs="Arial"/>
          <w:sz w:val="23"/>
          <w:szCs w:val="23"/>
        </w:rPr>
      </w:pPr>
      <w:r w:rsidRPr="00512269">
        <w:rPr>
          <w:rFonts w:ascii="Arial" w:hAnsi="Arial" w:cs="Arial"/>
          <w:sz w:val="23"/>
          <w:szCs w:val="23"/>
        </w:rPr>
        <w:t xml:space="preserve">    </w:t>
      </w:r>
    </w:p>
    <w:p w14:paraId="1413E6C4" w14:textId="2B7E8A01" w:rsidR="00B7046A" w:rsidRPr="00512269" w:rsidRDefault="00B7046A" w:rsidP="00B7046A">
      <w:pPr>
        <w:jc w:val="both"/>
        <w:rPr>
          <w:rFonts w:ascii="Arial" w:hAnsi="Arial" w:cs="Arial"/>
          <w:sz w:val="23"/>
          <w:szCs w:val="23"/>
        </w:rPr>
      </w:pPr>
      <w:r w:rsidRPr="00512269">
        <w:rPr>
          <w:rFonts w:ascii="Arial" w:hAnsi="Arial" w:cs="Arial"/>
          <w:sz w:val="23"/>
          <w:szCs w:val="23"/>
        </w:rPr>
        <w:t xml:space="preserve">The cost of the 20% top-up per month is c£200k, this number will vary as more staff are placed on Furlough, this number is peer-reviewed by senior management on a weekly basis.  </w:t>
      </w:r>
    </w:p>
    <w:p w14:paraId="308103A2" w14:textId="77777777" w:rsidR="00B7046A" w:rsidRPr="00512269" w:rsidRDefault="00B7046A" w:rsidP="00B7046A">
      <w:pPr>
        <w:jc w:val="both"/>
        <w:rPr>
          <w:rFonts w:ascii="Arial" w:hAnsi="Arial" w:cs="Arial"/>
          <w:sz w:val="23"/>
          <w:szCs w:val="23"/>
        </w:rPr>
      </w:pPr>
    </w:p>
    <w:p w14:paraId="5A889BA8" w14:textId="33ED963D" w:rsidR="00B7046A" w:rsidRPr="00512269" w:rsidRDefault="00B7046A" w:rsidP="00B7046A">
      <w:pPr>
        <w:jc w:val="both"/>
        <w:rPr>
          <w:rFonts w:ascii="Arial" w:hAnsi="Arial" w:cs="Arial"/>
          <w:sz w:val="23"/>
          <w:szCs w:val="23"/>
        </w:rPr>
      </w:pPr>
      <w:r w:rsidRPr="00512269">
        <w:rPr>
          <w:rFonts w:ascii="Arial" w:hAnsi="Arial" w:cs="Arial"/>
          <w:sz w:val="23"/>
          <w:szCs w:val="23"/>
        </w:rPr>
        <w:t xml:space="preserve">Costs of redundancy was a factor on our financial calculations, the JRS requires consultation at individual level offering employees either to join the scheme, unpaid leave or redundancy. In accord with a number of other trusts, we have agreed with Trade Unions that redundancy would only be offered on statutory terms, this was contingent upon payment of the top-up. Given that 15% of our employees have in excess of 20 years-service, the risks were significant. Based on an estimated take up of 2% of our workforce electing to take this option, the redundancy costs in-year would have been c£900k, outweighing the risk of top-up. This does not take account of the business risk of key workers electing to leave the organisation.   </w:t>
      </w:r>
    </w:p>
    <w:p w14:paraId="3CA983F1" w14:textId="77777777" w:rsidR="00B7046A" w:rsidRPr="00512269" w:rsidRDefault="00B7046A" w:rsidP="00B7046A">
      <w:pPr>
        <w:jc w:val="both"/>
        <w:rPr>
          <w:rFonts w:ascii="Arial" w:hAnsi="Arial" w:cs="Arial"/>
          <w:sz w:val="23"/>
          <w:szCs w:val="23"/>
        </w:rPr>
      </w:pPr>
    </w:p>
    <w:p w14:paraId="45C86D8C" w14:textId="77777777" w:rsidR="00B7046A" w:rsidRPr="00512269" w:rsidRDefault="00B7046A" w:rsidP="00B7046A">
      <w:pPr>
        <w:jc w:val="both"/>
        <w:rPr>
          <w:rFonts w:ascii="Arial" w:hAnsi="Arial" w:cs="Arial"/>
          <w:b/>
          <w:sz w:val="23"/>
          <w:szCs w:val="23"/>
        </w:rPr>
      </w:pPr>
      <w:r w:rsidRPr="00512269">
        <w:rPr>
          <w:rFonts w:ascii="Arial" w:hAnsi="Arial" w:cs="Arial"/>
          <w:b/>
          <w:sz w:val="23"/>
          <w:szCs w:val="23"/>
        </w:rPr>
        <w:t>Employee Relations</w:t>
      </w:r>
    </w:p>
    <w:p w14:paraId="351F74D1" w14:textId="77777777" w:rsidR="00B7046A" w:rsidRPr="00512269" w:rsidRDefault="00B7046A" w:rsidP="00B7046A">
      <w:pPr>
        <w:pStyle w:val="xmsonormal"/>
        <w:spacing w:after="240"/>
        <w:jc w:val="both"/>
        <w:rPr>
          <w:rFonts w:ascii="Arial" w:hAnsi="Arial" w:cs="Arial"/>
          <w:sz w:val="23"/>
          <w:szCs w:val="23"/>
        </w:rPr>
      </w:pPr>
      <w:r w:rsidRPr="00512269">
        <w:rPr>
          <w:rFonts w:ascii="Arial" w:hAnsi="Arial" w:cs="Arial"/>
          <w:sz w:val="23"/>
          <w:szCs w:val="23"/>
        </w:rPr>
        <w:t xml:space="preserve">HLH has entered into a collective agreement with GMB, UNISON and UNITE with respect to the application of the JRS and how it is being applied to the workforce. The agreement is being used as an exemplar template and is currently in the process of being adopted by a number of other trusts.  </w:t>
      </w:r>
      <w:r w:rsidRPr="00512269">
        <w:rPr>
          <w:rFonts w:ascii="Arial" w:hAnsi="Arial" w:cs="Arial"/>
          <w:color w:val="000000"/>
          <w:sz w:val="23"/>
          <w:szCs w:val="23"/>
        </w:rPr>
        <w:t xml:space="preserve">The strength of a collective agreement with unions will also help with any uncertainty over eligibility with HMRC and protects our hard-earned reputation as a responsible, fair-minded employer. </w:t>
      </w:r>
    </w:p>
    <w:p w14:paraId="12D1516B" w14:textId="77777777" w:rsidR="00B7046A" w:rsidRPr="00512269" w:rsidRDefault="00B7046A" w:rsidP="00B7046A">
      <w:pPr>
        <w:jc w:val="both"/>
        <w:rPr>
          <w:rFonts w:ascii="Arial" w:hAnsi="Arial" w:cs="Arial"/>
          <w:b/>
          <w:sz w:val="23"/>
          <w:szCs w:val="23"/>
        </w:rPr>
      </w:pPr>
      <w:r w:rsidRPr="00512269">
        <w:rPr>
          <w:rFonts w:ascii="Arial" w:hAnsi="Arial" w:cs="Arial"/>
          <w:b/>
          <w:sz w:val="23"/>
          <w:szCs w:val="23"/>
        </w:rPr>
        <w:t xml:space="preserve">Business Risks </w:t>
      </w:r>
    </w:p>
    <w:p w14:paraId="032D2109" w14:textId="77777777" w:rsidR="00B7046A" w:rsidRPr="00512269" w:rsidRDefault="00B7046A" w:rsidP="00B7046A">
      <w:pPr>
        <w:jc w:val="both"/>
        <w:rPr>
          <w:rFonts w:ascii="Arial" w:hAnsi="Arial" w:cs="Arial"/>
          <w:sz w:val="23"/>
          <w:szCs w:val="23"/>
        </w:rPr>
      </w:pPr>
      <w:r w:rsidRPr="00512269">
        <w:rPr>
          <w:rFonts w:ascii="Arial" w:hAnsi="Arial" w:cs="Arial"/>
          <w:sz w:val="23"/>
          <w:szCs w:val="23"/>
        </w:rPr>
        <w:t xml:space="preserve">This paper has been relatively rapidly constructed and more detail can be made available on request. The business risks associated with the JRS will be mitigated by constant re-evaluation of the approach we have taken, including top-up. However, the first major risk is eligibility to the scheme which should be clear over the next few days. </w:t>
      </w:r>
    </w:p>
    <w:p w14:paraId="7558FB5B" w14:textId="43E327D3" w:rsidR="00B7046A" w:rsidRPr="00512269" w:rsidRDefault="00B7046A" w:rsidP="00B7046A">
      <w:pPr>
        <w:jc w:val="both"/>
        <w:rPr>
          <w:rFonts w:ascii="Arial" w:hAnsi="Arial" w:cs="Arial"/>
          <w:sz w:val="23"/>
          <w:szCs w:val="23"/>
        </w:rPr>
      </w:pPr>
      <w:r w:rsidRPr="00512269">
        <w:rPr>
          <w:rFonts w:ascii="Arial" w:hAnsi="Arial" w:cs="Arial"/>
          <w:sz w:val="23"/>
          <w:szCs w:val="23"/>
        </w:rPr>
        <w:t xml:space="preserve">HLH has set up a Recovery Action Group with a focus on the most likely scenario for re-introduction of services and restoration of income. Part of the process will how we leverage the innovation and technology solutions that have been put in place to deliver services more efficiently during lockdown; early collaboration with council members and colleagues to share opportunities for the joint realisation of benefits would be hugely welcome.    </w:t>
      </w:r>
    </w:p>
    <w:p w14:paraId="7C7B9135" w14:textId="77777777" w:rsidR="00B7046A" w:rsidRPr="00512269" w:rsidRDefault="00B7046A" w:rsidP="00B7046A">
      <w:pPr>
        <w:jc w:val="both"/>
        <w:rPr>
          <w:rFonts w:ascii="Arial" w:hAnsi="Arial" w:cs="Arial"/>
          <w:sz w:val="23"/>
          <w:szCs w:val="23"/>
        </w:rPr>
      </w:pPr>
    </w:p>
    <w:p w14:paraId="71AFCEE4" w14:textId="77777777" w:rsidR="00B7046A" w:rsidRPr="00512269" w:rsidRDefault="00B7046A" w:rsidP="00B7046A">
      <w:pPr>
        <w:jc w:val="both"/>
        <w:rPr>
          <w:rFonts w:ascii="Arial" w:hAnsi="Arial" w:cs="Arial"/>
          <w:sz w:val="23"/>
          <w:szCs w:val="23"/>
        </w:rPr>
      </w:pPr>
      <w:r w:rsidRPr="00512269">
        <w:rPr>
          <w:rFonts w:ascii="Arial" w:hAnsi="Arial" w:cs="Arial"/>
          <w:sz w:val="23"/>
          <w:szCs w:val="23"/>
        </w:rPr>
        <w:t xml:space="preserve">Finally, in addition to the routine engagements at officer level, the Chair of HLH, Ian Ross, would welcome and value the opportunity to speak with elected members to seek to gain a shared understanding of the challenges both organisations face, with an aim of supporting officers with clear strategic guidance between the HLH board and elected members.  </w:t>
      </w:r>
    </w:p>
    <w:p w14:paraId="00A0E2EA" w14:textId="77777777" w:rsidR="00B7046A" w:rsidRPr="00512269" w:rsidRDefault="00B7046A" w:rsidP="00B7046A">
      <w:pPr>
        <w:jc w:val="both"/>
        <w:rPr>
          <w:rFonts w:ascii="Arial" w:hAnsi="Arial" w:cs="Arial"/>
          <w:sz w:val="23"/>
          <w:szCs w:val="23"/>
        </w:rPr>
      </w:pPr>
    </w:p>
    <w:p w14:paraId="372DD5A5" w14:textId="77777777" w:rsidR="00B7046A" w:rsidRPr="00512269" w:rsidRDefault="00B7046A" w:rsidP="00B7046A">
      <w:pPr>
        <w:jc w:val="both"/>
        <w:rPr>
          <w:rFonts w:ascii="Arial" w:hAnsi="Arial" w:cs="Arial"/>
          <w:sz w:val="23"/>
          <w:szCs w:val="23"/>
        </w:rPr>
      </w:pPr>
      <w:r w:rsidRPr="00512269">
        <w:rPr>
          <w:rFonts w:ascii="Arial" w:hAnsi="Arial" w:cs="Arial"/>
          <w:sz w:val="23"/>
          <w:szCs w:val="23"/>
        </w:rPr>
        <w:t>Steve Walsh OBE</w:t>
      </w:r>
    </w:p>
    <w:p w14:paraId="7469DBFA" w14:textId="77777777" w:rsidR="00B7046A" w:rsidRPr="00512269" w:rsidRDefault="00B7046A" w:rsidP="00B7046A">
      <w:pPr>
        <w:jc w:val="both"/>
        <w:rPr>
          <w:rFonts w:ascii="Arial" w:hAnsi="Arial" w:cs="Arial"/>
          <w:sz w:val="23"/>
          <w:szCs w:val="23"/>
        </w:rPr>
      </w:pPr>
      <w:r w:rsidRPr="00512269">
        <w:rPr>
          <w:rFonts w:ascii="Arial" w:hAnsi="Arial" w:cs="Arial"/>
          <w:sz w:val="23"/>
          <w:szCs w:val="23"/>
        </w:rPr>
        <w:t xml:space="preserve">Chief Executive </w:t>
      </w:r>
    </w:p>
    <w:p w14:paraId="012BDD36" w14:textId="6435A69A" w:rsidR="00335968" w:rsidRPr="004C688A" w:rsidRDefault="00B7046A" w:rsidP="00B7046A">
      <w:pPr>
        <w:jc w:val="both"/>
        <w:rPr>
          <w:rFonts w:ascii="Arial" w:hAnsi="Arial" w:cs="Arial"/>
          <w:sz w:val="23"/>
          <w:szCs w:val="23"/>
        </w:rPr>
      </w:pPr>
      <w:r w:rsidRPr="00512269">
        <w:rPr>
          <w:rFonts w:ascii="Arial" w:hAnsi="Arial" w:cs="Arial"/>
          <w:sz w:val="23"/>
          <w:szCs w:val="23"/>
        </w:rPr>
        <w:t>High Life Highland</w:t>
      </w:r>
    </w:p>
    <w:sectPr w:rsidR="00335968" w:rsidRPr="004C688A" w:rsidSect="004223C7">
      <w:headerReference w:type="even" r:id="rId11"/>
      <w:headerReference w:type="default" r:id="rId12"/>
      <w:footerReference w:type="even" r:id="rId13"/>
      <w:footerReference w:type="default" r:id="rId14"/>
      <w:headerReference w:type="first" r:id="rId15"/>
      <w:footerReference w:type="first" r:id="rId16"/>
      <w:pgSz w:w="11906" w:h="16838"/>
      <w:pgMar w:top="993" w:right="1440" w:bottom="851"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D2F5C" w14:textId="77777777" w:rsidR="00470663" w:rsidRDefault="00470663">
      <w:r>
        <w:separator/>
      </w:r>
    </w:p>
  </w:endnote>
  <w:endnote w:type="continuationSeparator" w:id="0">
    <w:p w14:paraId="341112E6" w14:textId="77777777" w:rsidR="00470663" w:rsidRDefault="00470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Helvetica Neue">
    <w:altName w:val="Arial"/>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D0C16" w14:textId="77777777" w:rsidR="00C36F93" w:rsidRDefault="00C36F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ADC7E" w14:textId="77777777" w:rsidR="00C36F93" w:rsidRDefault="00C36F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7FAAA" w14:textId="77777777" w:rsidR="00C36F93" w:rsidRDefault="00C36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D0768" w14:textId="77777777" w:rsidR="00470663" w:rsidRDefault="00470663">
      <w:r>
        <w:separator/>
      </w:r>
    </w:p>
  </w:footnote>
  <w:footnote w:type="continuationSeparator" w:id="0">
    <w:p w14:paraId="4A412799" w14:textId="77777777" w:rsidR="00470663" w:rsidRDefault="00470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05B44" w14:textId="77777777" w:rsidR="00C36F93" w:rsidRDefault="00C36F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796F5" w14:textId="3672628D" w:rsidR="00C36F93" w:rsidRDefault="00C36F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B4D48" w14:textId="77777777" w:rsidR="00C36F93" w:rsidRDefault="00C36F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42D60"/>
    <w:multiLevelType w:val="hybridMultilevel"/>
    <w:tmpl w:val="F29024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8C798C"/>
    <w:multiLevelType w:val="hybridMultilevel"/>
    <w:tmpl w:val="581A4022"/>
    <w:lvl w:ilvl="0" w:tplc="519407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942ED4"/>
    <w:multiLevelType w:val="hybridMultilevel"/>
    <w:tmpl w:val="89064E32"/>
    <w:lvl w:ilvl="0" w:tplc="519407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312CA8"/>
    <w:multiLevelType w:val="hybridMultilevel"/>
    <w:tmpl w:val="C21E9FAA"/>
    <w:lvl w:ilvl="0" w:tplc="08090001">
      <w:start w:val="1"/>
      <w:numFmt w:val="bullet"/>
      <w:lvlText w:val=""/>
      <w:lvlJc w:val="left"/>
      <w:pPr>
        <w:ind w:left="1668" w:hanging="360"/>
      </w:pPr>
      <w:rPr>
        <w:rFonts w:ascii="Symbol" w:hAnsi="Symbol" w:hint="default"/>
      </w:rPr>
    </w:lvl>
    <w:lvl w:ilvl="1" w:tplc="08090003" w:tentative="1">
      <w:start w:val="1"/>
      <w:numFmt w:val="bullet"/>
      <w:lvlText w:val="o"/>
      <w:lvlJc w:val="left"/>
      <w:pPr>
        <w:ind w:left="2388" w:hanging="360"/>
      </w:pPr>
      <w:rPr>
        <w:rFonts w:ascii="Courier New" w:hAnsi="Courier New" w:cs="Courier New" w:hint="default"/>
      </w:rPr>
    </w:lvl>
    <w:lvl w:ilvl="2" w:tplc="08090005" w:tentative="1">
      <w:start w:val="1"/>
      <w:numFmt w:val="bullet"/>
      <w:lvlText w:val=""/>
      <w:lvlJc w:val="left"/>
      <w:pPr>
        <w:ind w:left="3108" w:hanging="360"/>
      </w:pPr>
      <w:rPr>
        <w:rFonts w:ascii="Wingdings" w:hAnsi="Wingdings" w:hint="default"/>
      </w:rPr>
    </w:lvl>
    <w:lvl w:ilvl="3" w:tplc="08090001" w:tentative="1">
      <w:start w:val="1"/>
      <w:numFmt w:val="bullet"/>
      <w:lvlText w:val=""/>
      <w:lvlJc w:val="left"/>
      <w:pPr>
        <w:ind w:left="3828" w:hanging="360"/>
      </w:pPr>
      <w:rPr>
        <w:rFonts w:ascii="Symbol" w:hAnsi="Symbol" w:hint="default"/>
      </w:rPr>
    </w:lvl>
    <w:lvl w:ilvl="4" w:tplc="08090003" w:tentative="1">
      <w:start w:val="1"/>
      <w:numFmt w:val="bullet"/>
      <w:lvlText w:val="o"/>
      <w:lvlJc w:val="left"/>
      <w:pPr>
        <w:ind w:left="4548" w:hanging="360"/>
      </w:pPr>
      <w:rPr>
        <w:rFonts w:ascii="Courier New" w:hAnsi="Courier New" w:cs="Courier New" w:hint="default"/>
      </w:rPr>
    </w:lvl>
    <w:lvl w:ilvl="5" w:tplc="08090005" w:tentative="1">
      <w:start w:val="1"/>
      <w:numFmt w:val="bullet"/>
      <w:lvlText w:val=""/>
      <w:lvlJc w:val="left"/>
      <w:pPr>
        <w:ind w:left="5268" w:hanging="360"/>
      </w:pPr>
      <w:rPr>
        <w:rFonts w:ascii="Wingdings" w:hAnsi="Wingdings" w:hint="default"/>
      </w:rPr>
    </w:lvl>
    <w:lvl w:ilvl="6" w:tplc="08090001" w:tentative="1">
      <w:start w:val="1"/>
      <w:numFmt w:val="bullet"/>
      <w:lvlText w:val=""/>
      <w:lvlJc w:val="left"/>
      <w:pPr>
        <w:ind w:left="5988" w:hanging="360"/>
      </w:pPr>
      <w:rPr>
        <w:rFonts w:ascii="Symbol" w:hAnsi="Symbol" w:hint="default"/>
      </w:rPr>
    </w:lvl>
    <w:lvl w:ilvl="7" w:tplc="08090003" w:tentative="1">
      <w:start w:val="1"/>
      <w:numFmt w:val="bullet"/>
      <w:lvlText w:val="o"/>
      <w:lvlJc w:val="left"/>
      <w:pPr>
        <w:ind w:left="6708" w:hanging="360"/>
      </w:pPr>
      <w:rPr>
        <w:rFonts w:ascii="Courier New" w:hAnsi="Courier New" w:cs="Courier New" w:hint="default"/>
      </w:rPr>
    </w:lvl>
    <w:lvl w:ilvl="8" w:tplc="08090005" w:tentative="1">
      <w:start w:val="1"/>
      <w:numFmt w:val="bullet"/>
      <w:lvlText w:val=""/>
      <w:lvlJc w:val="left"/>
      <w:pPr>
        <w:ind w:left="7428" w:hanging="360"/>
      </w:pPr>
      <w:rPr>
        <w:rFonts w:ascii="Wingdings" w:hAnsi="Wingdings" w:hint="default"/>
      </w:rPr>
    </w:lvl>
  </w:abstractNum>
  <w:abstractNum w:abstractNumId="4" w15:restartNumberingAfterBreak="0">
    <w:nsid w:val="126C6547"/>
    <w:multiLevelType w:val="hybridMultilevel"/>
    <w:tmpl w:val="62DC0214"/>
    <w:lvl w:ilvl="0" w:tplc="08090001">
      <w:start w:val="1"/>
      <w:numFmt w:val="bullet"/>
      <w:lvlText w:val=""/>
      <w:lvlJc w:val="left"/>
      <w:pPr>
        <w:ind w:left="360" w:hanging="360"/>
      </w:pPr>
      <w:rPr>
        <w:rFonts w:ascii="Symbol" w:hAnsi="Symbol" w:hint="default"/>
      </w:rPr>
    </w:lvl>
    <w:lvl w:ilvl="1" w:tplc="3AE27606">
      <w:numFmt w:val="bullet"/>
      <w:lvlText w:val="•"/>
      <w:lvlJc w:val="left"/>
      <w:pPr>
        <w:ind w:left="1410" w:hanging="690"/>
      </w:pPr>
      <w:rPr>
        <w:rFonts w:ascii="Arial" w:eastAsia="Calibr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7616E5"/>
    <w:multiLevelType w:val="hybridMultilevel"/>
    <w:tmpl w:val="CAEAF1DA"/>
    <w:lvl w:ilvl="0" w:tplc="BF7A3FF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363238"/>
    <w:multiLevelType w:val="hybridMultilevel"/>
    <w:tmpl w:val="592EB774"/>
    <w:lvl w:ilvl="0" w:tplc="0809001B">
      <w:start w:val="1"/>
      <w:numFmt w:val="lowerRoman"/>
      <w:lvlText w:val="%1."/>
      <w:lvlJc w:val="righ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7" w15:restartNumberingAfterBreak="0">
    <w:nsid w:val="1DBF5D22"/>
    <w:multiLevelType w:val="hybridMultilevel"/>
    <w:tmpl w:val="D25CA48C"/>
    <w:lvl w:ilvl="0" w:tplc="519407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002B90"/>
    <w:multiLevelType w:val="hybridMultilevel"/>
    <w:tmpl w:val="86D8864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CA058F"/>
    <w:multiLevelType w:val="hybridMultilevel"/>
    <w:tmpl w:val="592EB774"/>
    <w:lvl w:ilvl="0" w:tplc="0809001B">
      <w:start w:val="1"/>
      <w:numFmt w:val="lowerRoman"/>
      <w:lvlText w:val="%1."/>
      <w:lvlJc w:val="righ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0" w15:restartNumberingAfterBreak="0">
    <w:nsid w:val="240F7DBC"/>
    <w:multiLevelType w:val="hybridMultilevel"/>
    <w:tmpl w:val="41945C4E"/>
    <w:lvl w:ilvl="0" w:tplc="519407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A30DE6"/>
    <w:multiLevelType w:val="multilevel"/>
    <w:tmpl w:val="E3E434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170142"/>
    <w:multiLevelType w:val="hybridMultilevel"/>
    <w:tmpl w:val="A95CDCFA"/>
    <w:lvl w:ilvl="0" w:tplc="519407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C15005"/>
    <w:multiLevelType w:val="hybridMultilevel"/>
    <w:tmpl w:val="A95CDCFA"/>
    <w:lvl w:ilvl="0" w:tplc="519407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40528D"/>
    <w:multiLevelType w:val="hybridMultilevel"/>
    <w:tmpl w:val="31FA9FFC"/>
    <w:lvl w:ilvl="0" w:tplc="D0D2C064">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EA0DCD"/>
    <w:multiLevelType w:val="hybridMultilevel"/>
    <w:tmpl w:val="CAEAF1DA"/>
    <w:lvl w:ilvl="0" w:tplc="BF7A3FF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DF7065"/>
    <w:multiLevelType w:val="hybridMultilevel"/>
    <w:tmpl w:val="E3024056"/>
    <w:lvl w:ilvl="0" w:tplc="900EF20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F67171"/>
    <w:multiLevelType w:val="hybridMultilevel"/>
    <w:tmpl w:val="F4E803B8"/>
    <w:lvl w:ilvl="0" w:tplc="E92254F8">
      <w:start w:val="1"/>
      <w:numFmt w:val="lowerRoman"/>
      <w:lvlText w:val="%1."/>
      <w:lvlJc w:val="left"/>
      <w:pPr>
        <w:ind w:left="1080"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FA04E0"/>
    <w:multiLevelType w:val="hybridMultilevel"/>
    <w:tmpl w:val="5A90C6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35B6D2F"/>
    <w:multiLevelType w:val="hybridMultilevel"/>
    <w:tmpl w:val="A07E9430"/>
    <w:lvl w:ilvl="0" w:tplc="519407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8E4535"/>
    <w:multiLevelType w:val="hybridMultilevel"/>
    <w:tmpl w:val="CAEAF1DA"/>
    <w:lvl w:ilvl="0" w:tplc="BF7A3FF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DA682F"/>
    <w:multiLevelType w:val="hybridMultilevel"/>
    <w:tmpl w:val="5718AA06"/>
    <w:lvl w:ilvl="0" w:tplc="9D6A9AC0">
      <w:start w:val="1"/>
      <w:numFmt w:val="lowerRoman"/>
      <w:lvlText w:val="%1."/>
      <w:lvlJc w:val="left"/>
      <w:pPr>
        <w:ind w:left="1602" w:hanging="720"/>
      </w:pPr>
    </w:lvl>
    <w:lvl w:ilvl="1" w:tplc="08090019">
      <w:start w:val="1"/>
      <w:numFmt w:val="lowerLetter"/>
      <w:lvlText w:val="%2."/>
      <w:lvlJc w:val="left"/>
      <w:pPr>
        <w:ind w:left="1962" w:hanging="360"/>
      </w:pPr>
    </w:lvl>
    <w:lvl w:ilvl="2" w:tplc="0809001B">
      <w:start w:val="1"/>
      <w:numFmt w:val="lowerRoman"/>
      <w:lvlText w:val="%3."/>
      <w:lvlJc w:val="right"/>
      <w:pPr>
        <w:ind w:left="2682" w:hanging="180"/>
      </w:pPr>
    </w:lvl>
    <w:lvl w:ilvl="3" w:tplc="0809000F">
      <w:start w:val="1"/>
      <w:numFmt w:val="decimal"/>
      <w:lvlText w:val="%4."/>
      <w:lvlJc w:val="left"/>
      <w:pPr>
        <w:ind w:left="3402" w:hanging="360"/>
      </w:pPr>
    </w:lvl>
    <w:lvl w:ilvl="4" w:tplc="08090019">
      <w:start w:val="1"/>
      <w:numFmt w:val="lowerLetter"/>
      <w:lvlText w:val="%5."/>
      <w:lvlJc w:val="left"/>
      <w:pPr>
        <w:ind w:left="4122" w:hanging="360"/>
      </w:pPr>
    </w:lvl>
    <w:lvl w:ilvl="5" w:tplc="0809001B">
      <w:start w:val="1"/>
      <w:numFmt w:val="lowerRoman"/>
      <w:lvlText w:val="%6."/>
      <w:lvlJc w:val="right"/>
      <w:pPr>
        <w:ind w:left="4842" w:hanging="180"/>
      </w:pPr>
    </w:lvl>
    <w:lvl w:ilvl="6" w:tplc="0809000F">
      <w:start w:val="1"/>
      <w:numFmt w:val="decimal"/>
      <w:lvlText w:val="%7."/>
      <w:lvlJc w:val="left"/>
      <w:pPr>
        <w:ind w:left="5562" w:hanging="360"/>
      </w:pPr>
    </w:lvl>
    <w:lvl w:ilvl="7" w:tplc="08090019">
      <w:start w:val="1"/>
      <w:numFmt w:val="lowerLetter"/>
      <w:lvlText w:val="%8."/>
      <w:lvlJc w:val="left"/>
      <w:pPr>
        <w:ind w:left="6282" w:hanging="360"/>
      </w:pPr>
    </w:lvl>
    <w:lvl w:ilvl="8" w:tplc="0809001B">
      <w:start w:val="1"/>
      <w:numFmt w:val="lowerRoman"/>
      <w:lvlText w:val="%9."/>
      <w:lvlJc w:val="right"/>
      <w:pPr>
        <w:ind w:left="7002" w:hanging="180"/>
      </w:pPr>
    </w:lvl>
  </w:abstractNum>
  <w:abstractNum w:abstractNumId="22" w15:restartNumberingAfterBreak="0">
    <w:nsid w:val="6C247437"/>
    <w:multiLevelType w:val="hybridMultilevel"/>
    <w:tmpl w:val="CAEAF1DA"/>
    <w:lvl w:ilvl="0" w:tplc="BF7A3FF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330226"/>
    <w:multiLevelType w:val="hybridMultilevel"/>
    <w:tmpl w:val="86D8864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68E788F"/>
    <w:multiLevelType w:val="hybridMultilevel"/>
    <w:tmpl w:val="86D8864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7787736"/>
    <w:multiLevelType w:val="hybridMultilevel"/>
    <w:tmpl w:val="1846A1E4"/>
    <w:lvl w:ilvl="0" w:tplc="56660C6E">
      <w:start w:val="1"/>
      <w:numFmt w:val="decimal"/>
      <w:lvlText w:val="%1."/>
      <w:lvlJc w:val="left"/>
      <w:pPr>
        <w:ind w:left="819" w:hanging="360"/>
      </w:pPr>
      <w:rPr>
        <w:rFonts w:hint="default"/>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26" w15:restartNumberingAfterBreak="0">
    <w:nsid w:val="7A81055A"/>
    <w:multiLevelType w:val="hybridMultilevel"/>
    <w:tmpl w:val="902E9E86"/>
    <w:lvl w:ilvl="0" w:tplc="519407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14"/>
  </w:num>
  <w:num w:numId="3">
    <w:abstractNumId w:val="4"/>
  </w:num>
  <w:num w:numId="4">
    <w:abstractNumId w:val="11"/>
  </w:num>
  <w:num w:numId="5">
    <w:abstractNumId w:val="6"/>
  </w:num>
  <w:num w:numId="6">
    <w:abstractNumId w:val="9"/>
  </w:num>
  <w:num w:numId="7">
    <w:abstractNumId w:val="18"/>
  </w:num>
  <w:num w:numId="8">
    <w:abstractNumId w:val="0"/>
  </w:num>
  <w:num w:numId="9">
    <w:abstractNumId w:val="23"/>
  </w:num>
  <w:num w:numId="10">
    <w:abstractNumId w:val="8"/>
  </w:num>
  <w:num w:numId="11">
    <w:abstractNumId w:val="24"/>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2"/>
  </w:num>
  <w:num w:numId="15">
    <w:abstractNumId w:val="1"/>
  </w:num>
  <w:num w:numId="16">
    <w:abstractNumId w:val="17"/>
  </w:num>
  <w:num w:numId="17">
    <w:abstractNumId w:val="7"/>
  </w:num>
  <w:num w:numId="18">
    <w:abstractNumId w:val="2"/>
  </w:num>
  <w:num w:numId="19">
    <w:abstractNumId w:val="10"/>
  </w:num>
  <w:num w:numId="20">
    <w:abstractNumId w:val="26"/>
  </w:num>
  <w:num w:numId="21">
    <w:abstractNumId w:val="19"/>
  </w:num>
  <w:num w:numId="22">
    <w:abstractNumId w:val="16"/>
  </w:num>
  <w:num w:numId="23">
    <w:abstractNumId w:val="5"/>
  </w:num>
  <w:num w:numId="24">
    <w:abstractNumId w:val="13"/>
  </w:num>
  <w:num w:numId="25">
    <w:abstractNumId w:val="20"/>
  </w:num>
  <w:num w:numId="26">
    <w:abstractNumId w:val="15"/>
  </w:num>
  <w:num w:numId="27">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0A"/>
    <w:rsid w:val="00005CE8"/>
    <w:rsid w:val="00013078"/>
    <w:rsid w:val="00020B41"/>
    <w:rsid w:val="000261C0"/>
    <w:rsid w:val="00026F8A"/>
    <w:rsid w:val="0003004A"/>
    <w:rsid w:val="000330B6"/>
    <w:rsid w:val="0003591A"/>
    <w:rsid w:val="00036AEE"/>
    <w:rsid w:val="00050D22"/>
    <w:rsid w:val="00054DE1"/>
    <w:rsid w:val="000551FC"/>
    <w:rsid w:val="000554B2"/>
    <w:rsid w:val="000574B4"/>
    <w:rsid w:val="00057AC3"/>
    <w:rsid w:val="00061C9F"/>
    <w:rsid w:val="00062F53"/>
    <w:rsid w:val="00064BF3"/>
    <w:rsid w:val="00066BA2"/>
    <w:rsid w:val="00074FF1"/>
    <w:rsid w:val="00077F8B"/>
    <w:rsid w:val="00080FD0"/>
    <w:rsid w:val="00081A88"/>
    <w:rsid w:val="00084731"/>
    <w:rsid w:val="0008589E"/>
    <w:rsid w:val="00090B05"/>
    <w:rsid w:val="00091C70"/>
    <w:rsid w:val="00093B82"/>
    <w:rsid w:val="00097000"/>
    <w:rsid w:val="000A7837"/>
    <w:rsid w:val="000B1D32"/>
    <w:rsid w:val="000B49B2"/>
    <w:rsid w:val="000B6F76"/>
    <w:rsid w:val="000C3CCE"/>
    <w:rsid w:val="000D4534"/>
    <w:rsid w:val="000D4BC9"/>
    <w:rsid w:val="000E32C5"/>
    <w:rsid w:val="000F274B"/>
    <w:rsid w:val="000F6071"/>
    <w:rsid w:val="001013C9"/>
    <w:rsid w:val="00104AC2"/>
    <w:rsid w:val="00107147"/>
    <w:rsid w:val="001072B4"/>
    <w:rsid w:val="00113A44"/>
    <w:rsid w:val="001359E1"/>
    <w:rsid w:val="00140C99"/>
    <w:rsid w:val="0015012F"/>
    <w:rsid w:val="001519A1"/>
    <w:rsid w:val="001671A2"/>
    <w:rsid w:val="00186DF1"/>
    <w:rsid w:val="00186EB5"/>
    <w:rsid w:val="00192A32"/>
    <w:rsid w:val="00196399"/>
    <w:rsid w:val="001973D8"/>
    <w:rsid w:val="001A0567"/>
    <w:rsid w:val="001A45C4"/>
    <w:rsid w:val="001B2DDC"/>
    <w:rsid w:val="001B448B"/>
    <w:rsid w:val="001B577B"/>
    <w:rsid w:val="001C3583"/>
    <w:rsid w:val="001C7478"/>
    <w:rsid w:val="001D1D38"/>
    <w:rsid w:val="001E75CC"/>
    <w:rsid w:val="001F261C"/>
    <w:rsid w:val="001F6978"/>
    <w:rsid w:val="00210527"/>
    <w:rsid w:val="00214A0D"/>
    <w:rsid w:val="00214EAD"/>
    <w:rsid w:val="002166BB"/>
    <w:rsid w:val="00226F57"/>
    <w:rsid w:val="00234011"/>
    <w:rsid w:val="00234F89"/>
    <w:rsid w:val="0023685D"/>
    <w:rsid w:val="00251CEC"/>
    <w:rsid w:val="0025263B"/>
    <w:rsid w:val="00257BA7"/>
    <w:rsid w:val="00263FA2"/>
    <w:rsid w:val="00267F93"/>
    <w:rsid w:val="00280008"/>
    <w:rsid w:val="00280E3B"/>
    <w:rsid w:val="00290F8E"/>
    <w:rsid w:val="00294AEC"/>
    <w:rsid w:val="00294E58"/>
    <w:rsid w:val="002960FC"/>
    <w:rsid w:val="002A11C0"/>
    <w:rsid w:val="002A660A"/>
    <w:rsid w:val="002B1635"/>
    <w:rsid w:val="002B3430"/>
    <w:rsid w:val="002B7DC4"/>
    <w:rsid w:val="002B7E63"/>
    <w:rsid w:val="002C1270"/>
    <w:rsid w:val="002C194E"/>
    <w:rsid w:val="002C5F24"/>
    <w:rsid w:val="002C68DB"/>
    <w:rsid w:val="002C7DD6"/>
    <w:rsid w:val="002D2844"/>
    <w:rsid w:val="002D5357"/>
    <w:rsid w:val="002D7D16"/>
    <w:rsid w:val="002E1EEF"/>
    <w:rsid w:val="002E349F"/>
    <w:rsid w:val="002E5825"/>
    <w:rsid w:val="002F2E6A"/>
    <w:rsid w:val="002F6788"/>
    <w:rsid w:val="003017DE"/>
    <w:rsid w:val="00301DED"/>
    <w:rsid w:val="00306BAA"/>
    <w:rsid w:val="00324C2E"/>
    <w:rsid w:val="00333CAD"/>
    <w:rsid w:val="0033520A"/>
    <w:rsid w:val="00335968"/>
    <w:rsid w:val="00341354"/>
    <w:rsid w:val="00344E43"/>
    <w:rsid w:val="00345B42"/>
    <w:rsid w:val="00346C3E"/>
    <w:rsid w:val="0035129C"/>
    <w:rsid w:val="00356B53"/>
    <w:rsid w:val="00360BAF"/>
    <w:rsid w:val="0036252C"/>
    <w:rsid w:val="00364AFF"/>
    <w:rsid w:val="00366325"/>
    <w:rsid w:val="00370BBD"/>
    <w:rsid w:val="0037299B"/>
    <w:rsid w:val="003758B9"/>
    <w:rsid w:val="003843D2"/>
    <w:rsid w:val="00385053"/>
    <w:rsid w:val="00386F23"/>
    <w:rsid w:val="003875A7"/>
    <w:rsid w:val="00392356"/>
    <w:rsid w:val="003924C9"/>
    <w:rsid w:val="0039450A"/>
    <w:rsid w:val="003A2DCA"/>
    <w:rsid w:val="003A7248"/>
    <w:rsid w:val="003B0FF6"/>
    <w:rsid w:val="003B11CA"/>
    <w:rsid w:val="003B1F1A"/>
    <w:rsid w:val="003B276F"/>
    <w:rsid w:val="003B6CBF"/>
    <w:rsid w:val="003C202D"/>
    <w:rsid w:val="003D7006"/>
    <w:rsid w:val="003E4842"/>
    <w:rsid w:val="003E73BB"/>
    <w:rsid w:val="003E7C71"/>
    <w:rsid w:val="003F13BF"/>
    <w:rsid w:val="003F713F"/>
    <w:rsid w:val="00403DEA"/>
    <w:rsid w:val="00407A60"/>
    <w:rsid w:val="004101F9"/>
    <w:rsid w:val="00413E57"/>
    <w:rsid w:val="0041542B"/>
    <w:rsid w:val="00416BFF"/>
    <w:rsid w:val="0042047A"/>
    <w:rsid w:val="004223C7"/>
    <w:rsid w:val="00432126"/>
    <w:rsid w:val="004365EA"/>
    <w:rsid w:val="0044130C"/>
    <w:rsid w:val="0044279F"/>
    <w:rsid w:val="004447C2"/>
    <w:rsid w:val="004455D4"/>
    <w:rsid w:val="00445D1F"/>
    <w:rsid w:val="00447094"/>
    <w:rsid w:val="004476F3"/>
    <w:rsid w:val="0045226F"/>
    <w:rsid w:val="0045351D"/>
    <w:rsid w:val="0046491F"/>
    <w:rsid w:val="0046709C"/>
    <w:rsid w:val="004704DB"/>
    <w:rsid w:val="00470663"/>
    <w:rsid w:val="004710BA"/>
    <w:rsid w:val="004806EE"/>
    <w:rsid w:val="0048125E"/>
    <w:rsid w:val="0048628E"/>
    <w:rsid w:val="00493068"/>
    <w:rsid w:val="00496280"/>
    <w:rsid w:val="004973CD"/>
    <w:rsid w:val="004A104C"/>
    <w:rsid w:val="004A1A72"/>
    <w:rsid w:val="004A2FA7"/>
    <w:rsid w:val="004A338B"/>
    <w:rsid w:val="004B7C55"/>
    <w:rsid w:val="004C4A93"/>
    <w:rsid w:val="004C688A"/>
    <w:rsid w:val="004D0BC5"/>
    <w:rsid w:val="004D3AE1"/>
    <w:rsid w:val="004D65FA"/>
    <w:rsid w:val="004D68A8"/>
    <w:rsid w:val="004F2783"/>
    <w:rsid w:val="004F4FE1"/>
    <w:rsid w:val="004F6740"/>
    <w:rsid w:val="004F7724"/>
    <w:rsid w:val="00502875"/>
    <w:rsid w:val="00504936"/>
    <w:rsid w:val="005058F1"/>
    <w:rsid w:val="00505D55"/>
    <w:rsid w:val="00512269"/>
    <w:rsid w:val="00512915"/>
    <w:rsid w:val="00516F25"/>
    <w:rsid w:val="00517046"/>
    <w:rsid w:val="005304A6"/>
    <w:rsid w:val="005307D1"/>
    <w:rsid w:val="00540480"/>
    <w:rsid w:val="00540C40"/>
    <w:rsid w:val="00541DA3"/>
    <w:rsid w:val="0054639C"/>
    <w:rsid w:val="005538D9"/>
    <w:rsid w:val="00555FC1"/>
    <w:rsid w:val="00561E6A"/>
    <w:rsid w:val="00563E8A"/>
    <w:rsid w:val="00573546"/>
    <w:rsid w:val="00574600"/>
    <w:rsid w:val="0057559C"/>
    <w:rsid w:val="005776E6"/>
    <w:rsid w:val="005857E2"/>
    <w:rsid w:val="0058658A"/>
    <w:rsid w:val="00590C36"/>
    <w:rsid w:val="0059426B"/>
    <w:rsid w:val="00596043"/>
    <w:rsid w:val="005A084E"/>
    <w:rsid w:val="005B48BE"/>
    <w:rsid w:val="005B7AD2"/>
    <w:rsid w:val="005C1095"/>
    <w:rsid w:val="005C13D9"/>
    <w:rsid w:val="005C219B"/>
    <w:rsid w:val="005C4E47"/>
    <w:rsid w:val="005D2DA3"/>
    <w:rsid w:val="005D4CFC"/>
    <w:rsid w:val="005E12D5"/>
    <w:rsid w:val="005E23D5"/>
    <w:rsid w:val="005E2417"/>
    <w:rsid w:val="005E4DC9"/>
    <w:rsid w:val="005E629A"/>
    <w:rsid w:val="005F0414"/>
    <w:rsid w:val="005F3BBF"/>
    <w:rsid w:val="00610378"/>
    <w:rsid w:val="00610F52"/>
    <w:rsid w:val="006121C6"/>
    <w:rsid w:val="0061518E"/>
    <w:rsid w:val="0061545F"/>
    <w:rsid w:val="00615DE0"/>
    <w:rsid w:val="00616348"/>
    <w:rsid w:val="00617921"/>
    <w:rsid w:val="00623273"/>
    <w:rsid w:val="00630532"/>
    <w:rsid w:val="00631A84"/>
    <w:rsid w:val="006405A1"/>
    <w:rsid w:val="00641098"/>
    <w:rsid w:val="00647D1E"/>
    <w:rsid w:val="00652BC4"/>
    <w:rsid w:val="00654D94"/>
    <w:rsid w:val="00663093"/>
    <w:rsid w:val="00673F0B"/>
    <w:rsid w:val="006748F2"/>
    <w:rsid w:val="0067538A"/>
    <w:rsid w:val="006769D2"/>
    <w:rsid w:val="00677D30"/>
    <w:rsid w:val="00684B14"/>
    <w:rsid w:val="00687467"/>
    <w:rsid w:val="00690507"/>
    <w:rsid w:val="00693401"/>
    <w:rsid w:val="00696263"/>
    <w:rsid w:val="00696DD2"/>
    <w:rsid w:val="006A0F3F"/>
    <w:rsid w:val="006A10B5"/>
    <w:rsid w:val="006C4267"/>
    <w:rsid w:val="006D0028"/>
    <w:rsid w:val="006D1DA7"/>
    <w:rsid w:val="006D4204"/>
    <w:rsid w:val="006E5B0D"/>
    <w:rsid w:val="006E7A34"/>
    <w:rsid w:val="006F0B62"/>
    <w:rsid w:val="006F3071"/>
    <w:rsid w:val="006F6A8D"/>
    <w:rsid w:val="006F6DA9"/>
    <w:rsid w:val="007022A6"/>
    <w:rsid w:val="007063F6"/>
    <w:rsid w:val="00707C87"/>
    <w:rsid w:val="00713434"/>
    <w:rsid w:val="007161EF"/>
    <w:rsid w:val="00716A62"/>
    <w:rsid w:val="007212F2"/>
    <w:rsid w:val="007214D1"/>
    <w:rsid w:val="00724732"/>
    <w:rsid w:val="0072624F"/>
    <w:rsid w:val="007279DE"/>
    <w:rsid w:val="00733ABF"/>
    <w:rsid w:val="00733C39"/>
    <w:rsid w:val="0074357D"/>
    <w:rsid w:val="0074360E"/>
    <w:rsid w:val="007625BE"/>
    <w:rsid w:val="00772D75"/>
    <w:rsid w:val="00776884"/>
    <w:rsid w:val="00790204"/>
    <w:rsid w:val="0079043C"/>
    <w:rsid w:val="00790E27"/>
    <w:rsid w:val="00791761"/>
    <w:rsid w:val="007970F2"/>
    <w:rsid w:val="007A0382"/>
    <w:rsid w:val="007A4C81"/>
    <w:rsid w:val="007A4F2A"/>
    <w:rsid w:val="007A7269"/>
    <w:rsid w:val="007B04F4"/>
    <w:rsid w:val="007B28EE"/>
    <w:rsid w:val="007B3252"/>
    <w:rsid w:val="007B6EC4"/>
    <w:rsid w:val="007B7D52"/>
    <w:rsid w:val="007C0413"/>
    <w:rsid w:val="007C25F1"/>
    <w:rsid w:val="007C4033"/>
    <w:rsid w:val="007C6B50"/>
    <w:rsid w:val="007D2AFE"/>
    <w:rsid w:val="007E48C7"/>
    <w:rsid w:val="007E5C0B"/>
    <w:rsid w:val="007E7F92"/>
    <w:rsid w:val="007F1547"/>
    <w:rsid w:val="007F1B27"/>
    <w:rsid w:val="007F474D"/>
    <w:rsid w:val="007F5A47"/>
    <w:rsid w:val="007F5C39"/>
    <w:rsid w:val="0080441F"/>
    <w:rsid w:val="0080596F"/>
    <w:rsid w:val="00807937"/>
    <w:rsid w:val="00811A6F"/>
    <w:rsid w:val="00817AAC"/>
    <w:rsid w:val="00825FD9"/>
    <w:rsid w:val="00833AD5"/>
    <w:rsid w:val="00833EB7"/>
    <w:rsid w:val="0084114E"/>
    <w:rsid w:val="00851CF2"/>
    <w:rsid w:val="0085262A"/>
    <w:rsid w:val="00861106"/>
    <w:rsid w:val="00864D7B"/>
    <w:rsid w:val="00867A34"/>
    <w:rsid w:val="00871538"/>
    <w:rsid w:val="0088587A"/>
    <w:rsid w:val="0089449E"/>
    <w:rsid w:val="0089588A"/>
    <w:rsid w:val="00896D6C"/>
    <w:rsid w:val="008A1F14"/>
    <w:rsid w:val="008A212E"/>
    <w:rsid w:val="008A4B33"/>
    <w:rsid w:val="008A51D2"/>
    <w:rsid w:val="008B2D76"/>
    <w:rsid w:val="008B4BAF"/>
    <w:rsid w:val="008B4D54"/>
    <w:rsid w:val="008C40ED"/>
    <w:rsid w:val="008D2DEE"/>
    <w:rsid w:val="008E08D1"/>
    <w:rsid w:val="008E23F2"/>
    <w:rsid w:val="008E375A"/>
    <w:rsid w:val="008E51F4"/>
    <w:rsid w:val="008E7E21"/>
    <w:rsid w:val="008F1291"/>
    <w:rsid w:val="008F163E"/>
    <w:rsid w:val="008F3159"/>
    <w:rsid w:val="008F5A22"/>
    <w:rsid w:val="0091029D"/>
    <w:rsid w:val="0091488D"/>
    <w:rsid w:val="00915C25"/>
    <w:rsid w:val="0092031D"/>
    <w:rsid w:val="00920C34"/>
    <w:rsid w:val="009221C7"/>
    <w:rsid w:val="00931E71"/>
    <w:rsid w:val="009343A4"/>
    <w:rsid w:val="00943A99"/>
    <w:rsid w:val="00947F7B"/>
    <w:rsid w:val="00951FCB"/>
    <w:rsid w:val="00957E51"/>
    <w:rsid w:val="00960308"/>
    <w:rsid w:val="00963286"/>
    <w:rsid w:val="00965998"/>
    <w:rsid w:val="00967254"/>
    <w:rsid w:val="0096777A"/>
    <w:rsid w:val="009708FB"/>
    <w:rsid w:val="0097099E"/>
    <w:rsid w:val="00972093"/>
    <w:rsid w:val="00972D61"/>
    <w:rsid w:val="00972FDE"/>
    <w:rsid w:val="00975019"/>
    <w:rsid w:val="00977CB1"/>
    <w:rsid w:val="00980EA0"/>
    <w:rsid w:val="0098449B"/>
    <w:rsid w:val="00985128"/>
    <w:rsid w:val="009851CD"/>
    <w:rsid w:val="00991003"/>
    <w:rsid w:val="0099482F"/>
    <w:rsid w:val="0099552E"/>
    <w:rsid w:val="00996A88"/>
    <w:rsid w:val="009A08DF"/>
    <w:rsid w:val="009A1902"/>
    <w:rsid w:val="009A2DC2"/>
    <w:rsid w:val="009B296B"/>
    <w:rsid w:val="009C27EE"/>
    <w:rsid w:val="009C6FDD"/>
    <w:rsid w:val="009C79AB"/>
    <w:rsid w:val="009D27A9"/>
    <w:rsid w:val="009D3014"/>
    <w:rsid w:val="009D4E67"/>
    <w:rsid w:val="009E0393"/>
    <w:rsid w:val="009E72FA"/>
    <w:rsid w:val="009F1DA8"/>
    <w:rsid w:val="009F5214"/>
    <w:rsid w:val="009F6E6F"/>
    <w:rsid w:val="00A05358"/>
    <w:rsid w:val="00A129BC"/>
    <w:rsid w:val="00A15E2C"/>
    <w:rsid w:val="00A16D06"/>
    <w:rsid w:val="00A2043D"/>
    <w:rsid w:val="00A241C4"/>
    <w:rsid w:val="00A31759"/>
    <w:rsid w:val="00A31CFF"/>
    <w:rsid w:val="00A32E70"/>
    <w:rsid w:val="00A47A09"/>
    <w:rsid w:val="00A50811"/>
    <w:rsid w:val="00A50926"/>
    <w:rsid w:val="00A51C0B"/>
    <w:rsid w:val="00A5204E"/>
    <w:rsid w:val="00A53534"/>
    <w:rsid w:val="00A545B8"/>
    <w:rsid w:val="00A56513"/>
    <w:rsid w:val="00A5750F"/>
    <w:rsid w:val="00A60E0A"/>
    <w:rsid w:val="00A61311"/>
    <w:rsid w:val="00A61654"/>
    <w:rsid w:val="00A61FF9"/>
    <w:rsid w:val="00A70F7B"/>
    <w:rsid w:val="00A763BC"/>
    <w:rsid w:val="00A7787A"/>
    <w:rsid w:val="00A8159A"/>
    <w:rsid w:val="00A860E1"/>
    <w:rsid w:val="00A923FD"/>
    <w:rsid w:val="00A936EC"/>
    <w:rsid w:val="00A96568"/>
    <w:rsid w:val="00A97015"/>
    <w:rsid w:val="00AA04F3"/>
    <w:rsid w:val="00AB0ED8"/>
    <w:rsid w:val="00AB54FF"/>
    <w:rsid w:val="00AC59E8"/>
    <w:rsid w:val="00AC66C5"/>
    <w:rsid w:val="00AC77DC"/>
    <w:rsid w:val="00AD0502"/>
    <w:rsid w:val="00AD0D67"/>
    <w:rsid w:val="00AD2174"/>
    <w:rsid w:val="00AD5244"/>
    <w:rsid w:val="00AD5B55"/>
    <w:rsid w:val="00AE0E89"/>
    <w:rsid w:val="00AE43AF"/>
    <w:rsid w:val="00AF02B6"/>
    <w:rsid w:val="00AF545E"/>
    <w:rsid w:val="00B035CB"/>
    <w:rsid w:val="00B12C74"/>
    <w:rsid w:val="00B13579"/>
    <w:rsid w:val="00B13810"/>
    <w:rsid w:val="00B14C29"/>
    <w:rsid w:val="00B2443A"/>
    <w:rsid w:val="00B26FE3"/>
    <w:rsid w:val="00B31F25"/>
    <w:rsid w:val="00B33A16"/>
    <w:rsid w:val="00B41BEF"/>
    <w:rsid w:val="00B420F8"/>
    <w:rsid w:val="00B4511E"/>
    <w:rsid w:val="00B46B39"/>
    <w:rsid w:val="00B46E01"/>
    <w:rsid w:val="00B52BBB"/>
    <w:rsid w:val="00B53699"/>
    <w:rsid w:val="00B56CDC"/>
    <w:rsid w:val="00B578F1"/>
    <w:rsid w:val="00B6139E"/>
    <w:rsid w:val="00B642D7"/>
    <w:rsid w:val="00B64B77"/>
    <w:rsid w:val="00B7046A"/>
    <w:rsid w:val="00B70DD8"/>
    <w:rsid w:val="00B775D5"/>
    <w:rsid w:val="00B83469"/>
    <w:rsid w:val="00B84929"/>
    <w:rsid w:val="00B850CF"/>
    <w:rsid w:val="00B85745"/>
    <w:rsid w:val="00B90BFA"/>
    <w:rsid w:val="00B90FEE"/>
    <w:rsid w:val="00BA7621"/>
    <w:rsid w:val="00BB35C1"/>
    <w:rsid w:val="00BB4484"/>
    <w:rsid w:val="00BB4A08"/>
    <w:rsid w:val="00BC0857"/>
    <w:rsid w:val="00BE0510"/>
    <w:rsid w:val="00BE155F"/>
    <w:rsid w:val="00BE7D50"/>
    <w:rsid w:val="00BF489C"/>
    <w:rsid w:val="00C00E67"/>
    <w:rsid w:val="00C07C9E"/>
    <w:rsid w:val="00C15E52"/>
    <w:rsid w:val="00C160C2"/>
    <w:rsid w:val="00C23422"/>
    <w:rsid w:val="00C32A2A"/>
    <w:rsid w:val="00C34A7E"/>
    <w:rsid w:val="00C3617E"/>
    <w:rsid w:val="00C36F93"/>
    <w:rsid w:val="00C37DF3"/>
    <w:rsid w:val="00C41B87"/>
    <w:rsid w:val="00C443BA"/>
    <w:rsid w:val="00C44828"/>
    <w:rsid w:val="00C60E1C"/>
    <w:rsid w:val="00C71BC7"/>
    <w:rsid w:val="00C72600"/>
    <w:rsid w:val="00C74DC7"/>
    <w:rsid w:val="00C76C7E"/>
    <w:rsid w:val="00C8005D"/>
    <w:rsid w:val="00C86B05"/>
    <w:rsid w:val="00C97A35"/>
    <w:rsid w:val="00CA146D"/>
    <w:rsid w:val="00CB2AFA"/>
    <w:rsid w:val="00CB4C24"/>
    <w:rsid w:val="00CB51A6"/>
    <w:rsid w:val="00CB7060"/>
    <w:rsid w:val="00CB774B"/>
    <w:rsid w:val="00CD63DC"/>
    <w:rsid w:val="00CE1556"/>
    <w:rsid w:val="00CE1DF3"/>
    <w:rsid w:val="00CE3065"/>
    <w:rsid w:val="00CE6A5E"/>
    <w:rsid w:val="00CF12FC"/>
    <w:rsid w:val="00CF3F3E"/>
    <w:rsid w:val="00CF6265"/>
    <w:rsid w:val="00D03F91"/>
    <w:rsid w:val="00D0526F"/>
    <w:rsid w:val="00D05BA6"/>
    <w:rsid w:val="00D1334E"/>
    <w:rsid w:val="00D15130"/>
    <w:rsid w:val="00D31920"/>
    <w:rsid w:val="00D351F6"/>
    <w:rsid w:val="00D4539E"/>
    <w:rsid w:val="00D47B50"/>
    <w:rsid w:val="00D50FD0"/>
    <w:rsid w:val="00D534A0"/>
    <w:rsid w:val="00D540BE"/>
    <w:rsid w:val="00D57CDF"/>
    <w:rsid w:val="00D658D1"/>
    <w:rsid w:val="00D7355C"/>
    <w:rsid w:val="00D811D3"/>
    <w:rsid w:val="00D8346A"/>
    <w:rsid w:val="00D842DB"/>
    <w:rsid w:val="00D87D93"/>
    <w:rsid w:val="00D90A8D"/>
    <w:rsid w:val="00D916DE"/>
    <w:rsid w:val="00DA57F2"/>
    <w:rsid w:val="00DA5818"/>
    <w:rsid w:val="00DB0815"/>
    <w:rsid w:val="00DB3601"/>
    <w:rsid w:val="00DD3C91"/>
    <w:rsid w:val="00DD3FEC"/>
    <w:rsid w:val="00DE1E6C"/>
    <w:rsid w:val="00DE203F"/>
    <w:rsid w:val="00DE272A"/>
    <w:rsid w:val="00DE2763"/>
    <w:rsid w:val="00DE4D70"/>
    <w:rsid w:val="00DE5F32"/>
    <w:rsid w:val="00DE7BF4"/>
    <w:rsid w:val="00DF4100"/>
    <w:rsid w:val="00DF62A8"/>
    <w:rsid w:val="00E00904"/>
    <w:rsid w:val="00E00C8A"/>
    <w:rsid w:val="00E025B8"/>
    <w:rsid w:val="00E05EF0"/>
    <w:rsid w:val="00E07DC0"/>
    <w:rsid w:val="00E123AE"/>
    <w:rsid w:val="00E159A4"/>
    <w:rsid w:val="00E236B9"/>
    <w:rsid w:val="00E25D85"/>
    <w:rsid w:val="00E304DA"/>
    <w:rsid w:val="00E32AFC"/>
    <w:rsid w:val="00E33025"/>
    <w:rsid w:val="00E345B1"/>
    <w:rsid w:val="00E45B7F"/>
    <w:rsid w:val="00E46BFC"/>
    <w:rsid w:val="00E47B0B"/>
    <w:rsid w:val="00E51AE0"/>
    <w:rsid w:val="00E57EA0"/>
    <w:rsid w:val="00E635F3"/>
    <w:rsid w:val="00E7475C"/>
    <w:rsid w:val="00E81E8A"/>
    <w:rsid w:val="00E82BE9"/>
    <w:rsid w:val="00E87480"/>
    <w:rsid w:val="00E9032E"/>
    <w:rsid w:val="00E926F1"/>
    <w:rsid w:val="00E97ABE"/>
    <w:rsid w:val="00EA0DD4"/>
    <w:rsid w:val="00EA1F0A"/>
    <w:rsid w:val="00EA6D79"/>
    <w:rsid w:val="00EA70C6"/>
    <w:rsid w:val="00EB0CA7"/>
    <w:rsid w:val="00EB11F3"/>
    <w:rsid w:val="00EB7CC3"/>
    <w:rsid w:val="00EC14CE"/>
    <w:rsid w:val="00EC455A"/>
    <w:rsid w:val="00EC4CB9"/>
    <w:rsid w:val="00ED6AD5"/>
    <w:rsid w:val="00EE12A5"/>
    <w:rsid w:val="00EE7697"/>
    <w:rsid w:val="00EF3A2D"/>
    <w:rsid w:val="00F00614"/>
    <w:rsid w:val="00F067E4"/>
    <w:rsid w:val="00F0681D"/>
    <w:rsid w:val="00F06CED"/>
    <w:rsid w:val="00F14CD9"/>
    <w:rsid w:val="00F30487"/>
    <w:rsid w:val="00F32670"/>
    <w:rsid w:val="00F3541E"/>
    <w:rsid w:val="00F3785F"/>
    <w:rsid w:val="00F43674"/>
    <w:rsid w:val="00F450E5"/>
    <w:rsid w:val="00F458F8"/>
    <w:rsid w:val="00F50A4F"/>
    <w:rsid w:val="00F50D03"/>
    <w:rsid w:val="00F51569"/>
    <w:rsid w:val="00F54BAF"/>
    <w:rsid w:val="00F636CF"/>
    <w:rsid w:val="00F63E69"/>
    <w:rsid w:val="00F669CC"/>
    <w:rsid w:val="00F745B5"/>
    <w:rsid w:val="00F74730"/>
    <w:rsid w:val="00F8113B"/>
    <w:rsid w:val="00F8209E"/>
    <w:rsid w:val="00F87ADA"/>
    <w:rsid w:val="00F91495"/>
    <w:rsid w:val="00FA053D"/>
    <w:rsid w:val="00FA6CA4"/>
    <w:rsid w:val="00FB11B3"/>
    <w:rsid w:val="00FB15EC"/>
    <w:rsid w:val="00FB7E75"/>
    <w:rsid w:val="00FC03AC"/>
    <w:rsid w:val="00FC7D8F"/>
    <w:rsid w:val="00FD06BF"/>
    <w:rsid w:val="00FD3E30"/>
    <w:rsid w:val="00FD3F7E"/>
    <w:rsid w:val="00FD4165"/>
    <w:rsid w:val="00FE0838"/>
    <w:rsid w:val="00FE39AA"/>
    <w:rsid w:val="00FE4D79"/>
    <w:rsid w:val="00FE4E5E"/>
    <w:rsid w:val="00FF42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6F25221"/>
  <w15:docId w15:val="{E870C326-30A4-4308-9A40-0B09C3ACB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219B"/>
    <w:rPr>
      <w:sz w:val="24"/>
    </w:rPr>
  </w:style>
  <w:style w:type="paragraph" w:styleId="Heading1">
    <w:name w:val="heading 1"/>
    <w:basedOn w:val="Normal"/>
    <w:next w:val="Normal"/>
    <w:link w:val="Heading1Char"/>
    <w:uiPriority w:val="1"/>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jc w:val="center"/>
    </w:pPr>
    <w:rPr>
      <w:b/>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rsid w:val="0039450A"/>
    <w:pPr>
      <w:tabs>
        <w:tab w:val="center" w:pos="4153"/>
        <w:tab w:val="right" w:pos="8306"/>
      </w:tabs>
    </w:pPr>
  </w:style>
  <w:style w:type="character" w:styleId="Hyperlink">
    <w:name w:val="Hyperlink"/>
    <w:unhideWhenUsed/>
    <w:rsid w:val="00356B53"/>
    <w:rPr>
      <w:color w:val="0000FF"/>
      <w:u w:val="single"/>
    </w:rPr>
  </w:style>
  <w:style w:type="character" w:styleId="FollowedHyperlink">
    <w:name w:val="FollowedHyperlink"/>
    <w:uiPriority w:val="99"/>
    <w:semiHidden/>
    <w:unhideWhenUsed/>
    <w:rsid w:val="00B26FE3"/>
    <w:rPr>
      <w:color w:val="800080"/>
      <w:u w:val="single"/>
    </w:rPr>
  </w:style>
  <w:style w:type="paragraph" w:styleId="ListParagraph">
    <w:name w:val="List Paragraph"/>
    <w:basedOn w:val="Normal"/>
    <w:uiPriority w:val="34"/>
    <w:qFormat/>
    <w:rsid w:val="00B26FE3"/>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59"/>
    <w:rsid w:val="001671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C37DF3"/>
    <w:rPr>
      <w:sz w:val="24"/>
    </w:rPr>
  </w:style>
  <w:style w:type="character" w:customStyle="1" w:styleId="HeaderChar">
    <w:name w:val="Header Char"/>
    <w:link w:val="Header"/>
    <w:uiPriority w:val="99"/>
    <w:rsid w:val="00C37DF3"/>
    <w:rPr>
      <w:sz w:val="24"/>
    </w:rPr>
  </w:style>
  <w:style w:type="paragraph" w:styleId="NormalWeb">
    <w:name w:val="Normal (Web)"/>
    <w:basedOn w:val="Normal"/>
    <w:uiPriority w:val="99"/>
    <w:semiHidden/>
    <w:unhideWhenUsed/>
    <w:rsid w:val="00C37DF3"/>
    <w:pPr>
      <w:spacing w:before="100" w:beforeAutospacing="1" w:after="100" w:afterAutospacing="1"/>
    </w:pPr>
    <w:rPr>
      <w:szCs w:val="24"/>
    </w:rPr>
  </w:style>
  <w:style w:type="character" w:styleId="Strong">
    <w:name w:val="Strong"/>
    <w:uiPriority w:val="22"/>
    <w:qFormat/>
    <w:rsid w:val="00C37DF3"/>
    <w:rPr>
      <w:b/>
      <w:bCs/>
    </w:rPr>
  </w:style>
  <w:style w:type="paragraph" w:styleId="BalloonText">
    <w:name w:val="Balloon Text"/>
    <w:basedOn w:val="Normal"/>
    <w:link w:val="BalloonTextChar"/>
    <w:uiPriority w:val="99"/>
    <w:semiHidden/>
    <w:unhideWhenUsed/>
    <w:rsid w:val="00C37DF3"/>
    <w:rPr>
      <w:rFonts w:ascii="Tahoma" w:hAnsi="Tahoma" w:cs="Tahoma"/>
      <w:sz w:val="16"/>
      <w:szCs w:val="16"/>
    </w:rPr>
  </w:style>
  <w:style w:type="character" w:customStyle="1" w:styleId="BalloonTextChar">
    <w:name w:val="Balloon Text Char"/>
    <w:basedOn w:val="DefaultParagraphFont"/>
    <w:link w:val="BalloonText"/>
    <w:uiPriority w:val="99"/>
    <w:semiHidden/>
    <w:rsid w:val="00C37DF3"/>
    <w:rPr>
      <w:rFonts w:ascii="Tahoma" w:hAnsi="Tahoma" w:cs="Tahoma"/>
      <w:sz w:val="16"/>
      <w:szCs w:val="16"/>
    </w:rPr>
  </w:style>
  <w:style w:type="character" w:customStyle="1" w:styleId="text">
    <w:name w:val="text"/>
    <w:rsid w:val="00C37DF3"/>
    <w:rPr>
      <w:rFonts w:ascii="Arial Unicode MS" w:eastAsia="Arial Unicode MS" w:hAnsi="Arial Unicode MS" w:cs="Arial Unicode MS"/>
      <w:sz w:val="20"/>
      <w:szCs w:val="20"/>
    </w:rPr>
  </w:style>
  <w:style w:type="paragraph" w:customStyle="1" w:styleId="headingheader">
    <w:name w:val="heading header"/>
    <w:rsid w:val="00C37DF3"/>
    <w:pPr>
      <w:spacing w:after="200" w:line="276" w:lineRule="auto"/>
    </w:pPr>
    <w:rPr>
      <w:rFonts w:ascii="Arial Unicode MS" w:eastAsia="Arial Unicode MS" w:hAnsi="Arial Unicode MS" w:cs="Arial Unicode MS"/>
      <w:b/>
      <w:sz w:val="44"/>
      <w:szCs w:val="44"/>
    </w:rPr>
  </w:style>
  <w:style w:type="paragraph" w:customStyle="1" w:styleId="headingquestionTitle">
    <w:name w:val="heading questionTitle"/>
    <w:rsid w:val="00C37DF3"/>
    <w:pPr>
      <w:spacing w:after="200" w:line="276" w:lineRule="auto"/>
    </w:pPr>
    <w:rPr>
      <w:rFonts w:ascii="Arial Unicode MS" w:eastAsia="Arial Unicode MS" w:hAnsi="Arial Unicode MS" w:cs="Arial Unicode MS"/>
      <w:b/>
      <w:sz w:val="32"/>
      <w:szCs w:val="32"/>
    </w:rPr>
  </w:style>
  <w:style w:type="paragraph" w:customStyle="1" w:styleId="headingsubHeader">
    <w:name w:val="heading subHeader"/>
    <w:rsid w:val="00C37DF3"/>
    <w:pPr>
      <w:spacing w:after="200" w:line="276" w:lineRule="auto"/>
    </w:pPr>
    <w:rPr>
      <w:rFonts w:ascii="Arial Unicode MS" w:eastAsia="Arial Unicode MS" w:hAnsi="Arial Unicode MS" w:cs="Arial Unicode MS"/>
      <w:b/>
      <w:sz w:val="24"/>
      <w:szCs w:val="24"/>
    </w:rPr>
  </w:style>
  <w:style w:type="character" w:customStyle="1" w:styleId="bold">
    <w:name w:val="bold"/>
    <w:rsid w:val="00C37DF3"/>
    <w:rPr>
      <w:rFonts w:ascii="Arial Unicode MS" w:eastAsia="Arial Unicode MS" w:hAnsi="Arial Unicode MS" w:cs="Arial Unicode MS"/>
      <w:b/>
      <w:sz w:val="20"/>
      <w:szCs w:val="20"/>
    </w:rPr>
  </w:style>
  <w:style w:type="character" w:customStyle="1" w:styleId="grey">
    <w:name w:val="grey"/>
    <w:rsid w:val="00C37DF3"/>
    <w:rPr>
      <w:rFonts w:ascii="Arial Unicode MS" w:eastAsia="Arial Unicode MS" w:hAnsi="Arial Unicode MS" w:cs="Arial Unicode MS"/>
      <w:color w:val="999999"/>
      <w:sz w:val="20"/>
      <w:szCs w:val="20"/>
    </w:rPr>
  </w:style>
  <w:style w:type="table" w:customStyle="1" w:styleId="table">
    <w:name w:val="table"/>
    <w:uiPriority w:val="99"/>
    <w:rsid w:val="00C37DF3"/>
    <w:pPr>
      <w:spacing w:after="200" w:line="276" w:lineRule="auto"/>
    </w:pPr>
    <w:rPr>
      <w:rFonts w:ascii="Arial" w:eastAsia="Arial" w:hAnsi="Arial" w:cs="Arial"/>
    </w:rPr>
    <w:tblPr>
      <w:tblBorders>
        <w:top w:val="single" w:sz="20" w:space="0" w:color="DEDEDE"/>
        <w:left w:val="single" w:sz="20" w:space="0" w:color="DEDEDE"/>
        <w:bottom w:val="single" w:sz="20" w:space="0" w:color="DEDEDE"/>
        <w:right w:val="single" w:sz="20" w:space="0" w:color="DEDEDE"/>
        <w:insideH w:val="single" w:sz="20" w:space="0" w:color="DEDEDE"/>
        <w:insideV w:val="single" w:sz="20" w:space="0" w:color="DEDEDE"/>
      </w:tblBorders>
      <w:tblCellMar>
        <w:top w:w="80" w:type="dxa"/>
        <w:left w:w="80" w:type="dxa"/>
        <w:bottom w:w="80" w:type="dxa"/>
        <w:right w:w="80" w:type="dxa"/>
      </w:tblCellMar>
    </w:tblPr>
  </w:style>
  <w:style w:type="character" w:customStyle="1" w:styleId="Heading1Char">
    <w:name w:val="Heading 1 Char"/>
    <w:link w:val="Heading1"/>
    <w:uiPriority w:val="1"/>
    <w:rsid w:val="00C37DF3"/>
    <w:rPr>
      <w:b/>
      <w:sz w:val="24"/>
    </w:rPr>
  </w:style>
  <w:style w:type="paragraph" w:styleId="TOCHeading">
    <w:name w:val="TOC Heading"/>
    <w:basedOn w:val="Heading1"/>
    <w:next w:val="Normal"/>
    <w:uiPriority w:val="39"/>
    <w:unhideWhenUsed/>
    <w:qFormat/>
    <w:rsid w:val="00C37DF3"/>
    <w:pPr>
      <w:keepLines/>
      <w:spacing w:before="480" w:line="276" w:lineRule="auto"/>
      <w:jc w:val="left"/>
      <w:outlineLvl w:val="9"/>
    </w:pPr>
    <w:rPr>
      <w:rFonts w:ascii="Franklin Gothic Medium" w:hAnsi="Franklin Gothic Medium"/>
      <w:bCs/>
      <w:color w:val="5A5C5E"/>
      <w:sz w:val="28"/>
      <w:szCs w:val="28"/>
      <w:lang w:val="en-US" w:eastAsia="ja-JP"/>
    </w:rPr>
  </w:style>
  <w:style w:type="paragraph" w:styleId="TOC2">
    <w:name w:val="toc 2"/>
    <w:basedOn w:val="Normal"/>
    <w:next w:val="Normal"/>
    <w:autoRedefine/>
    <w:uiPriority w:val="39"/>
    <w:semiHidden/>
    <w:unhideWhenUsed/>
    <w:qFormat/>
    <w:rsid w:val="00C37DF3"/>
    <w:pPr>
      <w:spacing w:after="100" w:line="276" w:lineRule="auto"/>
      <w:ind w:left="220"/>
    </w:pPr>
    <w:rPr>
      <w:rFonts w:ascii="Franklin Gothic Book" w:hAnsi="Franklin Gothic Book"/>
      <w:sz w:val="22"/>
      <w:szCs w:val="22"/>
      <w:lang w:val="en-US" w:eastAsia="ja-JP"/>
    </w:rPr>
  </w:style>
  <w:style w:type="paragraph" w:styleId="TOC1">
    <w:name w:val="toc 1"/>
    <w:basedOn w:val="Normal"/>
    <w:next w:val="Normal"/>
    <w:autoRedefine/>
    <w:uiPriority w:val="39"/>
    <w:semiHidden/>
    <w:unhideWhenUsed/>
    <w:qFormat/>
    <w:rsid w:val="00C37DF3"/>
    <w:pPr>
      <w:spacing w:after="100" w:line="276" w:lineRule="auto"/>
    </w:pPr>
    <w:rPr>
      <w:rFonts w:ascii="Franklin Gothic Book" w:hAnsi="Franklin Gothic Book"/>
      <w:sz w:val="22"/>
      <w:szCs w:val="22"/>
      <w:lang w:val="en-US" w:eastAsia="ja-JP"/>
    </w:rPr>
  </w:style>
  <w:style w:type="paragraph" w:styleId="TOC3">
    <w:name w:val="toc 3"/>
    <w:basedOn w:val="Normal"/>
    <w:next w:val="Normal"/>
    <w:autoRedefine/>
    <w:uiPriority w:val="39"/>
    <w:unhideWhenUsed/>
    <w:qFormat/>
    <w:rsid w:val="00C37DF3"/>
    <w:pPr>
      <w:spacing w:after="100" w:line="276" w:lineRule="auto"/>
      <w:ind w:left="446"/>
    </w:pPr>
    <w:rPr>
      <w:rFonts w:ascii="Calibri" w:hAnsi="Calibri"/>
      <w:sz w:val="20"/>
      <w:lang w:val="en-US" w:eastAsia="ja-JP"/>
    </w:rPr>
  </w:style>
  <w:style w:type="table" w:customStyle="1" w:styleId="TableGrid1">
    <w:name w:val="Table Grid1"/>
    <w:basedOn w:val="TableNormal"/>
    <w:next w:val="TableGrid"/>
    <w:uiPriority w:val="59"/>
    <w:rsid w:val="00FD3E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5F0414"/>
    <w:pPr>
      <w:autoSpaceDE w:val="0"/>
      <w:autoSpaceDN w:val="0"/>
    </w:pPr>
    <w:rPr>
      <w:rFonts w:ascii="Arial" w:eastAsiaTheme="minorHAnsi" w:hAnsi="Arial" w:cs="Arial"/>
      <w:color w:val="000000"/>
      <w:szCs w:val="24"/>
      <w:lang w:eastAsia="en-US"/>
    </w:rPr>
  </w:style>
  <w:style w:type="numbering" w:customStyle="1" w:styleId="NoList1">
    <w:name w:val="No List1"/>
    <w:next w:val="NoList"/>
    <w:uiPriority w:val="99"/>
    <w:semiHidden/>
    <w:unhideWhenUsed/>
    <w:rsid w:val="00080FD0"/>
  </w:style>
  <w:style w:type="character" w:customStyle="1" w:styleId="BodyTextChar">
    <w:name w:val="Body Text Char"/>
    <w:basedOn w:val="DefaultParagraphFont"/>
    <w:link w:val="BodyText"/>
    <w:uiPriority w:val="99"/>
    <w:rsid w:val="00080FD0"/>
    <w:rPr>
      <w:b/>
      <w:sz w:val="24"/>
    </w:rPr>
  </w:style>
  <w:style w:type="paragraph" w:customStyle="1" w:styleId="TableParagraph">
    <w:name w:val="Table Paragraph"/>
    <w:basedOn w:val="Normal"/>
    <w:uiPriority w:val="1"/>
    <w:qFormat/>
    <w:rsid w:val="00080FD0"/>
    <w:pPr>
      <w:widowControl w:val="0"/>
      <w:autoSpaceDE w:val="0"/>
      <w:autoSpaceDN w:val="0"/>
      <w:adjustRightInd w:val="0"/>
    </w:pPr>
    <w:rPr>
      <w:rFonts w:eastAsiaTheme="minorEastAsia"/>
      <w:szCs w:val="24"/>
    </w:rPr>
  </w:style>
  <w:style w:type="numbering" w:customStyle="1" w:styleId="NoList2">
    <w:name w:val="No List2"/>
    <w:next w:val="NoList"/>
    <w:uiPriority w:val="99"/>
    <w:semiHidden/>
    <w:unhideWhenUsed/>
    <w:rsid w:val="00080FD0"/>
  </w:style>
  <w:style w:type="numbering" w:customStyle="1" w:styleId="NoList3">
    <w:name w:val="No List3"/>
    <w:next w:val="NoList"/>
    <w:uiPriority w:val="99"/>
    <w:semiHidden/>
    <w:unhideWhenUsed/>
    <w:rsid w:val="004C4A93"/>
  </w:style>
  <w:style w:type="paragraph" w:customStyle="1" w:styleId="lead">
    <w:name w:val="lead"/>
    <w:basedOn w:val="Normal"/>
    <w:rsid w:val="008E23F2"/>
    <w:pPr>
      <w:spacing w:before="100" w:beforeAutospacing="1" w:after="100" w:afterAutospacing="1"/>
    </w:pPr>
    <w:rPr>
      <w:color w:val="3C424F"/>
      <w:szCs w:val="24"/>
    </w:rPr>
  </w:style>
  <w:style w:type="paragraph" w:customStyle="1" w:styleId="Body">
    <w:name w:val="Body"/>
    <w:rsid w:val="00493068"/>
    <w:rPr>
      <w:rFonts w:ascii="Helvetica Neue" w:eastAsia="Arial Unicode MS" w:hAnsi="Helvetica Neue" w:cs="Arial Unicode MS"/>
      <w:color w:val="000000"/>
      <w:sz w:val="22"/>
      <w:szCs w:val="22"/>
      <w:lang w:val="en-US"/>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B52BBB"/>
    <w:rPr>
      <w:sz w:val="16"/>
      <w:szCs w:val="16"/>
    </w:rPr>
  </w:style>
  <w:style w:type="paragraph" w:styleId="CommentText">
    <w:name w:val="annotation text"/>
    <w:basedOn w:val="Normal"/>
    <w:link w:val="CommentTextChar"/>
    <w:uiPriority w:val="99"/>
    <w:semiHidden/>
    <w:unhideWhenUsed/>
    <w:rsid w:val="00B52BBB"/>
    <w:rPr>
      <w:sz w:val="20"/>
    </w:rPr>
  </w:style>
  <w:style w:type="character" w:customStyle="1" w:styleId="CommentTextChar">
    <w:name w:val="Comment Text Char"/>
    <w:basedOn w:val="DefaultParagraphFont"/>
    <w:link w:val="CommentText"/>
    <w:uiPriority w:val="99"/>
    <w:semiHidden/>
    <w:rsid w:val="00B52BBB"/>
  </w:style>
  <w:style w:type="paragraph" w:styleId="CommentSubject">
    <w:name w:val="annotation subject"/>
    <w:basedOn w:val="CommentText"/>
    <w:next w:val="CommentText"/>
    <w:link w:val="CommentSubjectChar"/>
    <w:uiPriority w:val="99"/>
    <w:semiHidden/>
    <w:unhideWhenUsed/>
    <w:rsid w:val="00B52BBB"/>
    <w:rPr>
      <w:b/>
      <w:bCs/>
    </w:rPr>
  </w:style>
  <w:style w:type="character" w:customStyle="1" w:styleId="CommentSubjectChar">
    <w:name w:val="Comment Subject Char"/>
    <w:basedOn w:val="CommentTextChar"/>
    <w:link w:val="CommentSubject"/>
    <w:uiPriority w:val="99"/>
    <w:semiHidden/>
    <w:rsid w:val="00B52BBB"/>
    <w:rPr>
      <w:b/>
      <w:bCs/>
    </w:rPr>
  </w:style>
  <w:style w:type="paragraph" w:customStyle="1" w:styleId="CharCharCharCharChar">
    <w:name w:val="Char Char Char Char Char"/>
    <w:basedOn w:val="Normal"/>
    <w:rsid w:val="00BF489C"/>
    <w:pPr>
      <w:spacing w:after="160" w:line="240" w:lineRule="exact"/>
    </w:pPr>
    <w:rPr>
      <w:rFonts w:ascii="Verdana" w:hAnsi="Verdana"/>
      <w:b/>
      <w:sz w:val="20"/>
      <w:lang w:val="en-US" w:eastAsia="en-US"/>
    </w:rPr>
  </w:style>
  <w:style w:type="paragraph" w:customStyle="1" w:styleId="xmsonormal">
    <w:name w:val="x_msonormal"/>
    <w:basedOn w:val="Normal"/>
    <w:rsid w:val="00B7046A"/>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55530">
      <w:bodyDiv w:val="1"/>
      <w:marLeft w:val="0"/>
      <w:marRight w:val="0"/>
      <w:marTop w:val="0"/>
      <w:marBottom w:val="0"/>
      <w:divBdr>
        <w:top w:val="none" w:sz="0" w:space="0" w:color="auto"/>
        <w:left w:val="none" w:sz="0" w:space="0" w:color="auto"/>
        <w:bottom w:val="none" w:sz="0" w:space="0" w:color="auto"/>
        <w:right w:val="none" w:sz="0" w:space="0" w:color="auto"/>
      </w:divBdr>
    </w:div>
    <w:div w:id="25637969">
      <w:bodyDiv w:val="1"/>
      <w:marLeft w:val="0"/>
      <w:marRight w:val="0"/>
      <w:marTop w:val="0"/>
      <w:marBottom w:val="0"/>
      <w:divBdr>
        <w:top w:val="none" w:sz="0" w:space="0" w:color="auto"/>
        <w:left w:val="none" w:sz="0" w:space="0" w:color="auto"/>
        <w:bottom w:val="none" w:sz="0" w:space="0" w:color="auto"/>
        <w:right w:val="none" w:sz="0" w:space="0" w:color="auto"/>
      </w:divBdr>
    </w:div>
    <w:div w:id="50354238">
      <w:bodyDiv w:val="1"/>
      <w:marLeft w:val="0"/>
      <w:marRight w:val="0"/>
      <w:marTop w:val="0"/>
      <w:marBottom w:val="0"/>
      <w:divBdr>
        <w:top w:val="none" w:sz="0" w:space="0" w:color="auto"/>
        <w:left w:val="none" w:sz="0" w:space="0" w:color="auto"/>
        <w:bottom w:val="none" w:sz="0" w:space="0" w:color="auto"/>
        <w:right w:val="none" w:sz="0" w:space="0" w:color="auto"/>
      </w:divBdr>
    </w:div>
    <w:div w:id="119229115">
      <w:bodyDiv w:val="1"/>
      <w:marLeft w:val="0"/>
      <w:marRight w:val="0"/>
      <w:marTop w:val="0"/>
      <w:marBottom w:val="0"/>
      <w:divBdr>
        <w:top w:val="none" w:sz="0" w:space="0" w:color="auto"/>
        <w:left w:val="none" w:sz="0" w:space="0" w:color="auto"/>
        <w:bottom w:val="none" w:sz="0" w:space="0" w:color="auto"/>
        <w:right w:val="none" w:sz="0" w:space="0" w:color="auto"/>
      </w:divBdr>
    </w:div>
    <w:div w:id="120538846">
      <w:bodyDiv w:val="1"/>
      <w:marLeft w:val="0"/>
      <w:marRight w:val="0"/>
      <w:marTop w:val="0"/>
      <w:marBottom w:val="0"/>
      <w:divBdr>
        <w:top w:val="none" w:sz="0" w:space="0" w:color="auto"/>
        <w:left w:val="none" w:sz="0" w:space="0" w:color="auto"/>
        <w:bottom w:val="none" w:sz="0" w:space="0" w:color="auto"/>
        <w:right w:val="none" w:sz="0" w:space="0" w:color="auto"/>
      </w:divBdr>
    </w:div>
    <w:div w:id="153498418">
      <w:bodyDiv w:val="1"/>
      <w:marLeft w:val="0"/>
      <w:marRight w:val="0"/>
      <w:marTop w:val="0"/>
      <w:marBottom w:val="0"/>
      <w:divBdr>
        <w:top w:val="none" w:sz="0" w:space="0" w:color="auto"/>
        <w:left w:val="none" w:sz="0" w:space="0" w:color="auto"/>
        <w:bottom w:val="none" w:sz="0" w:space="0" w:color="auto"/>
        <w:right w:val="none" w:sz="0" w:space="0" w:color="auto"/>
      </w:divBdr>
    </w:div>
    <w:div w:id="160120521">
      <w:bodyDiv w:val="1"/>
      <w:marLeft w:val="0"/>
      <w:marRight w:val="0"/>
      <w:marTop w:val="0"/>
      <w:marBottom w:val="0"/>
      <w:divBdr>
        <w:top w:val="none" w:sz="0" w:space="0" w:color="auto"/>
        <w:left w:val="none" w:sz="0" w:space="0" w:color="auto"/>
        <w:bottom w:val="none" w:sz="0" w:space="0" w:color="auto"/>
        <w:right w:val="none" w:sz="0" w:space="0" w:color="auto"/>
      </w:divBdr>
    </w:div>
    <w:div w:id="174854849">
      <w:bodyDiv w:val="1"/>
      <w:marLeft w:val="0"/>
      <w:marRight w:val="0"/>
      <w:marTop w:val="0"/>
      <w:marBottom w:val="0"/>
      <w:divBdr>
        <w:top w:val="none" w:sz="0" w:space="0" w:color="auto"/>
        <w:left w:val="none" w:sz="0" w:space="0" w:color="auto"/>
        <w:bottom w:val="none" w:sz="0" w:space="0" w:color="auto"/>
        <w:right w:val="none" w:sz="0" w:space="0" w:color="auto"/>
      </w:divBdr>
    </w:div>
    <w:div w:id="189421336">
      <w:bodyDiv w:val="1"/>
      <w:marLeft w:val="0"/>
      <w:marRight w:val="0"/>
      <w:marTop w:val="0"/>
      <w:marBottom w:val="0"/>
      <w:divBdr>
        <w:top w:val="none" w:sz="0" w:space="0" w:color="auto"/>
        <w:left w:val="none" w:sz="0" w:space="0" w:color="auto"/>
        <w:bottom w:val="none" w:sz="0" w:space="0" w:color="auto"/>
        <w:right w:val="none" w:sz="0" w:space="0" w:color="auto"/>
      </w:divBdr>
    </w:div>
    <w:div w:id="210381054">
      <w:bodyDiv w:val="1"/>
      <w:marLeft w:val="0"/>
      <w:marRight w:val="0"/>
      <w:marTop w:val="0"/>
      <w:marBottom w:val="0"/>
      <w:divBdr>
        <w:top w:val="none" w:sz="0" w:space="0" w:color="auto"/>
        <w:left w:val="none" w:sz="0" w:space="0" w:color="auto"/>
        <w:bottom w:val="none" w:sz="0" w:space="0" w:color="auto"/>
        <w:right w:val="none" w:sz="0" w:space="0" w:color="auto"/>
      </w:divBdr>
    </w:div>
    <w:div w:id="216674541">
      <w:bodyDiv w:val="1"/>
      <w:marLeft w:val="0"/>
      <w:marRight w:val="0"/>
      <w:marTop w:val="0"/>
      <w:marBottom w:val="0"/>
      <w:divBdr>
        <w:top w:val="none" w:sz="0" w:space="0" w:color="auto"/>
        <w:left w:val="none" w:sz="0" w:space="0" w:color="auto"/>
        <w:bottom w:val="none" w:sz="0" w:space="0" w:color="auto"/>
        <w:right w:val="none" w:sz="0" w:space="0" w:color="auto"/>
      </w:divBdr>
    </w:div>
    <w:div w:id="279723693">
      <w:bodyDiv w:val="1"/>
      <w:marLeft w:val="0"/>
      <w:marRight w:val="0"/>
      <w:marTop w:val="0"/>
      <w:marBottom w:val="0"/>
      <w:divBdr>
        <w:top w:val="none" w:sz="0" w:space="0" w:color="auto"/>
        <w:left w:val="none" w:sz="0" w:space="0" w:color="auto"/>
        <w:bottom w:val="none" w:sz="0" w:space="0" w:color="auto"/>
        <w:right w:val="none" w:sz="0" w:space="0" w:color="auto"/>
      </w:divBdr>
    </w:div>
    <w:div w:id="280381472">
      <w:bodyDiv w:val="1"/>
      <w:marLeft w:val="0"/>
      <w:marRight w:val="0"/>
      <w:marTop w:val="0"/>
      <w:marBottom w:val="0"/>
      <w:divBdr>
        <w:top w:val="none" w:sz="0" w:space="0" w:color="auto"/>
        <w:left w:val="none" w:sz="0" w:space="0" w:color="auto"/>
        <w:bottom w:val="none" w:sz="0" w:space="0" w:color="auto"/>
        <w:right w:val="none" w:sz="0" w:space="0" w:color="auto"/>
      </w:divBdr>
    </w:div>
    <w:div w:id="316501489">
      <w:bodyDiv w:val="1"/>
      <w:marLeft w:val="0"/>
      <w:marRight w:val="0"/>
      <w:marTop w:val="0"/>
      <w:marBottom w:val="0"/>
      <w:divBdr>
        <w:top w:val="none" w:sz="0" w:space="0" w:color="auto"/>
        <w:left w:val="none" w:sz="0" w:space="0" w:color="auto"/>
        <w:bottom w:val="none" w:sz="0" w:space="0" w:color="auto"/>
        <w:right w:val="none" w:sz="0" w:space="0" w:color="auto"/>
      </w:divBdr>
    </w:div>
    <w:div w:id="317466454">
      <w:bodyDiv w:val="1"/>
      <w:marLeft w:val="0"/>
      <w:marRight w:val="0"/>
      <w:marTop w:val="0"/>
      <w:marBottom w:val="0"/>
      <w:divBdr>
        <w:top w:val="none" w:sz="0" w:space="0" w:color="auto"/>
        <w:left w:val="none" w:sz="0" w:space="0" w:color="auto"/>
        <w:bottom w:val="none" w:sz="0" w:space="0" w:color="auto"/>
        <w:right w:val="none" w:sz="0" w:space="0" w:color="auto"/>
      </w:divBdr>
    </w:div>
    <w:div w:id="318774087">
      <w:bodyDiv w:val="1"/>
      <w:marLeft w:val="0"/>
      <w:marRight w:val="0"/>
      <w:marTop w:val="0"/>
      <w:marBottom w:val="0"/>
      <w:divBdr>
        <w:top w:val="none" w:sz="0" w:space="0" w:color="auto"/>
        <w:left w:val="none" w:sz="0" w:space="0" w:color="auto"/>
        <w:bottom w:val="none" w:sz="0" w:space="0" w:color="auto"/>
        <w:right w:val="none" w:sz="0" w:space="0" w:color="auto"/>
      </w:divBdr>
    </w:div>
    <w:div w:id="327221703">
      <w:bodyDiv w:val="1"/>
      <w:marLeft w:val="0"/>
      <w:marRight w:val="0"/>
      <w:marTop w:val="0"/>
      <w:marBottom w:val="0"/>
      <w:divBdr>
        <w:top w:val="none" w:sz="0" w:space="0" w:color="auto"/>
        <w:left w:val="none" w:sz="0" w:space="0" w:color="auto"/>
        <w:bottom w:val="none" w:sz="0" w:space="0" w:color="auto"/>
        <w:right w:val="none" w:sz="0" w:space="0" w:color="auto"/>
      </w:divBdr>
    </w:div>
    <w:div w:id="336660138">
      <w:bodyDiv w:val="1"/>
      <w:marLeft w:val="0"/>
      <w:marRight w:val="0"/>
      <w:marTop w:val="0"/>
      <w:marBottom w:val="0"/>
      <w:divBdr>
        <w:top w:val="none" w:sz="0" w:space="0" w:color="auto"/>
        <w:left w:val="none" w:sz="0" w:space="0" w:color="auto"/>
        <w:bottom w:val="none" w:sz="0" w:space="0" w:color="auto"/>
        <w:right w:val="none" w:sz="0" w:space="0" w:color="auto"/>
      </w:divBdr>
    </w:div>
    <w:div w:id="342174342">
      <w:bodyDiv w:val="1"/>
      <w:marLeft w:val="0"/>
      <w:marRight w:val="0"/>
      <w:marTop w:val="0"/>
      <w:marBottom w:val="0"/>
      <w:divBdr>
        <w:top w:val="none" w:sz="0" w:space="0" w:color="auto"/>
        <w:left w:val="none" w:sz="0" w:space="0" w:color="auto"/>
        <w:bottom w:val="none" w:sz="0" w:space="0" w:color="auto"/>
        <w:right w:val="none" w:sz="0" w:space="0" w:color="auto"/>
      </w:divBdr>
    </w:div>
    <w:div w:id="351420972">
      <w:bodyDiv w:val="1"/>
      <w:marLeft w:val="0"/>
      <w:marRight w:val="0"/>
      <w:marTop w:val="0"/>
      <w:marBottom w:val="0"/>
      <w:divBdr>
        <w:top w:val="none" w:sz="0" w:space="0" w:color="auto"/>
        <w:left w:val="none" w:sz="0" w:space="0" w:color="auto"/>
        <w:bottom w:val="none" w:sz="0" w:space="0" w:color="auto"/>
        <w:right w:val="none" w:sz="0" w:space="0" w:color="auto"/>
      </w:divBdr>
    </w:div>
    <w:div w:id="404568030">
      <w:bodyDiv w:val="1"/>
      <w:marLeft w:val="0"/>
      <w:marRight w:val="0"/>
      <w:marTop w:val="0"/>
      <w:marBottom w:val="0"/>
      <w:divBdr>
        <w:top w:val="none" w:sz="0" w:space="0" w:color="auto"/>
        <w:left w:val="none" w:sz="0" w:space="0" w:color="auto"/>
        <w:bottom w:val="none" w:sz="0" w:space="0" w:color="auto"/>
        <w:right w:val="none" w:sz="0" w:space="0" w:color="auto"/>
      </w:divBdr>
    </w:div>
    <w:div w:id="408844437">
      <w:bodyDiv w:val="1"/>
      <w:marLeft w:val="0"/>
      <w:marRight w:val="0"/>
      <w:marTop w:val="0"/>
      <w:marBottom w:val="0"/>
      <w:divBdr>
        <w:top w:val="none" w:sz="0" w:space="0" w:color="auto"/>
        <w:left w:val="none" w:sz="0" w:space="0" w:color="auto"/>
        <w:bottom w:val="none" w:sz="0" w:space="0" w:color="auto"/>
        <w:right w:val="none" w:sz="0" w:space="0" w:color="auto"/>
      </w:divBdr>
    </w:div>
    <w:div w:id="412169307">
      <w:bodyDiv w:val="1"/>
      <w:marLeft w:val="0"/>
      <w:marRight w:val="0"/>
      <w:marTop w:val="0"/>
      <w:marBottom w:val="0"/>
      <w:divBdr>
        <w:top w:val="none" w:sz="0" w:space="0" w:color="auto"/>
        <w:left w:val="none" w:sz="0" w:space="0" w:color="auto"/>
        <w:bottom w:val="none" w:sz="0" w:space="0" w:color="auto"/>
        <w:right w:val="none" w:sz="0" w:space="0" w:color="auto"/>
      </w:divBdr>
    </w:div>
    <w:div w:id="464354188">
      <w:bodyDiv w:val="1"/>
      <w:marLeft w:val="0"/>
      <w:marRight w:val="0"/>
      <w:marTop w:val="0"/>
      <w:marBottom w:val="0"/>
      <w:divBdr>
        <w:top w:val="none" w:sz="0" w:space="0" w:color="auto"/>
        <w:left w:val="none" w:sz="0" w:space="0" w:color="auto"/>
        <w:bottom w:val="none" w:sz="0" w:space="0" w:color="auto"/>
        <w:right w:val="none" w:sz="0" w:space="0" w:color="auto"/>
      </w:divBdr>
    </w:div>
    <w:div w:id="483277808">
      <w:bodyDiv w:val="1"/>
      <w:marLeft w:val="0"/>
      <w:marRight w:val="0"/>
      <w:marTop w:val="0"/>
      <w:marBottom w:val="0"/>
      <w:divBdr>
        <w:top w:val="none" w:sz="0" w:space="0" w:color="auto"/>
        <w:left w:val="none" w:sz="0" w:space="0" w:color="auto"/>
        <w:bottom w:val="none" w:sz="0" w:space="0" w:color="auto"/>
        <w:right w:val="none" w:sz="0" w:space="0" w:color="auto"/>
      </w:divBdr>
    </w:div>
    <w:div w:id="487868376">
      <w:bodyDiv w:val="1"/>
      <w:marLeft w:val="0"/>
      <w:marRight w:val="0"/>
      <w:marTop w:val="0"/>
      <w:marBottom w:val="0"/>
      <w:divBdr>
        <w:top w:val="none" w:sz="0" w:space="0" w:color="auto"/>
        <w:left w:val="none" w:sz="0" w:space="0" w:color="auto"/>
        <w:bottom w:val="none" w:sz="0" w:space="0" w:color="auto"/>
        <w:right w:val="none" w:sz="0" w:space="0" w:color="auto"/>
      </w:divBdr>
    </w:div>
    <w:div w:id="532620227">
      <w:bodyDiv w:val="1"/>
      <w:marLeft w:val="0"/>
      <w:marRight w:val="0"/>
      <w:marTop w:val="0"/>
      <w:marBottom w:val="0"/>
      <w:divBdr>
        <w:top w:val="none" w:sz="0" w:space="0" w:color="auto"/>
        <w:left w:val="none" w:sz="0" w:space="0" w:color="auto"/>
        <w:bottom w:val="none" w:sz="0" w:space="0" w:color="auto"/>
        <w:right w:val="none" w:sz="0" w:space="0" w:color="auto"/>
      </w:divBdr>
    </w:div>
    <w:div w:id="553202098">
      <w:bodyDiv w:val="1"/>
      <w:marLeft w:val="0"/>
      <w:marRight w:val="0"/>
      <w:marTop w:val="0"/>
      <w:marBottom w:val="0"/>
      <w:divBdr>
        <w:top w:val="none" w:sz="0" w:space="0" w:color="auto"/>
        <w:left w:val="none" w:sz="0" w:space="0" w:color="auto"/>
        <w:bottom w:val="none" w:sz="0" w:space="0" w:color="auto"/>
        <w:right w:val="none" w:sz="0" w:space="0" w:color="auto"/>
      </w:divBdr>
      <w:divsChild>
        <w:div w:id="693187965">
          <w:marLeft w:val="0"/>
          <w:marRight w:val="0"/>
          <w:marTop w:val="0"/>
          <w:marBottom w:val="0"/>
          <w:divBdr>
            <w:top w:val="none" w:sz="0" w:space="0" w:color="auto"/>
            <w:left w:val="none" w:sz="0" w:space="0" w:color="auto"/>
            <w:bottom w:val="none" w:sz="0" w:space="0" w:color="auto"/>
            <w:right w:val="none" w:sz="0" w:space="0" w:color="auto"/>
          </w:divBdr>
          <w:divsChild>
            <w:div w:id="2030258442">
              <w:marLeft w:val="0"/>
              <w:marRight w:val="0"/>
              <w:marTop w:val="0"/>
              <w:marBottom w:val="0"/>
              <w:divBdr>
                <w:top w:val="none" w:sz="0" w:space="0" w:color="auto"/>
                <w:left w:val="none" w:sz="0" w:space="0" w:color="auto"/>
                <w:bottom w:val="none" w:sz="0" w:space="0" w:color="auto"/>
                <w:right w:val="none" w:sz="0" w:space="0" w:color="auto"/>
              </w:divBdr>
              <w:divsChild>
                <w:div w:id="1771774828">
                  <w:marLeft w:val="0"/>
                  <w:marRight w:val="0"/>
                  <w:marTop w:val="3"/>
                  <w:marBottom w:val="0"/>
                  <w:divBdr>
                    <w:top w:val="none" w:sz="0" w:space="0" w:color="auto"/>
                    <w:left w:val="none" w:sz="0" w:space="0" w:color="auto"/>
                    <w:bottom w:val="none" w:sz="0" w:space="0" w:color="auto"/>
                    <w:right w:val="none" w:sz="0" w:space="0" w:color="auto"/>
                  </w:divBdr>
                  <w:divsChild>
                    <w:div w:id="1163819039">
                      <w:marLeft w:val="0"/>
                      <w:marRight w:val="0"/>
                      <w:marTop w:val="0"/>
                      <w:marBottom w:val="0"/>
                      <w:divBdr>
                        <w:top w:val="none" w:sz="0" w:space="0" w:color="auto"/>
                        <w:left w:val="none" w:sz="0" w:space="0" w:color="auto"/>
                        <w:bottom w:val="none" w:sz="0" w:space="0" w:color="auto"/>
                        <w:right w:val="none" w:sz="0" w:space="0" w:color="auto"/>
                      </w:divBdr>
                      <w:divsChild>
                        <w:div w:id="594942629">
                          <w:marLeft w:val="0"/>
                          <w:marRight w:val="0"/>
                          <w:marTop w:val="0"/>
                          <w:marBottom w:val="0"/>
                          <w:divBdr>
                            <w:top w:val="none" w:sz="0" w:space="0" w:color="auto"/>
                            <w:left w:val="none" w:sz="0" w:space="0" w:color="auto"/>
                            <w:bottom w:val="none" w:sz="0" w:space="0" w:color="auto"/>
                            <w:right w:val="none" w:sz="0" w:space="0" w:color="auto"/>
                          </w:divBdr>
                          <w:divsChild>
                            <w:div w:id="207107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087841">
      <w:bodyDiv w:val="1"/>
      <w:marLeft w:val="0"/>
      <w:marRight w:val="0"/>
      <w:marTop w:val="0"/>
      <w:marBottom w:val="0"/>
      <w:divBdr>
        <w:top w:val="none" w:sz="0" w:space="0" w:color="auto"/>
        <w:left w:val="none" w:sz="0" w:space="0" w:color="auto"/>
        <w:bottom w:val="none" w:sz="0" w:space="0" w:color="auto"/>
        <w:right w:val="none" w:sz="0" w:space="0" w:color="auto"/>
      </w:divBdr>
    </w:div>
    <w:div w:id="794952603">
      <w:bodyDiv w:val="1"/>
      <w:marLeft w:val="0"/>
      <w:marRight w:val="0"/>
      <w:marTop w:val="0"/>
      <w:marBottom w:val="0"/>
      <w:divBdr>
        <w:top w:val="none" w:sz="0" w:space="0" w:color="auto"/>
        <w:left w:val="none" w:sz="0" w:space="0" w:color="auto"/>
        <w:bottom w:val="none" w:sz="0" w:space="0" w:color="auto"/>
        <w:right w:val="none" w:sz="0" w:space="0" w:color="auto"/>
      </w:divBdr>
    </w:div>
    <w:div w:id="795877602">
      <w:bodyDiv w:val="1"/>
      <w:marLeft w:val="0"/>
      <w:marRight w:val="0"/>
      <w:marTop w:val="0"/>
      <w:marBottom w:val="0"/>
      <w:divBdr>
        <w:top w:val="none" w:sz="0" w:space="0" w:color="auto"/>
        <w:left w:val="none" w:sz="0" w:space="0" w:color="auto"/>
        <w:bottom w:val="none" w:sz="0" w:space="0" w:color="auto"/>
        <w:right w:val="none" w:sz="0" w:space="0" w:color="auto"/>
      </w:divBdr>
    </w:div>
    <w:div w:id="860244583">
      <w:bodyDiv w:val="1"/>
      <w:marLeft w:val="0"/>
      <w:marRight w:val="0"/>
      <w:marTop w:val="0"/>
      <w:marBottom w:val="0"/>
      <w:divBdr>
        <w:top w:val="none" w:sz="0" w:space="0" w:color="auto"/>
        <w:left w:val="none" w:sz="0" w:space="0" w:color="auto"/>
        <w:bottom w:val="none" w:sz="0" w:space="0" w:color="auto"/>
        <w:right w:val="none" w:sz="0" w:space="0" w:color="auto"/>
      </w:divBdr>
    </w:div>
    <w:div w:id="925189245">
      <w:bodyDiv w:val="1"/>
      <w:marLeft w:val="0"/>
      <w:marRight w:val="0"/>
      <w:marTop w:val="0"/>
      <w:marBottom w:val="0"/>
      <w:divBdr>
        <w:top w:val="none" w:sz="0" w:space="0" w:color="auto"/>
        <w:left w:val="none" w:sz="0" w:space="0" w:color="auto"/>
        <w:bottom w:val="none" w:sz="0" w:space="0" w:color="auto"/>
        <w:right w:val="none" w:sz="0" w:space="0" w:color="auto"/>
      </w:divBdr>
    </w:div>
    <w:div w:id="940181415">
      <w:bodyDiv w:val="1"/>
      <w:marLeft w:val="0"/>
      <w:marRight w:val="0"/>
      <w:marTop w:val="0"/>
      <w:marBottom w:val="0"/>
      <w:divBdr>
        <w:top w:val="none" w:sz="0" w:space="0" w:color="auto"/>
        <w:left w:val="none" w:sz="0" w:space="0" w:color="auto"/>
        <w:bottom w:val="none" w:sz="0" w:space="0" w:color="auto"/>
        <w:right w:val="none" w:sz="0" w:space="0" w:color="auto"/>
      </w:divBdr>
    </w:div>
    <w:div w:id="964771386">
      <w:bodyDiv w:val="1"/>
      <w:marLeft w:val="0"/>
      <w:marRight w:val="0"/>
      <w:marTop w:val="0"/>
      <w:marBottom w:val="0"/>
      <w:divBdr>
        <w:top w:val="none" w:sz="0" w:space="0" w:color="auto"/>
        <w:left w:val="none" w:sz="0" w:space="0" w:color="auto"/>
        <w:bottom w:val="none" w:sz="0" w:space="0" w:color="auto"/>
        <w:right w:val="none" w:sz="0" w:space="0" w:color="auto"/>
      </w:divBdr>
    </w:div>
    <w:div w:id="969481766">
      <w:bodyDiv w:val="1"/>
      <w:marLeft w:val="0"/>
      <w:marRight w:val="0"/>
      <w:marTop w:val="0"/>
      <w:marBottom w:val="0"/>
      <w:divBdr>
        <w:top w:val="none" w:sz="0" w:space="0" w:color="auto"/>
        <w:left w:val="none" w:sz="0" w:space="0" w:color="auto"/>
        <w:bottom w:val="none" w:sz="0" w:space="0" w:color="auto"/>
        <w:right w:val="none" w:sz="0" w:space="0" w:color="auto"/>
      </w:divBdr>
    </w:div>
    <w:div w:id="1014261944">
      <w:bodyDiv w:val="1"/>
      <w:marLeft w:val="0"/>
      <w:marRight w:val="0"/>
      <w:marTop w:val="0"/>
      <w:marBottom w:val="0"/>
      <w:divBdr>
        <w:top w:val="none" w:sz="0" w:space="0" w:color="auto"/>
        <w:left w:val="none" w:sz="0" w:space="0" w:color="auto"/>
        <w:bottom w:val="none" w:sz="0" w:space="0" w:color="auto"/>
        <w:right w:val="none" w:sz="0" w:space="0" w:color="auto"/>
      </w:divBdr>
    </w:div>
    <w:div w:id="1028601679">
      <w:bodyDiv w:val="1"/>
      <w:marLeft w:val="0"/>
      <w:marRight w:val="0"/>
      <w:marTop w:val="0"/>
      <w:marBottom w:val="0"/>
      <w:divBdr>
        <w:top w:val="none" w:sz="0" w:space="0" w:color="auto"/>
        <w:left w:val="none" w:sz="0" w:space="0" w:color="auto"/>
        <w:bottom w:val="none" w:sz="0" w:space="0" w:color="auto"/>
        <w:right w:val="none" w:sz="0" w:space="0" w:color="auto"/>
      </w:divBdr>
    </w:div>
    <w:div w:id="1145850768">
      <w:bodyDiv w:val="1"/>
      <w:marLeft w:val="0"/>
      <w:marRight w:val="0"/>
      <w:marTop w:val="0"/>
      <w:marBottom w:val="0"/>
      <w:divBdr>
        <w:top w:val="none" w:sz="0" w:space="0" w:color="auto"/>
        <w:left w:val="none" w:sz="0" w:space="0" w:color="auto"/>
        <w:bottom w:val="none" w:sz="0" w:space="0" w:color="auto"/>
        <w:right w:val="none" w:sz="0" w:space="0" w:color="auto"/>
      </w:divBdr>
    </w:div>
    <w:div w:id="1211498863">
      <w:bodyDiv w:val="1"/>
      <w:marLeft w:val="0"/>
      <w:marRight w:val="0"/>
      <w:marTop w:val="0"/>
      <w:marBottom w:val="0"/>
      <w:divBdr>
        <w:top w:val="none" w:sz="0" w:space="0" w:color="auto"/>
        <w:left w:val="none" w:sz="0" w:space="0" w:color="auto"/>
        <w:bottom w:val="none" w:sz="0" w:space="0" w:color="auto"/>
        <w:right w:val="none" w:sz="0" w:space="0" w:color="auto"/>
      </w:divBdr>
    </w:div>
    <w:div w:id="1212764404">
      <w:bodyDiv w:val="1"/>
      <w:marLeft w:val="0"/>
      <w:marRight w:val="0"/>
      <w:marTop w:val="0"/>
      <w:marBottom w:val="0"/>
      <w:divBdr>
        <w:top w:val="none" w:sz="0" w:space="0" w:color="auto"/>
        <w:left w:val="none" w:sz="0" w:space="0" w:color="auto"/>
        <w:bottom w:val="none" w:sz="0" w:space="0" w:color="auto"/>
        <w:right w:val="none" w:sz="0" w:space="0" w:color="auto"/>
      </w:divBdr>
    </w:div>
    <w:div w:id="1237129411">
      <w:bodyDiv w:val="1"/>
      <w:marLeft w:val="0"/>
      <w:marRight w:val="0"/>
      <w:marTop w:val="0"/>
      <w:marBottom w:val="0"/>
      <w:divBdr>
        <w:top w:val="none" w:sz="0" w:space="0" w:color="auto"/>
        <w:left w:val="none" w:sz="0" w:space="0" w:color="auto"/>
        <w:bottom w:val="none" w:sz="0" w:space="0" w:color="auto"/>
        <w:right w:val="none" w:sz="0" w:space="0" w:color="auto"/>
      </w:divBdr>
    </w:div>
    <w:div w:id="1259487579">
      <w:bodyDiv w:val="1"/>
      <w:marLeft w:val="0"/>
      <w:marRight w:val="0"/>
      <w:marTop w:val="0"/>
      <w:marBottom w:val="0"/>
      <w:divBdr>
        <w:top w:val="none" w:sz="0" w:space="0" w:color="auto"/>
        <w:left w:val="none" w:sz="0" w:space="0" w:color="auto"/>
        <w:bottom w:val="none" w:sz="0" w:space="0" w:color="auto"/>
        <w:right w:val="none" w:sz="0" w:space="0" w:color="auto"/>
      </w:divBdr>
    </w:div>
    <w:div w:id="1295064775">
      <w:bodyDiv w:val="1"/>
      <w:marLeft w:val="0"/>
      <w:marRight w:val="0"/>
      <w:marTop w:val="0"/>
      <w:marBottom w:val="0"/>
      <w:divBdr>
        <w:top w:val="none" w:sz="0" w:space="0" w:color="auto"/>
        <w:left w:val="none" w:sz="0" w:space="0" w:color="auto"/>
        <w:bottom w:val="none" w:sz="0" w:space="0" w:color="auto"/>
        <w:right w:val="none" w:sz="0" w:space="0" w:color="auto"/>
      </w:divBdr>
    </w:div>
    <w:div w:id="1295679227">
      <w:bodyDiv w:val="1"/>
      <w:marLeft w:val="0"/>
      <w:marRight w:val="0"/>
      <w:marTop w:val="0"/>
      <w:marBottom w:val="0"/>
      <w:divBdr>
        <w:top w:val="none" w:sz="0" w:space="0" w:color="auto"/>
        <w:left w:val="none" w:sz="0" w:space="0" w:color="auto"/>
        <w:bottom w:val="none" w:sz="0" w:space="0" w:color="auto"/>
        <w:right w:val="none" w:sz="0" w:space="0" w:color="auto"/>
      </w:divBdr>
    </w:div>
    <w:div w:id="1316832892">
      <w:bodyDiv w:val="1"/>
      <w:marLeft w:val="0"/>
      <w:marRight w:val="0"/>
      <w:marTop w:val="0"/>
      <w:marBottom w:val="0"/>
      <w:divBdr>
        <w:top w:val="none" w:sz="0" w:space="0" w:color="auto"/>
        <w:left w:val="none" w:sz="0" w:space="0" w:color="auto"/>
        <w:bottom w:val="none" w:sz="0" w:space="0" w:color="auto"/>
        <w:right w:val="none" w:sz="0" w:space="0" w:color="auto"/>
      </w:divBdr>
    </w:div>
    <w:div w:id="1317028959">
      <w:bodyDiv w:val="1"/>
      <w:marLeft w:val="0"/>
      <w:marRight w:val="0"/>
      <w:marTop w:val="0"/>
      <w:marBottom w:val="0"/>
      <w:divBdr>
        <w:top w:val="none" w:sz="0" w:space="0" w:color="auto"/>
        <w:left w:val="none" w:sz="0" w:space="0" w:color="auto"/>
        <w:bottom w:val="none" w:sz="0" w:space="0" w:color="auto"/>
        <w:right w:val="none" w:sz="0" w:space="0" w:color="auto"/>
      </w:divBdr>
    </w:div>
    <w:div w:id="1330013472">
      <w:bodyDiv w:val="1"/>
      <w:marLeft w:val="0"/>
      <w:marRight w:val="0"/>
      <w:marTop w:val="0"/>
      <w:marBottom w:val="0"/>
      <w:divBdr>
        <w:top w:val="none" w:sz="0" w:space="0" w:color="auto"/>
        <w:left w:val="none" w:sz="0" w:space="0" w:color="auto"/>
        <w:bottom w:val="none" w:sz="0" w:space="0" w:color="auto"/>
        <w:right w:val="none" w:sz="0" w:space="0" w:color="auto"/>
      </w:divBdr>
    </w:div>
    <w:div w:id="1340235037">
      <w:bodyDiv w:val="1"/>
      <w:marLeft w:val="0"/>
      <w:marRight w:val="0"/>
      <w:marTop w:val="0"/>
      <w:marBottom w:val="0"/>
      <w:divBdr>
        <w:top w:val="none" w:sz="0" w:space="0" w:color="auto"/>
        <w:left w:val="none" w:sz="0" w:space="0" w:color="auto"/>
        <w:bottom w:val="none" w:sz="0" w:space="0" w:color="auto"/>
        <w:right w:val="none" w:sz="0" w:space="0" w:color="auto"/>
      </w:divBdr>
      <w:divsChild>
        <w:div w:id="858198076">
          <w:marLeft w:val="0"/>
          <w:marRight w:val="0"/>
          <w:marTop w:val="0"/>
          <w:marBottom w:val="0"/>
          <w:divBdr>
            <w:top w:val="none" w:sz="0" w:space="0" w:color="auto"/>
            <w:left w:val="none" w:sz="0" w:space="0" w:color="auto"/>
            <w:bottom w:val="none" w:sz="0" w:space="0" w:color="auto"/>
            <w:right w:val="none" w:sz="0" w:space="0" w:color="auto"/>
          </w:divBdr>
          <w:divsChild>
            <w:div w:id="915475742">
              <w:marLeft w:val="0"/>
              <w:marRight w:val="0"/>
              <w:marTop w:val="0"/>
              <w:marBottom w:val="0"/>
              <w:divBdr>
                <w:top w:val="none" w:sz="0" w:space="0" w:color="auto"/>
                <w:left w:val="none" w:sz="0" w:space="0" w:color="auto"/>
                <w:bottom w:val="none" w:sz="0" w:space="0" w:color="auto"/>
                <w:right w:val="none" w:sz="0" w:space="0" w:color="auto"/>
              </w:divBdr>
              <w:divsChild>
                <w:div w:id="1450003019">
                  <w:marLeft w:val="0"/>
                  <w:marRight w:val="0"/>
                  <w:marTop w:val="3"/>
                  <w:marBottom w:val="0"/>
                  <w:divBdr>
                    <w:top w:val="none" w:sz="0" w:space="0" w:color="auto"/>
                    <w:left w:val="none" w:sz="0" w:space="0" w:color="auto"/>
                    <w:bottom w:val="none" w:sz="0" w:space="0" w:color="auto"/>
                    <w:right w:val="none" w:sz="0" w:space="0" w:color="auto"/>
                  </w:divBdr>
                  <w:divsChild>
                    <w:div w:id="1982688319">
                      <w:marLeft w:val="0"/>
                      <w:marRight w:val="0"/>
                      <w:marTop w:val="0"/>
                      <w:marBottom w:val="0"/>
                      <w:divBdr>
                        <w:top w:val="none" w:sz="0" w:space="0" w:color="auto"/>
                        <w:left w:val="none" w:sz="0" w:space="0" w:color="auto"/>
                        <w:bottom w:val="none" w:sz="0" w:space="0" w:color="auto"/>
                        <w:right w:val="none" w:sz="0" w:space="0" w:color="auto"/>
                      </w:divBdr>
                      <w:divsChild>
                        <w:div w:id="1083718249">
                          <w:marLeft w:val="0"/>
                          <w:marRight w:val="0"/>
                          <w:marTop w:val="0"/>
                          <w:marBottom w:val="0"/>
                          <w:divBdr>
                            <w:top w:val="none" w:sz="0" w:space="0" w:color="auto"/>
                            <w:left w:val="none" w:sz="0" w:space="0" w:color="auto"/>
                            <w:bottom w:val="none" w:sz="0" w:space="0" w:color="auto"/>
                            <w:right w:val="none" w:sz="0" w:space="0" w:color="auto"/>
                          </w:divBdr>
                          <w:divsChild>
                            <w:div w:id="71088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978073">
      <w:bodyDiv w:val="1"/>
      <w:marLeft w:val="0"/>
      <w:marRight w:val="0"/>
      <w:marTop w:val="0"/>
      <w:marBottom w:val="0"/>
      <w:divBdr>
        <w:top w:val="none" w:sz="0" w:space="0" w:color="auto"/>
        <w:left w:val="none" w:sz="0" w:space="0" w:color="auto"/>
        <w:bottom w:val="none" w:sz="0" w:space="0" w:color="auto"/>
        <w:right w:val="none" w:sz="0" w:space="0" w:color="auto"/>
      </w:divBdr>
    </w:div>
    <w:div w:id="1348869048">
      <w:bodyDiv w:val="1"/>
      <w:marLeft w:val="0"/>
      <w:marRight w:val="0"/>
      <w:marTop w:val="0"/>
      <w:marBottom w:val="0"/>
      <w:divBdr>
        <w:top w:val="none" w:sz="0" w:space="0" w:color="auto"/>
        <w:left w:val="none" w:sz="0" w:space="0" w:color="auto"/>
        <w:bottom w:val="none" w:sz="0" w:space="0" w:color="auto"/>
        <w:right w:val="none" w:sz="0" w:space="0" w:color="auto"/>
      </w:divBdr>
    </w:div>
    <w:div w:id="1376463643">
      <w:bodyDiv w:val="1"/>
      <w:marLeft w:val="0"/>
      <w:marRight w:val="0"/>
      <w:marTop w:val="0"/>
      <w:marBottom w:val="0"/>
      <w:divBdr>
        <w:top w:val="none" w:sz="0" w:space="0" w:color="auto"/>
        <w:left w:val="none" w:sz="0" w:space="0" w:color="auto"/>
        <w:bottom w:val="none" w:sz="0" w:space="0" w:color="auto"/>
        <w:right w:val="none" w:sz="0" w:space="0" w:color="auto"/>
      </w:divBdr>
    </w:div>
    <w:div w:id="1389841434">
      <w:bodyDiv w:val="1"/>
      <w:marLeft w:val="0"/>
      <w:marRight w:val="0"/>
      <w:marTop w:val="0"/>
      <w:marBottom w:val="0"/>
      <w:divBdr>
        <w:top w:val="none" w:sz="0" w:space="0" w:color="auto"/>
        <w:left w:val="none" w:sz="0" w:space="0" w:color="auto"/>
        <w:bottom w:val="none" w:sz="0" w:space="0" w:color="auto"/>
        <w:right w:val="none" w:sz="0" w:space="0" w:color="auto"/>
      </w:divBdr>
      <w:divsChild>
        <w:div w:id="312412022">
          <w:marLeft w:val="0"/>
          <w:marRight w:val="0"/>
          <w:marTop w:val="0"/>
          <w:marBottom w:val="0"/>
          <w:divBdr>
            <w:top w:val="none" w:sz="0" w:space="0" w:color="auto"/>
            <w:left w:val="none" w:sz="0" w:space="0" w:color="auto"/>
            <w:bottom w:val="none" w:sz="0" w:space="0" w:color="auto"/>
            <w:right w:val="none" w:sz="0" w:space="0" w:color="auto"/>
          </w:divBdr>
          <w:divsChild>
            <w:div w:id="723678563">
              <w:marLeft w:val="0"/>
              <w:marRight w:val="0"/>
              <w:marTop w:val="0"/>
              <w:marBottom w:val="0"/>
              <w:divBdr>
                <w:top w:val="none" w:sz="0" w:space="0" w:color="auto"/>
                <w:left w:val="none" w:sz="0" w:space="0" w:color="auto"/>
                <w:bottom w:val="none" w:sz="0" w:space="0" w:color="auto"/>
                <w:right w:val="none" w:sz="0" w:space="0" w:color="auto"/>
              </w:divBdr>
              <w:divsChild>
                <w:div w:id="1627081481">
                  <w:marLeft w:val="0"/>
                  <w:marRight w:val="0"/>
                  <w:marTop w:val="0"/>
                  <w:marBottom w:val="0"/>
                  <w:divBdr>
                    <w:top w:val="none" w:sz="0" w:space="0" w:color="auto"/>
                    <w:left w:val="none" w:sz="0" w:space="0" w:color="auto"/>
                    <w:bottom w:val="none" w:sz="0" w:space="0" w:color="auto"/>
                    <w:right w:val="none" w:sz="0" w:space="0" w:color="auto"/>
                  </w:divBdr>
                  <w:divsChild>
                    <w:div w:id="875775343">
                      <w:marLeft w:val="0"/>
                      <w:marRight w:val="0"/>
                      <w:marTop w:val="0"/>
                      <w:marBottom w:val="0"/>
                      <w:divBdr>
                        <w:top w:val="none" w:sz="0" w:space="0" w:color="auto"/>
                        <w:left w:val="none" w:sz="0" w:space="0" w:color="auto"/>
                        <w:bottom w:val="none" w:sz="0" w:space="0" w:color="auto"/>
                        <w:right w:val="none" w:sz="0" w:space="0" w:color="auto"/>
                      </w:divBdr>
                      <w:divsChild>
                        <w:div w:id="684868911">
                          <w:marLeft w:val="0"/>
                          <w:marRight w:val="0"/>
                          <w:marTop w:val="0"/>
                          <w:marBottom w:val="0"/>
                          <w:divBdr>
                            <w:top w:val="none" w:sz="0" w:space="0" w:color="auto"/>
                            <w:left w:val="none" w:sz="0" w:space="0" w:color="auto"/>
                            <w:bottom w:val="none" w:sz="0" w:space="0" w:color="auto"/>
                            <w:right w:val="none" w:sz="0" w:space="0" w:color="auto"/>
                          </w:divBdr>
                          <w:divsChild>
                            <w:div w:id="192769536">
                              <w:marLeft w:val="-225"/>
                              <w:marRight w:val="-225"/>
                              <w:marTop w:val="0"/>
                              <w:marBottom w:val="0"/>
                              <w:divBdr>
                                <w:top w:val="none" w:sz="0" w:space="0" w:color="auto"/>
                                <w:left w:val="none" w:sz="0" w:space="0" w:color="auto"/>
                                <w:bottom w:val="none" w:sz="0" w:space="0" w:color="auto"/>
                                <w:right w:val="none" w:sz="0" w:space="0" w:color="auto"/>
                              </w:divBdr>
                              <w:divsChild>
                                <w:div w:id="13980926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3429875">
      <w:bodyDiv w:val="1"/>
      <w:marLeft w:val="0"/>
      <w:marRight w:val="0"/>
      <w:marTop w:val="0"/>
      <w:marBottom w:val="0"/>
      <w:divBdr>
        <w:top w:val="none" w:sz="0" w:space="0" w:color="auto"/>
        <w:left w:val="none" w:sz="0" w:space="0" w:color="auto"/>
        <w:bottom w:val="none" w:sz="0" w:space="0" w:color="auto"/>
        <w:right w:val="none" w:sz="0" w:space="0" w:color="auto"/>
      </w:divBdr>
    </w:div>
    <w:div w:id="1471168356">
      <w:bodyDiv w:val="1"/>
      <w:marLeft w:val="0"/>
      <w:marRight w:val="0"/>
      <w:marTop w:val="0"/>
      <w:marBottom w:val="0"/>
      <w:divBdr>
        <w:top w:val="none" w:sz="0" w:space="0" w:color="auto"/>
        <w:left w:val="none" w:sz="0" w:space="0" w:color="auto"/>
        <w:bottom w:val="none" w:sz="0" w:space="0" w:color="auto"/>
        <w:right w:val="none" w:sz="0" w:space="0" w:color="auto"/>
      </w:divBdr>
    </w:div>
    <w:div w:id="1547335249">
      <w:bodyDiv w:val="1"/>
      <w:marLeft w:val="0"/>
      <w:marRight w:val="0"/>
      <w:marTop w:val="0"/>
      <w:marBottom w:val="0"/>
      <w:divBdr>
        <w:top w:val="none" w:sz="0" w:space="0" w:color="auto"/>
        <w:left w:val="none" w:sz="0" w:space="0" w:color="auto"/>
        <w:bottom w:val="none" w:sz="0" w:space="0" w:color="auto"/>
        <w:right w:val="none" w:sz="0" w:space="0" w:color="auto"/>
      </w:divBdr>
    </w:div>
    <w:div w:id="1554730998">
      <w:bodyDiv w:val="1"/>
      <w:marLeft w:val="0"/>
      <w:marRight w:val="0"/>
      <w:marTop w:val="0"/>
      <w:marBottom w:val="0"/>
      <w:divBdr>
        <w:top w:val="none" w:sz="0" w:space="0" w:color="auto"/>
        <w:left w:val="none" w:sz="0" w:space="0" w:color="auto"/>
        <w:bottom w:val="none" w:sz="0" w:space="0" w:color="auto"/>
        <w:right w:val="none" w:sz="0" w:space="0" w:color="auto"/>
      </w:divBdr>
    </w:div>
    <w:div w:id="1591544963">
      <w:bodyDiv w:val="1"/>
      <w:marLeft w:val="0"/>
      <w:marRight w:val="0"/>
      <w:marTop w:val="0"/>
      <w:marBottom w:val="0"/>
      <w:divBdr>
        <w:top w:val="none" w:sz="0" w:space="0" w:color="auto"/>
        <w:left w:val="none" w:sz="0" w:space="0" w:color="auto"/>
        <w:bottom w:val="none" w:sz="0" w:space="0" w:color="auto"/>
        <w:right w:val="none" w:sz="0" w:space="0" w:color="auto"/>
      </w:divBdr>
    </w:div>
    <w:div w:id="1650787833">
      <w:bodyDiv w:val="1"/>
      <w:marLeft w:val="0"/>
      <w:marRight w:val="0"/>
      <w:marTop w:val="0"/>
      <w:marBottom w:val="0"/>
      <w:divBdr>
        <w:top w:val="none" w:sz="0" w:space="0" w:color="auto"/>
        <w:left w:val="none" w:sz="0" w:space="0" w:color="auto"/>
        <w:bottom w:val="none" w:sz="0" w:space="0" w:color="auto"/>
        <w:right w:val="none" w:sz="0" w:space="0" w:color="auto"/>
      </w:divBdr>
      <w:divsChild>
        <w:div w:id="389311235">
          <w:marLeft w:val="547"/>
          <w:marRight w:val="0"/>
          <w:marTop w:val="134"/>
          <w:marBottom w:val="0"/>
          <w:divBdr>
            <w:top w:val="none" w:sz="0" w:space="0" w:color="auto"/>
            <w:left w:val="none" w:sz="0" w:space="0" w:color="auto"/>
            <w:bottom w:val="none" w:sz="0" w:space="0" w:color="auto"/>
            <w:right w:val="none" w:sz="0" w:space="0" w:color="auto"/>
          </w:divBdr>
        </w:div>
        <w:div w:id="396442604">
          <w:marLeft w:val="547"/>
          <w:marRight w:val="0"/>
          <w:marTop w:val="134"/>
          <w:marBottom w:val="0"/>
          <w:divBdr>
            <w:top w:val="none" w:sz="0" w:space="0" w:color="auto"/>
            <w:left w:val="none" w:sz="0" w:space="0" w:color="auto"/>
            <w:bottom w:val="none" w:sz="0" w:space="0" w:color="auto"/>
            <w:right w:val="none" w:sz="0" w:space="0" w:color="auto"/>
          </w:divBdr>
        </w:div>
        <w:div w:id="2018314089">
          <w:marLeft w:val="547"/>
          <w:marRight w:val="0"/>
          <w:marTop w:val="134"/>
          <w:marBottom w:val="0"/>
          <w:divBdr>
            <w:top w:val="none" w:sz="0" w:space="0" w:color="auto"/>
            <w:left w:val="none" w:sz="0" w:space="0" w:color="auto"/>
            <w:bottom w:val="none" w:sz="0" w:space="0" w:color="auto"/>
            <w:right w:val="none" w:sz="0" w:space="0" w:color="auto"/>
          </w:divBdr>
        </w:div>
      </w:divsChild>
    </w:div>
    <w:div w:id="1658528981">
      <w:bodyDiv w:val="1"/>
      <w:marLeft w:val="0"/>
      <w:marRight w:val="0"/>
      <w:marTop w:val="0"/>
      <w:marBottom w:val="0"/>
      <w:divBdr>
        <w:top w:val="none" w:sz="0" w:space="0" w:color="auto"/>
        <w:left w:val="none" w:sz="0" w:space="0" w:color="auto"/>
        <w:bottom w:val="none" w:sz="0" w:space="0" w:color="auto"/>
        <w:right w:val="none" w:sz="0" w:space="0" w:color="auto"/>
      </w:divBdr>
    </w:div>
    <w:div w:id="1768497505">
      <w:bodyDiv w:val="1"/>
      <w:marLeft w:val="0"/>
      <w:marRight w:val="0"/>
      <w:marTop w:val="0"/>
      <w:marBottom w:val="0"/>
      <w:divBdr>
        <w:top w:val="none" w:sz="0" w:space="0" w:color="auto"/>
        <w:left w:val="none" w:sz="0" w:space="0" w:color="auto"/>
        <w:bottom w:val="none" w:sz="0" w:space="0" w:color="auto"/>
        <w:right w:val="none" w:sz="0" w:space="0" w:color="auto"/>
      </w:divBdr>
    </w:div>
    <w:div w:id="1834374800">
      <w:bodyDiv w:val="1"/>
      <w:marLeft w:val="0"/>
      <w:marRight w:val="0"/>
      <w:marTop w:val="0"/>
      <w:marBottom w:val="0"/>
      <w:divBdr>
        <w:top w:val="none" w:sz="0" w:space="0" w:color="auto"/>
        <w:left w:val="none" w:sz="0" w:space="0" w:color="auto"/>
        <w:bottom w:val="none" w:sz="0" w:space="0" w:color="auto"/>
        <w:right w:val="none" w:sz="0" w:space="0" w:color="auto"/>
      </w:divBdr>
    </w:div>
    <w:div w:id="1948387830">
      <w:bodyDiv w:val="1"/>
      <w:marLeft w:val="0"/>
      <w:marRight w:val="0"/>
      <w:marTop w:val="0"/>
      <w:marBottom w:val="0"/>
      <w:divBdr>
        <w:top w:val="none" w:sz="0" w:space="0" w:color="auto"/>
        <w:left w:val="none" w:sz="0" w:space="0" w:color="auto"/>
        <w:bottom w:val="none" w:sz="0" w:space="0" w:color="auto"/>
        <w:right w:val="none" w:sz="0" w:space="0" w:color="auto"/>
      </w:divBdr>
    </w:div>
    <w:div w:id="1958372666">
      <w:bodyDiv w:val="1"/>
      <w:marLeft w:val="0"/>
      <w:marRight w:val="0"/>
      <w:marTop w:val="0"/>
      <w:marBottom w:val="0"/>
      <w:divBdr>
        <w:top w:val="none" w:sz="0" w:space="0" w:color="auto"/>
        <w:left w:val="none" w:sz="0" w:space="0" w:color="auto"/>
        <w:bottom w:val="none" w:sz="0" w:space="0" w:color="auto"/>
        <w:right w:val="none" w:sz="0" w:space="0" w:color="auto"/>
      </w:divBdr>
    </w:div>
    <w:div w:id="1973704136">
      <w:bodyDiv w:val="1"/>
      <w:marLeft w:val="0"/>
      <w:marRight w:val="0"/>
      <w:marTop w:val="0"/>
      <w:marBottom w:val="0"/>
      <w:divBdr>
        <w:top w:val="none" w:sz="0" w:space="0" w:color="auto"/>
        <w:left w:val="none" w:sz="0" w:space="0" w:color="auto"/>
        <w:bottom w:val="none" w:sz="0" w:space="0" w:color="auto"/>
        <w:right w:val="none" w:sz="0" w:space="0" w:color="auto"/>
      </w:divBdr>
    </w:div>
    <w:div w:id="1977757603">
      <w:bodyDiv w:val="1"/>
      <w:marLeft w:val="0"/>
      <w:marRight w:val="0"/>
      <w:marTop w:val="0"/>
      <w:marBottom w:val="0"/>
      <w:divBdr>
        <w:top w:val="none" w:sz="0" w:space="0" w:color="auto"/>
        <w:left w:val="none" w:sz="0" w:space="0" w:color="auto"/>
        <w:bottom w:val="none" w:sz="0" w:space="0" w:color="auto"/>
        <w:right w:val="none" w:sz="0" w:space="0" w:color="auto"/>
      </w:divBdr>
    </w:div>
    <w:div w:id="1980377665">
      <w:bodyDiv w:val="1"/>
      <w:marLeft w:val="0"/>
      <w:marRight w:val="0"/>
      <w:marTop w:val="0"/>
      <w:marBottom w:val="0"/>
      <w:divBdr>
        <w:top w:val="none" w:sz="0" w:space="0" w:color="auto"/>
        <w:left w:val="none" w:sz="0" w:space="0" w:color="auto"/>
        <w:bottom w:val="none" w:sz="0" w:space="0" w:color="auto"/>
        <w:right w:val="none" w:sz="0" w:space="0" w:color="auto"/>
      </w:divBdr>
    </w:div>
    <w:div w:id="2044549449">
      <w:bodyDiv w:val="1"/>
      <w:marLeft w:val="0"/>
      <w:marRight w:val="0"/>
      <w:marTop w:val="0"/>
      <w:marBottom w:val="0"/>
      <w:divBdr>
        <w:top w:val="none" w:sz="0" w:space="0" w:color="auto"/>
        <w:left w:val="none" w:sz="0" w:space="0" w:color="auto"/>
        <w:bottom w:val="none" w:sz="0" w:space="0" w:color="auto"/>
        <w:right w:val="none" w:sz="0" w:space="0" w:color="auto"/>
      </w:divBdr>
    </w:div>
    <w:div w:id="2058968677">
      <w:bodyDiv w:val="1"/>
      <w:marLeft w:val="0"/>
      <w:marRight w:val="0"/>
      <w:marTop w:val="0"/>
      <w:marBottom w:val="0"/>
      <w:divBdr>
        <w:top w:val="none" w:sz="0" w:space="0" w:color="auto"/>
        <w:left w:val="none" w:sz="0" w:space="0" w:color="auto"/>
        <w:bottom w:val="none" w:sz="0" w:space="0" w:color="auto"/>
        <w:right w:val="none" w:sz="0" w:space="0" w:color="auto"/>
      </w:divBdr>
    </w:div>
    <w:div w:id="2065595035">
      <w:bodyDiv w:val="1"/>
      <w:marLeft w:val="0"/>
      <w:marRight w:val="0"/>
      <w:marTop w:val="0"/>
      <w:marBottom w:val="0"/>
      <w:divBdr>
        <w:top w:val="none" w:sz="0" w:space="0" w:color="auto"/>
        <w:left w:val="none" w:sz="0" w:space="0" w:color="auto"/>
        <w:bottom w:val="none" w:sz="0" w:space="0" w:color="auto"/>
        <w:right w:val="none" w:sz="0" w:space="0" w:color="auto"/>
      </w:divBdr>
    </w:div>
    <w:div w:id="2065790582">
      <w:bodyDiv w:val="1"/>
      <w:marLeft w:val="0"/>
      <w:marRight w:val="0"/>
      <w:marTop w:val="0"/>
      <w:marBottom w:val="0"/>
      <w:divBdr>
        <w:top w:val="none" w:sz="0" w:space="0" w:color="auto"/>
        <w:left w:val="none" w:sz="0" w:space="0" w:color="auto"/>
        <w:bottom w:val="none" w:sz="0" w:space="0" w:color="auto"/>
        <w:right w:val="none" w:sz="0" w:space="0" w:color="auto"/>
      </w:divBdr>
    </w:div>
    <w:div w:id="2078631443">
      <w:bodyDiv w:val="1"/>
      <w:marLeft w:val="0"/>
      <w:marRight w:val="0"/>
      <w:marTop w:val="0"/>
      <w:marBottom w:val="0"/>
      <w:divBdr>
        <w:top w:val="none" w:sz="0" w:space="0" w:color="auto"/>
        <w:left w:val="none" w:sz="0" w:space="0" w:color="auto"/>
        <w:bottom w:val="none" w:sz="0" w:space="0" w:color="auto"/>
        <w:right w:val="none" w:sz="0" w:space="0" w:color="auto"/>
      </w:divBdr>
    </w:div>
    <w:div w:id="2103910397">
      <w:bodyDiv w:val="1"/>
      <w:marLeft w:val="0"/>
      <w:marRight w:val="0"/>
      <w:marTop w:val="0"/>
      <w:marBottom w:val="0"/>
      <w:divBdr>
        <w:top w:val="none" w:sz="0" w:space="0" w:color="auto"/>
        <w:left w:val="none" w:sz="0" w:space="0" w:color="auto"/>
        <w:bottom w:val="none" w:sz="0" w:space="0" w:color="auto"/>
        <w:right w:val="none" w:sz="0" w:space="0" w:color="auto"/>
      </w:divBdr>
      <w:divsChild>
        <w:div w:id="978729147">
          <w:marLeft w:val="0"/>
          <w:marRight w:val="0"/>
          <w:marTop w:val="0"/>
          <w:marBottom w:val="0"/>
          <w:divBdr>
            <w:top w:val="none" w:sz="0" w:space="0" w:color="auto"/>
            <w:left w:val="none" w:sz="0" w:space="0" w:color="auto"/>
            <w:bottom w:val="none" w:sz="0" w:space="0" w:color="auto"/>
            <w:right w:val="none" w:sz="0" w:space="0" w:color="auto"/>
          </w:divBdr>
          <w:divsChild>
            <w:div w:id="729353295">
              <w:marLeft w:val="0"/>
              <w:marRight w:val="0"/>
              <w:marTop w:val="0"/>
              <w:marBottom w:val="0"/>
              <w:divBdr>
                <w:top w:val="none" w:sz="0" w:space="0" w:color="auto"/>
                <w:left w:val="none" w:sz="0" w:space="0" w:color="auto"/>
                <w:bottom w:val="none" w:sz="0" w:space="0" w:color="auto"/>
                <w:right w:val="none" w:sz="0" w:space="0" w:color="auto"/>
              </w:divBdr>
              <w:divsChild>
                <w:div w:id="471168696">
                  <w:marLeft w:val="0"/>
                  <w:marRight w:val="0"/>
                  <w:marTop w:val="0"/>
                  <w:marBottom w:val="0"/>
                  <w:divBdr>
                    <w:top w:val="none" w:sz="0" w:space="0" w:color="auto"/>
                    <w:left w:val="none" w:sz="0" w:space="0" w:color="auto"/>
                    <w:bottom w:val="none" w:sz="0" w:space="0" w:color="auto"/>
                    <w:right w:val="none" w:sz="0" w:space="0" w:color="auto"/>
                  </w:divBdr>
                  <w:divsChild>
                    <w:div w:id="1616790980">
                      <w:marLeft w:val="0"/>
                      <w:marRight w:val="0"/>
                      <w:marTop w:val="0"/>
                      <w:marBottom w:val="0"/>
                      <w:divBdr>
                        <w:top w:val="none" w:sz="0" w:space="0" w:color="auto"/>
                        <w:left w:val="none" w:sz="0" w:space="0" w:color="auto"/>
                        <w:bottom w:val="none" w:sz="0" w:space="0" w:color="auto"/>
                        <w:right w:val="none" w:sz="0" w:space="0" w:color="auto"/>
                      </w:divBdr>
                      <w:divsChild>
                        <w:div w:id="19200192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64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BA50B0AEA50A408B1CCE59390A0063" ma:contentTypeVersion="12" ma:contentTypeDescription="Create a new document." ma:contentTypeScope="" ma:versionID="1b4f7c435f0aecb6e9942625625dcece">
  <xsd:schema xmlns:xsd="http://www.w3.org/2001/XMLSchema" xmlns:xs="http://www.w3.org/2001/XMLSchema" xmlns:p="http://schemas.microsoft.com/office/2006/metadata/properties" xmlns:ns3="f208d9d4-ab53-4bb8-846a-65b2416c60b1" xmlns:ns4="67b068b7-2e2b-4052-af03-84bdb19f149d" targetNamespace="http://schemas.microsoft.com/office/2006/metadata/properties" ma:root="true" ma:fieldsID="748332dacf489b96c51f1d274a9a3113" ns3:_="" ns4:_="">
    <xsd:import namespace="f208d9d4-ab53-4bb8-846a-65b2416c60b1"/>
    <xsd:import namespace="67b068b7-2e2b-4052-af03-84bdb19f149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08d9d4-ab53-4bb8-846a-65b2416c60b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b068b7-2e2b-4052-af03-84bdb19f149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D8F0B-1589-4F1E-A502-529AF0CE18AB}">
  <ds:schemaRefs>
    <ds:schemaRef ds:uri="http://schemas.microsoft.com/office/2006/documentManagement/types"/>
    <ds:schemaRef ds:uri="http://schemas.microsoft.com/office/2006/metadata/properties"/>
    <ds:schemaRef ds:uri="http://schemas.microsoft.com/office/infopath/2007/PartnerControls"/>
    <ds:schemaRef ds:uri="http://purl.org/dc/terms/"/>
    <ds:schemaRef ds:uri="http://www.w3.org/XML/1998/namespace"/>
    <ds:schemaRef ds:uri="f208d9d4-ab53-4bb8-846a-65b2416c60b1"/>
    <ds:schemaRef ds:uri="67b068b7-2e2b-4052-af03-84bdb19f149d"/>
    <ds:schemaRef ds:uri="http://purl.org/dc/elements/1.1/"/>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04D336CE-5412-44D0-9D5A-96E369644FDB}">
  <ds:schemaRefs>
    <ds:schemaRef ds:uri="http://schemas.microsoft.com/sharepoint/v3/contenttype/forms"/>
  </ds:schemaRefs>
</ds:datastoreItem>
</file>

<file path=customXml/itemProps3.xml><?xml version="1.0" encoding="utf-8"?>
<ds:datastoreItem xmlns:ds="http://schemas.openxmlformats.org/officeDocument/2006/customXml" ds:itemID="{E30CFB74-F433-4F8C-82F9-CF352C18A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08d9d4-ab53-4bb8-846a-65b2416c60b1"/>
    <ds:schemaRef ds:uri="67b068b7-2e2b-4052-af03-84bdb19f14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FEED4C-AA05-44CC-BC05-8551D1CA5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2547</Words>
  <Characters>13431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THE HIGHLAND COUNCIL</vt:lpstr>
    </vt:vector>
  </TitlesOfParts>
  <Company>.</Company>
  <LinksUpToDate>false</LinksUpToDate>
  <CharactersWithSpaces>15947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HIGHLAND COUNCIL</dc:title>
  <dc:creator>donnamd</dc:creator>
  <cp:lastModifiedBy>Jane Maclennan</cp:lastModifiedBy>
  <cp:revision>6</cp:revision>
  <cp:lastPrinted>2018-08-17T11:00:00Z</cp:lastPrinted>
  <dcterms:created xsi:type="dcterms:W3CDTF">2020-06-02T13:03:00Z</dcterms:created>
  <dcterms:modified xsi:type="dcterms:W3CDTF">2020-06-05T13:48:00Z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0x01010045BA50B0AEA50A408B1CCE59390A0063</vt:lpwstr>
  </property>
</Properties>
</file>