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629"/>
        <w:gridCol w:w="2835"/>
      </w:tblGrid>
      <w:tr w:rsidR="00B84929" w:rsidRPr="0089449E" w14:paraId="568A6F17" w14:textId="77777777" w:rsidTr="00DE1E6C">
        <w:trPr>
          <w:cantSplit/>
          <w:trHeight w:val="993"/>
        </w:trPr>
        <w:tc>
          <w:tcPr>
            <w:tcW w:w="6629" w:type="dxa"/>
          </w:tcPr>
          <w:p w14:paraId="45B88BAC" w14:textId="77777777"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14:paraId="53D31F3F" w14:textId="77777777"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14:paraId="6562A4F4" w14:textId="77777777" w:rsidR="002B7DC4" w:rsidRPr="0089449E" w:rsidRDefault="00996BED" w:rsidP="002B7DC4">
            <w:pPr>
              <w:pStyle w:val="BodyText"/>
              <w:jc w:val="left"/>
              <w:rPr>
                <w:rFonts w:ascii="Arial" w:hAnsi="Arial" w:cs="Arial"/>
                <w:szCs w:val="24"/>
              </w:rPr>
            </w:pPr>
            <w:r>
              <w:rPr>
                <w:rFonts w:ascii="Arial" w:hAnsi="Arial" w:cs="Arial"/>
                <w:szCs w:val="24"/>
              </w:rPr>
              <w:t>10 December</w:t>
            </w:r>
            <w:r w:rsidR="00257BA7">
              <w:rPr>
                <w:rFonts w:ascii="Arial" w:hAnsi="Arial" w:cs="Arial"/>
                <w:szCs w:val="24"/>
              </w:rPr>
              <w:t xml:space="preserve"> 2020</w:t>
            </w:r>
          </w:p>
          <w:p w14:paraId="145F0227" w14:textId="77777777"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2835" w:type="dxa"/>
          </w:tcPr>
          <w:p w14:paraId="1BE26005" w14:textId="77777777" w:rsidR="00B84929" w:rsidRPr="0089449E" w:rsidRDefault="00B84929" w:rsidP="00615DE0">
            <w:pPr>
              <w:rPr>
                <w:rFonts w:ascii="Arial" w:hAnsi="Arial" w:cs="Arial"/>
                <w:szCs w:val="24"/>
              </w:rPr>
            </w:pPr>
            <w:r w:rsidRPr="0089449E">
              <w:rPr>
                <w:rFonts w:ascii="Arial" w:hAnsi="Arial" w:cs="Arial"/>
                <w:szCs w:val="24"/>
              </w:rPr>
              <w:t>AGENDA ITEM</w:t>
            </w:r>
            <w:r w:rsidR="00306BAA">
              <w:rPr>
                <w:rFonts w:ascii="Arial" w:hAnsi="Arial" w:cs="Arial"/>
                <w:szCs w:val="24"/>
              </w:rPr>
              <w:t xml:space="preserve"> </w:t>
            </w:r>
            <w:r w:rsidR="00615DE0">
              <w:rPr>
                <w:rFonts w:ascii="Arial" w:hAnsi="Arial" w:cs="Arial"/>
                <w:szCs w:val="24"/>
              </w:rPr>
              <w:t xml:space="preserve"> </w:t>
            </w:r>
            <w:r w:rsidRPr="0089449E">
              <w:rPr>
                <w:rFonts w:ascii="Arial" w:hAnsi="Arial" w:cs="Arial"/>
                <w:szCs w:val="24"/>
              </w:rPr>
              <w:t xml:space="preserve">    REPORT No HLH</w:t>
            </w:r>
            <w:r w:rsidR="00615DE0">
              <w:rPr>
                <w:rFonts w:ascii="Arial" w:hAnsi="Arial" w:cs="Arial"/>
                <w:szCs w:val="24"/>
              </w:rPr>
              <w:t xml:space="preserve">  </w:t>
            </w:r>
            <w:r w:rsidRPr="0089449E">
              <w:rPr>
                <w:rFonts w:ascii="Arial" w:hAnsi="Arial" w:cs="Arial"/>
                <w:szCs w:val="24"/>
              </w:rPr>
              <w:t>/</w:t>
            </w:r>
            <w:r w:rsidR="00257BA7">
              <w:rPr>
                <w:rFonts w:ascii="Arial" w:hAnsi="Arial" w:cs="Arial"/>
                <w:szCs w:val="24"/>
              </w:rPr>
              <w:t>20</w:t>
            </w:r>
          </w:p>
        </w:tc>
      </w:tr>
    </w:tbl>
    <w:p w14:paraId="17D4A5F1" w14:textId="77777777" w:rsidR="0039450A" w:rsidRPr="0089449E" w:rsidRDefault="00AE0E89" w:rsidP="00DE1E6C">
      <w:pPr>
        <w:pStyle w:val="Heading2"/>
        <w:rPr>
          <w:rFonts w:ascii="Arial" w:hAnsi="Arial" w:cs="Arial"/>
          <w:b/>
          <w:szCs w:val="24"/>
          <w:u w:val="none"/>
        </w:rPr>
      </w:pPr>
      <w:r>
        <w:rPr>
          <w:rFonts w:ascii="Arial" w:hAnsi="Arial" w:cs="Arial"/>
          <w:b/>
          <w:caps/>
          <w:szCs w:val="24"/>
          <w:u w:val="none"/>
        </w:rPr>
        <w:t>CHair/chIEF EXECUTIVE’S</w:t>
      </w:r>
      <w:r w:rsidR="00CE6A5E">
        <w:rPr>
          <w:rFonts w:ascii="Arial" w:hAnsi="Arial" w:cs="Arial"/>
          <w:b/>
          <w:caps/>
          <w:szCs w:val="24"/>
          <w:u w:val="none"/>
        </w:rPr>
        <w:t xml:space="preserve"> UPDATES</w:t>
      </w:r>
      <w:r w:rsidR="00050D22">
        <w:rPr>
          <w:rFonts w:ascii="Arial" w:hAnsi="Arial" w:cs="Arial"/>
          <w:b/>
          <w:caps/>
          <w:szCs w:val="24"/>
          <w:u w:val="none"/>
        </w:rPr>
        <w:t xml:space="preserve"> </w:t>
      </w:r>
      <w:r w:rsidR="00DE1E6C" w:rsidRPr="0089449E">
        <w:rPr>
          <w:rFonts w:ascii="Arial" w:hAnsi="Arial" w:cs="Arial"/>
          <w:b/>
          <w:szCs w:val="24"/>
          <w:u w:val="none"/>
        </w:rPr>
        <w:t>-</w:t>
      </w:r>
      <w:r w:rsidR="00050D22">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14:paraId="53EEC732" w14:textId="77777777" w:rsidR="0039450A" w:rsidRPr="0089449E" w:rsidRDefault="0039450A" w:rsidP="00416BFF">
      <w:pPr>
        <w:jc w:val="both"/>
        <w:rPr>
          <w:rFonts w:ascii="Arial" w:hAnsi="Arial" w:cs="Arial"/>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652"/>
      </w:tblGrid>
      <w:tr w:rsidR="0039450A" w:rsidRPr="0089449E" w14:paraId="04FEA71B" w14:textId="77777777" w:rsidTr="009A5F85">
        <w:trPr>
          <w:cantSplit/>
        </w:trPr>
        <w:tc>
          <w:tcPr>
            <w:tcW w:w="9464" w:type="dxa"/>
            <w:gridSpan w:val="2"/>
          </w:tcPr>
          <w:p w14:paraId="0A5CAF4C" w14:textId="77777777" w:rsidR="0039450A" w:rsidRPr="0089449E" w:rsidRDefault="002B7DC4" w:rsidP="00416BFF">
            <w:pPr>
              <w:pStyle w:val="Heading2"/>
              <w:rPr>
                <w:rFonts w:ascii="Arial" w:hAnsi="Arial" w:cs="Arial"/>
                <w:b/>
                <w:szCs w:val="24"/>
                <w:u w:val="none"/>
              </w:rPr>
            </w:pPr>
            <w:r w:rsidRPr="0089449E">
              <w:rPr>
                <w:rFonts w:ascii="Arial" w:hAnsi="Arial" w:cs="Arial"/>
                <w:b/>
                <w:szCs w:val="24"/>
                <w:u w:val="none"/>
              </w:rPr>
              <w:t>Summary</w:t>
            </w:r>
          </w:p>
          <w:p w14:paraId="20BD99D4" w14:textId="77777777" w:rsidR="002B7DC4" w:rsidRPr="0089449E" w:rsidRDefault="002B7DC4" w:rsidP="002B7DC4">
            <w:pPr>
              <w:rPr>
                <w:rFonts w:ascii="Arial" w:hAnsi="Arial" w:cs="Arial"/>
              </w:rPr>
            </w:pPr>
          </w:p>
          <w:p w14:paraId="24C31BBB" w14:textId="77777777" w:rsidR="005C13D9" w:rsidRPr="00B12C74" w:rsidRDefault="00050D22" w:rsidP="00050D22">
            <w:pPr>
              <w:jc w:val="both"/>
              <w:rPr>
                <w:rFonts w:ascii="Arial" w:hAnsi="Arial" w:cs="Arial"/>
                <w:szCs w:val="24"/>
              </w:rPr>
            </w:pPr>
            <w:r w:rsidRPr="008711E9">
              <w:rPr>
                <w:rFonts w:ascii="Arial" w:hAnsi="Arial" w:cs="Arial"/>
                <w:szCs w:val="24"/>
              </w:rPr>
              <w:t xml:space="preserve">The purpose of this report is to </w:t>
            </w:r>
            <w:r w:rsidR="00AE0E89">
              <w:rPr>
                <w:rFonts w:ascii="Arial" w:hAnsi="Arial" w:cs="Arial"/>
                <w:szCs w:val="24"/>
              </w:rPr>
              <w:t xml:space="preserve">provide Directors with information and the opportunity </w:t>
            </w:r>
            <w:r w:rsidR="00AE0E89" w:rsidRPr="00B12C74">
              <w:rPr>
                <w:rFonts w:ascii="Arial" w:hAnsi="Arial" w:cs="Arial"/>
                <w:szCs w:val="24"/>
              </w:rPr>
              <w:t>to discuss issues affecting HLH and its work at an early stage.</w:t>
            </w:r>
          </w:p>
          <w:p w14:paraId="6C0B93DF" w14:textId="77777777" w:rsidR="00790E27" w:rsidRPr="00B12C74" w:rsidRDefault="00790E27" w:rsidP="00050D22">
            <w:pPr>
              <w:jc w:val="both"/>
              <w:rPr>
                <w:rFonts w:ascii="Arial" w:hAnsi="Arial" w:cs="Arial"/>
                <w:szCs w:val="24"/>
              </w:rPr>
            </w:pPr>
          </w:p>
          <w:p w14:paraId="4822BC8B" w14:textId="389E8BCE" w:rsidR="007F1B27" w:rsidRPr="00762379" w:rsidRDefault="00690507" w:rsidP="00762379">
            <w:pPr>
              <w:jc w:val="both"/>
              <w:rPr>
                <w:rFonts w:ascii="Arial" w:hAnsi="Arial" w:cs="Arial"/>
                <w:szCs w:val="24"/>
              </w:rPr>
            </w:pPr>
            <w:r>
              <w:rPr>
                <w:rFonts w:ascii="Arial" w:hAnsi="Arial" w:cs="Arial"/>
                <w:szCs w:val="24"/>
              </w:rPr>
              <w:t>It is recommended Directors</w:t>
            </w:r>
            <w:r w:rsidR="00762379">
              <w:rPr>
                <w:rFonts w:ascii="Arial" w:hAnsi="Arial" w:cs="Arial"/>
                <w:szCs w:val="24"/>
              </w:rPr>
              <w:t xml:space="preserve"> </w:t>
            </w:r>
            <w:r w:rsidR="0045226F" w:rsidRPr="00762379">
              <w:rPr>
                <w:rFonts w:ascii="Arial" w:hAnsi="Arial" w:cs="Arial"/>
                <w:szCs w:val="24"/>
              </w:rPr>
              <w:t>comment on and note the updates</w:t>
            </w:r>
            <w:r w:rsidR="00762379">
              <w:rPr>
                <w:rFonts w:ascii="Arial" w:hAnsi="Arial" w:cs="Arial"/>
                <w:szCs w:val="24"/>
              </w:rPr>
              <w:t>.</w:t>
            </w:r>
          </w:p>
          <w:p w14:paraId="77A80CC4" w14:textId="3566258B" w:rsidR="00690507" w:rsidRPr="00762379" w:rsidRDefault="00690507" w:rsidP="00762379">
            <w:pPr>
              <w:jc w:val="both"/>
              <w:rPr>
                <w:rFonts w:ascii="Arial" w:hAnsi="Arial" w:cs="Arial"/>
                <w:szCs w:val="24"/>
              </w:rPr>
            </w:pPr>
          </w:p>
        </w:tc>
      </w:tr>
      <w:tr w:rsidR="00A53534" w:rsidRPr="0089449E" w14:paraId="3341E083"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703F6128" w14:textId="77777777" w:rsidR="00A53534" w:rsidRPr="0089449E" w:rsidRDefault="008B4D54" w:rsidP="006D4204">
            <w:pPr>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47" w:type="dxa"/>
          </w:tcPr>
          <w:p w14:paraId="4A7F3DAE" w14:textId="77777777" w:rsidR="00A53534" w:rsidRPr="0089449E" w:rsidRDefault="00A53534" w:rsidP="006D4204">
            <w:pPr>
              <w:rPr>
                <w:rFonts w:ascii="Arial" w:hAnsi="Arial" w:cs="Arial"/>
                <w:b/>
              </w:rPr>
            </w:pPr>
            <w:r w:rsidRPr="0089449E">
              <w:rPr>
                <w:rFonts w:ascii="Arial" w:hAnsi="Arial" w:cs="Arial"/>
                <w:b/>
              </w:rPr>
              <w:t>Business Plan Contribution</w:t>
            </w:r>
          </w:p>
          <w:p w14:paraId="0E6E29AF" w14:textId="77777777" w:rsidR="00A53534" w:rsidRPr="0089449E" w:rsidRDefault="00A53534" w:rsidP="006D4204">
            <w:pPr>
              <w:rPr>
                <w:rFonts w:ascii="Arial" w:hAnsi="Arial" w:cs="Arial"/>
                <w:szCs w:val="24"/>
              </w:rPr>
            </w:pPr>
          </w:p>
        </w:tc>
      </w:tr>
      <w:tr w:rsidR="00A53534" w:rsidRPr="0089449E" w14:paraId="07DE4C72"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014ED570" w14:textId="77777777" w:rsidR="00A53534" w:rsidRPr="007161EF" w:rsidRDefault="008B4D54" w:rsidP="006D4204">
            <w:pPr>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47" w:type="dxa"/>
          </w:tcPr>
          <w:p w14:paraId="485EE6FB" w14:textId="77777777" w:rsidR="00B26FE3" w:rsidRDefault="00B26FE3" w:rsidP="00540480">
            <w:pPr>
              <w:jc w:val="both"/>
              <w:rPr>
                <w:rFonts w:ascii="Arial" w:hAnsi="Arial" w:cs="Arial"/>
              </w:rPr>
            </w:pPr>
            <w:r>
              <w:rPr>
                <w:rFonts w:ascii="Arial" w:hAnsi="Arial" w:cs="Arial"/>
              </w:rPr>
              <w:t xml:space="preserve">This report supports the </w:t>
            </w:r>
            <w:r w:rsidR="004973CD">
              <w:rPr>
                <w:rFonts w:ascii="Arial" w:hAnsi="Arial" w:cs="Arial"/>
              </w:rPr>
              <w:t xml:space="preserve">highlighted </w:t>
            </w:r>
            <w:r>
              <w:rPr>
                <w:rFonts w:ascii="Arial" w:hAnsi="Arial" w:cs="Arial"/>
              </w:rPr>
              <w:t>Business Outcomes from the High Life Highland (HLH) Business Plan:</w:t>
            </w:r>
          </w:p>
          <w:p w14:paraId="7BCFF4FC" w14:textId="77777777" w:rsidR="00B26FE3" w:rsidRDefault="00B26FE3" w:rsidP="00540480">
            <w:pPr>
              <w:jc w:val="both"/>
              <w:rPr>
                <w:rFonts w:ascii="Arial" w:hAnsi="Arial" w:cs="Arial"/>
              </w:rPr>
            </w:pPr>
          </w:p>
          <w:p w14:paraId="73F66FFD" w14:textId="77777777" w:rsidR="004A104C" w:rsidRDefault="004A104C" w:rsidP="004A104C">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Sustain a high standard of health and safety, and environmental performance</w:t>
            </w:r>
          </w:p>
          <w:p w14:paraId="50333445" w14:textId="77777777"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Implement the Service Delivery Contract with THC</w:t>
            </w:r>
          </w:p>
          <w:p w14:paraId="5769228B" w14:textId="77777777"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Improving customer engagement and satisfaction</w:t>
            </w:r>
          </w:p>
          <w:p w14:paraId="775F026A" w14:textId="77777777"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Improving staff engagement and satisfaction</w:t>
            </w:r>
          </w:p>
          <w:p w14:paraId="12EC8722" w14:textId="77777777"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Enhance the positive charity image</w:t>
            </w:r>
          </w:p>
          <w:p w14:paraId="1708E91D" w14:textId="77777777" w:rsidR="004A104C" w:rsidRDefault="004A104C" w:rsidP="004A104C">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Be a trusted and effective partner</w:t>
            </w:r>
          </w:p>
          <w:p w14:paraId="4BE3B522" w14:textId="77777777" w:rsidR="004A104C" w:rsidRDefault="004A104C" w:rsidP="004A104C">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Achieve sustainable growth across the organisation</w:t>
            </w:r>
          </w:p>
          <w:p w14:paraId="79A8AAA5" w14:textId="77777777"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Develop health and wellbeing across Highland communities</w:t>
            </w:r>
          </w:p>
          <w:p w14:paraId="56A77F37" w14:textId="77777777"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Develop and promote the High Life brand</w:t>
            </w:r>
          </w:p>
          <w:p w14:paraId="72C843CF" w14:textId="77777777" w:rsidR="002A11C0" w:rsidRPr="0089449E" w:rsidRDefault="002A11C0" w:rsidP="004A104C">
            <w:pPr>
              <w:pStyle w:val="ListParagraph"/>
              <w:spacing w:after="0" w:line="240" w:lineRule="auto"/>
              <w:ind w:left="819"/>
              <w:jc w:val="both"/>
              <w:rPr>
                <w:rFonts w:ascii="Arial" w:hAnsi="Arial" w:cs="Arial"/>
                <w:b/>
              </w:rPr>
            </w:pPr>
          </w:p>
        </w:tc>
      </w:tr>
      <w:tr w:rsidR="00A53534" w:rsidRPr="0089449E" w14:paraId="6F365E56"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762768C8" w14:textId="77777777" w:rsidR="00A53534" w:rsidRPr="0089449E" w:rsidRDefault="00257BA7" w:rsidP="00416BFF">
            <w:pPr>
              <w:rPr>
                <w:rFonts w:ascii="Arial" w:hAnsi="Arial" w:cs="Arial"/>
                <w:b/>
                <w:szCs w:val="24"/>
              </w:rPr>
            </w:pPr>
            <w:r>
              <w:rPr>
                <w:rFonts w:ascii="Arial" w:hAnsi="Arial" w:cs="Arial"/>
                <w:b/>
                <w:szCs w:val="24"/>
              </w:rPr>
              <w:t>2</w:t>
            </w:r>
            <w:r w:rsidR="008B4D54">
              <w:rPr>
                <w:rFonts w:ascii="Arial" w:hAnsi="Arial" w:cs="Arial"/>
                <w:b/>
                <w:szCs w:val="24"/>
              </w:rPr>
              <w:t>.</w:t>
            </w:r>
          </w:p>
        </w:tc>
        <w:tc>
          <w:tcPr>
            <w:tcW w:w="8647" w:type="dxa"/>
          </w:tcPr>
          <w:p w14:paraId="60EBC9C6" w14:textId="726ECEB9" w:rsidR="00A53534" w:rsidRDefault="00996BED" w:rsidP="002F6788">
            <w:pPr>
              <w:snapToGrid w:val="0"/>
              <w:rPr>
                <w:rFonts w:ascii="Arial" w:hAnsi="Arial" w:cs="Arial"/>
                <w:b/>
              </w:rPr>
            </w:pPr>
            <w:r>
              <w:rPr>
                <w:rFonts w:ascii="Arial" w:hAnsi="Arial" w:cs="Arial"/>
                <w:b/>
              </w:rPr>
              <w:t>Regular Report to THC Education Committee</w:t>
            </w:r>
          </w:p>
          <w:p w14:paraId="50A89A5A" w14:textId="77777777" w:rsidR="00DA5818" w:rsidRPr="0089449E" w:rsidRDefault="00DA5818" w:rsidP="002F6788">
            <w:pPr>
              <w:snapToGrid w:val="0"/>
              <w:rPr>
                <w:rFonts w:ascii="Arial" w:hAnsi="Arial" w:cs="Arial"/>
                <w:szCs w:val="24"/>
              </w:rPr>
            </w:pPr>
          </w:p>
        </w:tc>
      </w:tr>
      <w:tr w:rsidR="00996BED" w:rsidRPr="0089449E" w14:paraId="3F145BD2"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3B3C8FDF" w14:textId="6FD29114" w:rsidR="00762379" w:rsidRPr="00996BED" w:rsidRDefault="00996BED" w:rsidP="00B70F86">
            <w:pPr>
              <w:rPr>
                <w:rFonts w:ascii="Arial" w:hAnsi="Arial" w:cs="Arial"/>
                <w:bCs/>
                <w:szCs w:val="24"/>
              </w:rPr>
            </w:pPr>
            <w:r>
              <w:rPr>
                <w:rFonts w:ascii="Arial" w:hAnsi="Arial" w:cs="Arial"/>
                <w:bCs/>
                <w:szCs w:val="24"/>
              </w:rPr>
              <w:t>2.1</w:t>
            </w:r>
          </w:p>
        </w:tc>
        <w:tc>
          <w:tcPr>
            <w:tcW w:w="8647" w:type="dxa"/>
          </w:tcPr>
          <w:p w14:paraId="3E2F601A" w14:textId="6AE891D4" w:rsidR="00762379" w:rsidRDefault="00480058" w:rsidP="00B70F86">
            <w:pPr>
              <w:jc w:val="both"/>
              <w:rPr>
                <w:rFonts w:ascii="Arial" w:hAnsi="Arial" w:cs="Arial"/>
              </w:rPr>
            </w:pPr>
            <w:r>
              <w:rPr>
                <w:rFonts w:ascii="Arial" w:hAnsi="Arial" w:cs="Arial"/>
              </w:rPr>
              <w:t xml:space="preserve">Six monthly reporting </w:t>
            </w:r>
            <w:r w:rsidR="00B70F86">
              <w:rPr>
                <w:rFonts w:ascii="Arial" w:hAnsi="Arial" w:cs="Arial"/>
              </w:rPr>
              <w:t xml:space="preserve">to THC </w:t>
            </w:r>
            <w:r>
              <w:rPr>
                <w:rFonts w:ascii="Arial" w:hAnsi="Arial" w:cs="Arial"/>
              </w:rPr>
              <w:t xml:space="preserve">recommenced with a report to the Education </w:t>
            </w:r>
            <w:r w:rsidR="00B70F86">
              <w:rPr>
                <w:rFonts w:ascii="Arial" w:hAnsi="Arial" w:cs="Arial"/>
              </w:rPr>
              <w:t>Committee</w:t>
            </w:r>
            <w:r>
              <w:rPr>
                <w:rFonts w:ascii="Arial" w:hAnsi="Arial" w:cs="Arial"/>
              </w:rPr>
              <w:t xml:space="preserve"> on 18 November 2020.  </w:t>
            </w:r>
            <w:r w:rsidR="00762379">
              <w:rPr>
                <w:rFonts w:ascii="Arial" w:hAnsi="Arial" w:cs="Arial"/>
              </w:rPr>
              <w:t>Links to the report and the webcast of the meeting are provided in the performance report elsewhere in this agenda.</w:t>
            </w:r>
            <w:r w:rsidR="00301560">
              <w:rPr>
                <w:rFonts w:ascii="Arial" w:hAnsi="Arial" w:cs="Arial"/>
              </w:rPr>
              <w:t xml:space="preserve"> </w:t>
            </w:r>
          </w:p>
          <w:p w14:paraId="1D682306" w14:textId="7C149F47" w:rsidR="00B70F86" w:rsidRPr="00F16D09" w:rsidRDefault="00B70F86" w:rsidP="00B70F86">
            <w:pPr>
              <w:jc w:val="both"/>
              <w:rPr>
                <w:rFonts w:ascii="Arial" w:hAnsi="Arial" w:cs="Arial"/>
              </w:rPr>
            </w:pPr>
          </w:p>
        </w:tc>
      </w:tr>
      <w:tr w:rsidR="00B70F86" w:rsidRPr="0089449E" w14:paraId="27396EDD"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3D0B18EC" w14:textId="6A48B741" w:rsidR="00B70F86" w:rsidRDefault="00B70F86" w:rsidP="00416BFF">
            <w:pPr>
              <w:rPr>
                <w:rFonts w:ascii="Arial" w:hAnsi="Arial" w:cs="Arial"/>
                <w:bCs/>
                <w:szCs w:val="24"/>
              </w:rPr>
            </w:pPr>
            <w:r>
              <w:rPr>
                <w:rFonts w:ascii="Arial" w:hAnsi="Arial" w:cs="Arial"/>
                <w:bCs/>
                <w:szCs w:val="24"/>
              </w:rPr>
              <w:t>2.2</w:t>
            </w:r>
          </w:p>
        </w:tc>
        <w:tc>
          <w:tcPr>
            <w:tcW w:w="8647" w:type="dxa"/>
          </w:tcPr>
          <w:p w14:paraId="6EA43112" w14:textId="521DA0D5" w:rsidR="00B70F86" w:rsidRDefault="00B70F86" w:rsidP="00762379">
            <w:pPr>
              <w:jc w:val="both"/>
              <w:rPr>
                <w:rFonts w:ascii="Arial" w:hAnsi="Arial" w:cs="Arial"/>
              </w:rPr>
            </w:pPr>
            <w:r>
              <w:rPr>
                <w:rFonts w:ascii="Arial" w:hAnsi="Arial" w:cs="Arial"/>
              </w:rPr>
              <w:t xml:space="preserve">The report provided an update on governance, including HLH’s financial position, the actions which HLH took to improve its in-year performance and </w:t>
            </w:r>
            <w:r w:rsidR="00C81D7B">
              <w:rPr>
                <w:rFonts w:ascii="Arial" w:hAnsi="Arial" w:cs="Arial"/>
              </w:rPr>
              <w:t xml:space="preserve">the </w:t>
            </w:r>
            <w:r>
              <w:rPr>
                <w:rFonts w:ascii="Arial" w:hAnsi="Arial" w:cs="Arial"/>
              </w:rPr>
              <w:t xml:space="preserve">challenges </w:t>
            </w:r>
            <w:r w:rsidR="00C81D7B">
              <w:rPr>
                <w:rFonts w:ascii="Arial" w:hAnsi="Arial" w:cs="Arial"/>
              </w:rPr>
              <w:t xml:space="preserve">expected </w:t>
            </w:r>
            <w:r>
              <w:rPr>
                <w:rFonts w:ascii="Arial" w:hAnsi="Arial" w:cs="Arial"/>
              </w:rPr>
              <w:t xml:space="preserve">next year. </w:t>
            </w:r>
          </w:p>
          <w:p w14:paraId="6DC7DB6A" w14:textId="4F8CFBC9" w:rsidR="00104AC6" w:rsidRDefault="00104AC6" w:rsidP="00762379">
            <w:pPr>
              <w:jc w:val="both"/>
              <w:rPr>
                <w:rFonts w:ascii="Arial" w:hAnsi="Arial" w:cs="Arial"/>
              </w:rPr>
            </w:pPr>
          </w:p>
        </w:tc>
      </w:tr>
      <w:tr w:rsidR="00B70F86" w:rsidRPr="0089449E" w14:paraId="2432CB6C"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2D172658" w14:textId="7E874BB4" w:rsidR="00B70F86" w:rsidRDefault="00104AC6" w:rsidP="00416BFF">
            <w:pPr>
              <w:rPr>
                <w:rFonts w:ascii="Arial" w:hAnsi="Arial" w:cs="Arial"/>
                <w:bCs/>
                <w:szCs w:val="24"/>
              </w:rPr>
            </w:pPr>
            <w:r>
              <w:rPr>
                <w:rFonts w:ascii="Arial" w:hAnsi="Arial" w:cs="Arial"/>
                <w:bCs/>
                <w:szCs w:val="24"/>
              </w:rPr>
              <w:t>2.3</w:t>
            </w:r>
          </w:p>
        </w:tc>
        <w:tc>
          <w:tcPr>
            <w:tcW w:w="8647" w:type="dxa"/>
          </w:tcPr>
          <w:p w14:paraId="30872697" w14:textId="5E78B667" w:rsidR="00104AC6" w:rsidRDefault="00104AC6" w:rsidP="00762379">
            <w:pPr>
              <w:jc w:val="both"/>
              <w:rPr>
                <w:rFonts w:ascii="Arial" w:hAnsi="Arial" w:cs="Arial"/>
              </w:rPr>
            </w:pPr>
            <w:r>
              <w:rPr>
                <w:rFonts w:ascii="Arial" w:hAnsi="Arial" w:cs="Arial"/>
              </w:rPr>
              <w:t>The contribution that HLH staff made to THC’s welfare resilience as volunteers was positively received, as were the efforts made to continue the targeted work to support vulnerable adults and young people through the adult learning and youth work teams. The switch to and growth of on-line services to support schools through the music tuition and sports teams</w:t>
            </w:r>
            <w:r w:rsidR="00C81D7B">
              <w:rPr>
                <w:rFonts w:ascii="Arial" w:hAnsi="Arial" w:cs="Arial"/>
              </w:rPr>
              <w:t>,</w:t>
            </w:r>
            <w:r>
              <w:rPr>
                <w:rFonts w:ascii="Arial" w:hAnsi="Arial" w:cs="Arial"/>
              </w:rPr>
              <w:t xml:space="preserve"> as well as services to the wider public through the on-line activities and services provided by the archives, leisure, libraries, museums, and sport teams</w:t>
            </w:r>
            <w:r w:rsidR="00C81D7B">
              <w:rPr>
                <w:rFonts w:ascii="Arial" w:hAnsi="Arial" w:cs="Arial"/>
              </w:rPr>
              <w:t xml:space="preserve"> was highlighted</w:t>
            </w:r>
            <w:r>
              <w:rPr>
                <w:rFonts w:ascii="Arial" w:hAnsi="Arial" w:cs="Arial"/>
              </w:rPr>
              <w:t xml:space="preserve">. </w:t>
            </w:r>
          </w:p>
          <w:p w14:paraId="6C26B676" w14:textId="7FBA7E2B" w:rsidR="00B70F86" w:rsidRDefault="00104AC6" w:rsidP="00762379">
            <w:pPr>
              <w:jc w:val="both"/>
              <w:rPr>
                <w:rFonts w:ascii="Arial" w:hAnsi="Arial" w:cs="Arial"/>
              </w:rPr>
            </w:pPr>
            <w:r>
              <w:rPr>
                <w:rFonts w:ascii="Arial" w:hAnsi="Arial" w:cs="Arial"/>
              </w:rPr>
              <w:t xml:space="preserve"> </w:t>
            </w:r>
          </w:p>
        </w:tc>
      </w:tr>
      <w:tr w:rsidR="00B70F86" w:rsidRPr="0089449E" w14:paraId="71101E18"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3EEED262" w14:textId="16B7321B" w:rsidR="00B70F86" w:rsidRDefault="00104AC6" w:rsidP="00416BFF">
            <w:pPr>
              <w:rPr>
                <w:rFonts w:ascii="Arial" w:hAnsi="Arial" w:cs="Arial"/>
                <w:bCs/>
                <w:szCs w:val="24"/>
              </w:rPr>
            </w:pPr>
            <w:r>
              <w:rPr>
                <w:rFonts w:ascii="Arial" w:hAnsi="Arial" w:cs="Arial"/>
                <w:bCs/>
                <w:szCs w:val="24"/>
              </w:rPr>
              <w:t>2.4</w:t>
            </w:r>
          </w:p>
        </w:tc>
        <w:tc>
          <w:tcPr>
            <w:tcW w:w="8647" w:type="dxa"/>
          </w:tcPr>
          <w:p w14:paraId="719CA754" w14:textId="77777777" w:rsidR="00C81D7B" w:rsidRDefault="00C81D7B" w:rsidP="00762379">
            <w:pPr>
              <w:jc w:val="both"/>
              <w:rPr>
                <w:rFonts w:ascii="Arial" w:hAnsi="Arial" w:cs="Arial"/>
              </w:rPr>
            </w:pPr>
            <w:r>
              <w:rPr>
                <w:rFonts w:ascii="Arial" w:hAnsi="Arial" w:cs="Arial"/>
              </w:rPr>
              <w:t xml:space="preserve">Summaries of the recovery work of all of the HLH services were provided and well received. An area of work is highlighted in more detail in each progress report and this time round the focus was the partnership with </w:t>
            </w:r>
            <w:proofErr w:type="spellStart"/>
            <w:r w:rsidRPr="00C81D7B">
              <w:rPr>
                <w:rFonts w:ascii="Arial" w:hAnsi="Arial" w:cs="Arial"/>
                <w:b/>
                <w:bCs/>
              </w:rPr>
              <w:t>sport</w:t>
            </w:r>
            <w:r>
              <w:rPr>
                <w:rFonts w:ascii="Arial" w:hAnsi="Arial" w:cs="Arial"/>
              </w:rPr>
              <w:t>scotland</w:t>
            </w:r>
            <w:proofErr w:type="spellEnd"/>
            <w:r>
              <w:rPr>
                <w:rFonts w:ascii="Arial" w:hAnsi="Arial" w:cs="Arial"/>
              </w:rPr>
              <w:t xml:space="preserve"> as reported to the HLH </w:t>
            </w:r>
            <w:r w:rsidR="009A5F85">
              <w:rPr>
                <w:rFonts w:ascii="Arial" w:hAnsi="Arial" w:cs="Arial"/>
              </w:rPr>
              <w:t>B</w:t>
            </w:r>
            <w:r>
              <w:rPr>
                <w:rFonts w:ascii="Arial" w:hAnsi="Arial" w:cs="Arial"/>
              </w:rPr>
              <w:t xml:space="preserve">oard at its August 2020 meeting. The committee noted the discussions taking place between </w:t>
            </w:r>
            <w:proofErr w:type="spellStart"/>
            <w:r w:rsidRPr="00E31BE1">
              <w:rPr>
                <w:rFonts w:ascii="Arial" w:hAnsi="Arial" w:cs="Arial"/>
                <w:b/>
                <w:bCs/>
              </w:rPr>
              <w:t>sport</w:t>
            </w:r>
            <w:r>
              <w:rPr>
                <w:rFonts w:ascii="Arial" w:hAnsi="Arial" w:cs="Arial"/>
              </w:rPr>
              <w:t>scotland</w:t>
            </w:r>
            <w:proofErr w:type="spellEnd"/>
            <w:r>
              <w:rPr>
                <w:rFonts w:ascii="Arial" w:hAnsi="Arial" w:cs="Arial"/>
              </w:rPr>
              <w:t xml:space="preserve"> and HLH on potential capital investment.</w:t>
            </w:r>
          </w:p>
          <w:p w14:paraId="6B09C67A" w14:textId="772F6E05" w:rsidR="00626CA2" w:rsidRPr="00C81D7B" w:rsidRDefault="00626CA2" w:rsidP="00762379">
            <w:pPr>
              <w:jc w:val="both"/>
              <w:rPr>
                <w:rFonts w:ascii="Arial" w:hAnsi="Arial" w:cs="Arial"/>
              </w:rPr>
            </w:pPr>
          </w:p>
        </w:tc>
      </w:tr>
      <w:tr w:rsidR="00652BC4" w:rsidRPr="0089449E" w14:paraId="6D73B1F0"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0F4F65F2" w14:textId="77777777" w:rsidR="00652BC4" w:rsidRDefault="00996BED" w:rsidP="00CE65B3">
            <w:pPr>
              <w:autoSpaceDE w:val="0"/>
              <w:autoSpaceDN w:val="0"/>
              <w:adjustRightInd w:val="0"/>
              <w:rPr>
                <w:rFonts w:ascii="Arial" w:hAnsi="Arial" w:cs="Arial"/>
                <w:b/>
              </w:rPr>
            </w:pPr>
            <w:r>
              <w:rPr>
                <w:rFonts w:ascii="Arial" w:hAnsi="Arial" w:cs="Arial"/>
                <w:b/>
              </w:rPr>
              <w:lastRenderedPageBreak/>
              <w:t>3.</w:t>
            </w:r>
          </w:p>
          <w:p w14:paraId="3EA7B3CD" w14:textId="77777777" w:rsidR="00496D02" w:rsidRDefault="00496D02" w:rsidP="00CE65B3">
            <w:pPr>
              <w:autoSpaceDE w:val="0"/>
              <w:autoSpaceDN w:val="0"/>
              <w:adjustRightInd w:val="0"/>
              <w:rPr>
                <w:rFonts w:ascii="Arial" w:hAnsi="Arial" w:cs="Arial"/>
                <w:b/>
              </w:rPr>
            </w:pPr>
          </w:p>
          <w:p w14:paraId="604203B2" w14:textId="04F8BB82" w:rsidR="00496D02" w:rsidRPr="009A5F85" w:rsidRDefault="00496D02" w:rsidP="00CE65B3">
            <w:pPr>
              <w:autoSpaceDE w:val="0"/>
              <w:autoSpaceDN w:val="0"/>
              <w:adjustRightInd w:val="0"/>
              <w:rPr>
                <w:rFonts w:ascii="Arial" w:hAnsi="Arial" w:cs="Arial"/>
                <w:bCs/>
              </w:rPr>
            </w:pPr>
            <w:r w:rsidRPr="009A5F85">
              <w:rPr>
                <w:rFonts w:ascii="Arial" w:hAnsi="Arial" w:cs="Arial"/>
                <w:bCs/>
              </w:rPr>
              <w:t>3.1</w:t>
            </w:r>
          </w:p>
        </w:tc>
        <w:tc>
          <w:tcPr>
            <w:tcW w:w="8647" w:type="dxa"/>
          </w:tcPr>
          <w:p w14:paraId="29491C05" w14:textId="531DD811" w:rsidR="00652BC4" w:rsidRDefault="00996BED" w:rsidP="00CE65B3">
            <w:pPr>
              <w:snapToGrid w:val="0"/>
              <w:rPr>
                <w:rFonts w:ascii="Arial" w:hAnsi="Arial" w:cs="Arial"/>
                <w:b/>
              </w:rPr>
            </w:pPr>
            <w:r>
              <w:rPr>
                <w:rFonts w:ascii="Arial" w:hAnsi="Arial" w:cs="Arial"/>
                <w:b/>
              </w:rPr>
              <w:t>Projects</w:t>
            </w:r>
          </w:p>
          <w:p w14:paraId="1351B918" w14:textId="77777777" w:rsidR="00996BED" w:rsidRDefault="00996BED" w:rsidP="00CE65B3">
            <w:pPr>
              <w:snapToGrid w:val="0"/>
              <w:rPr>
                <w:rFonts w:ascii="Arial" w:hAnsi="Arial" w:cs="Arial"/>
                <w:b/>
              </w:rPr>
            </w:pPr>
          </w:p>
          <w:p w14:paraId="6D9F5F8A" w14:textId="77777777" w:rsidR="00496D02" w:rsidRPr="009A5F85" w:rsidRDefault="00496D02" w:rsidP="00CE65B3">
            <w:pPr>
              <w:snapToGrid w:val="0"/>
              <w:rPr>
                <w:rFonts w:ascii="Arial" w:hAnsi="Arial" w:cs="Arial"/>
                <w:bCs/>
                <w:u w:val="single"/>
              </w:rPr>
            </w:pPr>
            <w:r w:rsidRPr="009A5F85">
              <w:rPr>
                <w:rFonts w:ascii="Arial" w:hAnsi="Arial" w:cs="Arial"/>
                <w:bCs/>
                <w:u w:val="single"/>
              </w:rPr>
              <w:t>Inverness Leisure</w:t>
            </w:r>
          </w:p>
          <w:p w14:paraId="158A15D1" w14:textId="2C2A4B81" w:rsidR="00496D02" w:rsidRDefault="00496D02" w:rsidP="00CE65B3">
            <w:pPr>
              <w:snapToGrid w:val="0"/>
              <w:rPr>
                <w:rFonts w:ascii="Arial" w:hAnsi="Arial" w:cs="Arial"/>
                <w:b/>
              </w:rPr>
            </w:pPr>
          </w:p>
        </w:tc>
      </w:tr>
      <w:tr w:rsidR="00EA6D79" w:rsidRPr="0089449E" w14:paraId="4DAD5777"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0A7E3B2D" w14:textId="481F023E" w:rsidR="00623273" w:rsidRDefault="00257BA7" w:rsidP="00CE65B3">
            <w:pPr>
              <w:autoSpaceDE w:val="0"/>
              <w:autoSpaceDN w:val="0"/>
              <w:adjustRightInd w:val="0"/>
              <w:rPr>
                <w:rFonts w:ascii="Arial" w:hAnsi="Arial" w:cs="Arial"/>
              </w:rPr>
            </w:pPr>
            <w:r>
              <w:rPr>
                <w:rFonts w:ascii="Arial" w:hAnsi="Arial" w:cs="Arial"/>
              </w:rPr>
              <w:t>3</w:t>
            </w:r>
            <w:r w:rsidR="00BE155F">
              <w:rPr>
                <w:rFonts w:ascii="Arial" w:hAnsi="Arial" w:cs="Arial"/>
              </w:rPr>
              <w:t>.</w:t>
            </w:r>
            <w:r w:rsidR="00496D02">
              <w:rPr>
                <w:rFonts w:ascii="Arial" w:hAnsi="Arial" w:cs="Arial"/>
              </w:rPr>
              <w:t>1.1</w:t>
            </w:r>
          </w:p>
          <w:p w14:paraId="27B0F1E9" w14:textId="77777777" w:rsidR="00623273" w:rsidRDefault="00623273" w:rsidP="00CE65B3">
            <w:pPr>
              <w:autoSpaceDE w:val="0"/>
              <w:autoSpaceDN w:val="0"/>
              <w:adjustRightInd w:val="0"/>
              <w:rPr>
                <w:rFonts w:ascii="Arial" w:hAnsi="Arial" w:cs="Arial"/>
              </w:rPr>
            </w:pPr>
          </w:p>
          <w:p w14:paraId="3CA56F72" w14:textId="77777777" w:rsidR="00623273" w:rsidRDefault="00623273" w:rsidP="00647D1E">
            <w:pPr>
              <w:autoSpaceDE w:val="0"/>
              <w:autoSpaceDN w:val="0"/>
              <w:adjustRightInd w:val="0"/>
              <w:rPr>
                <w:rFonts w:ascii="Arial" w:hAnsi="Arial" w:cs="Arial"/>
              </w:rPr>
            </w:pPr>
          </w:p>
          <w:p w14:paraId="76701E7E" w14:textId="77777777" w:rsidR="00496D02" w:rsidRDefault="00496D02" w:rsidP="00647D1E">
            <w:pPr>
              <w:autoSpaceDE w:val="0"/>
              <w:autoSpaceDN w:val="0"/>
              <w:adjustRightInd w:val="0"/>
              <w:rPr>
                <w:rFonts w:ascii="Arial" w:hAnsi="Arial" w:cs="Arial"/>
              </w:rPr>
            </w:pPr>
          </w:p>
          <w:p w14:paraId="5515EDB1" w14:textId="77777777" w:rsidR="00496D02" w:rsidRDefault="00496D02" w:rsidP="00647D1E">
            <w:pPr>
              <w:autoSpaceDE w:val="0"/>
              <w:autoSpaceDN w:val="0"/>
              <w:adjustRightInd w:val="0"/>
              <w:rPr>
                <w:rFonts w:ascii="Arial" w:hAnsi="Arial" w:cs="Arial"/>
              </w:rPr>
            </w:pPr>
          </w:p>
          <w:p w14:paraId="52E16FF0" w14:textId="52E85371" w:rsidR="00496D02" w:rsidRPr="00AC77DC" w:rsidRDefault="00496D02" w:rsidP="00647D1E">
            <w:pPr>
              <w:autoSpaceDE w:val="0"/>
              <w:autoSpaceDN w:val="0"/>
              <w:adjustRightInd w:val="0"/>
              <w:rPr>
                <w:rFonts w:ascii="Arial" w:hAnsi="Arial" w:cs="Arial"/>
              </w:rPr>
            </w:pPr>
            <w:r>
              <w:rPr>
                <w:rFonts w:ascii="Arial" w:hAnsi="Arial" w:cs="Arial"/>
              </w:rPr>
              <w:t>3.1.2</w:t>
            </w:r>
          </w:p>
        </w:tc>
        <w:tc>
          <w:tcPr>
            <w:tcW w:w="8647" w:type="dxa"/>
          </w:tcPr>
          <w:p w14:paraId="322AD4BB" w14:textId="77777777" w:rsidR="00496D02" w:rsidRDefault="00DF6656" w:rsidP="00F04DDD">
            <w:pPr>
              <w:autoSpaceDE w:val="0"/>
              <w:autoSpaceDN w:val="0"/>
              <w:adjustRightInd w:val="0"/>
              <w:jc w:val="both"/>
              <w:rPr>
                <w:rFonts w:ascii="Arial" w:hAnsi="Arial" w:cs="Arial"/>
                <w:bCs/>
              </w:rPr>
            </w:pPr>
            <w:r>
              <w:rPr>
                <w:rFonts w:ascii="Arial" w:hAnsi="Arial" w:cs="Arial"/>
              </w:rPr>
              <w:t>After a</w:t>
            </w:r>
            <w:r w:rsidR="00D05DE1">
              <w:rPr>
                <w:rFonts w:ascii="Arial" w:hAnsi="Arial" w:cs="Arial"/>
              </w:rPr>
              <w:t xml:space="preserve"> </w:t>
            </w:r>
            <w:r>
              <w:rPr>
                <w:rFonts w:ascii="Arial" w:hAnsi="Arial" w:cs="Arial"/>
              </w:rPr>
              <w:t xml:space="preserve">number of delays spanning more than a year, the </w:t>
            </w:r>
            <w:r w:rsidR="00996BED">
              <w:rPr>
                <w:rFonts w:ascii="Arial" w:hAnsi="Arial" w:cs="Arial"/>
              </w:rPr>
              <w:t>Inverness Leisure Floodlighting</w:t>
            </w:r>
            <w:r w:rsidR="00F04DDD" w:rsidRPr="00996BED">
              <w:rPr>
                <w:rFonts w:ascii="Arial" w:hAnsi="Arial" w:cs="Arial"/>
                <w:bCs/>
              </w:rPr>
              <w:t xml:space="preserve"> </w:t>
            </w:r>
            <w:r>
              <w:rPr>
                <w:rFonts w:ascii="Arial" w:hAnsi="Arial" w:cs="Arial"/>
                <w:bCs/>
              </w:rPr>
              <w:t xml:space="preserve">project completed in October 2020. The new development </w:t>
            </w:r>
            <w:r w:rsidR="00B9129C">
              <w:rPr>
                <w:rFonts w:ascii="Arial" w:hAnsi="Arial" w:cs="Arial"/>
                <w:bCs/>
              </w:rPr>
              <w:t xml:space="preserve">is a significant improvement that </w:t>
            </w:r>
            <w:r>
              <w:rPr>
                <w:rFonts w:ascii="Arial" w:hAnsi="Arial" w:cs="Arial"/>
                <w:bCs/>
              </w:rPr>
              <w:t xml:space="preserve">provides year-round athletics </w:t>
            </w:r>
            <w:r w:rsidR="00D05DE1">
              <w:rPr>
                <w:rFonts w:ascii="Arial" w:hAnsi="Arial" w:cs="Arial"/>
                <w:bCs/>
              </w:rPr>
              <w:t>provision, with the full track available</w:t>
            </w:r>
            <w:r w:rsidR="00F11A45">
              <w:rPr>
                <w:rFonts w:ascii="Arial" w:hAnsi="Arial" w:cs="Arial"/>
                <w:bCs/>
              </w:rPr>
              <w:t xml:space="preserve"> into the dark evenings</w:t>
            </w:r>
            <w:r w:rsidR="00D05DE1">
              <w:rPr>
                <w:rFonts w:ascii="Arial" w:hAnsi="Arial" w:cs="Arial"/>
                <w:bCs/>
              </w:rPr>
              <w:t xml:space="preserve">, weather permitting. </w:t>
            </w:r>
          </w:p>
          <w:p w14:paraId="368A2864" w14:textId="77777777" w:rsidR="00496D02" w:rsidRDefault="00496D02" w:rsidP="00F04DDD">
            <w:pPr>
              <w:autoSpaceDE w:val="0"/>
              <w:autoSpaceDN w:val="0"/>
              <w:adjustRightInd w:val="0"/>
              <w:jc w:val="both"/>
              <w:rPr>
                <w:rFonts w:ascii="Arial" w:hAnsi="Arial" w:cs="Arial"/>
                <w:bCs/>
              </w:rPr>
            </w:pPr>
          </w:p>
          <w:p w14:paraId="0E5E2B3C" w14:textId="2555B1D8" w:rsidR="00B850CF" w:rsidRPr="00363F80" w:rsidRDefault="00D05DE1" w:rsidP="00363F80">
            <w:pPr>
              <w:autoSpaceDE w:val="0"/>
              <w:autoSpaceDN w:val="0"/>
              <w:adjustRightInd w:val="0"/>
              <w:jc w:val="both"/>
              <w:rPr>
                <w:rFonts w:ascii="Arial" w:hAnsi="Arial" w:cs="Arial"/>
              </w:rPr>
            </w:pPr>
            <w:r>
              <w:rPr>
                <w:rFonts w:ascii="Arial" w:hAnsi="Arial" w:cs="Arial"/>
                <w:bCs/>
              </w:rPr>
              <w:t xml:space="preserve">The </w:t>
            </w:r>
            <w:r w:rsidR="00B9129C">
              <w:rPr>
                <w:rFonts w:ascii="Arial" w:hAnsi="Arial" w:cs="Arial"/>
                <w:bCs/>
              </w:rPr>
              <w:t xml:space="preserve">work to expand and re-equip the </w:t>
            </w:r>
            <w:r w:rsidR="00F04DDD" w:rsidRPr="00996BED">
              <w:rPr>
                <w:rFonts w:ascii="Arial" w:hAnsi="Arial" w:cs="Arial"/>
                <w:bCs/>
              </w:rPr>
              <w:t xml:space="preserve">Inverness Leisure </w:t>
            </w:r>
            <w:r w:rsidR="009A5F85">
              <w:rPr>
                <w:rFonts w:ascii="Arial" w:hAnsi="Arial" w:cs="Arial"/>
                <w:bCs/>
              </w:rPr>
              <w:t>s</w:t>
            </w:r>
            <w:r w:rsidR="00F04DDD" w:rsidRPr="00996BED">
              <w:rPr>
                <w:rFonts w:ascii="Arial" w:hAnsi="Arial" w:cs="Arial"/>
                <w:bCs/>
              </w:rPr>
              <w:t xml:space="preserve">trength and </w:t>
            </w:r>
            <w:r w:rsidR="009A5F85">
              <w:rPr>
                <w:rFonts w:ascii="Arial" w:hAnsi="Arial" w:cs="Arial"/>
                <w:bCs/>
              </w:rPr>
              <w:t>c</w:t>
            </w:r>
            <w:r w:rsidR="00F04DDD" w:rsidRPr="00996BED">
              <w:rPr>
                <w:rFonts w:ascii="Arial" w:hAnsi="Arial" w:cs="Arial"/>
                <w:bCs/>
              </w:rPr>
              <w:t xml:space="preserve">onditioning </w:t>
            </w:r>
            <w:r w:rsidR="009A5F85">
              <w:rPr>
                <w:rFonts w:ascii="Arial" w:hAnsi="Arial" w:cs="Arial"/>
                <w:bCs/>
              </w:rPr>
              <w:t>s</w:t>
            </w:r>
            <w:r w:rsidR="00F04DDD" w:rsidRPr="00996BED">
              <w:rPr>
                <w:rFonts w:ascii="Arial" w:hAnsi="Arial" w:cs="Arial"/>
                <w:bCs/>
              </w:rPr>
              <w:t>uite</w:t>
            </w:r>
            <w:r>
              <w:rPr>
                <w:rFonts w:ascii="Arial" w:hAnsi="Arial" w:cs="Arial"/>
                <w:bCs/>
              </w:rPr>
              <w:t xml:space="preserve"> is currently underway and will be complete at the time of this report going to print</w:t>
            </w:r>
            <w:r w:rsidR="00B9129C">
              <w:rPr>
                <w:rFonts w:ascii="Arial" w:hAnsi="Arial" w:cs="Arial"/>
                <w:bCs/>
              </w:rPr>
              <w:t xml:space="preserve">. The new suite is fitted out with state-of-the-art equipment, supplied by </w:t>
            </w:r>
            <w:proofErr w:type="spellStart"/>
            <w:r w:rsidR="00B9129C" w:rsidRPr="00E31BE1">
              <w:rPr>
                <w:rFonts w:ascii="Arial" w:hAnsi="Arial" w:cs="Arial"/>
                <w:b/>
              </w:rPr>
              <w:t>sport</w:t>
            </w:r>
            <w:r w:rsidR="00B9129C">
              <w:rPr>
                <w:rFonts w:ascii="Arial" w:hAnsi="Arial" w:cs="Arial"/>
                <w:bCs/>
              </w:rPr>
              <w:t>scotland</w:t>
            </w:r>
            <w:proofErr w:type="spellEnd"/>
            <w:r w:rsidR="00B9129C">
              <w:rPr>
                <w:rFonts w:ascii="Arial" w:hAnsi="Arial" w:cs="Arial"/>
                <w:bCs/>
              </w:rPr>
              <w:t xml:space="preserve">. The facility will expand usage to </w:t>
            </w:r>
            <w:r w:rsidR="00EA71DB">
              <w:rPr>
                <w:rFonts w:ascii="Arial" w:hAnsi="Arial" w:cs="Arial"/>
                <w:bCs/>
              </w:rPr>
              <w:t xml:space="preserve">concurrently </w:t>
            </w:r>
            <w:r w:rsidR="00B9129C">
              <w:rPr>
                <w:rFonts w:ascii="Arial" w:hAnsi="Arial" w:cs="Arial"/>
                <w:bCs/>
              </w:rPr>
              <w:t xml:space="preserve">accommodate club groups and the Institute of Sport, whilst retaining </w:t>
            </w:r>
            <w:r w:rsidR="00F11A45">
              <w:rPr>
                <w:rFonts w:ascii="Arial" w:hAnsi="Arial" w:cs="Arial"/>
                <w:bCs/>
              </w:rPr>
              <w:t xml:space="preserve">continuous </w:t>
            </w:r>
            <w:r w:rsidR="00B9129C">
              <w:rPr>
                <w:rFonts w:ascii="Arial" w:hAnsi="Arial" w:cs="Arial"/>
                <w:bCs/>
              </w:rPr>
              <w:t>access for HLH customers. This improvement is expected to draw significant additional memberships</w:t>
            </w:r>
            <w:r w:rsidR="00CB6131">
              <w:rPr>
                <w:rFonts w:ascii="Arial" w:hAnsi="Arial" w:cs="Arial"/>
                <w:bCs/>
              </w:rPr>
              <w:t>.</w:t>
            </w:r>
            <w:r w:rsidR="00B9129C">
              <w:rPr>
                <w:rFonts w:ascii="Arial" w:hAnsi="Arial" w:cs="Arial"/>
                <w:bCs/>
              </w:rPr>
              <w:t xml:space="preserve"> HLH will also use the facility to promote strength and conditioning training opportunities, with classes being planned for families, girls and women.   </w:t>
            </w:r>
            <w:r>
              <w:rPr>
                <w:rFonts w:ascii="Arial" w:hAnsi="Arial" w:cs="Arial"/>
                <w:bCs/>
              </w:rPr>
              <w:t xml:space="preserve"> </w:t>
            </w:r>
          </w:p>
        </w:tc>
      </w:tr>
      <w:tr w:rsidR="00647D1E" w:rsidRPr="0089449E" w14:paraId="7E2FC544"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0E0152B1" w14:textId="68A5F18B" w:rsidR="00647D1E" w:rsidRPr="00647D1E" w:rsidRDefault="00647D1E" w:rsidP="00447094">
            <w:pPr>
              <w:autoSpaceDE w:val="0"/>
              <w:autoSpaceDN w:val="0"/>
              <w:adjustRightInd w:val="0"/>
              <w:rPr>
                <w:rFonts w:ascii="Arial" w:hAnsi="Arial" w:cs="Arial"/>
              </w:rPr>
            </w:pPr>
          </w:p>
        </w:tc>
        <w:tc>
          <w:tcPr>
            <w:tcW w:w="8647" w:type="dxa"/>
          </w:tcPr>
          <w:p w14:paraId="6F96906E" w14:textId="27CCF4A7" w:rsidR="00F04DDD" w:rsidRPr="00996BED" w:rsidRDefault="00F04DDD" w:rsidP="00B9129C">
            <w:pPr>
              <w:autoSpaceDE w:val="0"/>
              <w:autoSpaceDN w:val="0"/>
              <w:adjustRightInd w:val="0"/>
              <w:jc w:val="both"/>
              <w:rPr>
                <w:rFonts w:ascii="Arial" w:hAnsi="Arial" w:cs="Arial"/>
                <w:bCs/>
              </w:rPr>
            </w:pPr>
          </w:p>
        </w:tc>
      </w:tr>
      <w:tr w:rsidR="00647D1E" w:rsidRPr="0089449E" w14:paraId="6F036031"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09D0641C" w14:textId="7407B0E6" w:rsidR="00647D1E" w:rsidRDefault="00647D1E" w:rsidP="00447094">
            <w:pPr>
              <w:autoSpaceDE w:val="0"/>
              <w:autoSpaceDN w:val="0"/>
              <w:adjustRightInd w:val="0"/>
              <w:rPr>
                <w:rFonts w:ascii="Arial" w:hAnsi="Arial" w:cs="Arial"/>
              </w:rPr>
            </w:pPr>
            <w:r w:rsidRPr="00647D1E">
              <w:rPr>
                <w:rFonts w:ascii="Arial" w:hAnsi="Arial" w:cs="Arial"/>
              </w:rPr>
              <w:t>3.</w:t>
            </w:r>
            <w:r w:rsidR="000B3E4C">
              <w:rPr>
                <w:rFonts w:ascii="Arial" w:hAnsi="Arial" w:cs="Arial"/>
              </w:rPr>
              <w:t>2</w:t>
            </w:r>
          </w:p>
          <w:p w14:paraId="1AAE3E84" w14:textId="77777777" w:rsidR="00996BED" w:rsidRDefault="00996BED" w:rsidP="00447094">
            <w:pPr>
              <w:autoSpaceDE w:val="0"/>
              <w:autoSpaceDN w:val="0"/>
              <w:adjustRightInd w:val="0"/>
              <w:rPr>
                <w:rFonts w:ascii="Arial" w:hAnsi="Arial" w:cs="Arial"/>
              </w:rPr>
            </w:pPr>
          </w:p>
          <w:p w14:paraId="263AB69F" w14:textId="661A6F53" w:rsidR="00996BED" w:rsidRDefault="00996BED" w:rsidP="00447094">
            <w:pPr>
              <w:autoSpaceDE w:val="0"/>
              <w:autoSpaceDN w:val="0"/>
              <w:adjustRightInd w:val="0"/>
              <w:rPr>
                <w:rFonts w:ascii="Arial" w:hAnsi="Arial" w:cs="Arial"/>
              </w:rPr>
            </w:pPr>
            <w:r>
              <w:rPr>
                <w:rFonts w:ascii="Arial" w:hAnsi="Arial" w:cs="Arial"/>
              </w:rPr>
              <w:t>3.</w:t>
            </w:r>
            <w:r w:rsidR="000B3E4C">
              <w:rPr>
                <w:rFonts w:ascii="Arial" w:hAnsi="Arial" w:cs="Arial"/>
              </w:rPr>
              <w:t>2</w:t>
            </w:r>
            <w:r>
              <w:rPr>
                <w:rFonts w:ascii="Arial" w:hAnsi="Arial" w:cs="Arial"/>
              </w:rPr>
              <w:t>.1</w:t>
            </w:r>
          </w:p>
          <w:p w14:paraId="0AE73ACF" w14:textId="77777777" w:rsidR="00996BED" w:rsidRDefault="00996BED" w:rsidP="00447094">
            <w:pPr>
              <w:autoSpaceDE w:val="0"/>
              <w:autoSpaceDN w:val="0"/>
              <w:adjustRightInd w:val="0"/>
              <w:rPr>
                <w:rFonts w:ascii="Arial" w:hAnsi="Arial" w:cs="Arial"/>
              </w:rPr>
            </w:pPr>
          </w:p>
          <w:p w14:paraId="02B440A7" w14:textId="77777777" w:rsidR="00996BED" w:rsidRDefault="00996BED" w:rsidP="00447094">
            <w:pPr>
              <w:autoSpaceDE w:val="0"/>
              <w:autoSpaceDN w:val="0"/>
              <w:adjustRightInd w:val="0"/>
              <w:rPr>
                <w:rFonts w:ascii="Arial" w:hAnsi="Arial" w:cs="Arial"/>
              </w:rPr>
            </w:pPr>
          </w:p>
          <w:p w14:paraId="6B61C633" w14:textId="77777777" w:rsidR="00CB6131" w:rsidRDefault="00CB6131" w:rsidP="00447094">
            <w:pPr>
              <w:autoSpaceDE w:val="0"/>
              <w:autoSpaceDN w:val="0"/>
              <w:adjustRightInd w:val="0"/>
              <w:rPr>
                <w:rFonts w:ascii="Arial" w:hAnsi="Arial" w:cs="Arial"/>
              </w:rPr>
            </w:pPr>
          </w:p>
          <w:p w14:paraId="365576C2" w14:textId="77777777" w:rsidR="00CB6131" w:rsidRDefault="00CB6131" w:rsidP="00447094">
            <w:pPr>
              <w:autoSpaceDE w:val="0"/>
              <w:autoSpaceDN w:val="0"/>
              <w:adjustRightInd w:val="0"/>
              <w:rPr>
                <w:rFonts w:ascii="Arial" w:hAnsi="Arial" w:cs="Arial"/>
              </w:rPr>
            </w:pPr>
          </w:p>
          <w:p w14:paraId="7E5F6DE9" w14:textId="77777777" w:rsidR="00CB6131" w:rsidRDefault="00CB6131" w:rsidP="00447094">
            <w:pPr>
              <w:autoSpaceDE w:val="0"/>
              <w:autoSpaceDN w:val="0"/>
              <w:adjustRightInd w:val="0"/>
              <w:rPr>
                <w:rFonts w:ascii="Arial" w:hAnsi="Arial" w:cs="Arial"/>
              </w:rPr>
            </w:pPr>
          </w:p>
          <w:p w14:paraId="19CAB595" w14:textId="77777777" w:rsidR="00CB6131" w:rsidRDefault="00CB6131" w:rsidP="00447094">
            <w:pPr>
              <w:autoSpaceDE w:val="0"/>
              <w:autoSpaceDN w:val="0"/>
              <w:adjustRightInd w:val="0"/>
              <w:rPr>
                <w:rFonts w:ascii="Arial" w:hAnsi="Arial" w:cs="Arial"/>
              </w:rPr>
            </w:pPr>
          </w:p>
          <w:p w14:paraId="1D5A4C5A" w14:textId="77777777" w:rsidR="00CB6131" w:rsidRDefault="00CB6131" w:rsidP="00447094">
            <w:pPr>
              <w:autoSpaceDE w:val="0"/>
              <w:autoSpaceDN w:val="0"/>
              <w:adjustRightInd w:val="0"/>
              <w:rPr>
                <w:rFonts w:ascii="Arial" w:hAnsi="Arial" w:cs="Arial"/>
              </w:rPr>
            </w:pPr>
          </w:p>
          <w:p w14:paraId="3C04BFCD" w14:textId="2C2FE520" w:rsidR="00996BED" w:rsidRDefault="00996BED" w:rsidP="00447094">
            <w:pPr>
              <w:autoSpaceDE w:val="0"/>
              <w:autoSpaceDN w:val="0"/>
              <w:adjustRightInd w:val="0"/>
              <w:rPr>
                <w:rFonts w:ascii="Arial" w:hAnsi="Arial" w:cs="Arial"/>
              </w:rPr>
            </w:pPr>
            <w:r>
              <w:rPr>
                <w:rFonts w:ascii="Arial" w:hAnsi="Arial" w:cs="Arial"/>
              </w:rPr>
              <w:t>3.</w:t>
            </w:r>
            <w:r w:rsidR="000B3E4C">
              <w:rPr>
                <w:rFonts w:ascii="Arial" w:hAnsi="Arial" w:cs="Arial"/>
              </w:rPr>
              <w:t>2</w:t>
            </w:r>
            <w:r>
              <w:rPr>
                <w:rFonts w:ascii="Arial" w:hAnsi="Arial" w:cs="Arial"/>
              </w:rPr>
              <w:t>.2</w:t>
            </w:r>
          </w:p>
          <w:p w14:paraId="11C92196" w14:textId="77777777" w:rsidR="00996BED" w:rsidRDefault="00996BED" w:rsidP="00447094">
            <w:pPr>
              <w:autoSpaceDE w:val="0"/>
              <w:autoSpaceDN w:val="0"/>
              <w:adjustRightInd w:val="0"/>
              <w:rPr>
                <w:rFonts w:ascii="Arial" w:hAnsi="Arial" w:cs="Arial"/>
              </w:rPr>
            </w:pPr>
          </w:p>
          <w:p w14:paraId="41DB4A2E" w14:textId="77777777" w:rsidR="00996BED" w:rsidRDefault="00996BED" w:rsidP="00447094">
            <w:pPr>
              <w:autoSpaceDE w:val="0"/>
              <w:autoSpaceDN w:val="0"/>
              <w:adjustRightInd w:val="0"/>
              <w:rPr>
                <w:rFonts w:ascii="Arial" w:hAnsi="Arial" w:cs="Arial"/>
              </w:rPr>
            </w:pPr>
          </w:p>
          <w:p w14:paraId="32117EB9" w14:textId="77777777" w:rsidR="00996BED" w:rsidRDefault="00996BED" w:rsidP="00447094">
            <w:pPr>
              <w:autoSpaceDE w:val="0"/>
              <w:autoSpaceDN w:val="0"/>
              <w:adjustRightInd w:val="0"/>
              <w:rPr>
                <w:rFonts w:ascii="Arial" w:hAnsi="Arial" w:cs="Arial"/>
              </w:rPr>
            </w:pPr>
          </w:p>
          <w:p w14:paraId="35F365FD" w14:textId="77777777" w:rsidR="00996BED" w:rsidRDefault="00996BED" w:rsidP="00447094">
            <w:pPr>
              <w:autoSpaceDE w:val="0"/>
              <w:autoSpaceDN w:val="0"/>
              <w:adjustRightInd w:val="0"/>
              <w:rPr>
                <w:rFonts w:ascii="Arial" w:hAnsi="Arial" w:cs="Arial"/>
              </w:rPr>
            </w:pPr>
          </w:p>
          <w:p w14:paraId="09AFC4E8" w14:textId="570F36A0" w:rsidR="005732B8" w:rsidRPr="00647D1E" w:rsidRDefault="005732B8" w:rsidP="00447094">
            <w:pPr>
              <w:autoSpaceDE w:val="0"/>
              <w:autoSpaceDN w:val="0"/>
              <w:adjustRightInd w:val="0"/>
              <w:rPr>
                <w:rFonts w:ascii="Arial" w:hAnsi="Arial" w:cs="Arial"/>
              </w:rPr>
            </w:pPr>
            <w:r>
              <w:rPr>
                <w:rFonts w:ascii="Arial" w:hAnsi="Arial" w:cs="Arial"/>
              </w:rPr>
              <w:t>3.3</w:t>
            </w:r>
          </w:p>
        </w:tc>
        <w:tc>
          <w:tcPr>
            <w:tcW w:w="8647" w:type="dxa"/>
          </w:tcPr>
          <w:p w14:paraId="6721D296" w14:textId="5CFFF89B" w:rsidR="00DA465D" w:rsidRPr="009A5F85" w:rsidRDefault="00996BED" w:rsidP="00996BED">
            <w:pPr>
              <w:rPr>
                <w:rFonts w:ascii="Arial" w:hAnsi="Arial" w:cs="Arial"/>
                <w:bCs/>
                <w:u w:val="single"/>
              </w:rPr>
            </w:pPr>
            <w:r w:rsidRPr="009A5F85">
              <w:rPr>
                <w:rFonts w:ascii="Arial" w:hAnsi="Arial" w:cs="Arial"/>
                <w:bCs/>
                <w:u w:val="single"/>
              </w:rPr>
              <w:t>Caithness Horizons</w:t>
            </w:r>
          </w:p>
          <w:p w14:paraId="62F1336A" w14:textId="77777777" w:rsidR="00996BED" w:rsidRDefault="00996BED" w:rsidP="00996BED">
            <w:pPr>
              <w:rPr>
                <w:rFonts w:ascii="Arial" w:hAnsi="Arial" w:cs="Arial"/>
                <w:bCs/>
              </w:rPr>
            </w:pPr>
          </w:p>
          <w:p w14:paraId="5AD1B9D9" w14:textId="0A81EE80" w:rsidR="00996BED" w:rsidRPr="00CB6131" w:rsidRDefault="00996BED" w:rsidP="00996BED">
            <w:pPr>
              <w:jc w:val="both"/>
              <w:rPr>
                <w:rFonts w:ascii="Arial" w:eastAsia="Calibri" w:hAnsi="Arial" w:cs="Arial"/>
                <w:color w:val="000000"/>
                <w:szCs w:val="24"/>
              </w:rPr>
            </w:pPr>
            <w:r>
              <w:rPr>
                <w:rFonts w:ascii="Arial" w:hAnsi="Arial" w:cs="Arial"/>
              </w:rPr>
              <w:t>The HLH Board in June 2019 agreed that i</w:t>
            </w:r>
            <w:r>
              <w:rPr>
                <w:rFonts w:ascii="Arial" w:eastAsia="Calibri" w:hAnsi="Arial" w:cs="Arial"/>
                <w:color w:val="000000"/>
                <w:szCs w:val="24"/>
              </w:rPr>
              <w:t xml:space="preserve">t would </w:t>
            </w:r>
            <w:r w:rsidRPr="00EA0610">
              <w:rPr>
                <w:rFonts w:ascii="Arial" w:eastAsia="Calibri" w:hAnsi="Arial" w:cs="Arial"/>
                <w:color w:val="000000"/>
                <w:szCs w:val="24"/>
              </w:rPr>
              <w:t>adopt responsibility for the operation of Caithness Horizons on</w:t>
            </w:r>
            <w:r>
              <w:rPr>
                <w:rFonts w:ascii="Arial" w:eastAsia="Calibri" w:hAnsi="Arial" w:cs="Arial"/>
                <w:color w:val="000000"/>
                <w:szCs w:val="24"/>
              </w:rPr>
              <w:t xml:space="preserve"> THC’s behalf.  </w:t>
            </w:r>
            <w:r>
              <w:rPr>
                <w:rFonts w:ascii="Arial" w:hAnsi="Arial" w:cs="Arial"/>
              </w:rPr>
              <w:t>THC are funding the capital works required and these are now being finalised in prepara</w:t>
            </w:r>
            <w:r w:rsidRPr="00C91EFB">
              <w:rPr>
                <w:rFonts w:ascii="Arial" w:hAnsi="Arial" w:cs="Arial"/>
              </w:rPr>
              <w:t>tion for operational handover</w:t>
            </w:r>
            <w:r>
              <w:rPr>
                <w:rFonts w:ascii="Arial" w:hAnsi="Arial" w:cs="Arial"/>
              </w:rPr>
              <w:t xml:space="preserve"> </w:t>
            </w:r>
            <w:r w:rsidRPr="00C91EFB">
              <w:rPr>
                <w:rFonts w:ascii="Arial" w:hAnsi="Arial" w:cs="Arial"/>
              </w:rPr>
              <w:t xml:space="preserve">with a provisional HLH entry date of 1 </w:t>
            </w:r>
            <w:r>
              <w:rPr>
                <w:rFonts w:ascii="Arial" w:hAnsi="Arial" w:cs="Arial"/>
              </w:rPr>
              <w:t>March</w:t>
            </w:r>
            <w:r w:rsidRPr="00C91EFB">
              <w:rPr>
                <w:rFonts w:ascii="Arial" w:hAnsi="Arial" w:cs="Arial"/>
              </w:rPr>
              <w:t xml:space="preserve"> 2020 subject to completion of works. THC and</w:t>
            </w:r>
            <w:r>
              <w:rPr>
                <w:rFonts w:ascii="Arial" w:hAnsi="Arial" w:cs="Arial"/>
              </w:rPr>
              <w:t xml:space="preserve"> </w:t>
            </w:r>
            <w:proofErr w:type="spellStart"/>
            <w:r w:rsidRPr="00C91EFB">
              <w:rPr>
                <w:rFonts w:ascii="Arial" w:hAnsi="Arial" w:cs="Arial"/>
              </w:rPr>
              <w:t>Dounreay</w:t>
            </w:r>
            <w:proofErr w:type="spellEnd"/>
            <w:r w:rsidRPr="00C91EFB">
              <w:rPr>
                <w:rFonts w:ascii="Arial" w:hAnsi="Arial" w:cs="Arial"/>
              </w:rPr>
              <w:t xml:space="preserve"> Site Restoration Limited</w:t>
            </w:r>
            <w:r w:rsidR="009A5F85">
              <w:rPr>
                <w:rFonts w:ascii="Arial" w:hAnsi="Arial" w:cs="Arial"/>
              </w:rPr>
              <w:t xml:space="preserve"> (DSRL)</w:t>
            </w:r>
            <w:r w:rsidRPr="00C91EFB">
              <w:rPr>
                <w:rFonts w:ascii="Arial" w:hAnsi="Arial" w:cs="Arial"/>
              </w:rPr>
              <w:t xml:space="preserve"> have confirmed that </w:t>
            </w:r>
            <w:r>
              <w:rPr>
                <w:rFonts w:ascii="Arial" w:hAnsi="Arial" w:cs="Arial"/>
              </w:rPr>
              <w:t xml:space="preserve">the </w:t>
            </w:r>
            <w:r w:rsidRPr="00C91EFB">
              <w:rPr>
                <w:rFonts w:ascii="Arial" w:hAnsi="Arial" w:cs="Arial"/>
              </w:rPr>
              <w:t>3</w:t>
            </w:r>
            <w:r w:rsidR="000B3E4C">
              <w:rPr>
                <w:rFonts w:ascii="Arial" w:hAnsi="Arial" w:cs="Arial"/>
              </w:rPr>
              <w:t>-</w:t>
            </w:r>
            <w:r w:rsidRPr="00C91EFB">
              <w:rPr>
                <w:rFonts w:ascii="Arial" w:hAnsi="Arial" w:cs="Arial"/>
              </w:rPr>
              <w:t xml:space="preserve">year funding agreement </w:t>
            </w:r>
            <w:r>
              <w:rPr>
                <w:rFonts w:ascii="Arial" w:hAnsi="Arial" w:cs="Arial"/>
              </w:rPr>
              <w:t xml:space="preserve">(£75K per annum) </w:t>
            </w:r>
            <w:r w:rsidRPr="00C91EFB">
              <w:rPr>
                <w:rFonts w:ascii="Arial" w:hAnsi="Arial" w:cs="Arial"/>
              </w:rPr>
              <w:t>will commence from HLH date of entry</w:t>
            </w:r>
            <w:r>
              <w:rPr>
                <w:rFonts w:ascii="Arial" w:hAnsi="Arial" w:cs="Arial"/>
              </w:rPr>
              <w:t xml:space="preserve"> with an annual business review scheduled.</w:t>
            </w:r>
          </w:p>
          <w:p w14:paraId="3AD38FC7" w14:textId="77777777" w:rsidR="00996BED" w:rsidRDefault="00996BED" w:rsidP="00996BED">
            <w:pPr>
              <w:jc w:val="both"/>
              <w:rPr>
                <w:rFonts w:ascii="Arial" w:hAnsi="Arial" w:cs="Arial"/>
              </w:rPr>
            </w:pPr>
          </w:p>
          <w:p w14:paraId="613F85E1" w14:textId="2034E129" w:rsidR="00996BED" w:rsidRPr="00C91EFB" w:rsidRDefault="00996BED" w:rsidP="00996BED">
            <w:pPr>
              <w:jc w:val="both"/>
              <w:rPr>
                <w:rFonts w:ascii="Arial" w:hAnsi="Arial" w:cs="Arial"/>
              </w:rPr>
            </w:pPr>
            <w:r>
              <w:rPr>
                <w:rFonts w:ascii="Arial" w:hAnsi="Arial" w:cs="Arial"/>
              </w:rPr>
              <w:t xml:space="preserve">The </w:t>
            </w:r>
            <w:r w:rsidRPr="00C91EFB">
              <w:rPr>
                <w:rFonts w:ascii="Arial" w:hAnsi="Arial" w:cs="Arial"/>
              </w:rPr>
              <w:t xml:space="preserve">HLH team have been working in the background to facilitate opening to the public at the earliest opportunity. </w:t>
            </w:r>
            <w:r>
              <w:rPr>
                <w:rFonts w:ascii="Arial" w:hAnsi="Arial" w:cs="Arial"/>
              </w:rPr>
              <w:t xml:space="preserve">  On opening, the f</w:t>
            </w:r>
            <w:r w:rsidRPr="00C91EFB">
              <w:rPr>
                <w:rFonts w:ascii="Arial" w:hAnsi="Arial" w:cs="Arial"/>
              </w:rPr>
              <w:t>acility will be relaunched as</w:t>
            </w:r>
            <w:r w:rsidR="000B3E4C">
              <w:rPr>
                <w:rFonts w:ascii="Arial" w:hAnsi="Arial" w:cs="Arial"/>
              </w:rPr>
              <w:t xml:space="preserve"> the</w:t>
            </w:r>
            <w:r w:rsidRPr="00C91EFB">
              <w:rPr>
                <w:rFonts w:ascii="Arial" w:hAnsi="Arial" w:cs="Arial"/>
              </w:rPr>
              <w:t xml:space="preserve"> </w:t>
            </w:r>
            <w:r w:rsidRPr="00762379">
              <w:rPr>
                <w:rFonts w:ascii="Arial" w:hAnsi="Arial" w:cs="Arial"/>
                <w:i/>
                <w:iCs/>
              </w:rPr>
              <w:t>North Coast Visitor Centre</w:t>
            </w:r>
            <w:r w:rsidRPr="00C91EFB">
              <w:rPr>
                <w:rFonts w:ascii="Arial" w:hAnsi="Arial" w:cs="Arial"/>
              </w:rPr>
              <w:t xml:space="preserve"> and will feature a catering offering in line with the new HLH catering strategy.</w:t>
            </w:r>
          </w:p>
          <w:p w14:paraId="468D9960" w14:textId="77777777" w:rsidR="00996BED" w:rsidRDefault="00996BED" w:rsidP="00996BED">
            <w:pPr>
              <w:rPr>
                <w:rFonts w:ascii="Arial" w:hAnsi="Arial" w:cs="Arial"/>
                <w:bCs/>
              </w:rPr>
            </w:pPr>
          </w:p>
          <w:p w14:paraId="173C3274" w14:textId="500EAE1F" w:rsidR="005732B8" w:rsidRPr="009A5F85" w:rsidRDefault="005732B8" w:rsidP="00996BED">
            <w:pPr>
              <w:rPr>
                <w:rFonts w:ascii="Arial" w:hAnsi="Arial" w:cs="Arial"/>
                <w:bCs/>
                <w:u w:val="single"/>
              </w:rPr>
            </w:pPr>
            <w:proofErr w:type="spellStart"/>
            <w:r w:rsidRPr="009A5F85">
              <w:rPr>
                <w:rFonts w:ascii="Arial" w:hAnsi="Arial" w:cs="Arial"/>
                <w:bCs/>
                <w:u w:val="single"/>
              </w:rPr>
              <w:t>Alness</w:t>
            </w:r>
            <w:proofErr w:type="spellEnd"/>
            <w:r w:rsidRPr="009A5F85">
              <w:rPr>
                <w:rFonts w:ascii="Arial" w:hAnsi="Arial" w:cs="Arial"/>
                <w:bCs/>
                <w:u w:val="single"/>
              </w:rPr>
              <w:t xml:space="preserve"> Academy Community Facility</w:t>
            </w:r>
          </w:p>
          <w:p w14:paraId="3E4B6F8E" w14:textId="4141E007" w:rsidR="005732B8" w:rsidRPr="00996BED" w:rsidRDefault="005732B8" w:rsidP="00996BED">
            <w:pPr>
              <w:rPr>
                <w:rFonts w:ascii="Arial" w:hAnsi="Arial" w:cs="Arial"/>
                <w:bCs/>
              </w:rPr>
            </w:pPr>
          </w:p>
        </w:tc>
      </w:tr>
      <w:tr w:rsidR="00996BED" w:rsidRPr="0089449E" w14:paraId="4816F0ED"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7AC58BF4" w14:textId="27AE99CB" w:rsidR="00996BED" w:rsidRPr="00996BED" w:rsidRDefault="00996BED" w:rsidP="00447094">
            <w:pPr>
              <w:autoSpaceDE w:val="0"/>
              <w:autoSpaceDN w:val="0"/>
              <w:adjustRightInd w:val="0"/>
              <w:rPr>
                <w:rFonts w:ascii="Arial" w:hAnsi="Arial" w:cs="Arial"/>
                <w:bCs/>
              </w:rPr>
            </w:pPr>
            <w:r>
              <w:rPr>
                <w:rFonts w:ascii="Arial" w:hAnsi="Arial" w:cs="Arial"/>
                <w:bCs/>
              </w:rPr>
              <w:t>3.</w:t>
            </w:r>
            <w:r w:rsidR="005732B8">
              <w:rPr>
                <w:rFonts w:ascii="Arial" w:hAnsi="Arial" w:cs="Arial"/>
                <w:bCs/>
              </w:rPr>
              <w:t>3.1</w:t>
            </w:r>
          </w:p>
        </w:tc>
        <w:tc>
          <w:tcPr>
            <w:tcW w:w="8647" w:type="dxa"/>
          </w:tcPr>
          <w:p w14:paraId="0853C0EF" w14:textId="3CF38D4D" w:rsidR="00996BED" w:rsidRDefault="009A5F85" w:rsidP="00B53699">
            <w:pPr>
              <w:jc w:val="both"/>
              <w:rPr>
                <w:rFonts w:ascii="Arial" w:hAnsi="Arial" w:cs="Arial"/>
                <w:bCs/>
              </w:rPr>
            </w:pPr>
            <w:r>
              <w:rPr>
                <w:rFonts w:ascii="Arial" w:hAnsi="Arial" w:cs="Arial"/>
                <w:bCs/>
              </w:rPr>
              <w:t>The n</w:t>
            </w:r>
            <w:r w:rsidR="00996BED">
              <w:rPr>
                <w:rFonts w:ascii="Arial" w:hAnsi="Arial" w:cs="Arial"/>
                <w:bCs/>
              </w:rPr>
              <w:t xml:space="preserve">ew </w:t>
            </w:r>
            <w:proofErr w:type="spellStart"/>
            <w:r w:rsidR="00996BED">
              <w:rPr>
                <w:rFonts w:ascii="Arial" w:hAnsi="Arial" w:cs="Arial"/>
                <w:bCs/>
              </w:rPr>
              <w:t>Alness</w:t>
            </w:r>
            <w:proofErr w:type="spellEnd"/>
            <w:r w:rsidR="00996BED">
              <w:rPr>
                <w:rFonts w:ascii="Arial" w:hAnsi="Arial" w:cs="Arial"/>
                <w:bCs/>
              </w:rPr>
              <w:t xml:space="preserve"> Academy Community Facility</w:t>
            </w:r>
            <w:r w:rsidR="00CF11B1">
              <w:rPr>
                <w:rFonts w:ascii="Arial" w:hAnsi="Arial" w:cs="Arial"/>
                <w:bCs/>
              </w:rPr>
              <w:t xml:space="preserve"> </w:t>
            </w:r>
            <w:r w:rsidR="00DE339D">
              <w:rPr>
                <w:rFonts w:ascii="Arial" w:hAnsi="Arial" w:cs="Arial"/>
                <w:bCs/>
              </w:rPr>
              <w:t xml:space="preserve">is planned to open on </w:t>
            </w:r>
            <w:r w:rsidR="00CF11B1">
              <w:rPr>
                <w:rFonts w:ascii="Arial" w:hAnsi="Arial" w:cs="Arial"/>
                <w:bCs/>
              </w:rPr>
              <w:t>5</w:t>
            </w:r>
            <w:r w:rsidR="00CF11B1" w:rsidRPr="00CF11B1">
              <w:rPr>
                <w:rFonts w:ascii="Arial" w:hAnsi="Arial" w:cs="Arial"/>
                <w:bCs/>
                <w:vertAlign w:val="superscript"/>
              </w:rPr>
              <w:t>th</w:t>
            </w:r>
            <w:r w:rsidR="00CF11B1">
              <w:rPr>
                <w:rFonts w:ascii="Arial" w:hAnsi="Arial" w:cs="Arial"/>
                <w:bCs/>
              </w:rPr>
              <w:t xml:space="preserve"> Jan</w:t>
            </w:r>
            <w:r w:rsidR="00DE339D">
              <w:rPr>
                <w:rFonts w:ascii="Arial" w:hAnsi="Arial" w:cs="Arial"/>
                <w:bCs/>
              </w:rPr>
              <w:t>uary</w:t>
            </w:r>
            <w:r>
              <w:rPr>
                <w:rFonts w:ascii="Arial" w:hAnsi="Arial" w:cs="Arial"/>
                <w:bCs/>
              </w:rPr>
              <w:t xml:space="preserve"> 2021</w:t>
            </w:r>
            <w:r w:rsidR="00DE339D">
              <w:rPr>
                <w:rFonts w:ascii="Arial" w:hAnsi="Arial" w:cs="Arial"/>
                <w:bCs/>
              </w:rPr>
              <w:t>. This facility has been</w:t>
            </w:r>
            <w:r w:rsidR="00CF11B1">
              <w:rPr>
                <w:rFonts w:ascii="Arial" w:hAnsi="Arial" w:cs="Arial"/>
                <w:bCs/>
              </w:rPr>
              <w:t xml:space="preserve"> planned</w:t>
            </w:r>
            <w:r w:rsidR="000505B8">
              <w:rPr>
                <w:rFonts w:ascii="Arial" w:hAnsi="Arial" w:cs="Arial"/>
                <w:bCs/>
              </w:rPr>
              <w:t xml:space="preserve"> </w:t>
            </w:r>
            <w:r w:rsidR="00CF11B1">
              <w:rPr>
                <w:rFonts w:ascii="Arial" w:hAnsi="Arial" w:cs="Arial"/>
                <w:bCs/>
              </w:rPr>
              <w:t xml:space="preserve">and </w:t>
            </w:r>
            <w:r w:rsidR="00DE339D">
              <w:rPr>
                <w:rFonts w:ascii="Arial" w:hAnsi="Arial" w:cs="Arial"/>
                <w:bCs/>
              </w:rPr>
              <w:t xml:space="preserve">is </w:t>
            </w:r>
            <w:r w:rsidR="00CF11B1">
              <w:rPr>
                <w:rFonts w:ascii="Arial" w:hAnsi="Arial" w:cs="Arial"/>
                <w:bCs/>
              </w:rPr>
              <w:t>on track from HLH perspective</w:t>
            </w:r>
            <w:r w:rsidR="000B3E4C">
              <w:rPr>
                <w:rFonts w:ascii="Arial" w:hAnsi="Arial" w:cs="Arial"/>
                <w:bCs/>
              </w:rPr>
              <w:t xml:space="preserve">. However, there are a number of maintenance issues that could lead to a deferral of the opening. The facility is of a very high specification and should prove popular once opened.  </w:t>
            </w:r>
          </w:p>
          <w:p w14:paraId="079707E8" w14:textId="4AED2FE8" w:rsidR="00996BED" w:rsidRPr="00996BED" w:rsidRDefault="00996BED" w:rsidP="00B53699">
            <w:pPr>
              <w:jc w:val="both"/>
              <w:rPr>
                <w:rFonts w:ascii="Arial" w:hAnsi="Arial" w:cs="Arial"/>
                <w:bCs/>
              </w:rPr>
            </w:pPr>
          </w:p>
        </w:tc>
      </w:tr>
      <w:tr w:rsidR="00647D1E" w:rsidRPr="0089449E" w14:paraId="4B8E130F"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6F8E2E2F" w14:textId="5378E7BB" w:rsidR="00647D1E" w:rsidRDefault="00996BED" w:rsidP="00447094">
            <w:pPr>
              <w:autoSpaceDE w:val="0"/>
              <w:autoSpaceDN w:val="0"/>
              <w:adjustRightInd w:val="0"/>
              <w:rPr>
                <w:rFonts w:ascii="Arial" w:hAnsi="Arial" w:cs="Arial"/>
                <w:b/>
              </w:rPr>
            </w:pPr>
            <w:r>
              <w:rPr>
                <w:rFonts w:ascii="Arial" w:hAnsi="Arial" w:cs="Arial"/>
                <w:b/>
              </w:rPr>
              <w:t>4.</w:t>
            </w:r>
          </w:p>
        </w:tc>
        <w:tc>
          <w:tcPr>
            <w:tcW w:w="8647" w:type="dxa"/>
          </w:tcPr>
          <w:p w14:paraId="4A3373E5" w14:textId="77777777" w:rsidR="00996BED" w:rsidRDefault="00E31BE1" w:rsidP="00E31BE1">
            <w:pPr>
              <w:jc w:val="both"/>
              <w:rPr>
                <w:rFonts w:ascii="Arial" w:hAnsi="Arial" w:cs="Arial"/>
                <w:b/>
              </w:rPr>
            </w:pPr>
            <w:r>
              <w:rPr>
                <w:rFonts w:ascii="Arial" w:hAnsi="Arial" w:cs="Arial"/>
                <w:b/>
              </w:rPr>
              <w:t xml:space="preserve">Investments </w:t>
            </w:r>
          </w:p>
          <w:p w14:paraId="3C8EC0FA" w14:textId="1A33A451" w:rsidR="00E31BE1" w:rsidRDefault="00E31BE1" w:rsidP="00E31BE1">
            <w:pPr>
              <w:jc w:val="both"/>
              <w:rPr>
                <w:rFonts w:ascii="Arial" w:hAnsi="Arial" w:cs="Arial"/>
                <w:b/>
              </w:rPr>
            </w:pPr>
          </w:p>
        </w:tc>
      </w:tr>
      <w:tr w:rsidR="00B53699" w:rsidRPr="0089449E" w14:paraId="1DD2701D"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42AD8C14" w14:textId="77777777" w:rsidR="00B53699" w:rsidRDefault="00B53699" w:rsidP="00447094">
            <w:pPr>
              <w:autoSpaceDE w:val="0"/>
              <w:autoSpaceDN w:val="0"/>
              <w:adjustRightInd w:val="0"/>
              <w:rPr>
                <w:rFonts w:ascii="Arial" w:hAnsi="Arial" w:cs="Arial"/>
              </w:rPr>
            </w:pPr>
            <w:r>
              <w:rPr>
                <w:rFonts w:ascii="Arial" w:hAnsi="Arial" w:cs="Arial"/>
              </w:rPr>
              <w:t>4.1</w:t>
            </w:r>
          </w:p>
          <w:p w14:paraId="3834A3A7" w14:textId="77777777" w:rsidR="00E31BE1" w:rsidRDefault="00E31BE1" w:rsidP="00447094">
            <w:pPr>
              <w:autoSpaceDE w:val="0"/>
              <w:autoSpaceDN w:val="0"/>
              <w:adjustRightInd w:val="0"/>
              <w:rPr>
                <w:rFonts w:ascii="Arial" w:hAnsi="Arial" w:cs="Arial"/>
              </w:rPr>
            </w:pPr>
          </w:p>
          <w:p w14:paraId="33715505" w14:textId="77777777" w:rsidR="00E31BE1" w:rsidRDefault="00E31BE1" w:rsidP="00447094">
            <w:pPr>
              <w:autoSpaceDE w:val="0"/>
              <w:autoSpaceDN w:val="0"/>
              <w:adjustRightInd w:val="0"/>
              <w:rPr>
                <w:rFonts w:ascii="Arial" w:hAnsi="Arial" w:cs="Arial"/>
              </w:rPr>
            </w:pPr>
          </w:p>
          <w:p w14:paraId="6A89FEBE" w14:textId="77777777" w:rsidR="00E31BE1" w:rsidRDefault="00E31BE1" w:rsidP="00447094">
            <w:pPr>
              <w:autoSpaceDE w:val="0"/>
              <w:autoSpaceDN w:val="0"/>
              <w:adjustRightInd w:val="0"/>
              <w:rPr>
                <w:rFonts w:ascii="Arial" w:hAnsi="Arial" w:cs="Arial"/>
              </w:rPr>
            </w:pPr>
          </w:p>
          <w:p w14:paraId="3BE2ABF2" w14:textId="77777777" w:rsidR="00244D6C" w:rsidRDefault="00244D6C" w:rsidP="00447094">
            <w:pPr>
              <w:autoSpaceDE w:val="0"/>
              <w:autoSpaceDN w:val="0"/>
              <w:adjustRightInd w:val="0"/>
              <w:rPr>
                <w:rFonts w:ascii="Arial" w:hAnsi="Arial" w:cs="Arial"/>
              </w:rPr>
            </w:pPr>
          </w:p>
          <w:p w14:paraId="41DFA5A0" w14:textId="77777777" w:rsidR="00A872F2" w:rsidRDefault="00A872F2" w:rsidP="00447094">
            <w:pPr>
              <w:autoSpaceDE w:val="0"/>
              <w:autoSpaceDN w:val="0"/>
              <w:adjustRightInd w:val="0"/>
              <w:rPr>
                <w:rFonts w:ascii="Arial" w:hAnsi="Arial" w:cs="Arial"/>
                <w:b/>
                <w:bCs/>
              </w:rPr>
            </w:pPr>
          </w:p>
          <w:p w14:paraId="5E3735F2" w14:textId="77777777" w:rsidR="00A872F2" w:rsidRDefault="00A872F2" w:rsidP="00447094">
            <w:pPr>
              <w:autoSpaceDE w:val="0"/>
              <w:autoSpaceDN w:val="0"/>
              <w:adjustRightInd w:val="0"/>
              <w:rPr>
                <w:rFonts w:ascii="Arial" w:hAnsi="Arial" w:cs="Arial"/>
                <w:b/>
                <w:bCs/>
              </w:rPr>
            </w:pPr>
          </w:p>
          <w:p w14:paraId="0F21A8C2" w14:textId="30022168" w:rsidR="00A872F2" w:rsidRDefault="00A872F2" w:rsidP="00447094">
            <w:pPr>
              <w:autoSpaceDE w:val="0"/>
              <w:autoSpaceDN w:val="0"/>
              <w:adjustRightInd w:val="0"/>
              <w:rPr>
                <w:rFonts w:ascii="Arial" w:hAnsi="Arial" w:cs="Arial"/>
                <w:b/>
                <w:bCs/>
              </w:rPr>
            </w:pPr>
          </w:p>
          <w:p w14:paraId="5CC85AF0" w14:textId="77777777" w:rsidR="009A5F85" w:rsidRDefault="009A5F85" w:rsidP="00447094">
            <w:pPr>
              <w:autoSpaceDE w:val="0"/>
              <w:autoSpaceDN w:val="0"/>
              <w:adjustRightInd w:val="0"/>
              <w:rPr>
                <w:rFonts w:ascii="Arial" w:hAnsi="Arial" w:cs="Arial"/>
                <w:b/>
                <w:bCs/>
              </w:rPr>
            </w:pPr>
          </w:p>
          <w:p w14:paraId="422757BF" w14:textId="77777777" w:rsidR="00A872F2" w:rsidRDefault="00A872F2" w:rsidP="00447094">
            <w:pPr>
              <w:autoSpaceDE w:val="0"/>
              <w:autoSpaceDN w:val="0"/>
              <w:adjustRightInd w:val="0"/>
              <w:rPr>
                <w:rFonts w:ascii="Arial" w:hAnsi="Arial" w:cs="Arial"/>
                <w:b/>
                <w:bCs/>
              </w:rPr>
            </w:pPr>
          </w:p>
          <w:p w14:paraId="50D1ED97" w14:textId="77777777" w:rsidR="00E31BE1" w:rsidRDefault="00E31BE1" w:rsidP="00447094">
            <w:pPr>
              <w:autoSpaceDE w:val="0"/>
              <w:autoSpaceDN w:val="0"/>
              <w:adjustRightInd w:val="0"/>
              <w:rPr>
                <w:rFonts w:ascii="Arial" w:hAnsi="Arial" w:cs="Arial"/>
                <w:b/>
                <w:bCs/>
              </w:rPr>
            </w:pPr>
            <w:r w:rsidRPr="00244D6C">
              <w:rPr>
                <w:rFonts w:ascii="Arial" w:hAnsi="Arial" w:cs="Arial"/>
                <w:b/>
                <w:bCs/>
              </w:rPr>
              <w:lastRenderedPageBreak/>
              <w:t>5</w:t>
            </w:r>
            <w:r w:rsidR="00244D6C">
              <w:rPr>
                <w:rFonts w:ascii="Arial" w:hAnsi="Arial" w:cs="Arial"/>
                <w:b/>
                <w:bCs/>
              </w:rPr>
              <w:t>.</w:t>
            </w:r>
          </w:p>
          <w:p w14:paraId="00A211F1" w14:textId="77777777" w:rsidR="001867F0" w:rsidRDefault="001867F0" w:rsidP="00447094">
            <w:pPr>
              <w:autoSpaceDE w:val="0"/>
              <w:autoSpaceDN w:val="0"/>
              <w:adjustRightInd w:val="0"/>
              <w:rPr>
                <w:rFonts w:ascii="Arial" w:hAnsi="Arial" w:cs="Arial"/>
                <w:b/>
                <w:bCs/>
              </w:rPr>
            </w:pPr>
          </w:p>
          <w:p w14:paraId="0E90A312" w14:textId="318E1D23" w:rsidR="001867F0" w:rsidRPr="001867F0" w:rsidRDefault="001867F0" w:rsidP="00447094">
            <w:pPr>
              <w:autoSpaceDE w:val="0"/>
              <w:autoSpaceDN w:val="0"/>
              <w:adjustRightInd w:val="0"/>
              <w:rPr>
                <w:rFonts w:ascii="Arial" w:hAnsi="Arial" w:cs="Arial"/>
              </w:rPr>
            </w:pPr>
            <w:r w:rsidRPr="001867F0">
              <w:rPr>
                <w:rFonts w:ascii="Arial" w:hAnsi="Arial" w:cs="Arial"/>
              </w:rPr>
              <w:t>5.1</w:t>
            </w:r>
          </w:p>
        </w:tc>
        <w:tc>
          <w:tcPr>
            <w:tcW w:w="8647" w:type="dxa"/>
          </w:tcPr>
          <w:p w14:paraId="7384A239" w14:textId="3515F52D" w:rsidR="00996BED" w:rsidRDefault="005940CC" w:rsidP="00050D22">
            <w:pPr>
              <w:autoSpaceDE w:val="0"/>
              <w:autoSpaceDN w:val="0"/>
              <w:adjustRightInd w:val="0"/>
              <w:jc w:val="both"/>
              <w:rPr>
                <w:rFonts w:ascii="Arial" w:hAnsi="Arial" w:cs="Arial"/>
                <w:bCs/>
              </w:rPr>
            </w:pPr>
            <w:r>
              <w:rPr>
                <w:rFonts w:ascii="Arial" w:hAnsi="Arial" w:cs="Arial"/>
                <w:bCs/>
              </w:rPr>
              <w:lastRenderedPageBreak/>
              <w:t>The inve</w:t>
            </w:r>
            <w:r w:rsidR="00966876">
              <w:rPr>
                <w:rFonts w:ascii="Arial" w:hAnsi="Arial" w:cs="Arial"/>
                <w:bCs/>
              </w:rPr>
              <w:t xml:space="preserve">stment </w:t>
            </w:r>
            <w:r>
              <w:rPr>
                <w:rFonts w:ascii="Arial" w:hAnsi="Arial" w:cs="Arial"/>
                <w:bCs/>
              </w:rPr>
              <w:t>mentioned at para</w:t>
            </w:r>
            <w:r w:rsidR="009A5F85">
              <w:rPr>
                <w:rFonts w:ascii="Arial" w:hAnsi="Arial" w:cs="Arial"/>
                <w:bCs/>
              </w:rPr>
              <w:t xml:space="preserve">graph </w:t>
            </w:r>
            <w:r>
              <w:rPr>
                <w:rFonts w:ascii="Arial" w:hAnsi="Arial" w:cs="Arial"/>
                <w:bCs/>
              </w:rPr>
              <w:t xml:space="preserve">3.1 of this report is the first of a number of </w:t>
            </w:r>
            <w:r w:rsidR="00966876">
              <w:rPr>
                <w:rFonts w:ascii="Arial" w:hAnsi="Arial" w:cs="Arial"/>
                <w:bCs/>
              </w:rPr>
              <w:t>infrastructure initiatives</w:t>
            </w:r>
            <w:r>
              <w:rPr>
                <w:rFonts w:ascii="Arial" w:hAnsi="Arial" w:cs="Arial"/>
                <w:bCs/>
              </w:rPr>
              <w:t xml:space="preserve"> that are currently being scoped. </w:t>
            </w:r>
            <w:proofErr w:type="spellStart"/>
            <w:r w:rsidR="00626CA2">
              <w:rPr>
                <w:rFonts w:ascii="Arial" w:hAnsi="Arial" w:cs="Arial"/>
                <w:b/>
              </w:rPr>
              <w:t>s</w:t>
            </w:r>
            <w:bookmarkStart w:id="0" w:name="_GoBack"/>
            <w:bookmarkEnd w:id="0"/>
            <w:r w:rsidR="00996BED" w:rsidRPr="00E31BE1">
              <w:rPr>
                <w:rFonts w:ascii="Arial" w:hAnsi="Arial" w:cs="Arial"/>
                <w:b/>
              </w:rPr>
              <w:t>port</w:t>
            </w:r>
            <w:r w:rsidR="00996BED" w:rsidRPr="00966876">
              <w:rPr>
                <w:rFonts w:ascii="Arial" w:hAnsi="Arial" w:cs="Arial"/>
                <w:bCs/>
              </w:rPr>
              <w:t>s</w:t>
            </w:r>
            <w:r w:rsidR="00996BED" w:rsidRPr="00996BED">
              <w:rPr>
                <w:rFonts w:ascii="Arial" w:hAnsi="Arial" w:cs="Arial"/>
                <w:bCs/>
              </w:rPr>
              <w:t>cotland</w:t>
            </w:r>
            <w:proofErr w:type="spellEnd"/>
            <w:r w:rsidR="000176E2">
              <w:rPr>
                <w:rFonts w:ascii="Arial" w:hAnsi="Arial" w:cs="Arial"/>
                <w:bCs/>
              </w:rPr>
              <w:t xml:space="preserve"> </w:t>
            </w:r>
            <w:r w:rsidR="00966876">
              <w:rPr>
                <w:rFonts w:ascii="Arial" w:hAnsi="Arial" w:cs="Arial"/>
                <w:bCs/>
              </w:rPr>
              <w:t xml:space="preserve">is keen to invest in a number of Highland-based projects.  The strong covenant that HLH brings to the sustainability of developments is a key factor in securing </w:t>
            </w:r>
            <w:proofErr w:type="spellStart"/>
            <w:r w:rsidR="00966876" w:rsidRPr="00E31BE1">
              <w:rPr>
                <w:rFonts w:ascii="Arial" w:hAnsi="Arial" w:cs="Arial"/>
                <w:b/>
              </w:rPr>
              <w:t>sport</w:t>
            </w:r>
            <w:r w:rsidR="00966876">
              <w:rPr>
                <w:rFonts w:ascii="Arial" w:hAnsi="Arial" w:cs="Arial"/>
                <w:bCs/>
              </w:rPr>
              <w:t>scotland</w:t>
            </w:r>
            <w:proofErr w:type="spellEnd"/>
            <w:r w:rsidR="00966876">
              <w:rPr>
                <w:rFonts w:ascii="Arial" w:hAnsi="Arial" w:cs="Arial"/>
                <w:bCs/>
              </w:rPr>
              <w:t xml:space="preserve"> investment. However, the importance of partnership collaboration cannot be underestimated</w:t>
            </w:r>
            <w:r w:rsidR="005732B8">
              <w:rPr>
                <w:rFonts w:ascii="Arial" w:hAnsi="Arial" w:cs="Arial"/>
                <w:bCs/>
              </w:rPr>
              <w:t>,</w:t>
            </w:r>
            <w:r w:rsidR="00966876">
              <w:rPr>
                <w:rFonts w:ascii="Arial" w:hAnsi="Arial" w:cs="Arial"/>
                <w:bCs/>
              </w:rPr>
              <w:t xml:space="preserve"> with THC, HIE and UHI all </w:t>
            </w:r>
            <w:r w:rsidR="005732B8">
              <w:rPr>
                <w:rFonts w:ascii="Arial" w:hAnsi="Arial" w:cs="Arial"/>
                <w:bCs/>
              </w:rPr>
              <w:t>having a</w:t>
            </w:r>
            <w:r w:rsidR="00966876">
              <w:rPr>
                <w:rFonts w:ascii="Arial" w:hAnsi="Arial" w:cs="Arial"/>
                <w:bCs/>
              </w:rPr>
              <w:t xml:space="preserve"> major role to play in</w:t>
            </w:r>
            <w:r w:rsidR="005732B8">
              <w:rPr>
                <w:rFonts w:ascii="Arial" w:hAnsi="Arial" w:cs="Arial"/>
                <w:bCs/>
              </w:rPr>
              <w:t xml:space="preserve"> achieving consensus with respect to priorities. Initial meetings have been held and the signs are encouraging. </w:t>
            </w:r>
            <w:r w:rsidR="00966876">
              <w:rPr>
                <w:rFonts w:ascii="Arial" w:hAnsi="Arial" w:cs="Arial"/>
                <w:bCs/>
              </w:rPr>
              <w:t xml:space="preserve"> </w:t>
            </w:r>
          </w:p>
          <w:p w14:paraId="047AAA21" w14:textId="0A01B6F3" w:rsidR="00996BED" w:rsidRDefault="00996BED" w:rsidP="00050D22">
            <w:pPr>
              <w:autoSpaceDE w:val="0"/>
              <w:autoSpaceDN w:val="0"/>
              <w:adjustRightInd w:val="0"/>
              <w:jc w:val="both"/>
              <w:rPr>
                <w:rFonts w:ascii="Arial" w:hAnsi="Arial" w:cs="Arial"/>
                <w:bCs/>
              </w:rPr>
            </w:pPr>
          </w:p>
          <w:p w14:paraId="7ED44258" w14:textId="77777777" w:rsidR="009A5F85" w:rsidRDefault="009A5F85" w:rsidP="00050D22">
            <w:pPr>
              <w:autoSpaceDE w:val="0"/>
              <w:autoSpaceDN w:val="0"/>
              <w:adjustRightInd w:val="0"/>
              <w:jc w:val="both"/>
              <w:rPr>
                <w:rFonts w:ascii="Arial" w:hAnsi="Arial" w:cs="Arial"/>
                <w:bCs/>
              </w:rPr>
            </w:pPr>
          </w:p>
          <w:p w14:paraId="78167A90" w14:textId="6B1DAC5C" w:rsidR="00E31BE1" w:rsidRPr="00E31BE1" w:rsidRDefault="00E31BE1" w:rsidP="00050D22">
            <w:pPr>
              <w:autoSpaceDE w:val="0"/>
              <w:autoSpaceDN w:val="0"/>
              <w:adjustRightInd w:val="0"/>
              <w:jc w:val="both"/>
              <w:rPr>
                <w:rFonts w:ascii="Arial" w:hAnsi="Arial" w:cs="Arial"/>
                <w:b/>
              </w:rPr>
            </w:pPr>
            <w:r w:rsidRPr="00E31BE1">
              <w:rPr>
                <w:rFonts w:ascii="Arial" w:hAnsi="Arial" w:cs="Arial"/>
                <w:b/>
              </w:rPr>
              <w:lastRenderedPageBreak/>
              <w:t>Partnerships</w:t>
            </w:r>
          </w:p>
          <w:p w14:paraId="4C606D88" w14:textId="77777777" w:rsidR="00E31BE1" w:rsidRDefault="00E31BE1" w:rsidP="00050D22">
            <w:pPr>
              <w:autoSpaceDE w:val="0"/>
              <w:autoSpaceDN w:val="0"/>
              <w:adjustRightInd w:val="0"/>
              <w:jc w:val="both"/>
              <w:rPr>
                <w:rFonts w:ascii="Arial" w:hAnsi="Arial" w:cs="Arial"/>
                <w:bCs/>
              </w:rPr>
            </w:pPr>
          </w:p>
          <w:p w14:paraId="638BBEDB" w14:textId="591CF45D" w:rsidR="001867F0" w:rsidRPr="009A5F85" w:rsidRDefault="001867F0" w:rsidP="00050D22">
            <w:pPr>
              <w:autoSpaceDE w:val="0"/>
              <w:autoSpaceDN w:val="0"/>
              <w:adjustRightInd w:val="0"/>
              <w:jc w:val="both"/>
              <w:rPr>
                <w:rFonts w:ascii="Arial" w:hAnsi="Arial" w:cs="Arial"/>
                <w:bCs/>
                <w:u w:val="single"/>
              </w:rPr>
            </w:pPr>
            <w:r w:rsidRPr="009A5F85">
              <w:rPr>
                <w:rFonts w:ascii="Arial" w:hAnsi="Arial" w:cs="Arial"/>
                <w:bCs/>
                <w:u w:val="single"/>
              </w:rPr>
              <w:t>Sport and Leisure</w:t>
            </w:r>
          </w:p>
          <w:p w14:paraId="2B314FE3" w14:textId="2A56EB40" w:rsidR="001867F0" w:rsidRPr="00996BED" w:rsidRDefault="001867F0" w:rsidP="00050D22">
            <w:pPr>
              <w:autoSpaceDE w:val="0"/>
              <w:autoSpaceDN w:val="0"/>
              <w:adjustRightInd w:val="0"/>
              <w:jc w:val="both"/>
              <w:rPr>
                <w:rFonts w:ascii="Arial" w:hAnsi="Arial" w:cs="Arial"/>
                <w:bCs/>
              </w:rPr>
            </w:pPr>
          </w:p>
        </w:tc>
      </w:tr>
      <w:tr w:rsidR="00A129BC" w:rsidRPr="0089449E" w14:paraId="2A62E81C"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50F85CD6" w14:textId="1587EA2D" w:rsidR="00A129BC" w:rsidRDefault="00E31BE1" w:rsidP="00447094">
            <w:pPr>
              <w:autoSpaceDE w:val="0"/>
              <w:autoSpaceDN w:val="0"/>
              <w:adjustRightInd w:val="0"/>
              <w:rPr>
                <w:rFonts w:ascii="Arial" w:hAnsi="Arial" w:cs="Arial"/>
              </w:rPr>
            </w:pPr>
            <w:r>
              <w:rPr>
                <w:rFonts w:ascii="Arial" w:hAnsi="Arial" w:cs="Arial"/>
              </w:rPr>
              <w:lastRenderedPageBreak/>
              <w:t>5</w:t>
            </w:r>
            <w:r w:rsidR="00A129BC" w:rsidRPr="00A129BC">
              <w:rPr>
                <w:rFonts w:ascii="Arial" w:hAnsi="Arial" w:cs="Arial"/>
              </w:rPr>
              <w:t>.</w:t>
            </w:r>
            <w:r>
              <w:rPr>
                <w:rFonts w:ascii="Arial" w:hAnsi="Arial" w:cs="Arial"/>
              </w:rPr>
              <w:t>1</w:t>
            </w:r>
            <w:r w:rsidR="00A872F2">
              <w:rPr>
                <w:rFonts w:ascii="Arial" w:hAnsi="Arial" w:cs="Arial"/>
              </w:rPr>
              <w:t>.</w:t>
            </w:r>
            <w:r w:rsidR="009A5F85">
              <w:rPr>
                <w:rFonts w:ascii="Arial" w:hAnsi="Arial" w:cs="Arial"/>
              </w:rPr>
              <w:t>1</w:t>
            </w:r>
          </w:p>
          <w:p w14:paraId="392B9653" w14:textId="77777777" w:rsidR="00EC0D99" w:rsidRDefault="00EC0D99" w:rsidP="00447094">
            <w:pPr>
              <w:autoSpaceDE w:val="0"/>
              <w:autoSpaceDN w:val="0"/>
              <w:adjustRightInd w:val="0"/>
              <w:rPr>
                <w:rFonts w:ascii="Arial" w:hAnsi="Arial" w:cs="Arial"/>
              </w:rPr>
            </w:pPr>
          </w:p>
          <w:p w14:paraId="30D5B9F0" w14:textId="77777777" w:rsidR="00EC0D99" w:rsidRDefault="00EC0D99" w:rsidP="00447094">
            <w:pPr>
              <w:autoSpaceDE w:val="0"/>
              <w:autoSpaceDN w:val="0"/>
              <w:adjustRightInd w:val="0"/>
              <w:rPr>
                <w:rFonts w:ascii="Arial" w:hAnsi="Arial" w:cs="Arial"/>
              </w:rPr>
            </w:pPr>
          </w:p>
          <w:p w14:paraId="5E95A15E" w14:textId="77777777" w:rsidR="00EC0D99" w:rsidRDefault="00EC0D99" w:rsidP="00447094">
            <w:pPr>
              <w:autoSpaceDE w:val="0"/>
              <w:autoSpaceDN w:val="0"/>
              <w:adjustRightInd w:val="0"/>
              <w:rPr>
                <w:rFonts w:ascii="Arial" w:hAnsi="Arial" w:cs="Arial"/>
              </w:rPr>
            </w:pPr>
          </w:p>
          <w:p w14:paraId="4E9A0E66" w14:textId="77777777" w:rsidR="00EC0D99" w:rsidRDefault="00EC0D99" w:rsidP="00447094">
            <w:pPr>
              <w:autoSpaceDE w:val="0"/>
              <w:autoSpaceDN w:val="0"/>
              <w:adjustRightInd w:val="0"/>
              <w:rPr>
                <w:rFonts w:ascii="Arial" w:hAnsi="Arial" w:cs="Arial"/>
              </w:rPr>
            </w:pPr>
          </w:p>
          <w:p w14:paraId="08D242F1" w14:textId="77777777" w:rsidR="00EC0D99" w:rsidRDefault="00EC0D99" w:rsidP="00447094">
            <w:pPr>
              <w:autoSpaceDE w:val="0"/>
              <w:autoSpaceDN w:val="0"/>
              <w:adjustRightInd w:val="0"/>
              <w:rPr>
                <w:rFonts w:ascii="Arial" w:hAnsi="Arial" w:cs="Arial"/>
              </w:rPr>
            </w:pPr>
          </w:p>
          <w:p w14:paraId="21493596" w14:textId="77777777" w:rsidR="00EC0D99" w:rsidRDefault="00EC0D99" w:rsidP="00447094">
            <w:pPr>
              <w:autoSpaceDE w:val="0"/>
              <w:autoSpaceDN w:val="0"/>
              <w:adjustRightInd w:val="0"/>
              <w:rPr>
                <w:rFonts w:ascii="Arial" w:hAnsi="Arial" w:cs="Arial"/>
              </w:rPr>
            </w:pPr>
          </w:p>
          <w:p w14:paraId="6D0026B3" w14:textId="77777777" w:rsidR="00EC0D99" w:rsidRDefault="00EC0D99" w:rsidP="00447094">
            <w:pPr>
              <w:autoSpaceDE w:val="0"/>
              <w:autoSpaceDN w:val="0"/>
              <w:adjustRightInd w:val="0"/>
              <w:rPr>
                <w:rFonts w:ascii="Arial" w:hAnsi="Arial" w:cs="Arial"/>
              </w:rPr>
            </w:pPr>
          </w:p>
          <w:p w14:paraId="688A7A1D" w14:textId="77777777" w:rsidR="00EC0D99" w:rsidRDefault="00EC0D99" w:rsidP="00447094">
            <w:pPr>
              <w:autoSpaceDE w:val="0"/>
              <w:autoSpaceDN w:val="0"/>
              <w:adjustRightInd w:val="0"/>
              <w:rPr>
                <w:rFonts w:ascii="Arial" w:hAnsi="Arial" w:cs="Arial"/>
              </w:rPr>
            </w:pPr>
          </w:p>
          <w:p w14:paraId="5707AC39" w14:textId="77777777" w:rsidR="00EC0D99" w:rsidRDefault="00EC0D99" w:rsidP="00447094">
            <w:pPr>
              <w:autoSpaceDE w:val="0"/>
              <w:autoSpaceDN w:val="0"/>
              <w:adjustRightInd w:val="0"/>
              <w:rPr>
                <w:rFonts w:ascii="Arial" w:hAnsi="Arial" w:cs="Arial"/>
              </w:rPr>
            </w:pPr>
          </w:p>
          <w:p w14:paraId="746A6DE1" w14:textId="77777777" w:rsidR="00EC0D99" w:rsidRDefault="00EC0D99" w:rsidP="00447094">
            <w:pPr>
              <w:autoSpaceDE w:val="0"/>
              <w:autoSpaceDN w:val="0"/>
              <w:adjustRightInd w:val="0"/>
              <w:rPr>
                <w:rFonts w:ascii="Arial" w:hAnsi="Arial" w:cs="Arial"/>
              </w:rPr>
            </w:pPr>
          </w:p>
          <w:p w14:paraId="726E4D7A" w14:textId="47958DE0" w:rsidR="00EC0D99" w:rsidRDefault="00EC0D99" w:rsidP="00447094">
            <w:pPr>
              <w:autoSpaceDE w:val="0"/>
              <w:autoSpaceDN w:val="0"/>
              <w:adjustRightInd w:val="0"/>
              <w:rPr>
                <w:rFonts w:ascii="Arial" w:hAnsi="Arial" w:cs="Arial"/>
              </w:rPr>
            </w:pPr>
            <w:r>
              <w:rPr>
                <w:rFonts w:ascii="Arial" w:hAnsi="Arial" w:cs="Arial"/>
              </w:rPr>
              <w:t>5.</w:t>
            </w:r>
            <w:r w:rsidR="009A5F85">
              <w:rPr>
                <w:rFonts w:ascii="Arial" w:hAnsi="Arial" w:cs="Arial"/>
              </w:rPr>
              <w:t>2</w:t>
            </w:r>
          </w:p>
          <w:p w14:paraId="556D9A51" w14:textId="77777777" w:rsidR="003263F9" w:rsidRDefault="003263F9" w:rsidP="00447094">
            <w:pPr>
              <w:autoSpaceDE w:val="0"/>
              <w:autoSpaceDN w:val="0"/>
              <w:adjustRightInd w:val="0"/>
              <w:rPr>
                <w:rFonts w:ascii="Arial" w:hAnsi="Arial" w:cs="Arial"/>
              </w:rPr>
            </w:pPr>
          </w:p>
          <w:p w14:paraId="208C8C73" w14:textId="2D6A39E6" w:rsidR="003263F9" w:rsidRDefault="003263F9" w:rsidP="00447094">
            <w:pPr>
              <w:autoSpaceDE w:val="0"/>
              <w:autoSpaceDN w:val="0"/>
              <w:adjustRightInd w:val="0"/>
              <w:rPr>
                <w:rFonts w:ascii="Arial" w:hAnsi="Arial" w:cs="Arial"/>
              </w:rPr>
            </w:pPr>
            <w:r>
              <w:rPr>
                <w:rFonts w:ascii="Arial" w:hAnsi="Arial" w:cs="Arial"/>
              </w:rPr>
              <w:t>5.2.</w:t>
            </w:r>
            <w:r w:rsidR="009A5F85">
              <w:rPr>
                <w:rFonts w:ascii="Arial" w:hAnsi="Arial" w:cs="Arial"/>
              </w:rPr>
              <w:t>1</w:t>
            </w:r>
          </w:p>
          <w:p w14:paraId="30B279E9" w14:textId="77777777" w:rsidR="001867F0" w:rsidRDefault="001867F0" w:rsidP="00447094">
            <w:pPr>
              <w:autoSpaceDE w:val="0"/>
              <w:autoSpaceDN w:val="0"/>
              <w:adjustRightInd w:val="0"/>
              <w:rPr>
                <w:rFonts w:ascii="Arial" w:hAnsi="Arial" w:cs="Arial"/>
              </w:rPr>
            </w:pPr>
          </w:p>
          <w:p w14:paraId="560DDDFD" w14:textId="77777777" w:rsidR="001867F0" w:rsidRDefault="001867F0" w:rsidP="00447094">
            <w:pPr>
              <w:autoSpaceDE w:val="0"/>
              <w:autoSpaceDN w:val="0"/>
              <w:adjustRightInd w:val="0"/>
              <w:rPr>
                <w:rFonts w:ascii="Arial" w:hAnsi="Arial" w:cs="Arial"/>
              </w:rPr>
            </w:pPr>
          </w:p>
          <w:p w14:paraId="3835B54A" w14:textId="77777777" w:rsidR="001867F0" w:rsidRDefault="001867F0" w:rsidP="00447094">
            <w:pPr>
              <w:autoSpaceDE w:val="0"/>
              <w:autoSpaceDN w:val="0"/>
              <w:adjustRightInd w:val="0"/>
              <w:rPr>
                <w:rFonts w:ascii="Arial" w:hAnsi="Arial" w:cs="Arial"/>
              </w:rPr>
            </w:pPr>
          </w:p>
          <w:p w14:paraId="540D5A77" w14:textId="77777777" w:rsidR="001867F0" w:rsidRDefault="001867F0" w:rsidP="00447094">
            <w:pPr>
              <w:autoSpaceDE w:val="0"/>
              <w:autoSpaceDN w:val="0"/>
              <w:adjustRightInd w:val="0"/>
              <w:rPr>
                <w:rFonts w:ascii="Arial" w:hAnsi="Arial" w:cs="Arial"/>
              </w:rPr>
            </w:pPr>
          </w:p>
          <w:p w14:paraId="03EBB7E7" w14:textId="77777777" w:rsidR="001867F0" w:rsidRDefault="001867F0" w:rsidP="00447094">
            <w:pPr>
              <w:autoSpaceDE w:val="0"/>
              <w:autoSpaceDN w:val="0"/>
              <w:adjustRightInd w:val="0"/>
              <w:rPr>
                <w:rFonts w:ascii="Arial" w:hAnsi="Arial" w:cs="Arial"/>
              </w:rPr>
            </w:pPr>
          </w:p>
          <w:p w14:paraId="2D23C84D" w14:textId="19BA85CD" w:rsidR="001867F0" w:rsidRPr="00A129BC" w:rsidRDefault="001867F0" w:rsidP="00447094">
            <w:pPr>
              <w:autoSpaceDE w:val="0"/>
              <w:autoSpaceDN w:val="0"/>
              <w:adjustRightInd w:val="0"/>
              <w:rPr>
                <w:rFonts w:ascii="Arial" w:hAnsi="Arial" w:cs="Arial"/>
              </w:rPr>
            </w:pPr>
            <w:r>
              <w:rPr>
                <w:rFonts w:ascii="Arial" w:hAnsi="Arial" w:cs="Arial"/>
              </w:rPr>
              <w:t>5.2.</w:t>
            </w:r>
            <w:r w:rsidR="009A5F85">
              <w:rPr>
                <w:rFonts w:ascii="Arial" w:hAnsi="Arial" w:cs="Arial"/>
              </w:rPr>
              <w:t>2</w:t>
            </w:r>
          </w:p>
        </w:tc>
        <w:tc>
          <w:tcPr>
            <w:tcW w:w="8647" w:type="dxa"/>
          </w:tcPr>
          <w:p w14:paraId="228F915C" w14:textId="5CC479E2" w:rsidR="00C9292D" w:rsidRDefault="005732B8" w:rsidP="00C9292D">
            <w:pPr>
              <w:autoSpaceDE w:val="0"/>
              <w:autoSpaceDN w:val="0"/>
              <w:adjustRightInd w:val="0"/>
              <w:jc w:val="both"/>
              <w:rPr>
                <w:rFonts w:ascii="Arial" w:hAnsi="Arial" w:cs="Arial"/>
                <w:bCs/>
              </w:rPr>
            </w:pPr>
            <w:r>
              <w:rPr>
                <w:rFonts w:ascii="Arial" w:hAnsi="Arial" w:cs="Arial"/>
                <w:bCs/>
              </w:rPr>
              <w:t xml:space="preserve">Our Director of Sport and Leisure has been working hard to establish strategic partnerships with successful organisations that share values with HLH.  The relationship with Inverness Harriers is on a strong footing, as is the close relationships with swimming clubs, with a smooth transition to re-opening particularly noteworthy. Recent alterations to pitch layouts at the </w:t>
            </w:r>
            <w:proofErr w:type="spellStart"/>
            <w:r>
              <w:rPr>
                <w:rFonts w:ascii="Arial" w:hAnsi="Arial" w:cs="Arial"/>
                <w:bCs/>
              </w:rPr>
              <w:t>Bught</w:t>
            </w:r>
            <w:proofErr w:type="spellEnd"/>
            <w:r>
              <w:rPr>
                <w:rFonts w:ascii="Arial" w:hAnsi="Arial" w:cs="Arial"/>
                <w:bCs/>
              </w:rPr>
              <w:t xml:space="preserve"> Park, coupled to</w:t>
            </w:r>
            <w:r w:rsidR="00C9292D">
              <w:rPr>
                <w:rFonts w:ascii="Arial" w:hAnsi="Arial" w:cs="Arial"/>
                <w:bCs/>
              </w:rPr>
              <w:t xml:space="preserve"> potential investment from the </w:t>
            </w:r>
            <w:proofErr w:type="spellStart"/>
            <w:r w:rsidR="00C9292D" w:rsidRPr="00E31BE1">
              <w:rPr>
                <w:rFonts w:ascii="Arial" w:hAnsi="Arial" w:cs="Arial"/>
                <w:b/>
              </w:rPr>
              <w:t>sport</w:t>
            </w:r>
            <w:r w:rsidR="00C9292D">
              <w:rPr>
                <w:rFonts w:ascii="Arial" w:hAnsi="Arial" w:cs="Arial"/>
                <w:bCs/>
              </w:rPr>
              <w:t>scotland</w:t>
            </w:r>
            <w:proofErr w:type="spellEnd"/>
            <w:r w:rsidR="00C9292D">
              <w:rPr>
                <w:rFonts w:ascii="Arial" w:hAnsi="Arial" w:cs="Arial"/>
                <w:bCs/>
              </w:rPr>
              <w:t xml:space="preserve"> Covid-19 recovery fund to improve changing facilities has led to a significant improvement in relationships with the </w:t>
            </w:r>
            <w:r w:rsidR="00996BED" w:rsidRPr="00996BED">
              <w:rPr>
                <w:rFonts w:ascii="Arial" w:hAnsi="Arial" w:cs="Arial"/>
                <w:bCs/>
              </w:rPr>
              <w:t>Camanachd Association</w:t>
            </w:r>
            <w:r w:rsidR="00C9292D">
              <w:rPr>
                <w:rFonts w:ascii="Arial" w:hAnsi="Arial" w:cs="Arial"/>
                <w:bCs/>
              </w:rPr>
              <w:t xml:space="preserve">. </w:t>
            </w:r>
            <w:r w:rsidR="00F04DDD">
              <w:rPr>
                <w:rFonts w:ascii="Arial" w:hAnsi="Arial" w:cs="Arial"/>
                <w:bCs/>
              </w:rPr>
              <w:t xml:space="preserve"> </w:t>
            </w:r>
            <w:r w:rsidR="00C9292D">
              <w:rPr>
                <w:rFonts w:ascii="Arial" w:hAnsi="Arial" w:cs="Arial"/>
                <w:bCs/>
              </w:rPr>
              <w:t>Next steps will be to enter into strategic partnerships with some of these organisations in order to promote participation and elite athlete development.</w:t>
            </w:r>
          </w:p>
          <w:p w14:paraId="7884C716" w14:textId="5669EE96" w:rsidR="00EC0D99" w:rsidRDefault="00EC0D99" w:rsidP="00C9292D">
            <w:pPr>
              <w:autoSpaceDE w:val="0"/>
              <w:autoSpaceDN w:val="0"/>
              <w:adjustRightInd w:val="0"/>
              <w:jc w:val="both"/>
              <w:rPr>
                <w:rFonts w:ascii="Arial" w:hAnsi="Arial" w:cs="Arial"/>
                <w:bCs/>
              </w:rPr>
            </w:pPr>
          </w:p>
          <w:p w14:paraId="38F2D379" w14:textId="3D2BD6A6" w:rsidR="001867F0" w:rsidRPr="009A5F85" w:rsidRDefault="001867F0" w:rsidP="00C9292D">
            <w:pPr>
              <w:autoSpaceDE w:val="0"/>
              <w:autoSpaceDN w:val="0"/>
              <w:adjustRightInd w:val="0"/>
              <w:jc w:val="both"/>
              <w:rPr>
                <w:rFonts w:ascii="Arial" w:hAnsi="Arial" w:cs="Arial"/>
                <w:bCs/>
                <w:u w:val="single"/>
              </w:rPr>
            </w:pPr>
            <w:r w:rsidRPr="009A5F85">
              <w:rPr>
                <w:rFonts w:ascii="Arial" w:hAnsi="Arial" w:cs="Arial"/>
                <w:bCs/>
                <w:u w:val="single"/>
              </w:rPr>
              <w:t xml:space="preserve">Events and Festivals </w:t>
            </w:r>
          </w:p>
          <w:p w14:paraId="77CFA145" w14:textId="77777777" w:rsidR="001867F0" w:rsidRDefault="001867F0" w:rsidP="00C9292D">
            <w:pPr>
              <w:autoSpaceDE w:val="0"/>
              <w:autoSpaceDN w:val="0"/>
              <w:adjustRightInd w:val="0"/>
              <w:jc w:val="both"/>
              <w:rPr>
                <w:rFonts w:ascii="Arial" w:hAnsi="Arial" w:cs="Arial"/>
                <w:bCs/>
              </w:rPr>
            </w:pPr>
          </w:p>
          <w:p w14:paraId="2ED5B5A5" w14:textId="0A49FD01" w:rsidR="003263F9" w:rsidRDefault="00A872F2" w:rsidP="00C9292D">
            <w:pPr>
              <w:autoSpaceDE w:val="0"/>
              <w:autoSpaceDN w:val="0"/>
              <w:adjustRightInd w:val="0"/>
              <w:jc w:val="both"/>
              <w:rPr>
                <w:rFonts w:ascii="Arial" w:hAnsi="Arial" w:cs="Arial"/>
                <w:bCs/>
              </w:rPr>
            </w:pPr>
            <w:r>
              <w:rPr>
                <w:rFonts w:ascii="Arial" w:hAnsi="Arial" w:cs="Arial"/>
                <w:bCs/>
              </w:rPr>
              <w:t>Discussions are ongoing with THC officers with respect to the Inverness Common Good Events and Festivals Programme. Recent</w:t>
            </w:r>
            <w:r w:rsidR="003263F9">
              <w:rPr>
                <w:rFonts w:ascii="Arial" w:hAnsi="Arial" w:cs="Arial"/>
                <w:bCs/>
              </w:rPr>
              <w:t xml:space="preserve"> turnover of key personnel has put future programming at risk, </w:t>
            </w:r>
            <w:r w:rsidR="00465AD1">
              <w:rPr>
                <w:rFonts w:ascii="Arial" w:hAnsi="Arial" w:cs="Arial"/>
                <w:bCs/>
              </w:rPr>
              <w:t xml:space="preserve">given this, </w:t>
            </w:r>
            <w:r w:rsidR="003263F9">
              <w:rPr>
                <w:rFonts w:ascii="Arial" w:hAnsi="Arial" w:cs="Arial"/>
                <w:bCs/>
              </w:rPr>
              <w:t xml:space="preserve">a project has been set up to determine a way forward, with both HLH and Eden Court engaged with THC as key partners. </w:t>
            </w:r>
          </w:p>
          <w:p w14:paraId="1E5804A6" w14:textId="77777777" w:rsidR="003263F9" w:rsidRDefault="003263F9" w:rsidP="00C9292D">
            <w:pPr>
              <w:autoSpaceDE w:val="0"/>
              <w:autoSpaceDN w:val="0"/>
              <w:adjustRightInd w:val="0"/>
              <w:jc w:val="both"/>
              <w:rPr>
                <w:rFonts w:ascii="Arial" w:hAnsi="Arial" w:cs="Arial"/>
                <w:bCs/>
              </w:rPr>
            </w:pPr>
          </w:p>
          <w:p w14:paraId="0C667C46" w14:textId="36B720B5" w:rsidR="00EC0D99" w:rsidRPr="00996BED" w:rsidRDefault="00BB15FF" w:rsidP="00C9292D">
            <w:pPr>
              <w:autoSpaceDE w:val="0"/>
              <w:autoSpaceDN w:val="0"/>
              <w:adjustRightInd w:val="0"/>
              <w:jc w:val="both"/>
              <w:rPr>
                <w:rFonts w:ascii="Arial" w:hAnsi="Arial" w:cs="Arial"/>
                <w:bCs/>
              </w:rPr>
            </w:pPr>
            <w:r>
              <w:rPr>
                <w:rFonts w:ascii="Arial" w:hAnsi="Arial" w:cs="Arial"/>
                <w:bCs/>
              </w:rPr>
              <w:t>Although leading such a high-profile series of public events is in many ways an ex</w:t>
            </w:r>
            <w:r w:rsidR="00465AD1">
              <w:rPr>
                <w:rFonts w:ascii="Arial" w:hAnsi="Arial" w:cs="Arial"/>
                <w:bCs/>
              </w:rPr>
              <w:t>c</w:t>
            </w:r>
            <w:r>
              <w:rPr>
                <w:rFonts w:ascii="Arial" w:hAnsi="Arial" w:cs="Arial"/>
                <w:bCs/>
              </w:rPr>
              <w:t>iting prospect</w:t>
            </w:r>
            <w:r w:rsidR="009A5F85">
              <w:rPr>
                <w:rFonts w:ascii="Arial" w:hAnsi="Arial" w:cs="Arial"/>
                <w:bCs/>
              </w:rPr>
              <w:t>, there is h</w:t>
            </w:r>
            <w:r w:rsidR="000B2503">
              <w:rPr>
                <w:rFonts w:ascii="Arial" w:hAnsi="Arial" w:cs="Arial"/>
                <w:bCs/>
              </w:rPr>
              <w:t xml:space="preserve">owever, </w:t>
            </w:r>
            <w:r w:rsidR="00465AD1">
              <w:rPr>
                <w:rFonts w:ascii="Arial" w:hAnsi="Arial" w:cs="Arial"/>
                <w:bCs/>
              </w:rPr>
              <w:t>i</w:t>
            </w:r>
            <w:r w:rsidR="003263F9">
              <w:rPr>
                <w:rFonts w:ascii="Arial" w:hAnsi="Arial" w:cs="Arial"/>
                <w:bCs/>
              </w:rPr>
              <w:t xml:space="preserve">n the post-pandemic environment, </w:t>
            </w:r>
            <w:r w:rsidR="009A5F85">
              <w:rPr>
                <w:rFonts w:ascii="Arial" w:hAnsi="Arial" w:cs="Arial"/>
                <w:bCs/>
              </w:rPr>
              <w:t>a</w:t>
            </w:r>
            <w:r w:rsidR="003263F9">
              <w:rPr>
                <w:rFonts w:ascii="Arial" w:hAnsi="Arial" w:cs="Arial"/>
                <w:bCs/>
              </w:rPr>
              <w:t xml:space="preserve"> number of risks associated with the future of events and festivals</w:t>
            </w:r>
            <w:r w:rsidR="000B2503">
              <w:rPr>
                <w:rFonts w:ascii="Arial" w:hAnsi="Arial" w:cs="Arial"/>
                <w:bCs/>
              </w:rPr>
              <w:t>, not least the lack of time to put in place any arrangements for the 21/22 events season.</w:t>
            </w:r>
            <w:r w:rsidR="003263F9">
              <w:rPr>
                <w:rFonts w:ascii="Arial" w:hAnsi="Arial" w:cs="Arial"/>
                <w:bCs/>
              </w:rPr>
              <w:t xml:space="preserve"> HLH has been asked to present draft proposals to Inverness Councillors in early December. Given the context and level of potential financial exposure associated with </w:t>
            </w:r>
            <w:r w:rsidR="00465AD1">
              <w:rPr>
                <w:rFonts w:ascii="Arial" w:hAnsi="Arial" w:cs="Arial"/>
                <w:bCs/>
              </w:rPr>
              <w:t>any</w:t>
            </w:r>
            <w:r w:rsidR="003263F9">
              <w:rPr>
                <w:rFonts w:ascii="Arial" w:hAnsi="Arial" w:cs="Arial"/>
                <w:bCs/>
              </w:rPr>
              <w:t xml:space="preserve"> service level agreement, no commitment will be made without </w:t>
            </w:r>
            <w:r w:rsidR="001A3606">
              <w:rPr>
                <w:rFonts w:ascii="Arial" w:hAnsi="Arial" w:cs="Arial"/>
                <w:bCs/>
              </w:rPr>
              <w:t xml:space="preserve">first seeking </w:t>
            </w:r>
            <w:r w:rsidR="003263F9">
              <w:rPr>
                <w:rFonts w:ascii="Arial" w:hAnsi="Arial" w:cs="Arial"/>
                <w:bCs/>
              </w:rPr>
              <w:t xml:space="preserve">formal approval from the HLH Board.  </w:t>
            </w:r>
            <w:r w:rsidR="00A872F2">
              <w:rPr>
                <w:rFonts w:ascii="Arial" w:hAnsi="Arial" w:cs="Arial"/>
                <w:bCs/>
              </w:rPr>
              <w:t xml:space="preserve"> </w:t>
            </w:r>
          </w:p>
          <w:p w14:paraId="4DB4C128" w14:textId="4E314091" w:rsidR="00996BED" w:rsidRPr="00996BED" w:rsidRDefault="00996BED" w:rsidP="00C9292D">
            <w:pPr>
              <w:autoSpaceDE w:val="0"/>
              <w:autoSpaceDN w:val="0"/>
              <w:adjustRightInd w:val="0"/>
              <w:jc w:val="both"/>
              <w:rPr>
                <w:rFonts w:ascii="Arial" w:hAnsi="Arial" w:cs="Arial"/>
                <w:bCs/>
              </w:rPr>
            </w:pPr>
          </w:p>
        </w:tc>
      </w:tr>
      <w:tr w:rsidR="00996BED" w:rsidRPr="0089449E" w14:paraId="249CCFED"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5165F69F" w14:textId="34E333B0" w:rsidR="00996BED" w:rsidRPr="00686F70" w:rsidRDefault="00E31BE1" w:rsidP="00447094">
            <w:pPr>
              <w:autoSpaceDE w:val="0"/>
              <w:autoSpaceDN w:val="0"/>
              <w:adjustRightInd w:val="0"/>
              <w:rPr>
                <w:rFonts w:ascii="Arial" w:hAnsi="Arial" w:cs="Arial"/>
                <w:b/>
                <w:bCs/>
              </w:rPr>
            </w:pPr>
            <w:r>
              <w:rPr>
                <w:rFonts w:ascii="Arial" w:hAnsi="Arial" w:cs="Arial"/>
                <w:b/>
                <w:bCs/>
              </w:rPr>
              <w:t>6</w:t>
            </w:r>
            <w:r w:rsidR="00244D6C">
              <w:rPr>
                <w:rFonts w:ascii="Arial" w:hAnsi="Arial" w:cs="Arial"/>
                <w:b/>
                <w:bCs/>
              </w:rPr>
              <w:t>.</w:t>
            </w:r>
          </w:p>
        </w:tc>
        <w:tc>
          <w:tcPr>
            <w:tcW w:w="8647" w:type="dxa"/>
          </w:tcPr>
          <w:p w14:paraId="084F20B5" w14:textId="6CDE2719" w:rsidR="00996BED" w:rsidRDefault="00686F70" w:rsidP="00050D22">
            <w:pPr>
              <w:autoSpaceDE w:val="0"/>
              <w:autoSpaceDN w:val="0"/>
              <w:adjustRightInd w:val="0"/>
              <w:jc w:val="both"/>
              <w:rPr>
                <w:rFonts w:ascii="Arial" w:hAnsi="Arial" w:cs="Arial"/>
                <w:b/>
                <w:bCs/>
              </w:rPr>
            </w:pPr>
            <w:r w:rsidRPr="00686F70">
              <w:rPr>
                <w:rFonts w:ascii="Arial" w:hAnsi="Arial" w:cs="Arial"/>
                <w:b/>
                <w:bCs/>
              </w:rPr>
              <w:t>Job Retention Scheme Update</w:t>
            </w:r>
            <w:r w:rsidR="00C9292D">
              <w:rPr>
                <w:rFonts w:ascii="Arial" w:hAnsi="Arial" w:cs="Arial"/>
                <w:b/>
                <w:bCs/>
              </w:rPr>
              <w:t xml:space="preserve"> </w:t>
            </w:r>
          </w:p>
          <w:p w14:paraId="4FB31797" w14:textId="2A187BB9" w:rsidR="00686F70" w:rsidRPr="00686F70" w:rsidRDefault="00686F70" w:rsidP="00050D22">
            <w:pPr>
              <w:autoSpaceDE w:val="0"/>
              <w:autoSpaceDN w:val="0"/>
              <w:adjustRightInd w:val="0"/>
              <w:jc w:val="both"/>
              <w:rPr>
                <w:rFonts w:ascii="Arial" w:hAnsi="Arial" w:cs="Arial"/>
                <w:b/>
                <w:bCs/>
              </w:rPr>
            </w:pPr>
          </w:p>
        </w:tc>
      </w:tr>
      <w:tr w:rsidR="00996BED" w:rsidRPr="0089449E" w14:paraId="150D2160"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1C0CB944" w14:textId="77777777" w:rsidR="00996BED" w:rsidRDefault="00E31BE1" w:rsidP="00447094">
            <w:pPr>
              <w:autoSpaceDE w:val="0"/>
              <w:autoSpaceDN w:val="0"/>
              <w:adjustRightInd w:val="0"/>
              <w:rPr>
                <w:rFonts w:ascii="Arial" w:hAnsi="Arial" w:cs="Arial"/>
              </w:rPr>
            </w:pPr>
            <w:r>
              <w:rPr>
                <w:rFonts w:ascii="Arial" w:hAnsi="Arial" w:cs="Arial"/>
              </w:rPr>
              <w:t>6</w:t>
            </w:r>
            <w:r w:rsidR="00686F70">
              <w:rPr>
                <w:rFonts w:ascii="Arial" w:hAnsi="Arial" w:cs="Arial"/>
              </w:rPr>
              <w:t>.1</w:t>
            </w:r>
          </w:p>
          <w:p w14:paraId="4D4143AE" w14:textId="77777777" w:rsidR="009A5F85" w:rsidRDefault="009A5F85" w:rsidP="00447094">
            <w:pPr>
              <w:autoSpaceDE w:val="0"/>
              <w:autoSpaceDN w:val="0"/>
              <w:adjustRightInd w:val="0"/>
              <w:rPr>
                <w:rFonts w:ascii="Arial" w:hAnsi="Arial" w:cs="Arial"/>
              </w:rPr>
            </w:pPr>
          </w:p>
          <w:p w14:paraId="1323D7C0" w14:textId="77777777" w:rsidR="009A5F85" w:rsidRDefault="009A5F85" w:rsidP="00447094">
            <w:pPr>
              <w:autoSpaceDE w:val="0"/>
              <w:autoSpaceDN w:val="0"/>
              <w:adjustRightInd w:val="0"/>
              <w:rPr>
                <w:rFonts w:ascii="Arial" w:hAnsi="Arial" w:cs="Arial"/>
              </w:rPr>
            </w:pPr>
          </w:p>
          <w:p w14:paraId="099348DF" w14:textId="77777777" w:rsidR="009A5F85" w:rsidRDefault="009A5F85" w:rsidP="00447094">
            <w:pPr>
              <w:autoSpaceDE w:val="0"/>
              <w:autoSpaceDN w:val="0"/>
              <w:adjustRightInd w:val="0"/>
              <w:rPr>
                <w:rFonts w:ascii="Arial" w:hAnsi="Arial" w:cs="Arial"/>
              </w:rPr>
            </w:pPr>
          </w:p>
          <w:p w14:paraId="4D1FCF92" w14:textId="77777777" w:rsidR="009A5F85" w:rsidRDefault="009A5F85" w:rsidP="00447094">
            <w:pPr>
              <w:autoSpaceDE w:val="0"/>
              <w:autoSpaceDN w:val="0"/>
              <w:adjustRightInd w:val="0"/>
              <w:rPr>
                <w:rFonts w:ascii="Arial" w:hAnsi="Arial" w:cs="Arial"/>
              </w:rPr>
            </w:pPr>
          </w:p>
          <w:p w14:paraId="1BAD05F6" w14:textId="77777777" w:rsidR="009A5F85" w:rsidRDefault="009A5F85" w:rsidP="00447094">
            <w:pPr>
              <w:autoSpaceDE w:val="0"/>
              <w:autoSpaceDN w:val="0"/>
              <w:adjustRightInd w:val="0"/>
              <w:rPr>
                <w:rFonts w:ascii="Arial" w:hAnsi="Arial" w:cs="Arial"/>
              </w:rPr>
            </w:pPr>
          </w:p>
          <w:p w14:paraId="4DEC3AF0" w14:textId="4C2F1F91" w:rsidR="009A5F85" w:rsidRPr="00A129BC" w:rsidRDefault="009A5F85" w:rsidP="00447094">
            <w:pPr>
              <w:autoSpaceDE w:val="0"/>
              <w:autoSpaceDN w:val="0"/>
              <w:adjustRightInd w:val="0"/>
              <w:rPr>
                <w:rFonts w:ascii="Arial" w:hAnsi="Arial" w:cs="Arial"/>
              </w:rPr>
            </w:pPr>
            <w:r>
              <w:rPr>
                <w:rFonts w:ascii="Arial" w:hAnsi="Arial" w:cs="Arial"/>
              </w:rPr>
              <w:t>6.2</w:t>
            </w:r>
          </w:p>
        </w:tc>
        <w:tc>
          <w:tcPr>
            <w:tcW w:w="8647" w:type="dxa"/>
          </w:tcPr>
          <w:p w14:paraId="4D2C1B45" w14:textId="742F8A2B" w:rsidR="00686F70" w:rsidRDefault="00C9292D" w:rsidP="00C9292D">
            <w:pPr>
              <w:autoSpaceDE w:val="0"/>
              <w:autoSpaceDN w:val="0"/>
              <w:adjustRightInd w:val="0"/>
              <w:jc w:val="both"/>
              <w:rPr>
                <w:rFonts w:ascii="Arial" w:hAnsi="Arial" w:cs="Arial"/>
                <w:bCs/>
              </w:rPr>
            </w:pPr>
            <w:r>
              <w:rPr>
                <w:rFonts w:ascii="Arial" w:hAnsi="Arial" w:cs="Arial"/>
                <w:bCs/>
              </w:rPr>
              <w:t>The removal of the Job Support Scheme and re-introduction of the Job Retention Scheme at the start of November led to a fairly frantic period of re-adjustment of service delivery. The main issue was the removal of the JRS Bonus, removing a projected circa</w:t>
            </w:r>
            <w:r w:rsidR="009A5F85">
              <w:rPr>
                <w:rFonts w:ascii="Arial" w:hAnsi="Arial" w:cs="Arial"/>
                <w:bCs/>
              </w:rPr>
              <w:t xml:space="preserve"> </w:t>
            </w:r>
            <w:r>
              <w:rPr>
                <w:rFonts w:ascii="Arial" w:hAnsi="Arial" w:cs="Arial"/>
                <w:bCs/>
              </w:rPr>
              <w:t xml:space="preserve">£600k from HLH financial projections. The updated financial year-end position is contained </w:t>
            </w:r>
            <w:r w:rsidR="009A5F85">
              <w:rPr>
                <w:rFonts w:ascii="Arial" w:hAnsi="Arial" w:cs="Arial"/>
                <w:bCs/>
              </w:rPr>
              <w:t xml:space="preserve">in the Finance Report </w:t>
            </w:r>
            <w:r>
              <w:rPr>
                <w:rFonts w:ascii="Arial" w:hAnsi="Arial" w:cs="Arial"/>
                <w:bCs/>
              </w:rPr>
              <w:t>elsewhere in this agenda</w:t>
            </w:r>
            <w:r w:rsidR="009A5F85">
              <w:rPr>
                <w:rFonts w:ascii="Arial" w:hAnsi="Arial" w:cs="Arial"/>
                <w:bCs/>
              </w:rPr>
              <w:t xml:space="preserve">. </w:t>
            </w:r>
          </w:p>
          <w:p w14:paraId="000236BA" w14:textId="77777777" w:rsidR="009A5F85" w:rsidRDefault="009A5F85" w:rsidP="00C9292D">
            <w:pPr>
              <w:autoSpaceDE w:val="0"/>
              <w:autoSpaceDN w:val="0"/>
              <w:adjustRightInd w:val="0"/>
              <w:jc w:val="both"/>
              <w:rPr>
                <w:rFonts w:ascii="Arial" w:hAnsi="Arial" w:cs="Arial"/>
                <w:bCs/>
              </w:rPr>
            </w:pPr>
          </w:p>
          <w:p w14:paraId="741FABBC" w14:textId="6293B9AB" w:rsidR="00E31BE1" w:rsidRDefault="009A5F85" w:rsidP="00C9292D">
            <w:pPr>
              <w:autoSpaceDE w:val="0"/>
              <w:autoSpaceDN w:val="0"/>
              <w:adjustRightInd w:val="0"/>
              <w:jc w:val="both"/>
              <w:rPr>
                <w:rFonts w:ascii="Arial" w:hAnsi="Arial" w:cs="Arial"/>
                <w:bCs/>
              </w:rPr>
            </w:pPr>
            <w:r>
              <w:rPr>
                <w:rFonts w:ascii="Arial" w:hAnsi="Arial" w:cs="Arial"/>
                <w:bCs/>
              </w:rPr>
              <w:t>G</w:t>
            </w:r>
            <w:r w:rsidR="00C9292D">
              <w:rPr>
                <w:rFonts w:ascii="Arial" w:hAnsi="Arial" w:cs="Arial"/>
                <w:bCs/>
              </w:rPr>
              <w:t xml:space="preserve">iven the prospect </w:t>
            </w:r>
            <w:r>
              <w:rPr>
                <w:rFonts w:ascii="Arial" w:hAnsi="Arial" w:cs="Arial"/>
                <w:bCs/>
              </w:rPr>
              <w:t>of</w:t>
            </w:r>
            <w:r w:rsidR="00C9292D">
              <w:rPr>
                <w:rFonts w:ascii="Arial" w:hAnsi="Arial" w:cs="Arial"/>
                <w:bCs/>
              </w:rPr>
              <w:t xml:space="preserve"> reduced footfall due to </w:t>
            </w:r>
            <w:r w:rsidR="00E31BE1">
              <w:rPr>
                <w:rFonts w:ascii="Arial" w:hAnsi="Arial" w:cs="Arial"/>
                <w:bCs/>
              </w:rPr>
              <w:t>government restrictions, the following opening times will be adopted for the festive holiday season</w:t>
            </w:r>
            <w:r w:rsidR="00AA533C">
              <w:rPr>
                <w:rFonts w:ascii="Arial" w:hAnsi="Arial" w:cs="Arial"/>
                <w:bCs/>
              </w:rPr>
              <w:t>, with staff placed on furlough leave for the period of closure</w:t>
            </w:r>
            <w:r w:rsidR="00E31BE1">
              <w:rPr>
                <w:rFonts w:ascii="Arial" w:hAnsi="Arial" w:cs="Arial"/>
                <w:bCs/>
              </w:rPr>
              <w:t>:</w:t>
            </w:r>
          </w:p>
          <w:p w14:paraId="4BCF602C" w14:textId="713FB579" w:rsidR="00E31BE1" w:rsidRDefault="00E31BE1" w:rsidP="00C9292D">
            <w:pPr>
              <w:autoSpaceDE w:val="0"/>
              <w:autoSpaceDN w:val="0"/>
              <w:adjustRightInd w:val="0"/>
              <w:jc w:val="both"/>
              <w:rPr>
                <w:rFonts w:ascii="Arial" w:hAnsi="Arial" w:cs="Arial"/>
                <w:bCs/>
              </w:rPr>
            </w:pPr>
          </w:p>
          <w:tbl>
            <w:tblPr>
              <w:tblStyle w:val="TableGrid"/>
              <w:tblW w:w="0" w:type="auto"/>
              <w:tblLayout w:type="fixed"/>
              <w:tblLook w:val="04A0" w:firstRow="1" w:lastRow="0" w:firstColumn="1" w:lastColumn="0" w:noHBand="0" w:noVBand="1"/>
            </w:tblPr>
            <w:tblGrid>
              <w:gridCol w:w="4168"/>
              <w:gridCol w:w="2127"/>
              <w:gridCol w:w="2126"/>
            </w:tblGrid>
            <w:tr w:rsidR="00AA533C" w14:paraId="5F0149CF" w14:textId="77777777" w:rsidTr="00377E7B">
              <w:tc>
                <w:tcPr>
                  <w:tcW w:w="4168" w:type="dxa"/>
                  <w:tcBorders>
                    <w:top w:val="nil"/>
                    <w:left w:val="nil"/>
                    <w:bottom w:val="nil"/>
                    <w:right w:val="nil"/>
                  </w:tcBorders>
                </w:tcPr>
                <w:p w14:paraId="30E4C6FF" w14:textId="3019CF28" w:rsidR="00AA533C" w:rsidRPr="000E1E50" w:rsidRDefault="00AA533C" w:rsidP="00C9292D">
                  <w:pPr>
                    <w:autoSpaceDE w:val="0"/>
                    <w:autoSpaceDN w:val="0"/>
                    <w:adjustRightInd w:val="0"/>
                    <w:jc w:val="both"/>
                    <w:rPr>
                      <w:rFonts w:ascii="Arial" w:hAnsi="Arial" w:cs="Arial"/>
                      <w:b/>
                    </w:rPr>
                  </w:pPr>
                  <w:r w:rsidRPr="000E1E50">
                    <w:rPr>
                      <w:rFonts w:ascii="Arial" w:hAnsi="Arial" w:cs="Arial"/>
                      <w:b/>
                    </w:rPr>
                    <w:t>Service</w:t>
                  </w:r>
                </w:p>
              </w:tc>
              <w:tc>
                <w:tcPr>
                  <w:tcW w:w="2127" w:type="dxa"/>
                  <w:tcBorders>
                    <w:top w:val="nil"/>
                    <w:left w:val="nil"/>
                    <w:bottom w:val="nil"/>
                    <w:right w:val="nil"/>
                  </w:tcBorders>
                </w:tcPr>
                <w:p w14:paraId="53B2ED3E" w14:textId="613C4494" w:rsidR="00AA533C" w:rsidRPr="000E1E50" w:rsidRDefault="00AA533C" w:rsidP="00C9292D">
                  <w:pPr>
                    <w:autoSpaceDE w:val="0"/>
                    <w:autoSpaceDN w:val="0"/>
                    <w:adjustRightInd w:val="0"/>
                    <w:jc w:val="both"/>
                    <w:rPr>
                      <w:rFonts w:ascii="Arial" w:hAnsi="Arial" w:cs="Arial"/>
                      <w:b/>
                    </w:rPr>
                  </w:pPr>
                  <w:r w:rsidRPr="000E1E50">
                    <w:rPr>
                      <w:rFonts w:ascii="Arial" w:hAnsi="Arial" w:cs="Arial"/>
                      <w:b/>
                    </w:rPr>
                    <w:t>Close</w:t>
                  </w:r>
                </w:p>
              </w:tc>
              <w:tc>
                <w:tcPr>
                  <w:tcW w:w="2126" w:type="dxa"/>
                  <w:tcBorders>
                    <w:top w:val="nil"/>
                    <w:left w:val="nil"/>
                    <w:bottom w:val="nil"/>
                    <w:right w:val="nil"/>
                  </w:tcBorders>
                </w:tcPr>
                <w:p w14:paraId="12443DBD" w14:textId="0F8504C5" w:rsidR="00AA533C" w:rsidRPr="000E1E50" w:rsidRDefault="00AA533C" w:rsidP="00C9292D">
                  <w:pPr>
                    <w:autoSpaceDE w:val="0"/>
                    <w:autoSpaceDN w:val="0"/>
                    <w:adjustRightInd w:val="0"/>
                    <w:jc w:val="both"/>
                    <w:rPr>
                      <w:rFonts w:ascii="Arial" w:hAnsi="Arial" w:cs="Arial"/>
                      <w:b/>
                    </w:rPr>
                  </w:pPr>
                  <w:r w:rsidRPr="000E1E50">
                    <w:rPr>
                      <w:rFonts w:ascii="Arial" w:hAnsi="Arial" w:cs="Arial"/>
                      <w:b/>
                    </w:rPr>
                    <w:t>Re-open</w:t>
                  </w:r>
                </w:p>
              </w:tc>
            </w:tr>
            <w:tr w:rsidR="00E31BE1" w14:paraId="3107B915" w14:textId="77777777" w:rsidTr="00377E7B">
              <w:tc>
                <w:tcPr>
                  <w:tcW w:w="4168" w:type="dxa"/>
                  <w:tcBorders>
                    <w:top w:val="nil"/>
                    <w:left w:val="nil"/>
                    <w:bottom w:val="nil"/>
                    <w:right w:val="nil"/>
                  </w:tcBorders>
                </w:tcPr>
                <w:p w14:paraId="3CB135FA" w14:textId="024401F6" w:rsidR="00E31BE1" w:rsidRDefault="00E31BE1" w:rsidP="00C9292D">
                  <w:pPr>
                    <w:autoSpaceDE w:val="0"/>
                    <w:autoSpaceDN w:val="0"/>
                    <w:adjustRightInd w:val="0"/>
                    <w:jc w:val="both"/>
                    <w:rPr>
                      <w:rFonts w:ascii="Arial" w:hAnsi="Arial" w:cs="Arial"/>
                      <w:bCs/>
                    </w:rPr>
                  </w:pPr>
                  <w:r>
                    <w:rPr>
                      <w:rFonts w:ascii="Arial" w:hAnsi="Arial" w:cs="Arial"/>
                      <w:bCs/>
                    </w:rPr>
                    <w:t xml:space="preserve">Culture Services: Libraries, Museums   </w:t>
                  </w:r>
                </w:p>
              </w:tc>
              <w:tc>
                <w:tcPr>
                  <w:tcW w:w="2127" w:type="dxa"/>
                  <w:tcBorders>
                    <w:top w:val="nil"/>
                    <w:left w:val="nil"/>
                    <w:bottom w:val="nil"/>
                    <w:right w:val="nil"/>
                  </w:tcBorders>
                </w:tcPr>
                <w:p w14:paraId="75708046" w14:textId="4EC13073" w:rsidR="00E31BE1" w:rsidRDefault="00E31BE1" w:rsidP="00C9292D">
                  <w:pPr>
                    <w:autoSpaceDE w:val="0"/>
                    <w:autoSpaceDN w:val="0"/>
                    <w:adjustRightInd w:val="0"/>
                    <w:jc w:val="both"/>
                    <w:rPr>
                      <w:rFonts w:ascii="Arial" w:hAnsi="Arial" w:cs="Arial"/>
                      <w:bCs/>
                    </w:rPr>
                  </w:pPr>
                  <w:r>
                    <w:rPr>
                      <w:rFonts w:ascii="Arial" w:hAnsi="Arial" w:cs="Arial"/>
                      <w:bCs/>
                    </w:rPr>
                    <w:t>21 December</w:t>
                  </w:r>
                </w:p>
              </w:tc>
              <w:tc>
                <w:tcPr>
                  <w:tcW w:w="2126" w:type="dxa"/>
                  <w:tcBorders>
                    <w:top w:val="nil"/>
                    <w:left w:val="nil"/>
                    <w:bottom w:val="nil"/>
                    <w:right w:val="nil"/>
                  </w:tcBorders>
                </w:tcPr>
                <w:p w14:paraId="77F5F011" w14:textId="3DD2A1B6" w:rsidR="00E31BE1" w:rsidRDefault="00E31BE1" w:rsidP="00C9292D">
                  <w:pPr>
                    <w:autoSpaceDE w:val="0"/>
                    <w:autoSpaceDN w:val="0"/>
                    <w:adjustRightInd w:val="0"/>
                    <w:jc w:val="both"/>
                    <w:rPr>
                      <w:rFonts w:ascii="Arial" w:hAnsi="Arial" w:cs="Arial"/>
                      <w:bCs/>
                    </w:rPr>
                  </w:pPr>
                  <w:r>
                    <w:rPr>
                      <w:rFonts w:ascii="Arial" w:hAnsi="Arial" w:cs="Arial"/>
                      <w:bCs/>
                    </w:rPr>
                    <w:t>11 January</w:t>
                  </w:r>
                </w:p>
              </w:tc>
            </w:tr>
            <w:tr w:rsidR="00E31BE1" w14:paraId="78B76CDA" w14:textId="77777777" w:rsidTr="00377E7B">
              <w:tc>
                <w:tcPr>
                  <w:tcW w:w="4168" w:type="dxa"/>
                  <w:tcBorders>
                    <w:top w:val="nil"/>
                    <w:left w:val="nil"/>
                    <w:bottom w:val="nil"/>
                    <w:right w:val="nil"/>
                  </w:tcBorders>
                </w:tcPr>
                <w:p w14:paraId="10542CAE" w14:textId="3421E3E9" w:rsidR="00E31BE1" w:rsidRDefault="00E31BE1" w:rsidP="00C9292D">
                  <w:pPr>
                    <w:autoSpaceDE w:val="0"/>
                    <w:autoSpaceDN w:val="0"/>
                    <w:adjustRightInd w:val="0"/>
                    <w:jc w:val="both"/>
                    <w:rPr>
                      <w:rFonts w:ascii="Arial" w:hAnsi="Arial" w:cs="Arial"/>
                      <w:bCs/>
                    </w:rPr>
                  </w:pPr>
                  <w:r>
                    <w:rPr>
                      <w:rFonts w:ascii="Arial" w:hAnsi="Arial" w:cs="Arial"/>
                      <w:bCs/>
                    </w:rPr>
                    <w:t>Corporate Services</w:t>
                  </w:r>
                </w:p>
              </w:tc>
              <w:tc>
                <w:tcPr>
                  <w:tcW w:w="2127" w:type="dxa"/>
                  <w:tcBorders>
                    <w:top w:val="nil"/>
                    <w:left w:val="nil"/>
                    <w:bottom w:val="nil"/>
                    <w:right w:val="nil"/>
                  </w:tcBorders>
                </w:tcPr>
                <w:p w14:paraId="0842BEB8" w14:textId="5750C722" w:rsidR="00E31BE1" w:rsidRDefault="00E31BE1" w:rsidP="00C9292D">
                  <w:pPr>
                    <w:autoSpaceDE w:val="0"/>
                    <w:autoSpaceDN w:val="0"/>
                    <w:adjustRightInd w:val="0"/>
                    <w:jc w:val="both"/>
                    <w:rPr>
                      <w:rFonts w:ascii="Arial" w:hAnsi="Arial" w:cs="Arial"/>
                      <w:bCs/>
                    </w:rPr>
                  </w:pPr>
                  <w:r>
                    <w:rPr>
                      <w:rFonts w:ascii="Arial" w:hAnsi="Arial" w:cs="Arial"/>
                      <w:bCs/>
                    </w:rPr>
                    <w:t>21 December</w:t>
                  </w:r>
                </w:p>
              </w:tc>
              <w:tc>
                <w:tcPr>
                  <w:tcW w:w="2126" w:type="dxa"/>
                  <w:tcBorders>
                    <w:top w:val="nil"/>
                    <w:left w:val="nil"/>
                    <w:bottom w:val="nil"/>
                    <w:right w:val="nil"/>
                  </w:tcBorders>
                </w:tcPr>
                <w:p w14:paraId="039B5278" w14:textId="0B16D19C" w:rsidR="00E31BE1" w:rsidRDefault="00E31BE1" w:rsidP="00C9292D">
                  <w:pPr>
                    <w:autoSpaceDE w:val="0"/>
                    <w:autoSpaceDN w:val="0"/>
                    <w:adjustRightInd w:val="0"/>
                    <w:jc w:val="both"/>
                    <w:rPr>
                      <w:rFonts w:ascii="Arial" w:hAnsi="Arial" w:cs="Arial"/>
                      <w:bCs/>
                    </w:rPr>
                  </w:pPr>
                  <w:r>
                    <w:rPr>
                      <w:rFonts w:ascii="Arial" w:hAnsi="Arial" w:cs="Arial"/>
                      <w:bCs/>
                    </w:rPr>
                    <w:t>11 January</w:t>
                  </w:r>
                </w:p>
              </w:tc>
            </w:tr>
            <w:tr w:rsidR="00E31BE1" w14:paraId="10F1AD24" w14:textId="77777777" w:rsidTr="00377E7B">
              <w:tc>
                <w:tcPr>
                  <w:tcW w:w="4168" w:type="dxa"/>
                  <w:tcBorders>
                    <w:top w:val="nil"/>
                    <w:left w:val="nil"/>
                    <w:bottom w:val="nil"/>
                    <w:right w:val="nil"/>
                  </w:tcBorders>
                </w:tcPr>
                <w:p w14:paraId="2FD7EE4B" w14:textId="0573F218" w:rsidR="00E31BE1" w:rsidRDefault="00E31BE1" w:rsidP="00C9292D">
                  <w:pPr>
                    <w:autoSpaceDE w:val="0"/>
                    <w:autoSpaceDN w:val="0"/>
                    <w:adjustRightInd w:val="0"/>
                    <w:jc w:val="both"/>
                    <w:rPr>
                      <w:rFonts w:ascii="Arial" w:hAnsi="Arial" w:cs="Arial"/>
                      <w:bCs/>
                    </w:rPr>
                  </w:pPr>
                  <w:r>
                    <w:rPr>
                      <w:rFonts w:ascii="Arial" w:hAnsi="Arial" w:cs="Arial"/>
                      <w:bCs/>
                    </w:rPr>
                    <w:t xml:space="preserve">Senior Management Team </w:t>
                  </w:r>
                </w:p>
              </w:tc>
              <w:tc>
                <w:tcPr>
                  <w:tcW w:w="2127" w:type="dxa"/>
                  <w:tcBorders>
                    <w:top w:val="nil"/>
                    <w:left w:val="nil"/>
                    <w:bottom w:val="nil"/>
                    <w:right w:val="nil"/>
                  </w:tcBorders>
                </w:tcPr>
                <w:p w14:paraId="09DD79E8" w14:textId="277399FD" w:rsidR="00E31BE1" w:rsidRDefault="00E31BE1" w:rsidP="00C9292D">
                  <w:pPr>
                    <w:autoSpaceDE w:val="0"/>
                    <w:autoSpaceDN w:val="0"/>
                    <w:adjustRightInd w:val="0"/>
                    <w:jc w:val="both"/>
                    <w:rPr>
                      <w:rFonts w:ascii="Arial" w:hAnsi="Arial" w:cs="Arial"/>
                      <w:bCs/>
                    </w:rPr>
                  </w:pPr>
                  <w:r>
                    <w:rPr>
                      <w:rFonts w:ascii="Arial" w:hAnsi="Arial" w:cs="Arial"/>
                      <w:bCs/>
                    </w:rPr>
                    <w:t>21 December</w:t>
                  </w:r>
                </w:p>
              </w:tc>
              <w:tc>
                <w:tcPr>
                  <w:tcW w:w="2126" w:type="dxa"/>
                  <w:tcBorders>
                    <w:top w:val="nil"/>
                    <w:left w:val="nil"/>
                    <w:bottom w:val="nil"/>
                    <w:right w:val="nil"/>
                  </w:tcBorders>
                </w:tcPr>
                <w:p w14:paraId="109A77C6" w14:textId="6FA95A9E" w:rsidR="00E31BE1" w:rsidRDefault="00E31BE1" w:rsidP="00C9292D">
                  <w:pPr>
                    <w:autoSpaceDE w:val="0"/>
                    <w:autoSpaceDN w:val="0"/>
                    <w:adjustRightInd w:val="0"/>
                    <w:jc w:val="both"/>
                    <w:rPr>
                      <w:rFonts w:ascii="Arial" w:hAnsi="Arial" w:cs="Arial"/>
                      <w:bCs/>
                    </w:rPr>
                  </w:pPr>
                  <w:r>
                    <w:rPr>
                      <w:rFonts w:ascii="Arial" w:hAnsi="Arial" w:cs="Arial"/>
                      <w:bCs/>
                    </w:rPr>
                    <w:t>11 January</w:t>
                  </w:r>
                </w:p>
              </w:tc>
            </w:tr>
            <w:tr w:rsidR="00E31BE1" w14:paraId="64C58800" w14:textId="77777777" w:rsidTr="00377E7B">
              <w:tc>
                <w:tcPr>
                  <w:tcW w:w="4168" w:type="dxa"/>
                  <w:tcBorders>
                    <w:top w:val="nil"/>
                    <w:left w:val="nil"/>
                    <w:bottom w:val="nil"/>
                    <w:right w:val="nil"/>
                  </w:tcBorders>
                </w:tcPr>
                <w:p w14:paraId="228BF920" w14:textId="412E07A8" w:rsidR="00E31BE1" w:rsidRDefault="00E31BE1" w:rsidP="00C9292D">
                  <w:pPr>
                    <w:autoSpaceDE w:val="0"/>
                    <w:autoSpaceDN w:val="0"/>
                    <w:adjustRightInd w:val="0"/>
                    <w:jc w:val="both"/>
                    <w:rPr>
                      <w:rFonts w:ascii="Arial" w:hAnsi="Arial" w:cs="Arial"/>
                      <w:bCs/>
                    </w:rPr>
                  </w:pPr>
                  <w:r>
                    <w:rPr>
                      <w:rFonts w:ascii="Arial" w:hAnsi="Arial" w:cs="Arial"/>
                      <w:bCs/>
                    </w:rPr>
                    <w:t>Leisure</w:t>
                  </w:r>
                  <w:r>
                    <w:rPr>
                      <w:rStyle w:val="FootnoteReference"/>
                      <w:rFonts w:ascii="Arial" w:hAnsi="Arial" w:cs="Arial"/>
                      <w:bCs/>
                    </w:rPr>
                    <w:footnoteReference w:id="1"/>
                  </w:r>
                  <w:r>
                    <w:rPr>
                      <w:rFonts w:ascii="Arial" w:hAnsi="Arial" w:cs="Arial"/>
                      <w:bCs/>
                    </w:rPr>
                    <w:t xml:space="preserve"> </w:t>
                  </w:r>
                </w:p>
              </w:tc>
              <w:tc>
                <w:tcPr>
                  <w:tcW w:w="2127" w:type="dxa"/>
                  <w:tcBorders>
                    <w:top w:val="nil"/>
                    <w:left w:val="nil"/>
                    <w:bottom w:val="nil"/>
                    <w:right w:val="nil"/>
                  </w:tcBorders>
                </w:tcPr>
                <w:p w14:paraId="6EE0F931" w14:textId="59550AC8" w:rsidR="00E31BE1" w:rsidRDefault="00E31BE1" w:rsidP="00C9292D">
                  <w:pPr>
                    <w:autoSpaceDE w:val="0"/>
                    <w:autoSpaceDN w:val="0"/>
                    <w:adjustRightInd w:val="0"/>
                    <w:jc w:val="both"/>
                    <w:rPr>
                      <w:rFonts w:ascii="Arial" w:hAnsi="Arial" w:cs="Arial"/>
                      <w:bCs/>
                    </w:rPr>
                  </w:pPr>
                  <w:r>
                    <w:rPr>
                      <w:rFonts w:ascii="Arial" w:hAnsi="Arial" w:cs="Arial"/>
                      <w:bCs/>
                    </w:rPr>
                    <w:t xml:space="preserve">23 December </w:t>
                  </w:r>
                </w:p>
              </w:tc>
              <w:tc>
                <w:tcPr>
                  <w:tcW w:w="2126" w:type="dxa"/>
                  <w:tcBorders>
                    <w:top w:val="nil"/>
                    <w:left w:val="nil"/>
                    <w:bottom w:val="nil"/>
                    <w:right w:val="nil"/>
                  </w:tcBorders>
                </w:tcPr>
                <w:p w14:paraId="47C4D253" w14:textId="3053B18F" w:rsidR="00E31BE1" w:rsidRDefault="00377E7B" w:rsidP="00C9292D">
                  <w:pPr>
                    <w:autoSpaceDE w:val="0"/>
                    <w:autoSpaceDN w:val="0"/>
                    <w:adjustRightInd w:val="0"/>
                    <w:jc w:val="both"/>
                    <w:rPr>
                      <w:rFonts w:ascii="Arial" w:hAnsi="Arial" w:cs="Arial"/>
                      <w:bCs/>
                    </w:rPr>
                  </w:pPr>
                  <w:r>
                    <w:rPr>
                      <w:rFonts w:ascii="Arial" w:hAnsi="Arial" w:cs="Arial"/>
                      <w:bCs/>
                    </w:rPr>
                    <w:t xml:space="preserve">  </w:t>
                  </w:r>
                  <w:r w:rsidR="00E31BE1">
                    <w:rPr>
                      <w:rFonts w:ascii="Arial" w:hAnsi="Arial" w:cs="Arial"/>
                      <w:bCs/>
                    </w:rPr>
                    <w:t>4 January</w:t>
                  </w:r>
                </w:p>
              </w:tc>
            </w:tr>
            <w:tr w:rsidR="009A5F85" w14:paraId="63F2BD98" w14:textId="77777777" w:rsidTr="00377E7B">
              <w:tc>
                <w:tcPr>
                  <w:tcW w:w="4168" w:type="dxa"/>
                  <w:tcBorders>
                    <w:top w:val="nil"/>
                    <w:left w:val="nil"/>
                    <w:bottom w:val="nil"/>
                    <w:right w:val="nil"/>
                  </w:tcBorders>
                </w:tcPr>
                <w:p w14:paraId="76EE461D" w14:textId="77777777" w:rsidR="009A5F85" w:rsidRDefault="009A5F85" w:rsidP="00C9292D">
                  <w:pPr>
                    <w:autoSpaceDE w:val="0"/>
                    <w:autoSpaceDN w:val="0"/>
                    <w:adjustRightInd w:val="0"/>
                    <w:jc w:val="both"/>
                    <w:rPr>
                      <w:rFonts w:ascii="Arial" w:hAnsi="Arial" w:cs="Arial"/>
                      <w:bCs/>
                    </w:rPr>
                  </w:pPr>
                </w:p>
                <w:p w14:paraId="7BF786A0" w14:textId="77777777" w:rsidR="009A5F85" w:rsidRDefault="009A5F85" w:rsidP="00C9292D">
                  <w:pPr>
                    <w:autoSpaceDE w:val="0"/>
                    <w:autoSpaceDN w:val="0"/>
                    <w:adjustRightInd w:val="0"/>
                    <w:jc w:val="both"/>
                    <w:rPr>
                      <w:rFonts w:ascii="Arial" w:hAnsi="Arial" w:cs="Arial"/>
                      <w:bCs/>
                    </w:rPr>
                  </w:pPr>
                </w:p>
                <w:p w14:paraId="32C26A6D" w14:textId="4F514601" w:rsidR="009A5F85" w:rsidRDefault="009A5F85" w:rsidP="00C9292D">
                  <w:pPr>
                    <w:autoSpaceDE w:val="0"/>
                    <w:autoSpaceDN w:val="0"/>
                    <w:adjustRightInd w:val="0"/>
                    <w:jc w:val="both"/>
                    <w:rPr>
                      <w:rFonts w:ascii="Arial" w:hAnsi="Arial" w:cs="Arial"/>
                      <w:bCs/>
                    </w:rPr>
                  </w:pPr>
                </w:p>
              </w:tc>
              <w:tc>
                <w:tcPr>
                  <w:tcW w:w="2127" w:type="dxa"/>
                  <w:tcBorders>
                    <w:top w:val="nil"/>
                    <w:left w:val="nil"/>
                    <w:bottom w:val="nil"/>
                    <w:right w:val="nil"/>
                  </w:tcBorders>
                </w:tcPr>
                <w:p w14:paraId="67799A48" w14:textId="77777777" w:rsidR="009A5F85" w:rsidRDefault="009A5F85" w:rsidP="00C9292D">
                  <w:pPr>
                    <w:autoSpaceDE w:val="0"/>
                    <w:autoSpaceDN w:val="0"/>
                    <w:adjustRightInd w:val="0"/>
                    <w:jc w:val="both"/>
                    <w:rPr>
                      <w:rFonts w:ascii="Arial" w:hAnsi="Arial" w:cs="Arial"/>
                      <w:bCs/>
                    </w:rPr>
                  </w:pPr>
                </w:p>
              </w:tc>
              <w:tc>
                <w:tcPr>
                  <w:tcW w:w="2126" w:type="dxa"/>
                  <w:tcBorders>
                    <w:top w:val="nil"/>
                    <w:left w:val="nil"/>
                    <w:bottom w:val="nil"/>
                    <w:right w:val="nil"/>
                  </w:tcBorders>
                </w:tcPr>
                <w:p w14:paraId="3F20AF52" w14:textId="77777777" w:rsidR="009A5F85" w:rsidRDefault="009A5F85" w:rsidP="00C9292D">
                  <w:pPr>
                    <w:autoSpaceDE w:val="0"/>
                    <w:autoSpaceDN w:val="0"/>
                    <w:adjustRightInd w:val="0"/>
                    <w:jc w:val="both"/>
                    <w:rPr>
                      <w:rFonts w:ascii="Arial" w:hAnsi="Arial" w:cs="Arial"/>
                      <w:bCs/>
                    </w:rPr>
                  </w:pPr>
                </w:p>
              </w:tc>
            </w:tr>
          </w:tbl>
          <w:p w14:paraId="7A9DDBFB" w14:textId="301F0441" w:rsidR="00C9292D" w:rsidRPr="00996BED" w:rsidRDefault="00C9292D" w:rsidP="00C9292D">
            <w:pPr>
              <w:autoSpaceDE w:val="0"/>
              <w:autoSpaceDN w:val="0"/>
              <w:adjustRightInd w:val="0"/>
              <w:jc w:val="both"/>
              <w:rPr>
                <w:rFonts w:ascii="Arial" w:hAnsi="Arial" w:cs="Arial"/>
                <w:bCs/>
              </w:rPr>
            </w:pPr>
          </w:p>
        </w:tc>
      </w:tr>
      <w:tr w:rsidR="00AA533C" w:rsidRPr="0089449E" w14:paraId="527112CC"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6E683D7C" w14:textId="0B42B8D7" w:rsidR="00AA533C" w:rsidRPr="00244D6C" w:rsidRDefault="00AA533C" w:rsidP="00157FFD">
            <w:pPr>
              <w:autoSpaceDE w:val="0"/>
              <w:autoSpaceDN w:val="0"/>
              <w:adjustRightInd w:val="0"/>
              <w:rPr>
                <w:rFonts w:ascii="Arial" w:hAnsi="Arial" w:cs="Arial"/>
                <w:b/>
                <w:bCs/>
              </w:rPr>
            </w:pPr>
            <w:r w:rsidRPr="00244D6C">
              <w:rPr>
                <w:rFonts w:ascii="Arial" w:hAnsi="Arial" w:cs="Arial"/>
                <w:b/>
                <w:bCs/>
              </w:rPr>
              <w:lastRenderedPageBreak/>
              <w:t>7.</w:t>
            </w:r>
          </w:p>
          <w:p w14:paraId="119B3499" w14:textId="7BF7D9B7" w:rsidR="00AA533C" w:rsidRPr="00762379" w:rsidRDefault="00AA533C" w:rsidP="00157FFD">
            <w:pPr>
              <w:autoSpaceDE w:val="0"/>
              <w:autoSpaceDN w:val="0"/>
              <w:adjustRightInd w:val="0"/>
              <w:rPr>
                <w:rFonts w:ascii="Arial" w:hAnsi="Arial" w:cs="Arial"/>
                <w:b/>
              </w:rPr>
            </w:pPr>
          </w:p>
        </w:tc>
        <w:tc>
          <w:tcPr>
            <w:tcW w:w="8647" w:type="dxa"/>
          </w:tcPr>
          <w:p w14:paraId="0A3D8FED" w14:textId="77777777" w:rsidR="00AA533C" w:rsidRDefault="00AA533C" w:rsidP="00157FFD">
            <w:pPr>
              <w:autoSpaceDE w:val="0"/>
              <w:autoSpaceDN w:val="0"/>
              <w:adjustRightInd w:val="0"/>
              <w:jc w:val="both"/>
              <w:rPr>
                <w:rFonts w:ascii="Arial" w:hAnsi="Arial" w:cs="Arial"/>
                <w:b/>
              </w:rPr>
            </w:pPr>
            <w:r w:rsidRPr="00652BC4">
              <w:rPr>
                <w:rFonts w:ascii="Arial" w:hAnsi="Arial" w:cs="Arial"/>
                <w:b/>
              </w:rPr>
              <w:t>Implications</w:t>
            </w:r>
          </w:p>
          <w:p w14:paraId="76C72F5E" w14:textId="77777777" w:rsidR="00AA533C" w:rsidRPr="00652BC4" w:rsidRDefault="00AA533C" w:rsidP="00157FFD">
            <w:pPr>
              <w:autoSpaceDE w:val="0"/>
              <w:autoSpaceDN w:val="0"/>
              <w:adjustRightInd w:val="0"/>
              <w:jc w:val="both"/>
              <w:rPr>
                <w:rFonts w:ascii="Arial" w:hAnsi="Arial" w:cs="Arial"/>
                <w:b/>
              </w:rPr>
            </w:pPr>
          </w:p>
        </w:tc>
      </w:tr>
      <w:tr w:rsidR="00AA533C" w:rsidRPr="0089449E" w14:paraId="7A15AD82"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56EAFA71" w14:textId="73EDD804" w:rsidR="00AA533C" w:rsidRPr="00762379" w:rsidRDefault="009A5F85" w:rsidP="00157FFD">
            <w:pPr>
              <w:autoSpaceDE w:val="0"/>
              <w:autoSpaceDN w:val="0"/>
              <w:adjustRightInd w:val="0"/>
              <w:rPr>
                <w:rFonts w:ascii="Arial" w:hAnsi="Arial" w:cs="Arial"/>
              </w:rPr>
            </w:pPr>
            <w:r>
              <w:rPr>
                <w:rFonts w:ascii="Arial" w:hAnsi="Arial" w:cs="Arial"/>
              </w:rPr>
              <w:t>7.1</w:t>
            </w:r>
          </w:p>
        </w:tc>
        <w:tc>
          <w:tcPr>
            <w:tcW w:w="8647" w:type="dxa"/>
          </w:tcPr>
          <w:p w14:paraId="0F96B531" w14:textId="77777777" w:rsidR="00AA533C" w:rsidRDefault="00AA533C" w:rsidP="00157FFD">
            <w:pPr>
              <w:autoSpaceDE w:val="0"/>
              <w:autoSpaceDN w:val="0"/>
              <w:adjustRightInd w:val="0"/>
              <w:jc w:val="both"/>
              <w:rPr>
                <w:rFonts w:ascii="Arial" w:hAnsi="Arial" w:cs="Arial"/>
              </w:rPr>
            </w:pPr>
            <w:r>
              <w:rPr>
                <w:rFonts w:ascii="Arial" w:hAnsi="Arial" w:cs="Arial"/>
              </w:rPr>
              <w:t>Resource Implications – there are no additional resource implications arising from this report.</w:t>
            </w:r>
          </w:p>
          <w:p w14:paraId="23B1E11C" w14:textId="77777777" w:rsidR="00AA533C" w:rsidRPr="006F3071" w:rsidRDefault="00AA533C" w:rsidP="00157FFD">
            <w:pPr>
              <w:jc w:val="both"/>
              <w:rPr>
                <w:rFonts w:ascii="Arial" w:hAnsi="Arial" w:cs="Arial"/>
                <w:highlight w:val="yellow"/>
              </w:rPr>
            </w:pPr>
          </w:p>
        </w:tc>
      </w:tr>
      <w:tr w:rsidR="00AA533C" w:rsidRPr="0089449E" w14:paraId="678F489D"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2CAE593A" w14:textId="596DF591" w:rsidR="00AA533C" w:rsidRPr="00762379" w:rsidRDefault="009A5F85" w:rsidP="00157FFD">
            <w:pPr>
              <w:autoSpaceDE w:val="0"/>
              <w:autoSpaceDN w:val="0"/>
              <w:adjustRightInd w:val="0"/>
              <w:rPr>
                <w:rFonts w:ascii="Arial" w:hAnsi="Arial" w:cs="Arial"/>
              </w:rPr>
            </w:pPr>
            <w:r>
              <w:rPr>
                <w:rFonts w:ascii="Arial" w:hAnsi="Arial" w:cs="Arial"/>
              </w:rPr>
              <w:t>7.2</w:t>
            </w:r>
          </w:p>
        </w:tc>
        <w:tc>
          <w:tcPr>
            <w:tcW w:w="8647" w:type="dxa"/>
          </w:tcPr>
          <w:p w14:paraId="37A1C96F" w14:textId="77777777" w:rsidR="00AA533C" w:rsidRDefault="00AA533C" w:rsidP="00157FFD">
            <w:pPr>
              <w:autoSpaceDE w:val="0"/>
              <w:autoSpaceDN w:val="0"/>
              <w:adjustRightInd w:val="0"/>
              <w:jc w:val="both"/>
              <w:rPr>
                <w:rFonts w:ascii="Arial" w:hAnsi="Arial" w:cs="Arial"/>
              </w:rPr>
            </w:pPr>
            <w:r>
              <w:rPr>
                <w:rFonts w:ascii="Arial" w:hAnsi="Arial" w:cs="Arial"/>
              </w:rPr>
              <w:t>Legal Implications - there are no new legal implications arising from this report.</w:t>
            </w:r>
          </w:p>
          <w:p w14:paraId="54B9661D" w14:textId="77777777" w:rsidR="00AA533C" w:rsidRDefault="00AA533C" w:rsidP="00157FFD">
            <w:pPr>
              <w:autoSpaceDE w:val="0"/>
              <w:autoSpaceDN w:val="0"/>
              <w:adjustRightInd w:val="0"/>
              <w:jc w:val="both"/>
              <w:rPr>
                <w:rFonts w:ascii="Arial" w:hAnsi="Arial" w:cs="Arial"/>
              </w:rPr>
            </w:pPr>
          </w:p>
        </w:tc>
      </w:tr>
      <w:tr w:rsidR="00AA533C" w:rsidRPr="0089449E" w14:paraId="1BB8377B"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31B67839" w14:textId="17865E7E" w:rsidR="00AA533C" w:rsidRPr="009A5F85" w:rsidRDefault="009A5F85" w:rsidP="00157FFD">
            <w:pPr>
              <w:autoSpaceDE w:val="0"/>
              <w:autoSpaceDN w:val="0"/>
              <w:adjustRightInd w:val="0"/>
              <w:rPr>
                <w:rFonts w:ascii="Arial" w:hAnsi="Arial" w:cs="Arial"/>
                <w:bCs/>
              </w:rPr>
            </w:pPr>
            <w:r w:rsidRPr="009A5F85">
              <w:rPr>
                <w:rFonts w:ascii="Arial" w:hAnsi="Arial" w:cs="Arial"/>
                <w:bCs/>
              </w:rPr>
              <w:t>7.3</w:t>
            </w:r>
          </w:p>
        </w:tc>
        <w:tc>
          <w:tcPr>
            <w:tcW w:w="8647" w:type="dxa"/>
          </w:tcPr>
          <w:p w14:paraId="402EF3DB" w14:textId="77777777" w:rsidR="00AA533C" w:rsidRDefault="00AA533C" w:rsidP="00157FFD">
            <w:pPr>
              <w:autoSpaceDE w:val="0"/>
              <w:autoSpaceDN w:val="0"/>
              <w:adjustRightInd w:val="0"/>
              <w:jc w:val="both"/>
              <w:rPr>
                <w:rFonts w:ascii="Arial" w:hAnsi="Arial" w:cs="Arial"/>
              </w:rPr>
            </w:pPr>
            <w:r w:rsidRPr="00280008">
              <w:rPr>
                <w:rFonts w:ascii="Arial" w:hAnsi="Arial" w:cs="Arial"/>
              </w:rPr>
              <w:t>Equality Implications – there are no new equality implications arising from this report.</w:t>
            </w:r>
          </w:p>
          <w:p w14:paraId="644DE788" w14:textId="77777777" w:rsidR="00AA533C" w:rsidRPr="00280008" w:rsidRDefault="00AA533C" w:rsidP="00157FFD">
            <w:pPr>
              <w:autoSpaceDE w:val="0"/>
              <w:autoSpaceDN w:val="0"/>
              <w:adjustRightInd w:val="0"/>
              <w:jc w:val="both"/>
              <w:rPr>
                <w:rFonts w:ascii="Arial" w:hAnsi="Arial" w:cs="Arial"/>
              </w:rPr>
            </w:pPr>
          </w:p>
        </w:tc>
      </w:tr>
      <w:tr w:rsidR="00AA533C" w:rsidRPr="0089449E" w14:paraId="4C9FBDCF" w14:textId="77777777" w:rsidTr="009A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14:paraId="64EB3A30" w14:textId="6876C9ED" w:rsidR="00AA533C" w:rsidRPr="00762379" w:rsidRDefault="009A5F85" w:rsidP="00157FFD">
            <w:pPr>
              <w:autoSpaceDE w:val="0"/>
              <w:autoSpaceDN w:val="0"/>
              <w:adjustRightInd w:val="0"/>
              <w:rPr>
                <w:rFonts w:ascii="Arial" w:hAnsi="Arial" w:cs="Arial"/>
              </w:rPr>
            </w:pPr>
            <w:r>
              <w:rPr>
                <w:rFonts w:ascii="Arial" w:hAnsi="Arial" w:cs="Arial"/>
              </w:rPr>
              <w:t>7.4</w:t>
            </w:r>
          </w:p>
        </w:tc>
        <w:tc>
          <w:tcPr>
            <w:tcW w:w="8647" w:type="dxa"/>
          </w:tcPr>
          <w:p w14:paraId="2F244178" w14:textId="77777777" w:rsidR="00AA533C" w:rsidRDefault="00AA533C" w:rsidP="00157FFD">
            <w:pPr>
              <w:autoSpaceDE w:val="0"/>
              <w:autoSpaceDN w:val="0"/>
              <w:adjustRightInd w:val="0"/>
              <w:jc w:val="both"/>
              <w:rPr>
                <w:rFonts w:ascii="Arial" w:hAnsi="Arial" w:cs="Arial"/>
              </w:rPr>
            </w:pPr>
            <w:r>
              <w:rPr>
                <w:rFonts w:ascii="Arial" w:hAnsi="Arial" w:cs="Arial"/>
              </w:rPr>
              <w:t xml:space="preserve">Risk Implications – there are no new risk implications arising from this report. </w:t>
            </w:r>
          </w:p>
          <w:p w14:paraId="1CF06001" w14:textId="77777777" w:rsidR="00AA533C" w:rsidRPr="0089449E" w:rsidRDefault="00AA533C" w:rsidP="00157FFD">
            <w:pPr>
              <w:autoSpaceDE w:val="0"/>
              <w:autoSpaceDN w:val="0"/>
              <w:adjustRightInd w:val="0"/>
              <w:jc w:val="both"/>
              <w:rPr>
                <w:rFonts w:ascii="Arial" w:hAnsi="Arial" w:cs="Arial"/>
                <w:b/>
              </w:rPr>
            </w:pPr>
          </w:p>
        </w:tc>
      </w:tr>
    </w:tbl>
    <w:p w14:paraId="274197ED" w14:textId="77777777" w:rsidR="0039450A"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89449E" w14:paraId="134C5FAB" w14:textId="77777777" w:rsidTr="00555FC1">
        <w:trPr>
          <w:cantSplit/>
        </w:trPr>
        <w:tc>
          <w:tcPr>
            <w:tcW w:w="9464" w:type="dxa"/>
          </w:tcPr>
          <w:p w14:paraId="1A6E1DE4" w14:textId="77777777" w:rsidR="00555FC1" w:rsidRPr="00555FC1" w:rsidRDefault="00555FC1" w:rsidP="00555FC1">
            <w:pPr>
              <w:pStyle w:val="Heading2"/>
              <w:rPr>
                <w:rFonts w:ascii="Arial" w:hAnsi="Arial" w:cs="Arial"/>
                <w:b/>
                <w:szCs w:val="24"/>
                <w:u w:val="none"/>
              </w:rPr>
            </w:pPr>
            <w:r>
              <w:rPr>
                <w:rFonts w:ascii="Arial" w:hAnsi="Arial" w:cs="Arial"/>
                <w:b/>
                <w:szCs w:val="24"/>
                <w:u w:val="none"/>
              </w:rPr>
              <w:t xml:space="preserve"> Recommendations</w:t>
            </w:r>
          </w:p>
          <w:p w14:paraId="0D7D6F8D" w14:textId="77777777" w:rsidR="00555FC1" w:rsidRPr="00B12C74" w:rsidRDefault="00555FC1" w:rsidP="00555FC1">
            <w:pPr>
              <w:jc w:val="both"/>
              <w:rPr>
                <w:rFonts w:ascii="Arial" w:hAnsi="Arial" w:cs="Arial"/>
                <w:szCs w:val="24"/>
              </w:rPr>
            </w:pPr>
          </w:p>
          <w:p w14:paraId="467AB840" w14:textId="77777777" w:rsidR="00690507" w:rsidRDefault="0036252C" w:rsidP="00762379">
            <w:pPr>
              <w:jc w:val="both"/>
              <w:rPr>
                <w:rFonts w:ascii="Arial" w:hAnsi="Arial" w:cs="Arial"/>
                <w:szCs w:val="24"/>
              </w:rPr>
            </w:pPr>
            <w:r>
              <w:rPr>
                <w:rFonts w:ascii="Arial" w:hAnsi="Arial" w:cs="Arial"/>
                <w:szCs w:val="24"/>
              </w:rPr>
              <w:t>It is recommended Directors</w:t>
            </w:r>
            <w:r w:rsidR="00762379">
              <w:rPr>
                <w:rFonts w:ascii="Arial" w:hAnsi="Arial" w:cs="Arial"/>
                <w:szCs w:val="24"/>
              </w:rPr>
              <w:t xml:space="preserve"> comment on and note the updates.</w:t>
            </w:r>
          </w:p>
          <w:p w14:paraId="5222921E" w14:textId="6762704A" w:rsidR="00762379" w:rsidRPr="00690507" w:rsidRDefault="00762379" w:rsidP="00762379">
            <w:pPr>
              <w:jc w:val="both"/>
              <w:rPr>
                <w:rFonts w:ascii="Arial" w:hAnsi="Arial" w:cs="Arial"/>
                <w:szCs w:val="24"/>
              </w:rPr>
            </w:pPr>
          </w:p>
        </w:tc>
      </w:tr>
    </w:tbl>
    <w:p w14:paraId="73FEE3A2" w14:textId="77777777" w:rsidR="00555FC1" w:rsidRPr="0089449E" w:rsidRDefault="00555FC1" w:rsidP="00416BFF">
      <w:pPr>
        <w:rPr>
          <w:rFonts w:ascii="Arial" w:hAnsi="Arial" w:cs="Arial"/>
          <w:szCs w:val="24"/>
        </w:rPr>
      </w:pPr>
    </w:p>
    <w:p w14:paraId="146FA6C1" w14:textId="77777777" w:rsidR="0039450A" w:rsidRDefault="0039450A" w:rsidP="00416BFF">
      <w:pPr>
        <w:rPr>
          <w:rFonts w:ascii="Arial" w:hAnsi="Arial" w:cs="Arial"/>
          <w:szCs w:val="24"/>
        </w:rPr>
      </w:pPr>
      <w:r w:rsidRPr="0089449E">
        <w:rPr>
          <w:rFonts w:ascii="Arial" w:hAnsi="Arial" w:cs="Arial"/>
          <w:szCs w:val="24"/>
        </w:rPr>
        <w:t>Designation:</w:t>
      </w:r>
      <w:r w:rsidR="0067538A" w:rsidRPr="0089449E">
        <w:rPr>
          <w:rFonts w:ascii="Arial" w:hAnsi="Arial" w:cs="Arial"/>
          <w:szCs w:val="24"/>
        </w:rPr>
        <w:tab/>
        <w:t>Chief Executive</w:t>
      </w:r>
    </w:p>
    <w:p w14:paraId="1A5CF8FB" w14:textId="77777777" w:rsidR="0008589E" w:rsidRPr="0089449E" w:rsidRDefault="0008589E" w:rsidP="00416BFF">
      <w:pPr>
        <w:rPr>
          <w:rFonts w:ascii="Arial" w:hAnsi="Arial" w:cs="Arial"/>
          <w:szCs w:val="24"/>
        </w:rPr>
      </w:pPr>
    </w:p>
    <w:p w14:paraId="7BC877DE" w14:textId="03E8B0DB" w:rsidR="005F0414" w:rsidRDefault="0039450A">
      <w:pPr>
        <w:rPr>
          <w:rFonts w:ascii="Arial" w:hAnsi="Arial" w:cs="Arial"/>
          <w:szCs w:val="24"/>
        </w:rPr>
      </w:pPr>
      <w:r w:rsidRPr="0089449E">
        <w:rPr>
          <w:rFonts w:ascii="Arial" w:hAnsi="Arial" w:cs="Arial"/>
          <w:szCs w:val="24"/>
        </w:rPr>
        <w:t>Date:</w:t>
      </w:r>
      <w:r w:rsidRPr="0089449E">
        <w:rPr>
          <w:rFonts w:ascii="Arial" w:hAnsi="Arial" w:cs="Arial"/>
          <w:szCs w:val="24"/>
        </w:rPr>
        <w:tab/>
      </w:r>
      <w:r w:rsidRPr="0089449E">
        <w:rPr>
          <w:rFonts w:ascii="Arial" w:hAnsi="Arial" w:cs="Arial"/>
          <w:szCs w:val="24"/>
        </w:rPr>
        <w:tab/>
      </w:r>
      <w:r w:rsidR="009A5F85">
        <w:rPr>
          <w:rFonts w:ascii="Arial" w:hAnsi="Arial" w:cs="Arial"/>
          <w:szCs w:val="24"/>
        </w:rPr>
        <w:t>29</w:t>
      </w:r>
      <w:r w:rsidR="00996BED">
        <w:rPr>
          <w:rFonts w:ascii="Arial" w:hAnsi="Arial" w:cs="Arial"/>
          <w:szCs w:val="24"/>
        </w:rPr>
        <w:t xml:space="preserve"> November 2020</w:t>
      </w:r>
    </w:p>
    <w:sectPr w:rsidR="005F0414" w:rsidSect="009A5F85">
      <w:pgSz w:w="11906" w:h="16838"/>
      <w:pgMar w:top="851"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57487" w14:textId="77777777" w:rsidR="00C71BC7" w:rsidRDefault="00C71BC7">
      <w:r>
        <w:separator/>
      </w:r>
    </w:p>
  </w:endnote>
  <w:endnote w:type="continuationSeparator" w:id="0">
    <w:p w14:paraId="7E6C59F0" w14:textId="77777777" w:rsidR="00C71BC7" w:rsidRDefault="00C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17B99" w14:textId="77777777" w:rsidR="00C71BC7" w:rsidRDefault="00C71BC7">
      <w:r>
        <w:separator/>
      </w:r>
    </w:p>
  </w:footnote>
  <w:footnote w:type="continuationSeparator" w:id="0">
    <w:p w14:paraId="71F64E05" w14:textId="77777777" w:rsidR="00C71BC7" w:rsidRDefault="00C71BC7">
      <w:r>
        <w:continuationSeparator/>
      </w:r>
    </w:p>
  </w:footnote>
  <w:footnote w:id="1">
    <w:p w14:paraId="1DE87F4A" w14:textId="3A86F8E5" w:rsidR="00E31BE1" w:rsidRDefault="00E31BE1">
      <w:pPr>
        <w:pStyle w:val="FootnoteText"/>
      </w:pPr>
      <w:r>
        <w:rPr>
          <w:rStyle w:val="FootnoteReference"/>
        </w:rPr>
        <w:footnoteRef/>
      </w:r>
      <w:r>
        <w:t xml:space="preserve"> The largest Leisure centres will likely open on 30/31 December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547"/>
    <w:multiLevelType w:val="hybridMultilevel"/>
    <w:tmpl w:val="62DC0214"/>
    <w:lvl w:ilvl="0" w:tplc="08090001">
      <w:start w:val="1"/>
      <w:numFmt w:val="bullet"/>
      <w:lvlText w:val=""/>
      <w:lvlJc w:val="left"/>
      <w:pPr>
        <w:ind w:left="360" w:hanging="360"/>
      </w:pPr>
      <w:rPr>
        <w:rFonts w:ascii="Symbol" w:hAnsi="Symbol" w:hint="default"/>
      </w:rPr>
    </w:lvl>
    <w:lvl w:ilvl="1" w:tplc="3AE27606">
      <w:numFmt w:val="bullet"/>
      <w:lvlText w:val="•"/>
      <w:lvlJc w:val="left"/>
      <w:pPr>
        <w:ind w:left="1410" w:hanging="69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000AD0"/>
    <w:multiLevelType w:val="hybridMultilevel"/>
    <w:tmpl w:val="ED3CD8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A363238"/>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 w15:restartNumberingAfterBreak="0">
    <w:nsid w:val="21CA058F"/>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 w15:restartNumberingAfterBreak="0">
    <w:nsid w:val="30A30DE6"/>
    <w:multiLevelType w:val="multilevel"/>
    <w:tmpl w:val="E3E43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0528D"/>
    <w:multiLevelType w:val="hybridMultilevel"/>
    <w:tmpl w:val="31FA9FFC"/>
    <w:lvl w:ilvl="0" w:tplc="D0D2C06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A04E0"/>
    <w:multiLevelType w:val="hybridMultilevel"/>
    <w:tmpl w:val="5A90C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7"/>
  </w:num>
  <w:num w:numId="2">
    <w:abstractNumId w:val="5"/>
  </w:num>
  <w:num w:numId="3">
    <w:abstractNumId w:val="0"/>
  </w:num>
  <w:num w:numId="4">
    <w:abstractNumId w:val="4"/>
  </w:num>
  <w:num w:numId="5">
    <w:abstractNumId w:val="2"/>
  </w:num>
  <w:num w:numId="6">
    <w:abstractNumId w:val="3"/>
  </w:num>
  <w:num w:numId="7">
    <w:abstractNumId w:val="6"/>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76E2"/>
    <w:rsid w:val="00020B41"/>
    <w:rsid w:val="000261C0"/>
    <w:rsid w:val="00026F8A"/>
    <w:rsid w:val="0003004A"/>
    <w:rsid w:val="000330B6"/>
    <w:rsid w:val="0003591A"/>
    <w:rsid w:val="000505B8"/>
    <w:rsid w:val="00050D22"/>
    <w:rsid w:val="00054DE1"/>
    <w:rsid w:val="000551FC"/>
    <w:rsid w:val="000554B2"/>
    <w:rsid w:val="000574B4"/>
    <w:rsid w:val="00061C9F"/>
    <w:rsid w:val="00062F53"/>
    <w:rsid w:val="00064BF3"/>
    <w:rsid w:val="00066BA2"/>
    <w:rsid w:val="00074FF1"/>
    <w:rsid w:val="00077F8B"/>
    <w:rsid w:val="00080FD0"/>
    <w:rsid w:val="00084731"/>
    <w:rsid w:val="0008589E"/>
    <w:rsid w:val="00090B05"/>
    <w:rsid w:val="00091C70"/>
    <w:rsid w:val="00093B82"/>
    <w:rsid w:val="00097000"/>
    <w:rsid w:val="000A25E7"/>
    <w:rsid w:val="000A7837"/>
    <w:rsid w:val="000B1D32"/>
    <w:rsid w:val="000B2503"/>
    <w:rsid w:val="000B3E4C"/>
    <w:rsid w:val="000B49B2"/>
    <w:rsid w:val="000B5586"/>
    <w:rsid w:val="000B6F76"/>
    <w:rsid w:val="000C3CCE"/>
    <w:rsid w:val="000D4534"/>
    <w:rsid w:val="000D4BC9"/>
    <w:rsid w:val="000E1E50"/>
    <w:rsid w:val="000E32C5"/>
    <w:rsid w:val="000F274B"/>
    <w:rsid w:val="000F6071"/>
    <w:rsid w:val="00104AC6"/>
    <w:rsid w:val="00107147"/>
    <w:rsid w:val="001072B4"/>
    <w:rsid w:val="00113A44"/>
    <w:rsid w:val="001359E1"/>
    <w:rsid w:val="00140C99"/>
    <w:rsid w:val="0015012F"/>
    <w:rsid w:val="00157FFD"/>
    <w:rsid w:val="001671A2"/>
    <w:rsid w:val="001867F0"/>
    <w:rsid w:val="00186DF1"/>
    <w:rsid w:val="00186EB5"/>
    <w:rsid w:val="00192A32"/>
    <w:rsid w:val="00196399"/>
    <w:rsid w:val="001973D8"/>
    <w:rsid w:val="001A0567"/>
    <w:rsid w:val="001A3606"/>
    <w:rsid w:val="001A45C4"/>
    <w:rsid w:val="001B2DDC"/>
    <w:rsid w:val="001B448B"/>
    <w:rsid w:val="001C3583"/>
    <w:rsid w:val="001C7478"/>
    <w:rsid w:val="001D1D38"/>
    <w:rsid w:val="001E52E7"/>
    <w:rsid w:val="001F261C"/>
    <w:rsid w:val="001F6978"/>
    <w:rsid w:val="00210527"/>
    <w:rsid w:val="00214A0D"/>
    <w:rsid w:val="00214EAD"/>
    <w:rsid w:val="002166BB"/>
    <w:rsid w:val="002225D0"/>
    <w:rsid w:val="00226F57"/>
    <w:rsid w:val="00234011"/>
    <w:rsid w:val="00234F89"/>
    <w:rsid w:val="0023685D"/>
    <w:rsid w:val="00244D6C"/>
    <w:rsid w:val="00251CEC"/>
    <w:rsid w:val="0025263B"/>
    <w:rsid w:val="00257BA7"/>
    <w:rsid w:val="00263FA2"/>
    <w:rsid w:val="00267F93"/>
    <w:rsid w:val="00280008"/>
    <w:rsid w:val="00280E3B"/>
    <w:rsid w:val="00294AEC"/>
    <w:rsid w:val="00294E58"/>
    <w:rsid w:val="002A11C0"/>
    <w:rsid w:val="002A660A"/>
    <w:rsid w:val="002B1635"/>
    <w:rsid w:val="002B2804"/>
    <w:rsid w:val="002B3430"/>
    <w:rsid w:val="002B687C"/>
    <w:rsid w:val="002B7DC4"/>
    <w:rsid w:val="002B7E63"/>
    <w:rsid w:val="002C1270"/>
    <w:rsid w:val="002C5F24"/>
    <w:rsid w:val="002C68DB"/>
    <w:rsid w:val="002C7DD6"/>
    <w:rsid w:val="002D2844"/>
    <w:rsid w:val="002D5357"/>
    <w:rsid w:val="002D7D16"/>
    <w:rsid w:val="002E1EEF"/>
    <w:rsid w:val="002E349F"/>
    <w:rsid w:val="002E5825"/>
    <w:rsid w:val="002F2E6A"/>
    <w:rsid w:val="002F6788"/>
    <w:rsid w:val="00301560"/>
    <w:rsid w:val="003017DE"/>
    <w:rsid w:val="00301DED"/>
    <w:rsid w:val="00306BAA"/>
    <w:rsid w:val="00324C2E"/>
    <w:rsid w:val="003263F9"/>
    <w:rsid w:val="00333CAD"/>
    <w:rsid w:val="0033520A"/>
    <w:rsid w:val="00341354"/>
    <w:rsid w:val="00345B42"/>
    <w:rsid w:val="00346C3E"/>
    <w:rsid w:val="0035129C"/>
    <w:rsid w:val="00356B53"/>
    <w:rsid w:val="00360BAF"/>
    <w:rsid w:val="0036252C"/>
    <w:rsid w:val="00363F80"/>
    <w:rsid w:val="00366325"/>
    <w:rsid w:val="0037299B"/>
    <w:rsid w:val="00377E7B"/>
    <w:rsid w:val="003843D2"/>
    <w:rsid w:val="00386F23"/>
    <w:rsid w:val="003875A7"/>
    <w:rsid w:val="003924C9"/>
    <w:rsid w:val="0039450A"/>
    <w:rsid w:val="003A2DCA"/>
    <w:rsid w:val="003A7248"/>
    <w:rsid w:val="003B0FF6"/>
    <w:rsid w:val="003B11CA"/>
    <w:rsid w:val="003B1F1A"/>
    <w:rsid w:val="003B6CBF"/>
    <w:rsid w:val="003C202D"/>
    <w:rsid w:val="003D7006"/>
    <w:rsid w:val="003E4842"/>
    <w:rsid w:val="003E73BB"/>
    <w:rsid w:val="003E7C71"/>
    <w:rsid w:val="003F13BF"/>
    <w:rsid w:val="003F713F"/>
    <w:rsid w:val="00403DEA"/>
    <w:rsid w:val="00407A60"/>
    <w:rsid w:val="00413E57"/>
    <w:rsid w:val="00416BFF"/>
    <w:rsid w:val="0042047A"/>
    <w:rsid w:val="004257B2"/>
    <w:rsid w:val="00432126"/>
    <w:rsid w:val="004365EA"/>
    <w:rsid w:val="0044130C"/>
    <w:rsid w:val="004447C2"/>
    <w:rsid w:val="004455D4"/>
    <w:rsid w:val="00445D1F"/>
    <w:rsid w:val="00447094"/>
    <w:rsid w:val="004476F3"/>
    <w:rsid w:val="0045226F"/>
    <w:rsid w:val="0045351D"/>
    <w:rsid w:val="0046491F"/>
    <w:rsid w:val="00465AD1"/>
    <w:rsid w:val="0046709C"/>
    <w:rsid w:val="004704DB"/>
    <w:rsid w:val="00480058"/>
    <w:rsid w:val="004806EE"/>
    <w:rsid w:val="00493068"/>
    <w:rsid w:val="00496280"/>
    <w:rsid w:val="00496D02"/>
    <w:rsid w:val="004973CD"/>
    <w:rsid w:val="004A104C"/>
    <w:rsid w:val="004A1A72"/>
    <w:rsid w:val="004A2FA7"/>
    <w:rsid w:val="004A338B"/>
    <w:rsid w:val="004B7C55"/>
    <w:rsid w:val="004C4A93"/>
    <w:rsid w:val="004D0BC5"/>
    <w:rsid w:val="004D3AE1"/>
    <w:rsid w:val="004D65FA"/>
    <w:rsid w:val="004D68A8"/>
    <w:rsid w:val="004F4FE1"/>
    <w:rsid w:val="004F6740"/>
    <w:rsid w:val="004F7724"/>
    <w:rsid w:val="00504936"/>
    <w:rsid w:val="005058F1"/>
    <w:rsid w:val="00505D55"/>
    <w:rsid w:val="00512915"/>
    <w:rsid w:val="00516F25"/>
    <w:rsid w:val="00517046"/>
    <w:rsid w:val="0052563D"/>
    <w:rsid w:val="005304A6"/>
    <w:rsid w:val="005307D1"/>
    <w:rsid w:val="00540480"/>
    <w:rsid w:val="00540C40"/>
    <w:rsid w:val="00541DA3"/>
    <w:rsid w:val="0054639C"/>
    <w:rsid w:val="005538D9"/>
    <w:rsid w:val="00555FC1"/>
    <w:rsid w:val="00561E6A"/>
    <w:rsid w:val="00563E8A"/>
    <w:rsid w:val="005732B8"/>
    <w:rsid w:val="00573546"/>
    <w:rsid w:val="00574600"/>
    <w:rsid w:val="0057559C"/>
    <w:rsid w:val="005776E6"/>
    <w:rsid w:val="005857E2"/>
    <w:rsid w:val="0058658A"/>
    <w:rsid w:val="00590C36"/>
    <w:rsid w:val="005940CC"/>
    <w:rsid w:val="0059426B"/>
    <w:rsid w:val="00596043"/>
    <w:rsid w:val="005A084E"/>
    <w:rsid w:val="005B48BE"/>
    <w:rsid w:val="005B7AD2"/>
    <w:rsid w:val="005C1095"/>
    <w:rsid w:val="005C13D9"/>
    <w:rsid w:val="005C4E47"/>
    <w:rsid w:val="005D2DA3"/>
    <w:rsid w:val="005E12D5"/>
    <w:rsid w:val="005E23D5"/>
    <w:rsid w:val="005E2417"/>
    <w:rsid w:val="005E4DC9"/>
    <w:rsid w:val="005F0414"/>
    <w:rsid w:val="00610378"/>
    <w:rsid w:val="00610F52"/>
    <w:rsid w:val="006121C6"/>
    <w:rsid w:val="0061518E"/>
    <w:rsid w:val="0061545F"/>
    <w:rsid w:val="00615DE0"/>
    <w:rsid w:val="00616348"/>
    <w:rsid w:val="00617921"/>
    <w:rsid w:val="00621BD3"/>
    <w:rsid w:val="00623273"/>
    <w:rsid w:val="00626CA2"/>
    <w:rsid w:val="00630532"/>
    <w:rsid w:val="00631A84"/>
    <w:rsid w:val="006405A1"/>
    <w:rsid w:val="00647D1E"/>
    <w:rsid w:val="00652BC4"/>
    <w:rsid w:val="00654D94"/>
    <w:rsid w:val="00663093"/>
    <w:rsid w:val="00673F0B"/>
    <w:rsid w:val="006748F2"/>
    <w:rsid w:val="0067538A"/>
    <w:rsid w:val="006769D2"/>
    <w:rsid w:val="00677D30"/>
    <w:rsid w:val="00686F70"/>
    <w:rsid w:val="00687467"/>
    <w:rsid w:val="00690507"/>
    <w:rsid w:val="00693401"/>
    <w:rsid w:val="00696263"/>
    <w:rsid w:val="00696DD2"/>
    <w:rsid w:val="006A0F3F"/>
    <w:rsid w:val="006A10B5"/>
    <w:rsid w:val="006C4267"/>
    <w:rsid w:val="006D0028"/>
    <w:rsid w:val="006D1DA7"/>
    <w:rsid w:val="006D4204"/>
    <w:rsid w:val="006E5B0D"/>
    <w:rsid w:val="006E7A34"/>
    <w:rsid w:val="006F0B62"/>
    <w:rsid w:val="006F3071"/>
    <w:rsid w:val="006F6A8D"/>
    <w:rsid w:val="006F6DA9"/>
    <w:rsid w:val="007022A6"/>
    <w:rsid w:val="007063F6"/>
    <w:rsid w:val="00707C87"/>
    <w:rsid w:val="007161EF"/>
    <w:rsid w:val="00716A62"/>
    <w:rsid w:val="007214D1"/>
    <w:rsid w:val="00724732"/>
    <w:rsid w:val="0072624F"/>
    <w:rsid w:val="00733ABF"/>
    <w:rsid w:val="00733C39"/>
    <w:rsid w:val="0074357D"/>
    <w:rsid w:val="0074360E"/>
    <w:rsid w:val="00762379"/>
    <w:rsid w:val="00772D75"/>
    <w:rsid w:val="00776884"/>
    <w:rsid w:val="00790204"/>
    <w:rsid w:val="0079043C"/>
    <w:rsid w:val="00790E27"/>
    <w:rsid w:val="00791761"/>
    <w:rsid w:val="007970F2"/>
    <w:rsid w:val="007A0382"/>
    <w:rsid w:val="007A4C81"/>
    <w:rsid w:val="007A4F2A"/>
    <w:rsid w:val="007A7269"/>
    <w:rsid w:val="007B04F4"/>
    <w:rsid w:val="007B28EE"/>
    <w:rsid w:val="007B6EC4"/>
    <w:rsid w:val="007B7D52"/>
    <w:rsid w:val="007C0413"/>
    <w:rsid w:val="007C25F1"/>
    <w:rsid w:val="007C4033"/>
    <w:rsid w:val="007C6B50"/>
    <w:rsid w:val="007D2AFE"/>
    <w:rsid w:val="007E5C0B"/>
    <w:rsid w:val="007E7F92"/>
    <w:rsid w:val="007F1547"/>
    <w:rsid w:val="007F1B27"/>
    <w:rsid w:val="007F474D"/>
    <w:rsid w:val="007F5A47"/>
    <w:rsid w:val="007F5C39"/>
    <w:rsid w:val="0080441F"/>
    <w:rsid w:val="0080596F"/>
    <w:rsid w:val="00807937"/>
    <w:rsid w:val="00811A6F"/>
    <w:rsid w:val="00817AAC"/>
    <w:rsid w:val="00825FD9"/>
    <w:rsid w:val="00833EB7"/>
    <w:rsid w:val="0084114E"/>
    <w:rsid w:val="00851CF2"/>
    <w:rsid w:val="0085262A"/>
    <w:rsid w:val="00861106"/>
    <w:rsid w:val="00867A34"/>
    <w:rsid w:val="0088587A"/>
    <w:rsid w:val="0089449E"/>
    <w:rsid w:val="0089588A"/>
    <w:rsid w:val="008A1F14"/>
    <w:rsid w:val="008A212E"/>
    <w:rsid w:val="008A51D2"/>
    <w:rsid w:val="008B2D76"/>
    <w:rsid w:val="008B4BAF"/>
    <w:rsid w:val="008B4D54"/>
    <w:rsid w:val="008C5986"/>
    <w:rsid w:val="008D2DEE"/>
    <w:rsid w:val="008E23F2"/>
    <w:rsid w:val="008E375A"/>
    <w:rsid w:val="008E51F4"/>
    <w:rsid w:val="008F1291"/>
    <w:rsid w:val="008F163E"/>
    <w:rsid w:val="008F3159"/>
    <w:rsid w:val="008F5A22"/>
    <w:rsid w:val="0091029D"/>
    <w:rsid w:val="00915C25"/>
    <w:rsid w:val="0092031D"/>
    <w:rsid w:val="009221C7"/>
    <w:rsid w:val="00931E71"/>
    <w:rsid w:val="009343A4"/>
    <w:rsid w:val="00943A99"/>
    <w:rsid w:val="00947F7B"/>
    <w:rsid w:val="00951FCB"/>
    <w:rsid w:val="00957E51"/>
    <w:rsid w:val="00963286"/>
    <w:rsid w:val="00965998"/>
    <w:rsid w:val="00966876"/>
    <w:rsid w:val="00967254"/>
    <w:rsid w:val="0096777A"/>
    <w:rsid w:val="009708FB"/>
    <w:rsid w:val="0097099E"/>
    <w:rsid w:val="00972093"/>
    <w:rsid w:val="00972FDE"/>
    <w:rsid w:val="00975019"/>
    <w:rsid w:val="00977CB1"/>
    <w:rsid w:val="00980EA0"/>
    <w:rsid w:val="0098449B"/>
    <w:rsid w:val="00985128"/>
    <w:rsid w:val="00991003"/>
    <w:rsid w:val="0099482F"/>
    <w:rsid w:val="0099552E"/>
    <w:rsid w:val="00996A88"/>
    <w:rsid w:val="00996BED"/>
    <w:rsid w:val="009A08DF"/>
    <w:rsid w:val="009A1902"/>
    <w:rsid w:val="009A2DC2"/>
    <w:rsid w:val="009A5F85"/>
    <w:rsid w:val="009C27EE"/>
    <w:rsid w:val="009C6FDD"/>
    <w:rsid w:val="009C79AB"/>
    <w:rsid w:val="009D27A9"/>
    <w:rsid w:val="009D3014"/>
    <w:rsid w:val="009D4E67"/>
    <w:rsid w:val="009E0393"/>
    <w:rsid w:val="009E72FA"/>
    <w:rsid w:val="009F1DA8"/>
    <w:rsid w:val="009F6E6F"/>
    <w:rsid w:val="00A05358"/>
    <w:rsid w:val="00A129BC"/>
    <w:rsid w:val="00A15E2C"/>
    <w:rsid w:val="00A16D06"/>
    <w:rsid w:val="00A2043D"/>
    <w:rsid w:val="00A220DB"/>
    <w:rsid w:val="00A241C4"/>
    <w:rsid w:val="00A31759"/>
    <w:rsid w:val="00A31CFF"/>
    <w:rsid w:val="00A47A09"/>
    <w:rsid w:val="00A50811"/>
    <w:rsid w:val="00A50926"/>
    <w:rsid w:val="00A51C0B"/>
    <w:rsid w:val="00A53534"/>
    <w:rsid w:val="00A545B8"/>
    <w:rsid w:val="00A56513"/>
    <w:rsid w:val="00A5750F"/>
    <w:rsid w:val="00A60E0A"/>
    <w:rsid w:val="00A61311"/>
    <w:rsid w:val="00A61654"/>
    <w:rsid w:val="00A61FF9"/>
    <w:rsid w:val="00A70F7B"/>
    <w:rsid w:val="00A763BC"/>
    <w:rsid w:val="00A7787A"/>
    <w:rsid w:val="00A8159A"/>
    <w:rsid w:val="00A860E1"/>
    <w:rsid w:val="00A872F2"/>
    <w:rsid w:val="00A923FD"/>
    <w:rsid w:val="00A936EC"/>
    <w:rsid w:val="00A96568"/>
    <w:rsid w:val="00A97015"/>
    <w:rsid w:val="00AA04F3"/>
    <w:rsid w:val="00AA533C"/>
    <w:rsid w:val="00AB0ED8"/>
    <w:rsid w:val="00AB54FF"/>
    <w:rsid w:val="00AC59E8"/>
    <w:rsid w:val="00AC66C5"/>
    <w:rsid w:val="00AC77DC"/>
    <w:rsid w:val="00AD0502"/>
    <w:rsid w:val="00AD0D67"/>
    <w:rsid w:val="00AD2174"/>
    <w:rsid w:val="00AD5244"/>
    <w:rsid w:val="00AD5B55"/>
    <w:rsid w:val="00AE0E89"/>
    <w:rsid w:val="00AE43AF"/>
    <w:rsid w:val="00AF02B6"/>
    <w:rsid w:val="00AF545E"/>
    <w:rsid w:val="00B035CB"/>
    <w:rsid w:val="00B12C74"/>
    <w:rsid w:val="00B13579"/>
    <w:rsid w:val="00B13810"/>
    <w:rsid w:val="00B14C29"/>
    <w:rsid w:val="00B2443A"/>
    <w:rsid w:val="00B26FE3"/>
    <w:rsid w:val="00B312BC"/>
    <w:rsid w:val="00B31F25"/>
    <w:rsid w:val="00B33A16"/>
    <w:rsid w:val="00B41BEF"/>
    <w:rsid w:val="00B420F8"/>
    <w:rsid w:val="00B4511E"/>
    <w:rsid w:val="00B46B39"/>
    <w:rsid w:val="00B46E01"/>
    <w:rsid w:val="00B53699"/>
    <w:rsid w:val="00B56CDC"/>
    <w:rsid w:val="00B578F1"/>
    <w:rsid w:val="00B642D7"/>
    <w:rsid w:val="00B64B77"/>
    <w:rsid w:val="00B70DD8"/>
    <w:rsid w:val="00B70F86"/>
    <w:rsid w:val="00B83469"/>
    <w:rsid w:val="00B84929"/>
    <w:rsid w:val="00B850CF"/>
    <w:rsid w:val="00B90FEE"/>
    <w:rsid w:val="00B9129C"/>
    <w:rsid w:val="00BA7621"/>
    <w:rsid w:val="00BB15FF"/>
    <w:rsid w:val="00BB35C1"/>
    <w:rsid w:val="00BB4484"/>
    <w:rsid w:val="00BB4A08"/>
    <w:rsid w:val="00BC0857"/>
    <w:rsid w:val="00BE155F"/>
    <w:rsid w:val="00C00E67"/>
    <w:rsid w:val="00C07C9E"/>
    <w:rsid w:val="00C15E52"/>
    <w:rsid w:val="00C23422"/>
    <w:rsid w:val="00C32A2A"/>
    <w:rsid w:val="00C34A7E"/>
    <w:rsid w:val="00C3617E"/>
    <w:rsid w:val="00C37DF3"/>
    <w:rsid w:val="00C41B87"/>
    <w:rsid w:val="00C443BA"/>
    <w:rsid w:val="00C44828"/>
    <w:rsid w:val="00C60E1C"/>
    <w:rsid w:val="00C71BC7"/>
    <w:rsid w:val="00C72600"/>
    <w:rsid w:val="00C74DC7"/>
    <w:rsid w:val="00C76C7E"/>
    <w:rsid w:val="00C8005D"/>
    <w:rsid w:val="00C81D7B"/>
    <w:rsid w:val="00C86B05"/>
    <w:rsid w:val="00C91EFB"/>
    <w:rsid w:val="00C9292D"/>
    <w:rsid w:val="00C97A35"/>
    <w:rsid w:val="00CA146D"/>
    <w:rsid w:val="00CB2AFA"/>
    <w:rsid w:val="00CB4C24"/>
    <w:rsid w:val="00CB6131"/>
    <w:rsid w:val="00CB7060"/>
    <w:rsid w:val="00CB774B"/>
    <w:rsid w:val="00CC6DDE"/>
    <w:rsid w:val="00CD63DC"/>
    <w:rsid w:val="00CE1556"/>
    <w:rsid w:val="00CE1DF3"/>
    <w:rsid w:val="00CE3065"/>
    <w:rsid w:val="00CE4369"/>
    <w:rsid w:val="00CE6A5E"/>
    <w:rsid w:val="00CF11B1"/>
    <w:rsid w:val="00CF3F3E"/>
    <w:rsid w:val="00CF6265"/>
    <w:rsid w:val="00D03F91"/>
    <w:rsid w:val="00D04921"/>
    <w:rsid w:val="00D0526F"/>
    <w:rsid w:val="00D05BA6"/>
    <w:rsid w:val="00D05DE1"/>
    <w:rsid w:val="00D15130"/>
    <w:rsid w:val="00D16CAF"/>
    <w:rsid w:val="00D351F6"/>
    <w:rsid w:val="00D4539E"/>
    <w:rsid w:val="00D47B50"/>
    <w:rsid w:val="00D50FD0"/>
    <w:rsid w:val="00D540BE"/>
    <w:rsid w:val="00D57CDF"/>
    <w:rsid w:val="00D658D1"/>
    <w:rsid w:val="00D7355C"/>
    <w:rsid w:val="00D811D3"/>
    <w:rsid w:val="00D8346A"/>
    <w:rsid w:val="00D842DB"/>
    <w:rsid w:val="00D87D93"/>
    <w:rsid w:val="00D90A8D"/>
    <w:rsid w:val="00D916DE"/>
    <w:rsid w:val="00DA465D"/>
    <w:rsid w:val="00DA5818"/>
    <w:rsid w:val="00DB0815"/>
    <w:rsid w:val="00DB3601"/>
    <w:rsid w:val="00DD3C91"/>
    <w:rsid w:val="00DD3FEC"/>
    <w:rsid w:val="00DE1E6C"/>
    <w:rsid w:val="00DE203F"/>
    <w:rsid w:val="00DE272A"/>
    <w:rsid w:val="00DE339D"/>
    <w:rsid w:val="00DE4D70"/>
    <w:rsid w:val="00DE59B2"/>
    <w:rsid w:val="00DE5F32"/>
    <w:rsid w:val="00DF4100"/>
    <w:rsid w:val="00DF62A8"/>
    <w:rsid w:val="00DF6656"/>
    <w:rsid w:val="00E00904"/>
    <w:rsid w:val="00E00C8A"/>
    <w:rsid w:val="00E025B8"/>
    <w:rsid w:val="00E05EF0"/>
    <w:rsid w:val="00E07DC0"/>
    <w:rsid w:val="00E123AE"/>
    <w:rsid w:val="00E159A4"/>
    <w:rsid w:val="00E236B9"/>
    <w:rsid w:val="00E25D85"/>
    <w:rsid w:val="00E304DA"/>
    <w:rsid w:val="00E31BE1"/>
    <w:rsid w:val="00E33025"/>
    <w:rsid w:val="00E345B1"/>
    <w:rsid w:val="00E45B7F"/>
    <w:rsid w:val="00E47B0B"/>
    <w:rsid w:val="00E51AE0"/>
    <w:rsid w:val="00E57EA0"/>
    <w:rsid w:val="00E635F3"/>
    <w:rsid w:val="00E7475C"/>
    <w:rsid w:val="00E82BE9"/>
    <w:rsid w:val="00E87480"/>
    <w:rsid w:val="00E9032E"/>
    <w:rsid w:val="00E926F1"/>
    <w:rsid w:val="00E97ABE"/>
    <w:rsid w:val="00EA1F0A"/>
    <w:rsid w:val="00EA6D79"/>
    <w:rsid w:val="00EA70C6"/>
    <w:rsid w:val="00EA71DB"/>
    <w:rsid w:val="00EB0CA7"/>
    <w:rsid w:val="00EB7CC3"/>
    <w:rsid w:val="00EC0D99"/>
    <w:rsid w:val="00EC455A"/>
    <w:rsid w:val="00EC4CB9"/>
    <w:rsid w:val="00ED6AD5"/>
    <w:rsid w:val="00EE12A5"/>
    <w:rsid w:val="00EF3A2D"/>
    <w:rsid w:val="00F00614"/>
    <w:rsid w:val="00F04DDD"/>
    <w:rsid w:val="00F067E4"/>
    <w:rsid w:val="00F0681D"/>
    <w:rsid w:val="00F06CED"/>
    <w:rsid w:val="00F11A45"/>
    <w:rsid w:val="00F14CD9"/>
    <w:rsid w:val="00F16D09"/>
    <w:rsid w:val="00F32670"/>
    <w:rsid w:val="00F3541E"/>
    <w:rsid w:val="00F458F8"/>
    <w:rsid w:val="00F479D1"/>
    <w:rsid w:val="00F50A4F"/>
    <w:rsid w:val="00F50D03"/>
    <w:rsid w:val="00F51569"/>
    <w:rsid w:val="00F54BAF"/>
    <w:rsid w:val="00F56EF9"/>
    <w:rsid w:val="00F636CF"/>
    <w:rsid w:val="00F63E69"/>
    <w:rsid w:val="00F669CC"/>
    <w:rsid w:val="00F745B5"/>
    <w:rsid w:val="00F74730"/>
    <w:rsid w:val="00F8113B"/>
    <w:rsid w:val="00F8209E"/>
    <w:rsid w:val="00F87ADA"/>
    <w:rsid w:val="00F91495"/>
    <w:rsid w:val="00FA053D"/>
    <w:rsid w:val="00FB11B3"/>
    <w:rsid w:val="00FB15EC"/>
    <w:rsid w:val="00FB7E75"/>
    <w:rsid w:val="00FC03AC"/>
    <w:rsid w:val="00FC7D8F"/>
    <w:rsid w:val="00FD3E30"/>
    <w:rsid w:val="00FD3F7E"/>
    <w:rsid w:val="00FD4165"/>
    <w:rsid w:val="00FE0838"/>
    <w:rsid w:val="00FE39AA"/>
    <w:rsid w:val="00FE4D79"/>
    <w:rsid w:val="00FE4E5E"/>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4B156"/>
  <w15:docId w15:val="{E870C326-30A4-4308-9A40-0B09C3AC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 w:type="paragraph" w:customStyle="1" w:styleId="lead">
    <w:name w:val="lead"/>
    <w:basedOn w:val="Normal"/>
    <w:rsid w:val="008E23F2"/>
    <w:pPr>
      <w:spacing w:before="100" w:beforeAutospacing="1" w:after="100" w:afterAutospacing="1"/>
    </w:pPr>
    <w:rPr>
      <w:color w:val="3C424F"/>
      <w:szCs w:val="24"/>
    </w:rPr>
  </w:style>
  <w:style w:type="paragraph" w:customStyle="1" w:styleId="Body">
    <w:name w:val="Body"/>
    <w:rsid w:val="00493068"/>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paragraph" w:customStyle="1" w:styleId="CharCharCharCharChar">
    <w:name w:val="Char Char Char Char Char"/>
    <w:basedOn w:val="Normal"/>
    <w:rsid w:val="00C91EFB"/>
    <w:pPr>
      <w:spacing w:after="160" w:line="240" w:lineRule="exact"/>
    </w:pPr>
    <w:rPr>
      <w:rFonts w:ascii="Verdana" w:hAnsi="Verdana"/>
      <w:b/>
      <w:sz w:val="20"/>
      <w:lang w:val="en-US" w:eastAsia="en-US"/>
    </w:rPr>
  </w:style>
  <w:style w:type="paragraph" w:styleId="EndnoteText">
    <w:name w:val="endnote text"/>
    <w:basedOn w:val="Normal"/>
    <w:link w:val="EndnoteTextChar"/>
    <w:uiPriority w:val="99"/>
    <w:semiHidden/>
    <w:unhideWhenUsed/>
    <w:rsid w:val="00E31BE1"/>
    <w:rPr>
      <w:sz w:val="20"/>
    </w:rPr>
  </w:style>
  <w:style w:type="character" w:customStyle="1" w:styleId="EndnoteTextChar">
    <w:name w:val="Endnote Text Char"/>
    <w:basedOn w:val="DefaultParagraphFont"/>
    <w:link w:val="EndnoteText"/>
    <w:uiPriority w:val="99"/>
    <w:semiHidden/>
    <w:rsid w:val="00E31BE1"/>
  </w:style>
  <w:style w:type="character" w:styleId="EndnoteReference">
    <w:name w:val="endnote reference"/>
    <w:basedOn w:val="DefaultParagraphFont"/>
    <w:uiPriority w:val="99"/>
    <w:semiHidden/>
    <w:unhideWhenUsed/>
    <w:rsid w:val="00E31BE1"/>
    <w:rPr>
      <w:vertAlign w:val="superscript"/>
    </w:rPr>
  </w:style>
  <w:style w:type="paragraph" w:styleId="FootnoteText">
    <w:name w:val="footnote text"/>
    <w:basedOn w:val="Normal"/>
    <w:link w:val="FootnoteTextChar"/>
    <w:uiPriority w:val="99"/>
    <w:semiHidden/>
    <w:unhideWhenUsed/>
    <w:rsid w:val="00E31BE1"/>
    <w:rPr>
      <w:sz w:val="20"/>
    </w:rPr>
  </w:style>
  <w:style w:type="character" w:customStyle="1" w:styleId="FootnoteTextChar">
    <w:name w:val="Footnote Text Char"/>
    <w:basedOn w:val="DefaultParagraphFont"/>
    <w:link w:val="FootnoteText"/>
    <w:uiPriority w:val="99"/>
    <w:semiHidden/>
    <w:rsid w:val="00E31BE1"/>
  </w:style>
  <w:style w:type="character" w:styleId="FootnoteReference">
    <w:name w:val="footnote reference"/>
    <w:basedOn w:val="DefaultParagraphFont"/>
    <w:uiPriority w:val="99"/>
    <w:semiHidden/>
    <w:unhideWhenUsed/>
    <w:rsid w:val="00E31B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5530">
      <w:bodyDiv w:val="1"/>
      <w:marLeft w:val="0"/>
      <w:marRight w:val="0"/>
      <w:marTop w:val="0"/>
      <w:marBottom w:val="0"/>
      <w:divBdr>
        <w:top w:val="none" w:sz="0" w:space="0" w:color="auto"/>
        <w:left w:val="none" w:sz="0" w:space="0" w:color="auto"/>
        <w:bottom w:val="none" w:sz="0" w:space="0" w:color="auto"/>
        <w:right w:val="none" w:sz="0" w:space="0" w:color="auto"/>
      </w:divBdr>
    </w:div>
    <w:div w:id="25637969">
      <w:bodyDiv w:val="1"/>
      <w:marLeft w:val="0"/>
      <w:marRight w:val="0"/>
      <w:marTop w:val="0"/>
      <w:marBottom w:val="0"/>
      <w:divBdr>
        <w:top w:val="none" w:sz="0" w:space="0" w:color="auto"/>
        <w:left w:val="none" w:sz="0" w:space="0" w:color="auto"/>
        <w:bottom w:val="none" w:sz="0" w:space="0" w:color="auto"/>
        <w:right w:val="none" w:sz="0" w:space="0" w:color="auto"/>
      </w:divBdr>
    </w:div>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19229115">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60120521">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189421336">
      <w:bodyDiv w:val="1"/>
      <w:marLeft w:val="0"/>
      <w:marRight w:val="0"/>
      <w:marTop w:val="0"/>
      <w:marBottom w:val="0"/>
      <w:divBdr>
        <w:top w:val="none" w:sz="0" w:space="0" w:color="auto"/>
        <w:left w:val="none" w:sz="0" w:space="0" w:color="auto"/>
        <w:bottom w:val="none" w:sz="0" w:space="0" w:color="auto"/>
        <w:right w:val="none" w:sz="0" w:space="0" w:color="auto"/>
      </w:divBdr>
    </w:div>
    <w:div w:id="210381054">
      <w:bodyDiv w:val="1"/>
      <w:marLeft w:val="0"/>
      <w:marRight w:val="0"/>
      <w:marTop w:val="0"/>
      <w:marBottom w:val="0"/>
      <w:divBdr>
        <w:top w:val="none" w:sz="0" w:space="0" w:color="auto"/>
        <w:left w:val="none" w:sz="0" w:space="0" w:color="auto"/>
        <w:bottom w:val="none" w:sz="0" w:space="0" w:color="auto"/>
        <w:right w:val="none" w:sz="0" w:space="0" w:color="auto"/>
      </w:divBdr>
    </w:div>
    <w:div w:id="216674541">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280381472">
      <w:bodyDiv w:val="1"/>
      <w:marLeft w:val="0"/>
      <w:marRight w:val="0"/>
      <w:marTop w:val="0"/>
      <w:marBottom w:val="0"/>
      <w:divBdr>
        <w:top w:val="none" w:sz="0" w:space="0" w:color="auto"/>
        <w:left w:val="none" w:sz="0" w:space="0" w:color="auto"/>
        <w:bottom w:val="none" w:sz="0" w:space="0" w:color="auto"/>
        <w:right w:val="none" w:sz="0" w:space="0" w:color="auto"/>
      </w:divBdr>
    </w:div>
    <w:div w:id="316501489">
      <w:bodyDiv w:val="1"/>
      <w:marLeft w:val="0"/>
      <w:marRight w:val="0"/>
      <w:marTop w:val="0"/>
      <w:marBottom w:val="0"/>
      <w:divBdr>
        <w:top w:val="none" w:sz="0" w:space="0" w:color="auto"/>
        <w:left w:val="none" w:sz="0" w:space="0" w:color="auto"/>
        <w:bottom w:val="none" w:sz="0" w:space="0" w:color="auto"/>
        <w:right w:val="none" w:sz="0" w:space="0" w:color="auto"/>
      </w:divBdr>
    </w:div>
    <w:div w:id="317466454">
      <w:bodyDiv w:val="1"/>
      <w:marLeft w:val="0"/>
      <w:marRight w:val="0"/>
      <w:marTop w:val="0"/>
      <w:marBottom w:val="0"/>
      <w:divBdr>
        <w:top w:val="none" w:sz="0" w:space="0" w:color="auto"/>
        <w:left w:val="none" w:sz="0" w:space="0" w:color="auto"/>
        <w:bottom w:val="none" w:sz="0" w:space="0" w:color="auto"/>
        <w:right w:val="none" w:sz="0" w:space="0" w:color="auto"/>
      </w:divBdr>
    </w:div>
    <w:div w:id="32722170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08844437">
      <w:bodyDiv w:val="1"/>
      <w:marLeft w:val="0"/>
      <w:marRight w:val="0"/>
      <w:marTop w:val="0"/>
      <w:marBottom w:val="0"/>
      <w:divBdr>
        <w:top w:val="none" w:sz="0" w:space="0" w:color="auto"/>
        <w:left w:val="none" w:sz="0" w:space="0" w:color="auto"/>
        <w:bottom w:val="none" w:sz="0" w:space="0" w:color="auto"/>
        <w:right w:val="none" w:sz="0" w:space="0" w:color="auto"/>
      </w:divBdr>
    </w:div>
    <w:div w:id="412169307">
      <w:bodyDiv w:val="1"/>
      <w:marLeft w:val="0"/>
      <w:marRight w:val="0"/>
      <w:marTop w:val="0"/>
      <w:marBottom w:val="0"/>
      <w:divBdr>
        <w:top w:val="none" w:sz="0" w:space="0" w:color="auto"/>
        <w:left w:val="none" w:sz="0" w:space="0" w:color="auto"/>
        <w:bottom w:val="none" w:sz="0" w:space="0" w:color="auto"/>
        <w:right w:val="none" w:sz="0" w:space="0" w:color="auto"/>
      </w:divBdr>
    </w:div>
    <w:div w:id="464354188">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39411">
      <w:bodyDiv w:val="1"/>
      <w:marLeft w:val="0"/>
      <w:marRight w:val="0"/>
      <w:marTop w:val="0"/>
      <w:marBottom w:val="0"/>
      <w:divBdr>
        <w:top w:val="none" w:sz="0" w:space="0" w:color="auto"/>
        <w:left w:val="none" w:sz="0" w:space="0" w:color="auto"/>
        <w:bottom w:val="none" w:sz="0" w:space="0" w:color="auto"/>
        <w:right w:val="none" w:sz="0" w:space="0" w:color="auto"/>
      </w:divBdr>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925189245">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4771386">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014261944">
      <w:bodyDiv w:val="1"/>
      <w:marLeft w:val="0"/>
      <w:marRight w:val="0"/>
      <w:marTop w:val="0"/>
      <w:marBottom w:val="0"/>
      <w:divBdr>
        <w:top w:val="none" w:sz="0" w:space="0" w:color="auto"/>
        <w:left w:val="none" w:sz="0" w:space="0" w:color="auto"/>
        <w:bottom w:val="none" w:sz="0" w:space="0" w:color="auto"/>
        <w:right w:val="none" w:sz="0" w:space="0" w:color="auto"/>
      </w:divBdr>
    </w:div>
    <w:div w:id="1145850768">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12764404">
      <w:bodyDiv w:val="1"/>
      <w:marLeft w:val="0"/>
      <w:marRight w:val="0"/>
      <w:marTop w:val="0"/>
      <w:marBottom w:val="0"/>
      <w:divBdr>
        <w:top w:val="none" w:sz="0" w:space="0" w:color="auto"/>
        <w:left w:val="none" w:sz="0" w:space="0" w:color="auto"/>
        <w:bottom w:val="none" w:sz="0" w:space="0" w:color="auto"/>
        <w:right w:val="none" w:sz="0" w:space="0" w:color="auto"/>
      </w:divBdr>
    </w:div>
    <w:div w:id="1237129411">
      <w:bodyDiv w:val="1"/>
      <w:marLeft w:val="0"/>
      <w:marRight w:val="0"/>
      <w:marTop w:val="0"/>
      <w:marBottom w:val="0"/>
      <w:divBdr>
        <w:top w:val="none" w:sz="0" w:space="0" w:color="auto"/>
        <w:left w:val="none" w:sz="0" w:space="0" w:color="auto"/>
        <w:bottom w:val="none" w:sz="0" w:space="0" w:color="auto"/>
        <w:right w:val="none" w:sz="0" w:space="0" w:color="auto"/>
      </w:divBdr>
    </w:div>
    <w:div w:id="1259487579">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16832892">
      <w:bodyDiv w:val="1"/>
      <w:marLeft w:val="0"/>
      <w:marRight w:val="0"/>
      <w:marTop w:val="0"/>
      <w:marBottom w:val="0"/>
      <w:divBdr>
        <w:top w:val="none" w:sz="0" w:space="0" w:color="auto"/>
        <w:left w:val="none" w:sz="0" w:space="0" w:color="auto"/>
        <w:bottom w:val="none" w:sz="0" w:space="0" w:color="auto"/>
        <w:right w:val="none" w:sz="0" w:space="0" w:color="auto"/>
      </w:divBdr>
    </w:div>
    <w:div w:id="1317028959">
      <w:bodyDiv w:val="1"/>
      <w:marLeft w:val="0"/>
      <w:marRight w:val="0"/>
      <w:marTop w:val="0"/>
      <w:marBottom w:val="0"/>
      <w:divBdr>
        <w:top w:val="none" w:sz="0" w:space="0" w:color="auto"/>
        <w:left w:val="none" w:sz="0" w:space="0" w:color="auto"/>
        <w:bottom w:val="none" w:sz="0" w:space="0" w:color="auto"/>
        <w:right w:val="none" w:sz="0" w:space="0" w:color="auto"/>
      </w:divBdr>
    </w:div>
    <w:div w:id="1330013472">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8073">
      <w:bodyDiv w:val="1"/>
      <w:marLeft w:val="0"/>
      <w:marRight w:val="0"/>
      <w:marTop w:val="0"/>
      <w:marBottom w:val="0"/>
      <w:divBdr>
        <w:top w:val="none" w:sz="0" w:space="0" w:color="auto"/>
        <w:left w:val="none" w:sz="0" w:space="0" w:color="auto"/>
        <w:bottom w:val="none" w:sz="0" w:space="0" w:color="auto"/>
        <w:right w:val="none" w:sz="0" w:space="0" w:color="auto"/>
      </w:divBdr>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376463643">
      <w:bodyDiv w:val="1"/>
      <w:marLeft w:val="0"/>
      <w:marRight w:val="0"/>
      <w:marTop w:val="0"/>
      <w:marBottom w:val="0"/>
      <w:divBdr>
        <w:top w:val="none" w:sz="0" w:space="0" w:color="auto"/>
        <w:left w:val="none" w:sz="0" w:space="0" w:color="auto"/>
        <w:bottom w:val="none" w:sz="0" w:space="0" w:color="auto"/>
        <w:right w:val="none" w:sz="0" w:space="0" w:color="auto"/>
      </w:divBdr>
    </w:div>
    <w:div w:id="1389841434">
      <w:bodyDiv w:val="1"/>
      <w:marLeft w:val="0"/>
      <w:marRight w:val="0"/>
      <w:marTop w:val="0"/>
      <w:marBottom w:val="0"/>
      <w:divBdr>
        <w:top w:val="none" w:sz="0" w:space="0" w:color="auto"/>
        <w:left w:val="none" w:sz="0" w:space="0" w:color="auto"/>
        <w:bottom w:val="none" w:sz="0" w:space="0" w:color="auto"/>
        <w:right w:val="none" w:sz="0" w:space="0" w:color="auto"/>
      </w:divBdr>
      <w:divsChild>
        <w:div w:id="312412022">
          <w:marLeft w:val="0"/>
          <w:marRight w:val="0"/>
          <w:marTop w:val="0"/>
          <w:marBottom w:val="0"/>
          <w:divBdr>
            <w:top w:val="none" w:sz="0" w:space="0" w:color="auto"/>
            <w:left w:val="none" w:sz="0" w:space="0" w:color="auto"/>
            <w:bottom w:val="none" w:sz="0" w:space="0" w:color="auto"/>
            <w:right w:val="none" w:sz="0" w:space="0" w:color="auto"/>
          </w:divBdr>
          <w:divsChild>
            <w:div w:id="723678563">
              <w:marLeft w:val="0"/>
              <w:marRight w:val="0"/>
              <w:marTop w:val="0"/>
              <w:marBottom w:val="0"/>
              <w:divBdr>
                <w:top w:val="none" w:sz="0" w:space="0" w:color="auto"/>
                <w:left w:val="none" w:sz="0" w:space="0" w:color="auto"/>
                <w:bottom w:val="none" w:sz="0" w:space="0" w:color="auto"/>
                <w:right w:val="none" w:sz="0" w:space="0" w:color="auto"/>
              </w:divBdr>
              <w:divsChild>
                <w:div w:id="1627081481">
                  <w:marLeft w:val="0"/>
                  <w:marRight w:val="0"/>
                  <w:marTop w:val="0"/>
                  <w:marBottom w:val="0"/>
                  <w:divBdr>
                    <w:top w:val="none" w:sz="0" w:space="0" w:color="auto"/>
                    <w:left w:val="none" w:sz="0" w:space="0" w:color="auto"/>
                    <w:bottom w:val="none" w:sz="0" w:space="0" w:color="auto"/>
                    <w:right w:val="none" w:sz="0" w:space="0" w:color="auto"/>
                  </w:divBdr>
                  <w:divsChild>
                    <w:div w:id="875775343">
                      <w:marLeft w:val="0"/>
                      <w:marRight w:val="0"/>
                      <w:marTop w:val="0"/>
                      <w:marBottom w:val="0"/>
                      <w:divBdr>
                        <w:top w:val="none" w:sz="0" w:space="0" w:color="auto"/>
                        <w:left w:val="none" w:sz="0" w:space="0" w:color="auto"/>
                        <w:bottom w:val="none" w:sz="0" w:space="0" w:color="auto"/>
                        <w:right w:val="none" w:sz="0" w:space="0" w:color="auto"/>
                      </w:divBdr>
                      <w:divsChild>
                        <w:div w:id="684868911">
                          <w:marLeft w:val="0"/>
                          <w:marRight w:val="0"/>
                          <w:marTop w:val="0"/>
                          <w:marBottom w:val="0"/>
                          <w:divBdr>
                            <w:top w:val="none" w:sz="0" w:space="0" w:color="auto"/>
                            <w:left w:val="none" w:sz="0" w:space="0" w:color="auto"/>
                            <w:bottom w:val="none" w:sz="0" w:space="0" w:color="auto"/>
                            <w:right w:val="none" w:sz="0" w:space="0" w:color="auto"/>
                          </w:divBdr>
                          <w:divsChild>
                            <w:div w:id="192769536">
                              <w:marLeft w:val="-225"/>
                              <w:marRight w:val="-225"/>
                              <w:marTop w:val="0"/>
                              <w:marBottom w:val="0"/>
                              <w:divBdr>
                                <w:top w:val="none" w:sz="0" w:space="0" w:color="auto"/>
                                <w:left w:val="none" w:sz="0" w:space="0" w:color="auto"/>
                                <w:bottom w:val="none" w:sz="0" w:space="0" w:color="auto"/>
                                <w:right w:val="none" w:sz="0" w:space="0" w:color="auto"/>
                              </w:divBdr>
                              <w:divsChild>
                                <w:div w:id="1398092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9875">
      <w:bodyDiv w:val="1"/>
      <w:marLeft w:val="0"/>
      <w:marRight w:val="0"/>
      <w:marTop w:val="0"/>
      <w:marBottom w:val="0"/>
      <w:divBdr>
        <w:top w:val="none" w:sz="0" w:space="0" w:color="auto"/>
        <w:left w:val="none" w:sz="0" w:space="0" w:color="auto"/>
        <w:bottom w:val="none" w:sz="0" w:space="0" w:color="auto"/>
        <w:right w:val="none" w:sz="0" w:space="0" w:color="auto"/>
      </w:divBdr>
    </w:div>
    <w:div w:id="1471168356">
      <w:bodyDiv w:val="1"/>
      <w:marLeft w:val="0"/>
      <w:marRight w:val="0"/>
      <w:marTop w:val="0"/>
      <w:marBottom w:val="0"/>
      <w:divBdr>
        <w:top w:val="none" w:sz="0" w:space="0" w:color="auto"/>
        <w:left w:val="none" w:sz="0" w:space="0" w:color="auto"/>
        <w:bottom w:val="none" w:sz="0" w:space="0" w:color="auto"/>
        <w:right w:val="none" w:sz="0" w:space="0" w:color="auto"/>
      </w:divBdr>
    </w:div>
    <w:div w:id="1547335249">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91544963">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768497505">
      <w:bodyDiv w:val="1"/>
      <w:marLeft w:val="0"/>
      <w:marRight w:val="0"/>
      <w:marTop w:val="0"/>
      <w:marBottom w:val="0"/>
      <w:divBdr>
        <w:top w:val="none" w:sz="0" w:space="0" w:color="auto"/>
        <w:left w:val="none" w:sz="0" w:space="0" w:color="auto"/>
        <w:bottom w:val="none" w:sz="0" w:space="0" w:color="auto"/>
        <w:right w:val="none" w:sz="0" w:space="0" w:color="auto"/>
      </w:divBdr>
    </w:div>
    <w:div w:id="1834374800">
      <w:bodyDiv w:val="1"/>
      <w:marLeft w:val="0"/>
      <w:marRight w:val="0"/>
      <w:marTop w:val="0"/>
      <w:marBottom w:val="0"/>
      <w:divBdr>
        <w:top w:val="none" w:sz="0" w:space="0" w:color="auto"/>
        <w:left w:val="none" w:sz="0" w:space="0" w:color="auto"/>
        <w:bottom w:val="none" w:sz="0" w:space="0" w:color="auto"/>
        <w:right w:val="none" w:sz="0" w:space="0" w:color="auto"/>
      </w:divBdr>
    </w:div>
    <w:div w:id="1870988403">
      <w:bodyDiv w:val="1"/>
      <w:marLeft w:val="0"/>
      <w:marRight w:val="0"/>
      <w:marTop w:val="0"/>
      <w:marBottom w:val="0"/>
      <w:divBdr>
        <w:top w:val="none" w:sz="0" w:space="0" w:color="auto"/>
        <w:left w:val="none" w:sz="0" w:space="0" w:color="auto"/>
        <w:bottom w:val="none" w:sz="0" w:space="0" w:color="auto"/>
        <w:right w:val="none" w:sz="0" w:space="0" w:color="auto"/>
      </w:divBdr>
    </w:div>
    <w:div w:id="1948387830">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44549449">
      <w:bodyDiv w:val="1"/>
      <w:marLeft w:val="0"/>
      <w:marRight w:val="0"/>
      <w:marTop w:val="0"/>
      <w:marBottom w:val="0"/>
      <w:divBdr>
        <w:top w:val="none" w:sz="0" w:space="0" w:color="auto"/>
        <w:left w:val="none" w:sz="0" w:space="0" w:color="auto"/>
        <w:bottom w:val="none" w:sz="0" w:space="0" w:color="auto"/>
        <w:right w:val="none" w:sz="0" w:space="0" w:color="auto"/>
      </w:divBdr>
    </w:div>
    <w:div w:id="2058968677">
      <w:bodyDiv w:val="1"/>
      <w:marLeft w:val="0"/>
      <w:marRight w:val="0"/>
      <w:marTop w:val="0"/>
      <w:marBottom w:val="0"/>
      <w:divBdr>
        <w:top w:val="none" w:sz="0" w:space="0" w:color="auto"/>
        <w:left w:val="none" w:sz="0" w:space="0" w:color="auto"/>
        <w:bottom w:val="none" w:sz="0" w:space="0" w:color="auto"/>
        <w:right w:val="none" w:sz="0" w:space="0" w:color="auto"/>
      </w:divBdr>
    </w:div>
    <w:div w:id="206559503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078631443">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6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2D043-E09A-40B6-A164-EB4E1D40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4</Pages>
  <Words>1283</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High Life Highland</cp:lastModifiedBy>
  <cp:revision>77</cp:revision>
  <cp:lastPrinted>2018-08-17T11:00:00Z</cp:lastPrinted>
  <dcterms:created xsi:type="dcterms:W3CDTF">2020-02-12T08:21:00Z</dcterms:created>
  <dcterms:modified xsi:type="dcterms:W3CDTF">2020-11-30T11:57:00Z</dcterms:modified>
</cp:coreProperties>
</file>