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851BC" w14:textId="77777777" w:rsidR="000C4972" w:rsidRDefault="000C4972"/>
    <w:tbl>
      <w:tblPr>
        <w:tblW w:w="9464" w:type="dxa"/>
        <w:tblLayout w:type="fixed"/>
        <w:tblLook w:val="0000" w:firstRow="0" w:lastRow="0" w:firstColumn="0" w:lastColumn="0" w:noHBand="0" w:noVBand="0"/>
      </w:tblPr>
      <w:tblGrid>
        <w:gridCol w:w="6629"/>
        <w:gridCol w:w="2835"/>
      </w:tblGrid>
      <w:tr w:rsidR="00B84929" w:rsidRPr="007214D1" w14:paraId="05275FA8" w14:textId="77777777" w:rsidTr="00DE1E6C">
        <w:trPr>
          <w:cantSplit/>
          <w:trHeight w:val="993"/>
        </w:trPr>
        <w:tc>
          <w:tcPr>
            <w:tcW w:w="6629" w:type="dxa"/>
          </w:tcPr>
          <w:p w14:paraId="1FA06D78" w14:textId="77777777" w:rsidR="00DE1E6C" w:rsidRDefault="00B84929" w:rsidP="002B7DC4">
            <w:pPr>
              <w:pStyle w:val="BodyText"/>
              <w:jc w:val="left"/>
              <w:rPr>
                <w:rFonts w:ascii="Arial" w:hAnsi="Arial" w:cs="Arial"/>
                <w:szCs w:val="24"/>
              </w:rPr>
            </w:pPr>
            <w:r>
              <w:rPr>
                <w:rFonts w:ascii="Arial" w:hAnsi="Arial" w:cs="Arial"/>
                <w:szCs w:val="24"/>
              </w:rPr>
              <w:t xml:space="preserve">HIGH LIFE HIGHLAND </w:t>
            </w:r>
          </w:p>
          <w:p w14:paraId="68944E36" w14:textId="77777777" w:rsidR="002B7DC4" w:rsidRDefault="00DE1E6C" w:rsidP="002B7DC4">
            <w:pPr>
              <w:pStyle w:val="BodyText"/>
              <w:jc w:val="left"/>
              <w:rPr>
                <w:rFonts w:ascii="Arial" w:hAnsi="Arial" w:cs="Arial"/>
                <w:szCs w:val="24"/>
              </w:rPr>
            </w:pPr>
            <w:r>
              <w:rPr>
                <w:rFonts w:ascii="Arial" w:hAnsi="Arial" w:cs="Arial"/>
                <w:szCs w:val="24"/>
              </w:rPr>
              <w:t>REPORT TO BOARD OF DIRECTORS</w:t>
            </w:r>
          </w:p>
          <w:p w14:paraId="1C89619C" w14:textId="0C68F9C7" w:rsidR="00017D2E" w:rsidRDefault="00092305" w:rsidP="002B7DC4">
            <w:pPr>
              <w:pStyle w:val="BodyText"/>
              <w:jc w:val="left"/>
              <w:rPr>
                <w:rFonts w:ascii="Arial" w:hAnsi="Arial" w:cs="Arial"/>
                <w:szCs w:val="24"/>
              </w:rPr>
            </w:pPr>
            <w:r>
              <w:rPr>
                <w:rFonts w:ascii="Arial" w:hAnsi="Arial" w:cs="Arial"/>
                <w:szCs w:val="24"/>
              </w:rPr>
              <w:t>10 December</w:t>
            </w:r>
            <w:r w:rsidR="007203F1">
              <w:rPr>
                <w:rFonts w:ascii="Arial" w:hAnsi="Arial" w:cs="Arial"/>
                <w:szCs w:val="24"/>
              </w:rPr>
              <w:t xml:space="preserve"> 2020</w:t>
            </w:r>
          </w:p>
          <w:p w14:paraId="5D72580A" w14:textId="77777777"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14:paraId="06A86495" w14:textId="77777777" w:rsidR="00B84929" w:rsidRPr="007214D1" w:rsidRDefault="004C3A30" w:rsidP="0060608D">
            <w:pPr>
              <w:rPr>
                <w:rFonts w:ascii="Arial" w:hAnsi="Arial" w:cs="Arial"/>
                <w:szCs w:val="24"/>
              </w:rPr>
            </w:pPr>
            <w:r>
              <w:rPr>
                <w:rFonts w:ascii="Arial" w:hAnsi="Arial" w:cs="Arial"/>
                <w:szCs w:val="24"/>
              </w:rPr>
              <w:t>AGENDA ITEM</w:t>
            </w:r>
            <w:r w:rsidR="00750AED">
              <w:rPr>
                <w:rFonts w:ascii="Arial" w:hAnsi="Arial" w:cs="Arial"/>
                <w:szCs w:val="24"/>
              </w:rPr>
              <w:t xml:space="preserve"> </w:t>
            </w:r>
            <w:r w:rsidR="00B84929">
              <w:rPr>
                <w:rFonts w:ascii="Arial" w:hAnsi="Arial" w:cs="Arial"/>
                <w:szCs w:val="24"/>
              </w:rPr>
              <w:t xml:space="preserve">REPORT No </w:t>
            </w:r>
            <w:proofErr w:type="gramStart"/>
            <w:r w:rsidR="00B84929">
              <w:rPr>
                <w:rFonts w:ascii="Arial" w:hAnsi="Arial" w:cs="Arial"/>
                <w:szCs w:val="24"/>
              </w:rPr>
              <w:t>HLH</w:t>
            </w:r>
            <w:r w:rsidR="0060608D">
              <w:rPr>
                <w:rFonts w:ascii="Arial" w:hAnsi="Arial" w:cs="Arial"/>
                <w:szCs w:val="24"/>
              </w:rPr>
              <w:t xml:space="preserve">  </w:t>
            </w:r>
            <w:r w:rsidR="0042698E">
              <w:rPr>
                <w:rFonts w:ascii="Arial" w:hAnsi="Arial" w:cs="Arial"/>
                <w:szCs w:val="24"/>
              </w:rPr>
              <w:t>/</w:t>
            </w:r>
            <w:proofErr w:type="gramEnd"/>
            <w:r w:rsidR="000953AF">
              <w:rPr>
                <w:rFonts w:ascii="Arial" w:hAnsi="Arial" w:cs="Arial"/>
                <w:szCs w:val="24"/>
              </w:rPr>
              <w:t>20</w:t>
            </w:r>
          </w:p>
        </w:tc>
      </w:tr>
    </w:tbl>
    <w:p w14:paraId="7A8C1F43" w14:textId="77777777" w:rsidR="000C4972" w:rsidRDefault="000C4972" w:rsidP="00DE1E6C">
      <w:pPr>
        <w:pStyle w:val="Heading2"/>
        <w:rPr>
          <w:rFonts w:ascii="Arial" w:hAnsi="Arial" w:cs="Arial"/>
          <w:b/>
          <w:szCs w:val="24"/>
          <w:u w:val="none"/>
        </w:rPr>
      </w:pPr>
    </w:p>
    <w:p w14:paraId="528D53FF" w14:textId="4991D458"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14:paraId="12DC3EAC" w14:textId="77777777"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14:paraId="229481DC" w14:textId="77777777">
        <w:trPr>
          <w:cantSplit/>
        </w:trPr>
        <w:tc>
          <w:tcPr>
            <w:tcW w:w="9464" w:type="dxa"/>
          </w:tcPr>
          <w:p w14:paraId="265D0894" w14:textId="77777777" w:rsidR="0039450A" w:rsidRPr="001866ED" w:rsidRDefault="002B7DC4" w:rsidP="00416BFF">
            <w:pPr>
              <w:pStyle w:val="Heading2"/>
              <w:rPr>
                <w:rFonts w:ascii="Arial" w:hAnsi="Arial" w:cs="Arial"/>
                <w:b/>
                <w:szCs w:val="24"/>
                <w:u w:val="none"/>
              </w:rPr>
            </w:pPr>
            <w:r w:rsidRPr="001866ED">
              <w:rPr>
                <w:rFonts w:ascii="Arial" w:hAnsi="Arial" w:cs="Arial"/>
                <w:b/>
                <w:szCs w:val="24"/>
                <w:u w:val="none"/>
              </w:rPr>
              <w:t>Summary</w:t>
            </w:r>
            <w:r w:rsidR="00720B5B" w:rsidRPr="001866ED">
              <w:rPr>
                <w:rFonts w:ascii="Arial" w:hAnsi="Arial" w:cs="Arial"/>
                <w:b/>
                <w:szCs w:val="24"/>
                <w:u w:val="none"/>
              </w:rPr>
              <w:t xml:space="preserve"> </w:t>
            </w:r>
          </w:p>
          <w:p w14:paraId="5A1EE32A" w14:textId="6F4D36F2" w:rsidR="001C41BF" w:rsidRPr="001866ED" w:rsidRDefault="00460DE4" w:rsidP="00AB2B69">
            <w:pPr>
              <w:spacing w:before="100" w:beforeAutospacing="1" w:after="100" w:afterAutospacing="1"/>
              <w:jc w:val="both"/>
              <w:rPr>
                <w:rFonts w:ascii="Arial" w:hAnsi="Arial" w:cs="Arial"/>
                <w:szCs w:val="24"/>
              </w:rPr>
            </w:pPr>
            <w:r w:rsidRPr="001866ED">
              <w:rPr>
                <w:rFonts w:ascii="Arial" w:hAnsi="Arial" w:cs="Arial"/>
                <w:szCs w:val="24"/>
              </w:rPr>
              <w:t>The purpose of this report is to update Directors on Human Resources activity</w:t>
            </w:r>
            <w:r w:rsidR="00C44DE0" w:rsidRPr="001866ED">
              <w:rPr>
                <w:rFonts w:ascii="Arial" w:hAnsi="Arial" w:cs="Arial"/>
                <w:szCs w:val="24"/>
              </w:rPr>
              <w:t xml:space="preserve"> for </w:t>
            </w:r>
            <w:r w:rsidR="00383500" w:rsidRPr="001866ED">
              <w:rPr>
                <w:rFonts w:ascii="Arial" w:hAnsi="Arial" w:cs="Arial"/>
                <w:szCs w:val="24"/>
              </w:rPr>
              <w:t xml:space="preserve">the period </w:t>
            </w:r>
            <w:r w:rsidR="0064363A">
              <w:rPr>
                <w:rFonts w:ascii="Arial" w:hAnsi="Arial" w:cs="Arial"/>
                <w:szCs w:val="24"/>
              </w:rPr>
              <w:t>July to September</w:t>
            </w:r>
            <w:r w:rsidR="00EA0200">
              <w:rPr>
                <w:rFonts w:ascii="Arial" w:hAnsi="Arial" w:cs="Arial"/>
                <w:szCs w:val="24"/>
              </w:rPr>
              <w:t xml:space="preserve"> 2020</w:t>
            </w:r>
            <w:r w:rsidRPr="001866ED">
              <w:rPr>
                <w:rFonts w:ascii="Arial" w:hAnsi="Arial" w:cs="Arial"/>
                <w:szCs w:val="24"/>
              </w:rPr>
              <w:t xml:space="preserve"> </w:t>
            </w:r>
            <w:r w:rsidR="00383500" w:rsidRPr="001866ED">
              <w:rPr>
                <w:rFonts w:ascii="Arial" w:hAnsi="Arial" w:cs="Arial"/>
                <w:szCs w:val="24"/>
              </w:rPr>
              <w:t>which includes information relating to</w:t>
            </w:r>
            <w:r w:rsidRPr="001866ED">
              <w:rPr>
                <w:rFonts w:ascii="Arial" w:hAnsi="Arial" w:cs="Arial"/>
                <w:szCs w:val="24"/>
              </w:rPr>
              <w:t xml:space="preserve"> absence, disciplinary and grievance issues</w:t>
            </w:r>
            <w:r w:rsidR="00383500" w:rsidRPr="001866ED">
              <w:rPr>
                <w:rFonts w:ascii="Arial" w:hAnsi="Arial" w:cs="Arial"/>
                <w:szCs w:val="24"/>
              </w:rPr>
              <w:t xml:space="preserve"> during this period</w:t>
            </w:r>
            <w:r w:rsidR="009C507A">
              <w:rPr>
                <w:rFonts w:ascii="Arial" w:hAnsi="Arial" w:cs="Arial"/>
                <w:szCs w:val="24"/>
              </w:rPr>
              <w:t xml:space="preserve"> as well as information on the pandemic’s impact on staffing related matters. </w:t>
            </w:r>
          </w:p>
          <w:p w14:paraId="6BB19890" w14:textId="77777777" w:rsidR="002C5CBE" w:rsidRPr="00E52812" w:rsidRDefault="00C42FCC" w:rsidP="002C5CBE">
            <w:pPr>
              <w:jc w:val="both"/>
              <w:rPr>
                <w:rFonts w:ascii="Arial" w:hAnsi="Arial" w:cs="Arial"/>
                <w:szCs w:val="24"/>
              </w:rPr>
            </w:pPr>
            <w:r w:rsidRPr="002C5CBE">
              <w:rPr>
                <w:rFonts w:ascii="Arial" w:hAnsi="Arial" w:cs="Arial"/>
                <w:szCs w:val="24"/>
              </w:rPr>
              <w:t xml:space="preserve"> </w:t>
            </w:r>
            <w:r w:rsidR="002C5CBE" w:rsidRPr="00E52812">
              <w:rPr>
                <w:rFonts w:ascii="Arial" w:hAnsi="Arial" w:cs="Arial"/>
                <w:szCs w:val="24"/>
              </w:rPr>
              <w:t xml:space="preserve">It is recommended that Directors: </w:t>
            </w:r>
          </w:p>
          <w:p w14:paraId="1736C759" w14:textId="77777777" w:rsidR="002C5CBE" w:rsidRPr="00E52812" w:rsidRDefault="002C5CBE" w:rsidP="002C5CBE">
            <w:pPr>
              <w:jc w:val="both"/>
              <w:rPr>
                <w:rFonts w:ascii="Arial" w:hAnsi="Arial" w:cs="Arial"/>
                <w:szCs w:val="24"/>
              </w:rPr>
            </w:pPr>
          </w:p>
          <w:p w14:paraId="77DA0326" w14:textId="77777777" w:rsidR="00D47A97" w:rsidRDefault="00D47A97" w:rsidP="00A72F95">
            <w:pPr>
              <w:pStyle w:val="ListParagraph"/>
              <w:numPr>
                <w:ilvl w:val="0"/>
                <w:numId w:val="4"/>
              </w:numPr>
              <w:jc w:val="both"/>
              <w:rPr>
                <w:rFonts w:ascii="Arial" w:hAnsi="Arial" w:cs="Arial"/>
                <w:sz w:val="24"/>
                <w:szCs w:val="24"/>
              </w:rPr>
            </w:pPr>
            <w:r w:rsidRPr="00E52812">
              <w:rPr>
                <w:rFonts w:ascii="Arial" w:hAnsi="Arial" w:cs="Arial"/>
                <w:sz w:val="24"/>
                <w:szCs w:val="24"/>
              </w:rPr>
              <w:t>note and comment on the content of the quarterly HR report including the update on the staffing establishment</w:t>
            </w:r>
            <w:r>
              <w:rPr>
                <w:rFonts w:ascii="Arial" w:hAnsi="Arial" w:cs="Arial"/>
                <w:sz w:val="24"/>
                <w:szCs w:val="24"/>
              </w:rPr>
              <w:t xml:space="preserve"> and attendance management and union engagement</w:t>
            </w:r>
            <w:r w:rsidRPr="00E52812">
              <w:rPr>
                <w:rFonts w:ascii="Arial" w:hAnsi="Arial" w:cs="Arial"/>
                <w:sz w:val="24"/>
                <w:szCs w:val="24"/>
              </w:rPr>
              <w:t>;</w:t>
            </w:r>
            <w:r>
              <w:rPr>
                <w:rFonts w:ascii="Arial" w:hAnsi="Arial" w:cs="Arial"/>
                <w:sz w:val="24"/>
                <w:szCs w:val="24"/>
              </w:rPr>
              <w:t xml:space="preserve"> </w:t>
            </w:r>
          </w:p>
          <w:p w14:paraId="7526C271" w14:textId="7742309C" w:rsidR="00053CD9" w:rsidRPr="00053CD9" w:rsidRDefault="0064363A" w:rsidP="009C507A">
            <w:pPr>
              <w:pStyle w:val="ListParagraph"/>
              <w:numPr>
                <w:ilvl w:val="0"/>
                <w:numId w:val="4"/>
              </w:numPr>
              <w:jc w:val="both"/>
              <w:rPr>
                <w:rFonts w:ascii="Arial" w:hAnsi="Arial" w:cs="Arial"/>
                <w:szCs w:val="24"/>
              </w:rPr>
            </w:pPr>
            <w:r>
              <w:rPr>
                <w:rFonts w:ascii="Arial" w:hAnsi="Arial" w:cs="Arial"/>
                <w:sz w:val="24"/>
                <w:szCs w:val="24"/>
              </w:rPr>
              <w:t>a</w:t>
            </w:r>
            <w:r w:rsidR="00053CD9">
              <w:rPr>
                <w:rFonts w:ascii="Arial" w:hAnsi="Arial" w:cs="Arial"/>
                <w:sz w:val="24"/>
                <w:szCs w:val="24"/>
              </w:rPr>
              <w:t>pprove the updated policies:</w:t>
            </w:r>
          </w:p>
          <w:p w14:paraId="518E6C65" w14:textId="163BE81A" w:rsidR="00053CD9" w:rsidRPr="00053CD9" w:rsidRDefault="00053CD9" w:rsidP="00053CD9">
            <w:pPr>
              <w:pStyle w:val="ListParagraph"/>
              <w:numPr>
                <w:ilvl w:val="1"/>
                <w:numId w:val="4"/>
              </w:numPr>
              <w:jc w:val="both"/>
              <w:rPr>
                <w:rFonts w:ascii="Arial" w:hAnsi="Arial" w:cs="Arial"/>
                <w:szCs w:val="24"/>
              </w:rPr>
            </w:pPr>
            <w:r>
              <w:rPr>
                <w:rFonts w:ascii="Arial" w:hAnsi="Arial" w:cs="Arial"/>
                <w:sz w:val="24"/>
                <w:szCs w:val="24"/>
              </w:rPr>
              <w:t>Protection and Safeguarding Policy</w:t>
            </w:r>
            <w:r w:rsidR="00090240">
              <w:rPr>
                <w:rFonts w:ascii="Arial" w:hAnsi="Arial" w:cs="Arial"/>
                <w:sz w:val="24"/>
                <w:szCs w:val="24"/>
              </w:rPr>
              <w:t xml:space="preserve"> at </w:t>
            </w:r>
            <w:r w:rsidR="00090240" w:rsidRPr="00090240">
              <w:rPr>
                <w:rFonts w:ascii="Arial" w:hAnsi="Arial" w:cs="Arial"/>
                <w:b/>
                <w:bCs/>
                <w:sz w:val="24"/>
                <w:szCs w:val="24"/>
              </w:rPr>
              <w:t>Appendix B1</w:t>
            </w:r>
            <w:r>
              <w:rPr>
                <w:rFonts w:ascii="Arial" w:hAnsi="Arial" w:cs="Arial"/>
                <w:sz w:val="24"/>
                <w:szCs w:val="24"/>
              </w:rPr>
              <w:t>;</w:t>
            </w:r>
          </w:p>
          <w:p w14:paraId="4CF11E34" w14:textId="661B8E27" w:rsidR="00053CD9" w:rsidRPr="00053CD9" w:rsidRDefault="00053CD9" w:rsidP="00053CD9">
            <w:pPr>
              <w:pStyle w:val="ListParagraph"/>
              <w:numPr>
                <w:ilvl w:val="1"/>
                <w:numId w:val="4"/>
              </w:numPr>
              <w:jc w:val="both"/>
              <w:rPr>
                <w:rFonts w:ascii="Arial" w:hAnsi="Arial" w:cs="Arial"/>
                <w:szCs w:val="24"/>
              </w:rPr>
            </w:pPr>
            <w:r>
              <w:rPr>
                <w:rFonts w:ascii="Arial" w:hAnsi="Arial" w:cs="Arial"/>
                <w:sz w:val="24"/>
                <w:szCs w:val="24"/>
              </w:rPr>
              <w:t>Protecting Vulnerable Groups Policy</w:t>
            </w:r>
            <w:r w:rsidR="00090240">
              <w:rPr>
                <w:rFonts w:ascii="Arial" w:hAnsi="Arial" w:cs="Arial"/>
                <w:sz w:val="24"/>
                <w:szCs w:val="24"/>
              </w:rPr>
              <w:t xml:space="preserve"> at </w:t>
            </w:r>
            <w:r w:rsidR="00090240" w:rsidRPr="00090240">
              <w:rPr>
                <w:rFonts w:ascii="Arial" w:hAnsi="Arial" w:cs="Arial"/>
                <w:b/>
                <w:bCs/>
                <w:sz w:val="24"/>
                <w:szCs w:val="24"/>
              </w:rPr>
              <w:t>Appendix B2</w:t>
            </w:r>
            <w:r w:rsidR="00090240">
              <w:rPr>
                <w:rFonts w:ascii="Arial" w:hAnsi="Arial" w:cs="Arial"/>
                <w:sz w:val="24"/>
                <w:szCs w:val="24"/>
              </w:rPr>
              <w:t>;</w:t>
            </w:r>
          </w:p>
          <w:p w14:paraId="04042623" w14:textId="642EDFCB" w:rsidR="00090240" w:rsidRPr="00090240" w:rsidRDefault="00053CD9" w:rsidP="00053CD9">
            <w:pPr>
              <w:pStyle w:val="ListParagraph"/>
              <w:numPr>
                <w:ilvl w:val="1"/>
                <w:numId w:val="4"/>
              </w:numPr>
              <w:jc w:val="both"/>
              <w:rPr>
                <w:rFonts w:ascii="Arial" w:hAnsi="Arial" w:cs="Arial"/>
                <w:szCs w:val="24"/>
              </w:rPr>
            </w:pPr>
            <w:r>
              <w:rPr>
                <w:rFonts w:ascii="Arial" w:hAnsi="Arial" w:cs="Arial"/>
                <w:sz w:val="24"/>
                <w:szCs w:val="24"/>
              </w:rPr>
              <w:t>Recruitment and Engagement of Ex-Offenders Policy</w:t>
            </w:r>
            <w:r w:rsidR="00090240">
              <w:rPr>
                <w:rFonts w:ascii="Arial" w:hAnsi="Arial" w:cs="Arial"/>
                <w:sz w:val="24"/>
                <w:szCs w:val="24"/>
              </w:rPr>
              <w:t xml:space="preserve"> at </w:t>
            </w:r>
            <w:r w:rsidR="00090240" w:rsidRPr="00090240">
              <w:rPr>
                <w:rFonts w:ascii="Arial" w:hAnsi="Arial" w:cs="Arial"/>
                <w:b/>
                <w:bCs/>
                <w:sz w:val="24"/>
                <w:szCs w:val="24"/>
              </w:rPr>
              <w:t>Appendix B</w:t>
            </w:r>
            <w:r w:rsidR="00090240">
              <w:rPr>
                <w:rFonts w:ascii="Arial" w:hAnsi="Arial" w:cs="Arial"/>
                <w:b/>
                <w:bCs/>
                <w:sz w:val="24"/>
                <w:szCs w:val="24"/>
              </w:rPr>
              <w:t xml:space="preserve">3; </w:t>
            </w:r>
          </w:p>
          <w:p w14:paraId="613E000B" w14:textId="3F39251F" w:rsidR="00053CD9" w:rsidRPr="00090240" w:rsidRDefault="00090240" w:rsidP="00090240">
            <w:pPr>
              <w:pStyle w:val="ListParagraph"/>
              <w:numPr>
                <w:ilvl w:val="1"/>
                <w:numId w:val="4"/>
              </w:numPr>
              <w:rPr>
                <w:rFonts w:ascii="Arial" w:hAnsi="Arial" w:cs="Arial"/>
                <w:sz w:val="24"/>
                <w:szCs w:val="24"/>
              </w:rPr>
            </w:pPr>
            <w:r w:rsidRPr="00090240">
              <w:rPr>
                <w:rFonts w:ascii="Arial" w:hAnsi="Arial" w:cs="Arial"/>
                <w:sz w:val="24"/>
                <w:szCs w:val="24"/>
              </w:rPr>
              <w:t xml:space="preserve">Security of Disclosure Information Policy at </w:t>
            </w:r>
            <w:r w:rsidRPr="00090240">
              <w:rPr>
                <w:rFonts w:ascii="Arial" w:hAnsi="Arial" w:cs="Arial"/>
                <w:b/>
                <w:bCs/>
                <w:sz w:val="24"/>
                <w:szCs w:val="24"/>
              </w:rPr>
              <w:t>Appendix B4</w:t>
            </w:r>
            <w:r w:rsidRPr="00090240">
              <w:rPr>
                <w:rFonts w:ascii="Arial" w:hAnsi="Arial" w:cs="Arial"/>
                <w:sz w:val="24"/>
                <w:szCs w:val="24"/>
              </w:rPr>
              <w:t>;</w:t>
            </w:r>
          </w:p>
        </w:tc>
      </w:tr>
    </w:tbl>
    <w:p w14:paraId="3646A2EC" w14:textId="77777777"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959"/>
        <w:gridCol w:w="8505"/>
      </w:tblGrid>
      <w:tr w:rsidR="006F5801" w:rsidRPr="007214D1" w14:paraId="4AF48498" w14:textId="77777777" w:rsidTr="00835331">
        <w:tc>
          <w:tcPr>
            <w:tcW w:w="959" w:type="dxa"/>
          </w:tcPr>
          <w:p w14:paraId="4EE514F2" w14:textId="77777777" w:rsidR="006F5801" w:rsidRPr="007214D1" w:rsidRDefault="006F5801" w:rsidP="00416BFF">
            <w:pPr>
              <w:rPr>
                <w:rFonts w:ascii="Arial" w:hAnsi="Arial" w:cs="Arial"/>
                <w:b/>
                <w:szCs w:val="24"/>
              </w:rPr>
            </w:pPr>
            <w:r>
              <w:rPr>
                <w:rFonts w:ascii="Arial" w:hAnsi="Arial" w:cs="Arial"/>
                <w:b/>
                <w:szCs w:val="24"/>
              </w:rPr>
              <w:t>1.</w:t>
            </w:r>
          </w:p>
        </w:tc>
        <w:tc>
          <w:tcPr>
            <w:tcW w:w="8505" w:type="dxa"/>
          </w:tcPr>
          <w:p w14:paraId="45616041" w14:textId="77777777" w:rsidR="006F5801" w:rsidRDefault="006F5801" w:rsidP="006F5801">
            <w:pPr>
              <w:jc w:val="both"/>
              <w:rPr>
                <w:rFonts w:ascii="Arial" w:hAnsi="Arial" w:cs="Arial"/>
                <w:b/>
                <w:szCs w:val="24"/>
              </w:rPr>
            </w:pPr>
            <w:r w:rsidRPr="00E66429">
              <w:rPr>
                <w:rFonts w:ascii="Arial" w:hAnsi="Arial" w:cs="Arial"/>
                <w:b/>
                <w:szCs w:val="24"/>
              </w:rPr>
              <w:t>Business Plan Contribution</w:t>
            </w:r>
          </w:p>
          <w:p w14:paraId="43B67D5F" w14:textId="77777777" w:rsidR="006F5801" w:rsidRPr="007214D1" w:rsidRDefault="006F5801" w:rsidP="00474274">
            <w:pPr>
              <w:pStyle w:val="Heading3"/>
              <w:rPr>
                <w:rFonts w:ascii="Arial" w:hAnsi="Arial" w:cs="Arial"/>
                <w:b/>
                <w:szCs w:val="24"/>
                <w:u w:val="none"/>
              </w:rPr>
            </w:pPr>
          </w:p>
        </w:tc>
      </w:tr>
      <w:tr w:rsidR="006F5801" w:rsidRPr="007214D1" w14:paraId="51BFBCEC" w14:textId="77777777" w:rsidTr="00835331">
        <w:tc>
          <w:tcPr>
            <w:tcW w:w="959" w:type="dxa"/>
          </w:tcPr>
          <w:p w14:paraId="218FA851" w14:textId="77777777" w:rsidR="006F5801" w:rsidRPr="006F5801" w:rsidRDefault="006F5801" w:rsidP="00416BFF">
            <w:pPr>
              <w:rPr>
                <w:rFonts w:ascii="Arial" w:hAnsi="Arial" w:cs="Arial"/>
                <w:szCs w:val="24"/>
              </w:rPr>
            </w:pPr>
            <w:r w:rsidRPr="006F5801">
              <w:rPr>
                <w:rFonts w:ascii="Arial" w:hAnsi="Arial" w:cs="Arial"/>
                <w:szCs w:val="24"/>
              </w:rPr>
              <w:t>1.1</w:t>
            </w:r>
          </w:p>
        </w:tc>
        <w:tc>
          <w:tcPr>
            <w:tcW w:w="8505" w:type="dxa"/>
          </w:tcPr>
          <w:p w14:paraId="1F38F0E3" w14:textId="77777777" w:rsidR="0069225C" w:rsidRDefault="0069225C" w:rsidP="0069225C">
            <w:pPr>
              <w:jc w:val="both"/>
              <w:rPr>
                <w:rFonts w:ascii="Arial" w:hAnsi="Arial" w:cs="Arial"/>
              </w:rPr>
            </w:pPr>
            <w:r>
              <w:rPr>
                <w:rFonts w:ascii="Arial" w:hAnsi="Arial" w:cs="Arial"/>
              </w:rPr>
              <w:t>This report supports the highlighted Business Outcomes from the High Life Highland (HLH) Business Plan:</w:t>
            </w:r>
          </w:p>
          <w:p w14:paraId="667DF68D" w14:textId="77777777" w:rsidR="0069225C" w:rsidRDefault="0069225C" w:rsidP="0069225C">
            <w:pPr>
              <w:jc w:val="both"/>
              <w:rPr>
                <w:rFonts w:ascii="Arial" w:hAnsi="Arial" w:cs="Arial"/>
              </w:rPr>
            </w:pPr>
          </w:p>
          <w:p w14:paraId="09686102"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Sustain a high standard of health and safety, and environmental performance</w:t>
            </w:r>
          </w:p>
          <w:p w14:paraId="045E3EC8"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Implement the Service Delivery Contract with THC</w:t>
            </w:r>
          </w:p>
          <w:p w14:paraId="2E9B22D9"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Improving customer engagement and satisfaction</w:t>
            </w:r>
          </w:p>
          <w:p w14:paraId="1094AE69"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Improving staff engagement and satisfaction</w:t>
            </w:r>
          </w:p>
          <w:p w14:paraId="32F3A1E0"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Enhance the positive charity image</w:t>
            </w:r>
          </w:p>
          <w:p w14:paraId="4795DCE6"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Be a trusted and effective partner</w:t>
            </w:r>
          </w:p>
          <w:p w14:paraId="5B484B2E"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Achieve sustainable growth across the organisation</w:t>
            </w:r>
          </w:p>
          <w:p w14:paraId="7F790590"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Develop health and wellbeing across Highland communities</w:t>
            </w:r>
          </w:p>
          <w:p w14:paraId="60D76E0E"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Develop and promote the High Life brand</w:t>
            </w:r>
          </w:p>
          <w:p w14:paraId="43A5FBF5" w14:textId="77777777" w:rsidR="006F5801" w:rsidRPr="00460DE4" w:rsidRDefault="006F5801" w:rsidP="009C0A57">
            <w:pPr>
              <w:jc w:val="both"/>
              <w:rPr>
                <w:rFonts w:ascii="Arial" w:hAnsi="Arial" w:cs="Arial"/>
                <w:szCs w:val="24"/>
              </w:rPr>
            </w:pPr>
          </w:p>
        </w:tc>
      </w:tr>
      <w:tr w:rsidR="006F5801" w:rsidRPr="007214D1" w14:paraId="288F06A7" w14:textId="77777777" w:rsidTr="00835331">
        <w:tc>
          <w:tcPr>
            <w:tcW w:w="959" w:type="dxa"/>
          </w:tcPr>
          <w:p w14:paraId="43BF782F" w14:textId="77777777"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505" w:type="dxa"/>
          </w:tcPr>
          <w:p w14:paraId="237283BC" w14:textId="77777777"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14:paraId="7B3482E8" w14:textId="77777777" w:rsidR="006F5801" w:rsidRPr="00474274" w:rsidRDefault="006F5801" w:rsidP="00474274">
            <w:pPr>
              <w:jc w:val="both"/>
            </w:pPr>
          </w:p>
        </w:tc>
      </w:tr>
      <w:tr w:rsidR="006F5801" w:rsidRPr="007214D1" w14:paraId="585A89F3" w14:textId="77777777" w:rsidTr="00835331">
        <w:trPr>
          <w:trHeight w:val="542"/>
        </w:trPr>
        <w:tc>
          <w:tcPr>
            <w:tcW w:w="959" w:type="dxa"/>
          </w:tcPr>
          <w:p w14:paraId="11FEFEA0" w14:textId="77777777"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14:paraId="7E7AFE50" w14:textId="77777777" w:rsidR="00782718" w:rsidRDefault="00782718" w:rsidP="00416BFF">
            <w:pPr>
              <w:rPr>
                <w:rFonts w:ascii="Arial" w:hAnsi="Arial" w:cs="Arial"/>
                <w:szCs w:val="24"/>
              </w:rPr>
            </w:pPr>
          </w:p>
          <w:p w14:paraId="4F7B3A1F" w14:textId="77777777" w:rsidR="00782718" w:rsidRDefault="00782718" w:rsidP="00416BFF">
            <w:pPr>
              <w:rPr>
                <w:rFonts w:ascii="Arial" w:hAnsi="Arial" w:cs="Arial"/>
                <w:szCs w:val="24"/>
              </w:rPr>
            </w:pPr>
          </w:p>
          <w:p w14:paraId="4571A93A" w14:textId="77777777" w:rsidR="00782718" w:rsidRDefault="00782718" w:rsidP="00416BFF">
            <w:pPr>
              <w:rPr>
                <w:rFonts w:ascii="Arial" w:hAnsi="Arial" w:cs="Arial"/>
                <w:szCs w:val="24"/>
              </w:rPr>
            </w:pPr>
          </w:p>
          <w:p w14:paraId="3475FA7A" w14:textId="77777777" w:rsidR="00782718" w:rsidRDefault="00782718" w:rsidP="00416BFF">
            <w:pPr>
              <w:rPr>
                <w:rFonts w:ascii="Arial" w:hAnsi="Arial" w:cs="Arial"/>
                <w:szCs w:val="24"/>
              </w:rPr>
            </w:pPr>
          </w:p>
          <w:p w14:paraId="2D16DD15" w14:textId="77777777" w:rsidR="00742B9E" w:rsidRPr="00E66429" w:rsidRDefault="00742B9E" w:rsidP="00416BFF">
            <w:pPr>
              <w:rPr>
                <w:rFonts w:ascii="Arial" w:hAnsi="Arial" w:cs="Arial"/>
                <w:szCs w:val="24"/>
              </w:rPr>
            </w:pPr>
          </w:p>
        </w:tc>
        <w:tc>
          <w:tcPr>
            <w:tcW w:w="8505" w:type="dxa"/>
          </w:tcPr>
          <w:p w14:paraId="49EDF9B8" w14:textId="2A849801" w:rsidR="00782718" w:rsidRDefault="006F5801" w:rsidP="00782718">
            <w:pPr>
              <w:jc w:val="both"/>
              <w:rPr>
                <w:rFonts w:ascii="Arial" w:hAnsi="Arial" w:cs="Arial"/>
                <w:szCs w:val="24"/>
              </w:rPr>
            </w:pPr>
            <w:r>
              <w:rPr>
                <w:rFonts w:ascii="Arial" w:hAnsi="Arial" w:cs="Arial"/>
                <w:szCs w:val="24"/>
              </w:rPr>
              <w:t xml:space="preserve">The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w:t>
            </w:r>
            <w:r w:rsidR="00D75611">
              <w:rPr>
                <w:rFonts w:ascii="Arial" w:hAnsi="Arial" w:cs="Arial"/>
                <w:szCs w:val="24"/>
              </w:rPr>
              <w:t>,</w:t>
            </w:r>
            <w:r w:rsidR="004120A6">
              <w:rPr>
                <w:rFonts w:ascii="Arial" w:hAnsi="Arial" w:cs="Arial"/>
                <w:szCs w:val="24"/>
              </w:rPr>
              <w:t xml:space="preserve"> offering an</w:t>
            </w:r>
            <w:r>
              <w:rPr>
                <w:rFonts w:ascii="Arial" w:hAnsi="Arial" w:cs="Arial"/>
                <w:szCs w:val="24"/>
              </w:rPr>
              <w:t xml:space="preserve"> update on current staff numbers </w:t>
            </w:r>
            <w:r w:rsidR="004120A6">
              <w:rPr>
                <w:rFonts w:ascii="Arial" w:hAnsi="Arial" w:cs="Arial"/>
                <w:szCs w:val="24"/>
              </w:rPr>
              <w:t>along with</w:t>
            </w:r>
            <w:r>
              <w:rPr>
                <w:rFonts w:ascii="Arial" w:hAnsi="Arial" w:cs="Arial"/>
                <w:szCs w:val="24"/>
              </w:rPr>
              <w:t xml:space="preserve"> any change </w:t>
            </w:r>
            <w:r w:rsidR="00D75611">
              <w:rPr>
                <w:rFonts w:ascii="Arial" w:hAnsi="Arial" w:cs="Arial"/>
                <w:szCs w:val="24"/>
              </w:rPr>
              <w:t>since</w:t>
            </w:r>
            <w:r>
              <w:rPr>
                <w:rFonts w:ascii="Arial" w:hAnsi="Arial" w:cs="Arial"/>
                <w:szCs w:val="24"/>
              </w:rPr>
              <w:t xml:space="preserve"> previous reports.  There is also a</w:t>
            </w:r>
            <w:r w:rsidR="00141185">
              <w:rPr>
                <w:rFonts w:ascii="Arial" w:hAnsi="Arial" w:cs="Arial"/>
                <w:szCs w:val="24"/>
              </w:rPr>
              <w:t>n outline of the absence levels</w:t>
            </w:r>
            <w:r w:rsidR="004120A6">
              <w:rPr>
                <w:rFonts w:ascii="Arial" w:hAnsi="Arial" w:cs="Arial"/>
                <w:szCs w:val="24"/>
              </w:rPr>
              <w:t xml:space="preserve"> (which are sub-sectioned into short and long-term absence</w:t>
            </w:r>
            <w:r w:rsidR="00383500">
              <w:rPr>
                <w:rFonts w:ascii="Arial" w:hAnsi="Arial" w:cs="Arial"/>
                <w:szCs w:val="24"/>
              </w:rPr>
              <w:t xml:space="preserve"> in this report</w:t>
            </w:r>
            <w:r w:rsidR="004120A6">
              <w:rPr>
                <w:rFonts w:ascii="Arial" w:hAnsi="Arial" w:cs="Arial"/>
                <w:szCs w:val="24"/>
              </w:rPr>
              <w:t>)</w:t>
            </w:r>
            <w:r w:rsidR="00141185">
              <w:rPr>
                <w:rFonts w:ascii="Arial" w:hAnsi="Arial" w:cs="Arial"/>
                <w:szCs w:val="24"/>
              </w:rPr>
              <w:t>;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p w14:paraId="3BC817D5" w14:textId="77777777" w:rsidR="000C4972" w:rsidRDefault="000C4972" w:rsidP="00782718">
            <w:pPr>
              <w:jc w:val="both"/>
              <w:rPr>
                <w:rFonts w:ascii="Arial" w:hAnsi="Arial" w:cs="Arial"/>
                <w:szCs w:val="24"/>
              </w:rPr>
            </w:pPr>
          </w:p>
          <w:p w14:paraId="79FC1FBD" w14:textId="336BCEEC" w:rsidR="000C4972" w:rsidRPr="007214D1" w:rsidRDefault="000C4972" w:rsidP="00782718">
            <w:pPr>
              <w:jc w:val="both"/>
              <w:rPr>
                <w:rFonts w:ascii="Arial" w:hAnsi="Arial" w:cs="Arial"/>
                <w:szCs w:val="24"/>
              </w:rPr>
            </w:pPr>
          </w:p>
        </w:tc>
      </w:tr>
      <w:tr w:rsidR="006F5801" w:rsidRPr="007214D1" w14:paraId="6C6FB229" w14:textId="77777777" w:rsidTr="00835331">
        <w:tc>
          <w:tcPr>
            <w:tcW w:w="959" w:type="dxa"/>
          </w:tcPr>
          <w:p w14:paraId="30F9707B" w14:textId="77777777" w:rsidR="006F5801" w:rsidRDefault="006F5801" w:rsidP="00416BFF">
            <w:pPr>
              <w:rPr>
                <w:rFonts w:ascii="Arial" w:hAnsi="Arial" w:cs="Arial"/>
                <w:b/>
                <w:szCs w:val="24"/>
              </w:rPr>
            </w:pPr>
            <w:r>
              <w:rPr>
                <w:rFonts w:ascii="Arial" w:hAnsi="Arial" w:cs="Arial"/>
                <w:b/>
                <w:szCs w:val="24"/>
              </w:rPr>
              <w:lastRenderedPageBreak/>
              <w:t>3</w:t>
            </w:r>
            <w:r w:rsidRPr="007214D1">
              <w:rPr>
                <w:rFonts w:ascii="Arial" w:hAnsi="Arial" w:cs="Arial"/>
                <w:b/>
                <w:szCs w:val="24"/>
              </w:rPr>
              <w:t>.</w:t>
            </w:r>
          </w:p>
          <w:p w14:paraId="6C5CE257" w14:textId="77777777" w:rsidR="0045618C" w:rsidRDefault="0045618C" w:rsidP="00416BFF">
            <w:pPr>
              <w:rPr>
                <w:rFonts w:ascii="Arial" w:hAnsi="Arial" w:cs="Arial"/>
                <w:b/>
                <w:szCs w:val="24"/>
              </w:rPr>
            </w:pPr>
          </w:p>
          <w:p w14:paraId="426424A2" w14:textId="77777777" w:rsidR="0045618C" w:rsidRPr="0045618C" w:rsidRDefault="0045618C" w:rsidP="00416BFF">
            <w:pPr>
              <w:rPr>
                <w:rFonts w:ascii="Arial" w:hAnsi="Arial" w:cs="Arial"/>
                <w:szCs w:val="24"/>
              </w:rPr>
            </w:pPr>
            <w:r w:rsidRPr="0045618C">
              <w:rPr>
                <w:rFonts w:ascii="Arial" w:hAnsi="Arial" w:cs="Arial"/>
                <w:szCs w:val="24"/>
              </w:rPr>
              <w:t>3.1</w:t>
            </w:r>
          </w:p>
          <w:p w14:paraId="565CF76D" w14:textId="77777777" w:rsidR="00EA0200" w:rsidRDefault="00EA0200" w:rsidP="00416BFF">
            <w:pPr>
              <w:rPr>
                <w:rFonts w:ascii="Arial" w:hAnsi="Arial" w:cs="Arial"/>
                <w:szCs w:val="24"/>
              </w:rPr>
            </w:pPr>
          </w:p>
          <w:p w14:paraId="6461C9F0" w14:textId="7432C4D6" w:rsidR="0045618C" w:rsidRDefault="0045618C" w:rsidP="00416BFF">
            <w:pPr>
              <w:rPr>
                <w:rFonts w:ascii="Arial" w:hAnsi="Arial" w:cs="Arial"/>
                <w:szCs w:val="24"/>
              </w:rPr>
            </w:pPr>
            <w:r w:rsidRPr="0045618C">
              <w:rPr>
                <w:rFonts w:ascii="Arial" w:hAnsi="Arial" w:cs="Arial"/>
                <w:szCs w:val="24"/>
              </w:rPr>
              <w:t>3.1.1</w:t>
            </w:r>
          </w:p>
          <w:p w14:paraId="5A36635F" w14:textId="738F2912" w:rsidR="0055357B" w:rsidRDefault="0055357B" w:rsidP="00416BFF">
            <w:pPr>
              <w:rPr>
                <w:rFonts w:ascii="Arial" w:hAnsi="Arial" w:cs="Arial"/>
                <w:szCs w:val="24"/>
              </w:rPr>
            </w:pPr>
          </w:p>
          <w:p w14:paraId="56279784" w14:textId="47EC8615" w:rsidR="0055357B" w:rsidRDefault="0055357B" w:rsidP="00416BFF">
            <w:pPr>
              <w:rPr>
                <w:rFonts w:ascii="Arial" w:hAnsi="Arial" w:cs="Arial"/>
                <w:szCs w:val="24"/>
              </w:rPr>
            </w:pPr>
          </w:p>
          <w:p w14:paraId="57E0B961" w14:textId="6334B1B3" w:rsidR="0055357B" w:rsidRDefault="0055357B" w:rsidP="00416BFF">
            <w:pPr>
              <w:rPr>
                <w:rFonts w:ascii="Arial" w:hAnsi="Arial" w:cs="Arial"/>
                <w:szCs w:val="24"/>
              </w:rPr>
            </w:pPr>
          </w:p>
          <w:p w14:paraId="77921CB4" w14:textId="7AA84DC4" w:rsidR="0055357B" w:rsidRDefault="0055357B" w:rsidP="00416BFF">
            <w:pPr>
              <w:rPr>
                <w:rFonts w:ascii="Arial" w:hAnsi="Arial" w:cs="Arial"/>
                <w:szCs w:val="24"/>
              </w:rPr>
            </w:pPr>
          </w:p>
          <w:p w14:paraId="25BC55DC" w14:textId="77777777" w:rsidR="00090240" w:rsidRDefault="00090240" w:rsidP="00416BFF">
            <w:pPr>
              <w:rPr>
                <w:rFonts w:ascii="Arial" w:hAnsi="Arial" w:cs="Arial"/>
                <w:szCs w:val="24"/>
              </w:rPr>
            </w:pPr>
          </w:p>
          <w:p w14:paraId="6D373B69" w14:textId="295FA5F5" w:rsidR="0055357B" w:rsidRPr="0045618C" w:rsidRDefault="0055357B" w:rsidP="00416BFF">
            <w:pPr>
              <w:rPr>
                <w:rFonts w:ascii="Arial" w:hAnsi="Arial" w:cs="Arial"/>
                <w:szCs w:val="24"/>
              </w:rPr>
            </w:pPr>
            <w:r>
              <w:rPr>
                <w:rFonts w:ascii="Arial" w:hAnsi="Arial" w:cs="Arial"/>
                <w:szCs w:val="24"/>
              </w:rPr>
              <w:t>3.1.2</w:t>
            </w:r>
          </w:p>
          <w:p w14:paraId="6F0DC69A" w14:textId="77777777" w:rsidR="00314D66" w:rsidRPr="00314D66" w:rsidRDefault="00314D66" w:rsidP="00EA0200">
            <w:pPr>
              <w:rPr>
                <w:rFonts w:ascii="Arial" w:hAnsi="Arial" w:cs="Arial"/>
                <w:szCs w:val="24"/>
              </w:rPr>
            </w:pPr>
          </w:p>
        </w:tc>
        <w:tc>
          <w:tcPr>
            <w:tcW w:w="8505" w:type="dxa"/>
          </w:tcPr>
          <w:p w14:paraId="7E88E30D" w14:textId="4D4A9566" w:rsidR="006F5801" w:rsidRDefault="006F5801" w:rsidP="00474274">
            <w:pPr>
              <w:jc w:val="both"/>
              <w:rPr>
                <w:rFonts w:ascii="Arial" w:hAnsi="Arial" w:cs="Arial"/>
                <w:b/>
                <w:szCs w:val="24"/>
              </w:rPr>
            </w:pPr>
            <w:r>
              <w:rPr>
                <w:rFonts w:ascii="Arial" w:hAnsi="Arial" w:cs="Arial"/>
                <w:b/>
                <w:szCs w:val="24"/>
              </w:rPr>
              <w:t xml:space="preserve">Human Resources Report: </w:t>
            </w:r>
            <w:r w:rsidR="00092305">
              <w:rPr>
                <w:rFonts w:ascii="Arial" w:hAnsi="Arial" w:cs="Arial"/>
                <w:b/>
                <w:szCs w:val="24"/>
              </w:rPr>
              <w:t>Jul - Sep</w:t>
            </w:r>
            <w:r w:rsidR="007203F1">
              <w:rPr>
                <w:rFonts w:ascii="Arial" w:hAnsi="Arial" w:cs="Arial"/>
                <w:b/>
                <w:szCs w:val="24"/>
              </w:rPr>
              <w:t xml:space="preserve"> 2020</w:t>
            </w:r>
          </w:p>
          <w:p w14:paraId="647B5325" w14:textId="77777777" w:rsidR="006F5801" w:rsidRDefault="006F5801" w:rsidP="00474274">
            <w:pPr>
              <w:jc w:val="both"/>
              <w:rPr>
                <w:rFonts w:ascii="Arial" w:hAnsi="Arial" w:cs="Arial"/>
                <w:szCs w:val="24"/>
              </w:rPr>
            </w:pPr>
          </w:p>
          <w:p w14:paraId="6A31A228" w14:textId="77777777"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14:paraId="3E378D41" w14:textId="77777777" w:rsidR="00A72F95" w:rsidRDefault="00A72F95" w:rsidP="0055357B">
            <w:pPr>
              <w:jc w:val="both"/>
              <w:rPr>
                <w:rFonts w:ascii="Arial" w:hAnsi="Arial" w:cs="Arial"/>
                <w:szCs w:val="24"/>
                <w:u w:val="single"/>
              </w:rPr>
            </w:pPr>
          </w:p>
          <w:p w14:paraId="076C9761" w14:textId="4160EB81" w:rsidR="0055357B" w:rsidRDefault="0055357B" w:rsidP="0055357B">
            <w:pPr>
              <w:jc w:val="both"/>
              <w:rPr>
                <w:rFonts w:ascii="Arial" w:hAnsi="Arial" w:cs="Arial"/>
                <w:szCs w:val="24"/>
              </w:rPr>
            </w:pPr>
            <w:r>
              <w:rPr>
                <w:rFonts w:ascii="Arial" w:hAnsi="Arial" w:cs="Arial"/>
                <w:szCs w:val="24"/>
              </w:rPr>
              <w:t>The changes to the establishment for the period in full-time equivalents (FTE) are as follows:</w:t>
            </w:r>
          </w:p>
          <w:p w14:paraId="199E8C89" w14:textId="77777777" w:rsidR="0055357B" w:rsidRDefault="0055357B" w:rsidP="00E26CEE">
            <w:pPr>
              <w:rPr>
                <w:rFonts w:ascii="Arial" w:hAnsi="Arial" w:cs="Arial"/>
                <w:szCs w:val="24"/>
              </w:rPr>
            </w:pPr>
          </w:p>
          <w:p w14:paraId="3EAE753A" w14:textId="2B47B55B" w:rsidR="004E23C6" w:rsidRDefault="004E23C6" w:rsidP="00E26CEE">
            <w:pPr>
              <w:rPr>
                <w:rFonts w:ascii="Arial" w:hAnsi="Arial" w:cs="Arial"/>
                <w:b/>
                <w:szCs w:val="24"/>
              </w:rPr>
            </w:pPr>
            <w:r>
              <w:rPr>
                <w:rFonts w:ascii="Arial" w:hAnsi="Arial" w:cs="Arial"/>
                <w:szCs w:val="24"/>
              </w:rPr>
              <w:t xml:space="preserve">Establishment at end of </w:t>
            </w:r>
            <w:r w:rsidRPr="004120A6">
              <w:rPr>
                <w:rFonts w:ascii="Arial" w:hAnsi="Arial" w:cs="Arial"/>
                <w:b/>
                <w:szCs w:val="24"/>
              </w:rPr>
              <w:t xml:space="preserve">Quarter </w:t>
            </w:r>
            <w:r w:rsidR="00092305">
              <w:rPr>
                <w:rFonts w:ascii="Arial" w:hAnsi="Arial" w:cs="Arial"/>
                <w:b/>
                <w:szCs w:val="24"/>
              </w:rPr>
              <w:t>1</w:t>
            </w:r>
            <w:r>
              <w:rPr>
                <w:rFonts w:ascii="Arial" w:hAnsi="Arial" w:cs="Arial"/>
                <w:b/>
                <w:szCs w:val="24"/>
              </w:rPr>
              <w:t xml:space="preserve"> 20</w:t>
            </w:r>
            <w:r w:rsidR="00EB2282">
              <w:rPr>
                <w:rFonts w:ascii="Arial" w:hAnsi="Arial" w:cs="Arial"/>
                <w:b/>
                <w:szCs w:val="24"/>
              </w:rPr>
              <w:t>20</w:t>
            </w:r>
            <w:r>
              <w:rPr>
                <w:rFonts w:ascii="Arial" w:hAnsi="Arial" w:cs="Arial"/>
                <w:b/>
                <w:szCs w:val="24"/>
              </w:rPr>
              <w:t>/2</w:t>
            </w:r>
            <w:r w:rsidR="00EB2282">
              <w:rPr>
                <w:rFonts w:ascii="Arial" w:hAnsi="Arial" w:cs="Arial"/>
                <w:b/>
                <w:szCs w:val="24"/>
              </w:rPr>
              <w:t>1</w:t>
            </w:r>
            <w:r>
              <w:rPr>
                <w:rFonts w:ascii="Arial" w:hAnsi="Arial" w:cs="Arial"/>
                <w:b/>
                <w:szCs w:val="24"/>
              </w:rPr>
              <w:t xml:space="preserve"> </w:t>
            </w:r>
            <w:r>
              <w:rPr>
                <w:rFonts w:ascii="Arial" w:hAnsi="Arial" w:cs="Arial"/>
                <w:szCs w:val="24"/>
              </w:rPr>
              <w:t>(</w:t>
            </w:r>
            <w:r w:rsidR="00092305">
              <w:rPr>
                <w:rFonts w:ascii="Arial" w:hAnsi="Arial" w:cs="Arial"/>
                <w:szCs w:val="24"/>
              </w:rPr>
              <w:t>Apr 20 to Jun 20</w:t>
            </w:r>
            <w:r>
              <w:rPr>
                <w:rFonts w:ascii="Arial" w:hAnsi="Arial" w:cs="Arial"/>
                <w:szCs w:val="24"/>
              </w:rPr>
              <w:t xml:space="preserve">) = </w:t>
            </w:r>
            <w:r w:rsidR="00EA0200">
              <w:rPr>
                <w:rFonts w:ascii="Arial" w:hAnsi="Arial" w:cs="Arial"/>
                <w:b/>
                <w:szCs w:val="24"/>
              </w:rPr>
              <w:t>703.95</w:t>
            </w:r>
          </w:p>
          <w:p w14:paraId="45D40457" w14:textId="6CBCC501" w:rsidR="007203F1" w:rsidRDefault="007203F1" w:rsidP="007203F1">
            <w:pPr>
              <w:rPr>
                <w:rFonts w:ascii="Arial" w:hAnsi="Arial" w:cs="Arial"/>
                <w:b/>
                <w:szCs w:val="24"/>
              </w:rPr>
            </w:pPr>
            <w:r>
              <w:rPr>
                <w:rFonts w:ascii="Arial" w:hAnsi="Arial" w:cs="Arial"/>
                <w:szCs w:val="24"/>
              </w:rPr>
              <w:t xml:space="preserve">Establishment at end of </w:t>
            </w:r>
            <w:r w:rsidRPr="004120A6">
              <w:rPr>
                <w:rFonts w:ascii="Arial" w:hAnsi="Arial" w:cs="Arial"/>
                <w:b/>
                <w:szCs w:val="24"/>
              </w:rPr>
              <w:t xml:space="preserve">Quarter </w:t>
            </w:r>
            <w:r w:rsidR="00092305">
              <w:rPr>
                <w:rFonts w:ascii="Arial" w:hAnsi="Arial" w:cs="Arial"/>
                <w:b/>
                <w:szCs w:val="24"/>
              </w:rPr>
              <w:t xml:space="preserve">2 </w:t>
            </w:r>
            <w:r w:rsidRPr="00516D9F">
              <w:rPr>
                <w:rFonts w:ascii="Arial" w:hAnsi="Arial" w:cs="Arial"/>
                <w:b/>
                <w:szCs w:val="24"/>
              </w:rPr>
              <w:t>20</w:t>
            </w:r>
            <w:r w:rsidR="00EA0200">
              <w:rPr>
                <w:rFonts w:ascii="Arial" w:hAnsi="Arial" w:cs="Arial"/>
                <w:b/>
                <w:szCs w:val="24"/>
              </w:rPr>
              <w:t>20</w:t>
            </w:r>
            <w:r w:rsidRPr="00516D9F">
              <w:rPr>
                <w:rFonts w:ascii="Arial" w:hAnsi="Arial" w:cs="Arial"/>
                <w:b/>
                <w:szCs w:val="24"/>
              </w:rPr>
              <w:t>/2</w:t>
            </w:r>
            <w:r w:rsidR="00EA0200">
              <w:rPr>
                <w:rFonts w:ascii="Arial" w:hAnsi="Arial" w:cs="Arial"/>
                <w:b/>
                <w:szCs w:val="24"/>
              </w:rPr>
              <w:t>1</w:t>
            </w:r>
            <w:r>
              <w:rPr>
                <w:rFonts w:ascii="Arial" w:hAnsi="Arial" w:cs="Arial"/>
                <w:b/>
                <w:szCs w:val="24"/>
              </w:rPr>
              <w:t xml:space="preserve"> </w:t>
            </w:r>
            <w:r>
              <w:rPr>
                <w:rFonts w:ascii="Arial" w:hAnsi="Arial" w:cs="Arial"/>
                <w:szCs w:val="24"/>
              </w:rPr>
              <w:t>(</w:t>
            </w:r>
            <w:r w:rsidR="00092305">
              <w:rPr>
                <w:rFonts w:ascii="Arial" w:hAnsi="Arial" w:cs="Arial"/>
                <w:szCs w:val="24"/>
              </w:rPr>
              <w:t>Jul 20 to Sep 20</w:t>
            </w:r>
            <w:r>
              <w:rPr>
                <w:rFonts w:ascii="Arial" w:hAnsi="Arial" w:cs="Arial"/>
                <w:szCs w:val="24"/>
              </w:rPr>
              <w:t xml:space="preserve">) = </w:t>
            </w:r>
            <w:r w:rsidR="00EB2282">
              <w:rPr>
                <w:rFonts w:ascii="Arial" w:hAnsi="Arial" w:cs="Arial"/>
                <w:b/>
                <w:szCs w:val="24"/>
              </w:rPr>
              <w:t>72</w:t>
            </w:r>
            <w:r w:rsidR="00504A2B">
              <w:rPr>
                <w:rFonts w:ascii="Arial" w:hAnsi="Arial" w:cs="Arial"/>
                <w:b/>
                <w:szCs w:val="24"/>
              </w:rPr>
              <w:t>3</w:t>
            </w:r>
            <w:r w:rsidR="00EB2282">
              <w:rPr>
                <w:rFonts w:ascii="Arial" w:hAnsi="Arial" w:cs="Arial"/>
                <w:b/>
                <w:szCs w:val="24"/>
              </w:rPr>
              <w:t>.</w:t>
            </w:r>
            <w:r w:rsidR="00BE1984">
              <w:rPr>
                <w:rFonts w:ascii="Arial" w:hAnsi="Arial" w:cs="Arial"/>
                <w:b/>
                <w:szCs w:val="24"/>
              </w:rPr>
              <w:t>48</w:t>
            </w:r>
          </w:p>
          <w:p w14:paraId="416D796E" w14:textId="1FD85A3D" w:rsidR="0055357B" w:rsidRDefault="0055357B" w:rsidP="007203F1">
            <w:pPr>
              <w:rPr>
                <w:rFonts w:ascii="Arial" w:hAnsi="Arial" w:cs="Arial"/>
                <w:b/>
                <w:szCs w:val="24"/>
              </w:rPr>
            </w:pPr>
          </w:p>
          <w:p w14:paraId="4A0A9181" w14:textId="3EADDAA7" w:rsidR="0055357B" w:rsidRPr="005F5F56" w:rsidRDefault="00BE1984" w:rsidP="007203F1">
            <w:pPr>
              <w:rPr>
                <w:rFonts w:ascii="Arial" w:hAnsi="Arial" w:cs="Arial"/>
                <w:szCs w:val="24"/>
              </w:rPr>
            </w:pPr>
            <w:r>
              <w:rPr>
                <w:rFonts w:ascii="Arial" w:hAnsi="Arial" w:cs="Arial"/>
                <w:szCs w:val="24"/>
              </w:rPr>
              <w:t xml:space="preserve">Quarter 2 has seen a significant increase to the establishment of 19.53 FTE </w:t>
            </w:r>
            <w:r w:rsidR="005F5F56">
              <w:rPr>
                <w:rFonts w:ascii="Arial" w:hAnsi="Arial" w:cs="Arial"/>
                <w:szCs w:val="24"/>
              </w:rPr>
              <w:t xml:space="preserve">and these </w:t>
            </w:r>
            <w:r w:rsidR="0055357B">
              <w:rPr>
                <w:rFonts w:ascii="Arial" w:hAnsi="Arial" w:cs="Arial"/>
                <w:szCs w:val="24"/>
              </w:rPr>
              <w:t xml:space="preserve">changes to the establishment are detailed in </w:t>
            </w:r>
            <w:r w:rsidR="0055357B">
              <w:rPr>
                <w:rFonts w:ascii="Arial" w:hAnsi="Arial" w:cs="Arial"/>
                <w:b/>
                <w:szCs w:val="24"/>
              </w:rPr>
              <w:t>Appendix A</w:t>
            </w:r>
            <w:r w:rsidR="005F5F56">
              <w:rPr>
                <w:rFonts w:ascii="Arial" w:hAnsi="Arial" w:cs="Arial"/>
                <w:b/>
                <w:szCs w:val="24"/>
              </w:rPr>
              <w:t>.</w:t>
            </w:r>
          </w:p>
          <w:p w14:paraId="1F67CEA7" w14:textId="0677EAB9" w:rsidR="000E16F2" w:rsidRPr="007214D1" w:rsidRDefault="000E16F2" w:rsidP="009E26DF">
            <w:pPr>
              <w:jc w:val="both"/>
              <w:rPr>
                <w:rFonts w:ascii="Arial" w:hAnsi="Arial" w:cs="Arial"/>
                <w:szCs w:val="24"/>
              </w:rPr>
            </w:pPr>
          </w:p>
        </w:tc>
      </w:tr>
      <w:tr w:rsidR="005F5F56" w:rsidRPr="007214D1" w14:paraId="1DA41592" w14:textId="77777777" w:rsidTr="00835331">
        <w:tc>
          <w:tcPr>
            <w:tcW w:w="959" w:type="dxa"/>
          </w:tcPr>
          <w:p w14:paraId="3122892C" w14:textId="2765CA5A" w:rsidR="005F5F56" w:rsidRPr="00E0234D" w:rsidRDefault="005F5F56" w:rsidP="00416BFF">
            <w:pPr>
              <w:rPr>
                <w:rFonts w:ascii="Arial" w:hAnsi="Arial" w:cs="Arial"/>
                <w:bCs/>
                <w:szCs w:val="24"/>
              </w:rPr>
            </w:pPr>
            <w:r w:rsidRPr="00E0234D">
              <w:rPr>
                <w:rFonts w:ascii="Arial" w:hAnsi="Arial" w:cs="Arial"/>
                <w:bCs/>
                <w:szCs w:val="24"/>
              </w:rPr>
              <w:t>3.1.3</w:t>
            </w:r>
          </w:p>
        </w:tc>
        <w:tc>
          <w:tcPr>
            <w:tcW w:w="8505" w:type="dxa"/>
          </w:tcPr>
          <w:p w14:paraId="355188C4" w14:textId="58DC1219" w:rsidR="00E0234D" w:rsidRDefault="005F5F56" w:rsidP="00474274">
            <w:pPr>
              <w:jc w:val="both"/>
              <w:rPr>
                <w:rFonts w:ascii="Arial" w:hAnsi="Arial" w:cs="Arial"/>
                <w:bCs/>
                <w:szCs w:val="24"/>
              </w:rPr>
            </w:pPr>
            <w:r w:rsidRPr="00E0234D">
              <w:rPr>
                <w:rFonts w:ascii="Arial" w:hAnsi="Arial" w:cs="Arial"/>
                <w:bCs/>
                <w:szCs w:val="24"/>
              </w:rPr>
              <w:t>The main reasons for these changes are:</w:t>
            </w:r>
          </w:p>
          <w:p w14:paraId="0DAF38E1" w14:textId="77777777" w:rsidR="00D255F5" w:rsidRDefault="00D255F5" w:rsidP="00474274">
            <w:pPr>
              <w:jc w:val="both"/>
              <w:rPr>
                <w:rFonts w:ascii="Arial" w:hAnsi="Arial" w:cs="Arial"/>
                <w:bCs/>
                <w:szCs w:val="24"/>
              </w:rPr>
            </w:pPr>
          </w:p>
          <w:p w14:paraId="12C07B41" w14:textId="2B723511" w:rsidR="005F5F56" w:rsidRDefault="005F5F56" w:rsidP="00D255F5">
            <w:pPr>
              <w:pStyle w:val="ListParagraph"/>
              <w:numPr>
                <w:ilvl w:val="0"/>
                <w:numId w:val="8"/>
              </w:numPr>
              <w:spacing w:line="240" w:lineRule="auto"/>
              <w:ind w:left="714" w:hanging="357"/>
              <w:jc w:val="both"/>
              <w:rPr>
                <w:rFonts w:ascii="Arial" w:hAnsi="Arial" w:cs="Arial"/>
                <w:bCs/>
                <w:sz w:val="24"/>
                <w:szCs w:val="24"/>
              </w:rPr>
            </w:pPr>
            <w:r w:rsidRPr="00A72F95">
              <w:rPr>
                <w:rFonts w:ascii="Arial" w:hAnsi="Arial" w:cs="Arial"/>
                <w:bCs/>
                <w:sz w:val="24"/>
                <w:szCs w:val="24"/>
              </w:rPr>
              <w:t>the TUPE of Cobbs catering staff at Inverness Botanic Gardens Cafe to HLH;</w:t>
            </w:r>
          </w:p>
          <w:p w14:paraId="576AA271" w14:textId="4C1A5C2D" w:rsidR="002709B7" w:rsidRPr="00A72F95" w:rsidRDefault="002709B7" w:rsidP="00D255F5">
            <w:pPr>
              <w:pStyle w:val="ListParagraph"/>
              <w:numPr>
                <w:ilvl w:val="0"/>
                <w:numId w:val="8"/>
              </w:numPr>
              <w:spacing w:line="240" w:lineRule="auto"/>
              <w:ind w:left="714" w:hanging="357"/>
              <w:jc w:val="both"/>
              <w:rPr>
                <w:rFonts w:ascii="Arial" w:hAnsi="Arial" w:cs="Arial"/>
                <w:bCs/>
                <w:sz w:val="24"/>
                <w:szCs w:val="24"/>
              </w:rPr>
            </w:pPr>
            <w:r>
              <w:rPr>
                <w:rFonts w:ascii="Arial" w:hAnsi="Arial" w:cs="Arial"/>
                <w:bCs/>
                <w:sz w:val="24"/>
                <w:szCs w:val="24"/>
              </w:rPr>
              <w:t>a reduction in the use of relief/casual staff</w:t>
            </w:r>
            <w:r w:rsidR="00CD2F5E">
              <w:rPr>
                <w:rFonts w:ascii="Arial" w:hAnsi="Arial" w:cs="Arial"/>
                <w:bCs/>
                <w:sz w:val="24"/>
                <w:szCs w:val="24"/>
              </w:rPr>
              <w:t xml:space="preserve">, some previously employed by services to fill gaps in the establishment and </w:t>
            </w:r>
            <w:r>
              <w:rPr>
                <w:rFonts w:ascii="Arial" w:hAnsi="Arial" w:cs="Arial"/>
                <w:bCs/>
                <w:sz w:val="24"/>
                <w:szCs w:val="24"/>
              </w:rPr>
              <w:t xml:space="preserve">replaced </w:t>
            </w:r>
            <w:r w:rsidR="00CD2F5E">
              <w:rPr>
                <w:rFonts w:ascii="Arial" w:hAnsi="Arial" w:cs="Arial"/>
                <w:bCs/>
                <w:sz w:val="24"/>
                <w:szCs w:val="24"/>
              </w:rPr>
              <w:t>with contracted posts.  All new contracts, issued from 1 August 2020, no longer include enhanced rates for weekends or bank holidays;</w:t>
            </w:r>
            <w:r>
              <w:rPr>
                <w:rFonts w:ascii="Arial" w:hAnsi="Arial" w:cs="Arial"/>
                <w:bCs/>
                <w:sz w:val="24"/>
                <w:szCs w:val="24"/>
              </w:rPr>
              <w:t xml:space="preserve"> </w:t>
            </w:r>
          </w:p>
          <w:p w14:paraId="170C7E75" w14:textId="5B8B2D81" w:rsidR="005F5F56" w:rsidRPr="00A72F95" w:rsidRDefault="005F5F56" w:rsidP="00D255F5">
            <w:pPr>
              <w:pStyle w:val="ListParagraph"/>
              <w:numPr>
                <w:ilvl w:val="0"/>
                <w:numId w:val="8"/>
              </w:numPr>
              <w:spacing w:line="240" w:lineRule="auto"/>
              <w:ind w:left="714" w:hanging="357"/>
              <w:jc w:val="both"/>
              <w:rPr>
                <w:rFonts w:ascii="Arial" w:hAnsi="Arial" w:cs="Arial"/>
                <w:bCs/>
                <w:sz w:val="24"/>
                <w:szCs w:val="24"/>
              </w:rPr>
            </w:pPr>
            <w:r w:rsidRPr="00A72F95">
              <w:rPr>
                <w:rFonts w:ascii="Arial" w:hAnsi="Arial" w:cs="Arial"/>
                <w:bCs/>
                <w:sz w:val="24"/>
                <w:szCs w:val="24"/>
              </w:rPr>
              <w:t>the provision of fixed term contracts to regular seasonal staff at Highland Folk Museum</w:t>
            </w:r>
            <w:r w:rsidR="00E0234D" w:rsidRPr="00A72F95">
              <w:rPr>
                <w:rFonts w:ascii="Arial" w:hAnsi="Arial" w:cs="Arial"/>
                <w:bCs/>
                <w:sz w:val="24"/>
                <w:szCs w:val="24"/>
              </w:rPr>
              <w:t xml:space="preserve">, </w:t>
            </w:r>
            <w:r w:rsidRPr="00A72F95">
              <w:rPr>
                <w:rFonts w:ascii="Arial" w:hAnsi="Arial" w:cs="Arial"/>
                <w:bCs/>
                <w:sz w:val="24"/>
                <w:szCs w:val="24"/>
              </w:rPr>
              <w:t>Ben Nevis Centre</w:t>
            </w:r>
            <w:r w:rsidR="00E0234D" w:rsidRPr="00A72F95">
              <w:rPr>
                <w:rFonts w:ascii="Arial" w:hAnsi="Arial" w:cs="Arial"/>
                <w:bCs/>
                <w:sz w:val="24"/>
                <w:szCs w:val="24"/>
              </w:rPr>
              <w:t xml:space="preserve"> and </w:t>
            </w:r>
            <w:r w:rsidR="009C507A">
              <w:rPr>
                <w:rFonts w:ascii="Arial" w:hAnsi="Arial" w:cs="Arial"/>
                <w:bCs/>
                <w:sz w:val="24"/>
                <w:szCs w:val="24"/>
              </w:rPr>
              <w:t xml:space="preserve">Inverness </w:t>
            </w:r>
            <w:r w:rsidR="00E0234D" w:rsidRPr="00A72F95">
              <w:rPr>
                <w:rFonts w:ascii="Arial" w:hAnsi="Arial" w:cs="Arial"/>
                <w:bCs/>
                <w:sz w:val="24"/>
                <w:szCs w:val="24"/>
              </w:rPr>
              <w:t>Castle View</w:t>
            </w:r>
            <w:r w:rsidR="009C507A">
              <w:rPr>
                <w:rFonts w:ascii="Arial" w:hAnsi="Arial" w:cs="Arial"/>
                <w:bCs/>
                <w:sz w:val="24"/>
                <w:szCs w:val="24"/>
              </w:rPr>
              <w:t>p</w:t>
            </w:r>
            <w:r w:rsidR="00E0234D" w:rsidRPr="00A72F95">
              <w:rPr>
                <w:rFonts w:ascii="Arial" w:hAnsi="Arial" w:cs="Arial"/>
                <w:bCs/>
                <w:sz w:val="24"/>
                <w:szCs w:val="24"/>
              </w:rPr>
              <w:t>oint</w:t>
            </w:r>
            <w:r w:rsidRPr="00A72F95">
              <w:rPr>
                <w:rFonts w:ascii="Arial" w:hAnsi="Arial" w:cs="Arial"/>
                <w:bCs/>
                <w:sz w:val="24"/>
                <w:szCs w:val="24"/>
              </w:rPr>
              <w:t xml:space="preserve"> (previously engaged as </w:t>
            </w:r>
            <w:r w:rsidR="009C507A">
              <w:rPr>
                <w:rFonts w:ascii="Arial" w:hAnsi="Arial" w:cs="Arial"/>
                <w:bCs/>
                <w:sz w:val="24"/>
                <w:szCs w:val="24"/>
              </w:rPr>
              <w:t>relief</w:t>
            </w:r>
            <w:r w:rsidRPr="00A72F95">
              <w:rPr>
                <w:rFonts w:ascii="Arial" w:hAnsi="Arial" w:cs="Arial"/>
                <w:bCs/>
                <w:sz w:val="24"/>
                <w:szCs w:val="24"/>
              </w:rPr>
              <w:t xml:space="preserve"> workers)</w:t>
            </w:r>
            <w:r w:rsidR="009C507A">
              <w:rPr>
                <w:rFonts w:ascii="Arial" w:hAnsi="Arial" w:cs="Arial"/>
                <w:bCs/>
                <w:sz w:val="24"/>
                <w:szCs w:val="24"/>
              </w:rPr>
              <w:t>;</w:t>
            </w:r>
          </w:p>
          <w:p w14:paraId="72470C23" w14:textId="44988D51" w:rsidR="005F5F56" w:rsidRPr="00A72F95" w:rsidRDefault="009C507A" w:rsidP="00D255F5">
            <w:pPr>
              <w:pStyle w:val="ListParagraph"/>
              <w:numPr>
                <w:ilvl w:val="0"/>
                <w:numId w:val="8"/>
              </w:numPr>
              <w:spacing w:line="240" w:lineRule="auto"/>
              <w:ind w:left="714" w:hanging="357"/>
              <w:jc w:val="both"/>
              <w:rPr>
                <w:rFonts w:ascii="Arial" w:hAnsi="Arial" w:cs="Arial"/>
                <w:bCs/>
                <w:sz w:val="24"/>
                <w:szCs w:val="24"/>
              </w:rPr>
            </w:pPr>
            <w:r>
              <w:rPr>
                <w:rFonts w:ascii="Arial" w:hAnsi="Arial" w:cs="Arial"/>
                <w:bCs/>
                <w:sz w:val="24"/>
                <w:szCs w:val="24"/>
              </w:rPr>
              <w:t>in the spirit of agreements reached with Unions during the pandemic collecti</w:t>
            </w:r>
            <w:r w:rsidR="002709B7">
              <w:rPr>
                <w:rFonts w:ascii="Arial" w:hAnsi="Arial" w:cs="Arial"/>
                <w:bCs/>
                <w:sz w:val="24"/>
                <w:szCs w:val="24"/>
              </w:rPr>
              <w:t>ve</w:t>
            </w:r>
            <w:r>
              <w:rPr>
                <w:rFonts w:ascii="Arial" w:hAnsi="Arial" w:cs="Arial"/>
                <w:bCs/>
                <w:sz w:val="24"/>
                <w:szCs w:val="24"/>
              </w:rPr>
              <w:t xml:space="preserve"> agreement discussions; </w:t>
            </w:r>
            <w:r w:rsidR="005F5F56" w:rsidRPr="00A72F95">
              <w:rPr>
                <w:rFonts w:ascii="Arial" w:hAnsi="Arial" w:cs="Arial"/>
                <w:bCs/>
                <w:sz w:val="24"/>
                <w:szCs w:val="24"/>
              </w:rPr>
              <w:t>the provision of short</w:t>
            </w:r>
            <w:r>
              <w:rPr>
                <w:rFonts w:ascii="Arial" w:hAnsi="Arial" w:cs="Arial"/>
                <w:bCs/>
                <w:sz w:val="24"/>
                <w:szCs w:val="24"/>
              </w:rPr>
              <w:t>-</w:t>
            </w:r>
            <w:r w:rsidR="005F5F56" w:rsidRPr="00A72F95">
              <w:rPr>
                <w:rFonts w:ascii="Arial" w:hAnsi="Arial" w:cs="Arial"/>
                <w:bCs/>
                <w:sz w:val="24"/>
                <w:szCs w:val="24"/>
              </w:rPr>
              <w:t>term contracts to workers carrying out fixed term projects as part of the recovery programme, including Youth Work and Adult Learning;</w:t>
            </w:r>
          </w:p>
          <w:p w14:paraId="1C7BB4C2" w14:textId="77777777" w:rsidR="00E0234D" w:rsidRPr="00A72F95" w:rsidRDefault="005F5F56" w:rsidP="00D255F5">
            <w:pPr>
              <w:pStyle w:val="ListParagraph"/>
              <w:numPr>
                <w:ilvl w:val="0"/>
                <w:numId w:val="8"/>
              </w:numPr>
              <w:spacing w:line="240" w:lineRule="auto"/>
              <w:ind w:left="714" w:hanging="357"/>
              <w:jc w:val="both"/>
              <w:rPr>
                <w:rFonts w:ascii="Arial" w:hAnsi="Arial" w:cs="Arial"/>
                <w:bCs/>
                <w:sz w:val="24"/>
                <w:szCs w:val="24"/>
              </w:rPr>
            </w:pPr>
            <w:r w:rsidRPr="00A72F95">
              <w:rPr>
                <w:rFonts w:ascii="Arial" w:hAnsi="Arial" w:cs="Arial"/>
                <w:bCs/>
                <w:sz w:val="24"/>
                <w:szCs w:val="24"/>
              </w:rPr>
              <w:t>additional fully funded posts</w:t>
            </w:r>
            <w:r w:rsidR="00E0234D" w:rsidRPr="00A72F95">
              <w:rPr>
                <w:rFonts w:ascii="Arial" w:hAnsi="Arial" w:cs="Arial"/>
                <w:bCs/>
                <w:sz w:val="24"/>
                <w:szCs w:val="24"/>
              </w:rPr>
              <w:t xml:space="preserve"> for Nucleus, the Castle Project and CEYP Youth Work; </w:t>
            </w:r>
          </w:p>
          <w:p w14:paraId="2674AEC5" w14:textId="2C8FD9E3" w:rsidR="005F5F56" w:rsidRPr="00A72F95" w:rsidRDefault="00E0234D" w:rsidP="00D255F5">
            <w:pPr>
              <w:pStyle w:val="ListParagraph"/>
              <w:numPr>
                <w:ilvl w:val="0"/>
                <w:numId w:val="8"/>
              </w:numPr>
              <w:spacing w:line="240" w:lineRule="auto"/>
              <w:ind w:left="714" w:hanging="357"/>
              <w:jc w:val="both"/>
              <w:rPr>
                <w:rFonts w:ascii="Arial" w:hAnsi="Arial" w:cs="Arial"/>
                <w:bCs/>
                <w:sz w:val="24"/>
                <w:szCs w:val="24"/>
              </w:rPr>
            </w:pPr>
            <w:r w:rsidRPr="00A72F95">
              <w:rPr>
                <w:rFonts w:ascii="Arial" w:hAnsi="Arial" w:cs="Arial"/>
                <w:bCs/>
                <w:sz w:val="24"/>
                <w:szCs w:val="24"/>
              </w:rPr>
              <w:t>creation of a new income generating Music Instructor post for Pipe Band Drumming in Ullapool, where demand exceeds provision; and</w:t>
            </w:r>
          </w:p>
          <w:p w14:paraId="14F532A1" w14:textId="256540DB" w:rsidR="005F5F56" w:rsidRPr="00E0234D" w:rsidRDefault="00E0234D" w:rsidP="00D255F5">
            <w:pPr>
              <w:pStyle w:val="ListParagraph"/>
              <w:numPr>
                <w:ilvl w:val="0"/>
                <w:numId w:val="8"/>
              </w:numPr>
              <w:spacing w:line="240" w:lineRule="auto"/>
              <w:ind w:left="714" w:hanging="357"/>
              <w:jc w:val="both"/>
              <w:rPr>
                <w:rFonts w:ascii="Arial" w:hAnsi="Arial" w:cs="Arial"/>
                <w:bCs/>
                <w:szCs w:val="24"/>
              </w:rPr>
            </w:pPr>
            <w:r w:rsidRPr="00A72F95">
              <w:rPr>
                <w:rFonts w:ascii="Arial" w:hAnsi="Arial" w:cs="Arial"/>
                <w:bCs/>
                <w:sz w:val="24"/>
                <w:szCs w:val="24"/>
              </w:rPr>
              <w:t>small amendments to existing establishment FTE in facilities to ensure efficient service delivery</w:t>
            </w:r>
            <w:r w:rsidRPr="00E0234D">
              <w:rPr>
                <w:rFonts w:ascii="Arial" w:hAnsi="Arial" w:cs="Arial"/>
                <w:bCs/>
                <w:szCs w:val="24"/>
              </w:rPr>
              <w:t xml:space="preserve">  </w:t>
            </w:r>
            <w:r w:rsidR="005F5F56" w:rsidRPr="00E0234D">
              <w:rPr>
                <w:rFonts w:ascii="Arial" w:hAnsi="Arial" w:cs="Arial"/>
                <w:bCs/>
                <w:szCs w:val="24"/>
              </w:rPr>
              <w:t xml:space="preserve"> </w:t>
            </w:r>
          </w:p>
        </w:tc>
      </w:tr>
      <w:tr w:rsidR="00C8333C" w:rsidRPr="007214D1" w14:paraId="5AC5D16D" w14:textId="77777777" w:rsidTr="00835331">
        <w:tc>
          <w:tcPr>
            <w:tcW w:w="959" w:type="dxa"/>
          </w:tcPr>
          <w:p w14:paraId="1412B267" w14:textId="77777777" w:rsidR="00C8333C" w:rsidRPr="00C8333C" w:rsidRDefault="00C8333C" w:rsidP="00416BFF">
            <w:pPr>
              <w:rPr>
                <w:rFonts w:ascii="Arial" w:hAnsi="Arial" w:cs="Arial"/>
                <w:szCs w:val="24"/>
              </w:rPr>
            </w:pPr>
            <w:r w:rsidRPr="00C8333C">
              <w:rPr>
                <w:rFonts w:ascii="Arial" w:hAnsi="Arial" w:cs="Arial"/>
                <w:szCs w:val="24"/>
              </w:rPr>
              <w:t>3.2</w:t>
            </w:r>
          </w:p>
        </w:tc>
        <w:tc>
          <w:tcPr>
            <w:tcW w:w="8505" w:type="dxa"/>
          </w:tcPr>
          <w:p w14:paraId="2C52D54A" w14:textId="77777777" w:rsidR="00C8333C" w:rsidRPr="009C1F2A" w:rsidRDefault="00C8333C" w:rsidP="00C8333C">
            <w:pPr>
              <w:jc w:val="both"/>
              <w:rPr>
                <w:rFonts w:ascii="Arial" w:hAnsi="Arial" w:cs="Arial"/>
                <w:u w:val="single"/>
              </w:rPr>
            </w:pPr>
            <w:r>
              <w:rPr>
                <w:rFonts w:ascii="Arial" w:hAnsi="Arial" w:cs="Arial"/>
                <w:u w:val="single"/>
              </w:rPr>
              <w:t>Attendance management</w:t>
            </w:r>
          </w:p>
          <w:p w14:paraId="00CD3062" w14:textId="77777777" w:rsidR="00C8333C" w:rsidRDefault="00C8333C" w:rsidP="00474274">
            <w:pPr>
              <w:jc w:val="both"/>
              <w:rPr>
                <w:rFonts w:ascii="Arial" w:hAnsi="Arial" w:cs="Arial"/>
                <w:b/>
                <w:szCs w:val="24"/>
              </w:rPr>
            </w:pPr>
          </w:p>
        </w:tc>
      </w:tr>
      <w:tr w:rsidR="005F296B" w:rsidRPr="007214D1" w14:paraId="7685752D" w14:textId="77777777" w:rsidTr="00835331">
        <w:tc>
          <w:tcPr>
            <w:tcW w:w="959" w:type="dxa"/>
          </w:tcPr>
          <w:p w14:paraId="72003AC8" w14:textId="77777777" w:rsidR="005F296B" w:rsidRPr="00C8333C" w:rsidRDefault="005F296B" w:rsidP="00416BFF">
            <w:pPr>
              <w:rPr>
                <w:rFonts w:ascii="Arial" w:hAnsi="Arial" w:cs="Arial"/>
                <w:szCs w:val="24"/>
              </w:rPr>
            </w:pPr>
            <w:r>
              <w:rPr>
                <w:rFonts w:ascii="Arial" w:hAnsi="Arial" w:cs="Arial"/>
                <w:szCs w:val="24"/>
              </w:rPr>
              <w:t>3.2.1</w:t>
            </w:r>
          </w:p>
        </w:tc>
        <w:tc>
          <w:tcPr>
            <w:tcW w:w="8505" w:type="dxa"/>
          </w:tcPr>
          <w:p w14:paraId="0DDBFD73" w14:textId="1F10E236" w:rsidR="00DF462B" w:rsidRDefault="002E0015" w:rsidP="00DF462B">
            <w:pPr>
              <w:jc w:val="both"/>
              <w:rPr>
                <w:rFonts w:ascii="Arial" w:eastAsia="Calibri" w:hAnsi="Arial" w:cs="Arial"/>
                <w:szCs w:val="24"/>
                <w:lang w:eastAsia="en-US"/>
              </w:rPr>
            </w:pPr>
            <w:r>
              <w:rPr>
                <w:rFonts w:ascii="Arial" w:eastAsia="Calibri" w:hAnsi="Arial" w:cs="Arial"/>
                <w:szCs w:val="24"/>
                <w:lang w:eastAsia="en-US"/>
              </w:rPr>
              <w:t>R</w:t>
            </w:r>
            <w:r w:rsidR="00DF462B" w:rsidRPr="009C1F2A">
              <w:rPr>
                <w:rFonts w:ascii="Arial" w:eastAsia="Calibri" w:hAnsi="Arial" w:cs="Arial"/>
                <w:szCs w:val="24"/>
                <w:lang w:eastAsia="en-US"/>
              </w:rPr>
              <w:t>eports show absence levels split between</w:t>
            </w:r>
            <w:r w:rsidR="003B16B6">
              <w:rPr>
                <w:rFonts w:ascii="Arial" w:eastAsia="Calibri" w:hAnsi="Arial" w:cs="Arial"/>
                <w:szCs w:val="24"/>
                <w:lang w:eastAsia="en-US"/>
              </w:rPr>
              <w:t xml:space="preserve"> short-term absence (</w:t>
            </w:r>
            <w:r w:rsidR="00EA0200">
              <w:rPr>
                <w:rFonts w:ascii="Arial" w:eastAsia="Calibri" w:hAnsi="Arial" w:cs="Arial"/>
                <w:szCs w:val="24"/>
                <w:lang w:eastAsia="en-US"/>
              </w:rPr>
              <w:t>˂</w:t>
            </w:r>
            <w:r w:rsidR="003B16B6" w:rsidRPr="009C1F2A">
              <w:rPr>
                <w:rFonts w:ascii="Arial" w:eastAsia="Calibri" w:hAnsi="Arial" w:cs="Arial"/>
                <w:szCs w:val="24"/>
                <w:lang w:eastAsia="en-US"/>
              </w:rPr>
              <w:t>10</w:t>
            </w:r>
            <w:r w:rsidR="003B16B6">
              <w:rPr>
                <w:rFonts w:ascii="Arial" w:eastAsia="Calibri" w:hAnsi="Arial" w:cs="Arial"/>
                <w:szCs w:val="24"/>
                <w:lang w:eastAsia="en-US"/>
              </w:rPr>
              <w:t> </w:t>
            </w:r>
            <w:r w:rsidR="003B16B6" w:rsidRPr="009C1F2A">
              <w:rPr>
                <w:rFonts w:ascii="Arial" w:eastAsia="Calibri" w:hAnsi="Arial" w:cs="Arial"/>
                <w:szCs w:val="24"/>
                <w:lang w:eastAsia="en-US"/>
              </w:rPr>
              <w:t>consecutive working days)</w:t>
            </w:r>
            <w:r w:rsidR="003B16B6">
              <w:rPr>
                <w:rFonts w:ascii="Arial" w:eastAsia="Calibri" w:hAnsi="Arial" w:cs="Arial"/>
                <w:szCs w:val="24"/>
                <w:lang w:eastAsia="en-US"/>
              </w:rPr>
              <w:t xml:space="preserve"> and</w:t>
            </w:r>
            <w:r w:rsidR="00DF462B" w:rsidRPr="009C1F2A">
              <w:rPr>
                <w:rFonts w:ascii="Arial" w:eastAsia="Calibri" w:hAnsi="Arial" w:cs="Arial"/>
                <w:szCs w:val="24"/>
                <w:lang w:eastAsia="en-US"/>
              </w:rPr>
              <w:t xml:space="preserve"> long-term absence (&gt;10 consecutive working days)</w:t>
            </w:r>
            <w:r w:rsidR="00DF462B">
              <w:rPr>
                <w:rFonts w:ascii="Arial" w:eastAsia="Calibri" w:hAnsi="Arial" w:cs="Arial"/>
                <w:szCs w:val="24"/>
                <w:lang w:eastAsia="en-US"/>
              </w:rPr>
              <w:t>.</w:t>
            </w:r>
          </w:p>
          <w:p w14:paraId="4B96E2BE" w14:textId="77777777" w:rsidR="005F296B" w:rsidRDefault="005F296B" w:rsidP="002E0015">
            <w:pPr>
              <w:jc w:val="both"/>
              <w:rPr>
                <w:rFonts w:ascii="Arial" w:hAnsi="Arial" w:cs="Arial"/>
                <w:u w:val="single"/>
              </w:rPr>
            </w:pPr>
          </w:p>
        </w:tc>
      </w:tr>
      <w:tr w:rsidR="003B16B6" w:rsidRPr="007214D1" w14:paraId="7B875D21" w14:textId="77777777" w:rsidTr="00E0234D">
        <w:trPr>
          <w:trHeight w:val="853"/>
        </w:trPr>
        <w:tc>
          <w:tcPr>
            <w:tcW w:w="959" w:type="dxa"/>
          </w:tcPr>
          <w:p w14:paraId="35032842" w14:textId="77777777" w:rsidR="003B16B6" w:rsidRDefault="003B16B6" w:rsidP="003B16B6">
            <w:pPr>
              <w:rPr>
                <w:rFonts w:ascii="Arial" w:hAnsi="Arial" w:cs="Arial"/>
                <w:szCs w:val="24"/>
              </w:rPr>
            </w:pPr>
            <w:r>
              <w:rPr>
                <w:rFonts w:ascii="Arial" w:hAnsi="Arial" w:cs="Arial"/>
                <w:szCs w:val="24"/>
              </w:rPr>
              <w:t>3.2.2</w:t>
            </w:r>
          </w:p>
          <w:p w14:paraId="552C2E36" w14:textId="77777777" w:rsidR="003B16B6" w:rsidRDefault="003B16B6" w:rsidP="003B16B6">
            <w:pPr>
              <w:rPr>
                <w:rFonts w:ascii="Arial" w:hAnsi="Arial" w:cs="Arial"/>
                <w:szCs w:val="24"/>
              </w:rPr>
            </w:pPr>
          </w:p>
          <w:p w14:paraId="1AF5BD56" w14:textId="77777777" w:rsidR="003B16B6" w:rsidRDefault="003B16B6" w:rsidP="003B16B6">
            <w:pPr>
              <w:rPr>
                <w:rFonts w:ascii="Arial" w:hAnsi="Arial" w:cs="Arial"/>
                <w:szCs w:val="24"/>
              </w:rPr>
            </w:pPr>
          </w:p>
          <w:p w14:paraId="606D5F69" w14:textId="77777777" w:rsidR="003B16B6" w:rsidRDefault="003B16B6" w:rsidP="003B16B6">
            <w:pPr>
              <w:rPr>
                <w:rFonts w:ascii="Arial" w:hAnsi="Arial" w:cs="Arial"/>
                <w:szCs w:val="24"/>
              </w:rPr>
            </w:pPr>
          </w:p>
          <w:p w14:paraId="5EF230CF" w14:textId="77777777" w:rsidR="003B16B6" w:rsidRDefault="003B16B6" w:rsidP="003B16B6">
            <w:pPr>
              <w:rPr>
                <w:rFonts w:ascii="Arial" w:hAnsi="Arial" w:cs="Arial"/>
                <w:szCs w:val="24"/>
              </w:rPr>
            </w:pPr>
          </w:p>
          <w:p w14:paraId="0C476419" w14:textId="77777777" w:rsidR="003B16B6" w:rsidRDefault="003B16B6" w:rsidP="003B16B6">
            <w:pPr>
              <w:rPr>
                <w:rFonts w:ascii="Arial" w:hAnsi="Arial" w:cs="Arial"/>
                <w:szCs w:val="24"/>
              </w:rPr>
            </w:pPr>
          </w:p>
          <w:p w14:paraId="29D7BFF7" w14:textId="77777777" w:rsidR="003B16B6" w:rsidRDefault="003B16B6" w:rsidP="003B16B6">
            <w:pPr>
              <w:rPr>
                <w:rFonts w:ascii="Arial" w:hAnsi="Arial" w:cs="Arial"/>
                <w:szCs w:val="24"/>
              </w:rPr>
            </w:pPr>
          </w:p>
          <w:p w14:paraId="54EC3900" w14:textId="77777777" w:rsidR="003B16B6" w:rsidRDefault="003B16B6" w:rsidP="003B16B6">
            <w:pPr>
              <w:rPr>
                <w:rFonts w:ascii="Arial" w:hAnsi="Arial" w:cs="Arial"/>
                <w:szCs w:val="24"/>
              </w:rPr>
            </w:pPr>
          </w:p>
          <w:p w14:paraId="05539FC7" w14:textId="77777777" w:rsidR="003B16B6" w:rsidRDefault="003B16B6" w:rsidP="003B16B6">
            <w:pPr>
              <w:rPr>
                <w:rFonts w:ascii="Arial" w:hAnsi="Arial" w:cs="Arial"/>
                <w:szCs w:val="24"/>
              </w:rPr>
            </w:pPr>
          </w:p>
          <w:p w14:paraId="7425428C" w14:textId="77777777" w:rsidR="003B16B6" w:rsidRDefault="003B16B6" w:rsidP="003B16B6">
            <w:pPr>
              <w:rPr>
                <w:rFonts w:ascii="Arial" w:hAnsi="Arial" w:cs="Arial"/>
                <w:szCs w:val="24"/>
              </w:rPr>
            </w:pPr>
          </w:p>
          <w:p w14:paraId="740A4720" w14:textId="77777777" w:rsidR="003B16B6" w:rsidRDefault="003B16B6" w:rsidP="003B16B6">
            <w:pPr>
              <w:rPr>
                <w:rFonts w:ascii="Arial" w:hAnsi="Arial" w:cs="Arial"/>
                <w:szCs w:val="24"/>
              </w:rPr>
            </w:pPr>
          </w:p>
          <w:p w14:paraId="3CBB7D5F" w14:textId="77777777" w:rsidR="00E0234D" w:rsidRDefault="00E0234D" w:rsidP="003B16B6">
            <w:pPr>
              <w:rPr>
                <w:rFonts w:ascii="Arial" w:hAnsi="Arial" w:cs="Arial"/>
                <w:szCs w:val="24"/>
              </w:rPr>
            </w:pPr>
          </w:p>
          <w:p w14:paraId="5620D7F6" w14:textId="77777777" w:rsidR="00E0234D" w:rsidRDefault="00E0234D" w:rsidP="003B16B6">
            <w:pPr>
              <w:rPr>
                <w:rFonts w:ascii="Arial" w:hAnsi="Arial" w:cs="Arial"/>
                <w:szCs w:val="24"/>
              </w:rPr>
            </w:pPr>
          </w:p>
          <w:p w14:paraId="2783EDE4" w14:textId="77777777" w:rsidR="00E0234D" w:rsidRDefault="00E0234D" w:rsidP="003B16B6">
            <w:pPr>
              <w:rPr>
                <w:rFonts w:ascii="Arial" w:hAnsi="Arial" w:cs="Arial"/>
                <w:szCs w:val="24"/>
              </w:rPr>
            </w:pPr>
          </w:p>
          <w:p w14:paraId="30D1EF4D" w14:textId="77777777" w:rsidR="00E0234D" w:rsidRDefault="00E0234D" w:rsidP="003B16B6">
            <w:pPr>
              <w:rPr>
                <w:rFonts w:ascii="Arial" w:hAnsi="Arial" w:cs="Arial"/>
                <w:szCs w:val="24"/>
              </w:rPr>
            </w:pPr>
          </w:p>
          <w:p w14:paraId="32B7359E" w14:textId="77777777" w:rsidR="00E0234D" w:rsidRDefault="00E0234D" w:rsidP="003B16B6">
            <w:pPr>
              <w:rPr>
                <w:rFonts w:ascii="Arial" w:hAnsi="Arial" w:cs="Arial"/>
                <w:szCs w:val="24"/>
              </w:rPr>
            </w:pPr>
          </w:p>
          <w:p w14:paraId="01CEEFCE" w14:textId="77777777" w:rsidR="00E0234D" w:rsidRDefault="00E0234D" w:rsidP="003B16B6">
            <w:pPr>
              <w:rPr>
                <w:rFonts w:ascii="Arial" w:hAnsi="Arial" w:cs="Arial"/>
                <w:szCs w:val="24"/>
              </w:rPr>
            </w:pPr>
          </w:p>
          <w:p w14:paraId="7D368724" w14:textId="77777777" w:rsidR="00E0234D" w:rsidRDefault="00E0234D" w:rsidP="00E0234D">
            <w:pPr>
              <w:rPr>
                <w:rFonts w:ascii="Arial" w:hAnsi="Arial" w:cs="Arial"/>
                <w:szCs w:val="24"/>
              </w:rPr>
            </w:pPr>
          </w:p>
          <w:p w14:paraId="4509C3D3" w14:textId="5B20324C" w:rsidR="00E0234D" w:rsidRDefault="00E0234D" w:rsidP="00E0234D">
            <w:pPr>
              <w:rPr>
                <w:rFonts w:ascii="Arial" w:hAnsi="Arial" w:cs="Arial"/>
                <w:szCs w:val="24"/>
              </w:rPr>
            </w:pPr>
          </w:p>
        </w:tc>
        <w:tc>
          <w:tcPr>
            <w:tcW w:w="8505" w:type="dxa"/>
          </w:tcPr>
          <w:p w14:paraId="625F7A51" w14:textId="501C3DA3" w:rsidR="003B16B6" w:rsidRDefault="003B16B6" w:rsidP="003B16B6">
            <w:pPr>
              <w:jc w:val="both"/>
              <w:rPr>
                <w:rFonts w:ascii="Arial" w:eastAsia="Calibri" w:hAnsi="Arial" w:cs="Arial"/>
                <w:szCs w:val="24"/>
                <w:lang w:eastAsia="en-US"/>
              </w:rPr>
            </w:pPr>
            <w:r>
              <w:rPr>
                <w:rFonts w:ascii="Arial" w:eastAsia="Calibri" w:hAnsi="Arial" w:cs="Arial"/>
                <w:szCs w:val="24"/>
                <w:lang w:eastAsia="en-US"/>
              </w:rPr>
              <w:lastRenderedPageBreak/>
              <w:t xml:space="preserve">The short-term absence rate % up to the end of </w:t>
            </w:r>
            <w:r w:rsidRPr="00142251">
              <w:rPr>
                <w:rFonts w:ascii="Arial" w:eastAsia="Calibri" w:hAnsi="Arial" w:cs="Arial"/>
                <w:szCs w:val="24"/>
                <w:lang w:eastAsia="en-US"/>
              </w:rPr>
              <w:t xml:space="preserve">Quarter </w:t>
            </w:r>
            <w:r w:rsidR="00536ED0">
              <w:rPr>
                <w:rFonts w:ascii="Arial" w:eastAsia="Calibri" w:hAnsi="Arial" w:cs="Arial"/>
                <w:szCs w:val="24"/>
                <w:lang w:eastAsia="en-US"/>
              </w:rPr>
              <w:t>2</w:t>
            </w:r>
            <w:r w:rsidRPr="00142251">
              <w:rPr>
                <w:rFonts w:ascii="Arial" w:eastAsia="Calibri" w:hAnsi="Arial" w:cs="Arial"/>
                <w:szCs w:val="24"/>
                <w:lang w:eastAsia="en-US"/>
              </w:rPr>
              <w:t xml:space="preserve"> were</w:t>
            </w:r>
            <w:r>
              <w:rPr>
                <w:rFonts w:ascii="Arial" w:eastAsia="Calibri" w:hAnsi="Arial" w:cs="Arial"/>
                <w:szCs w:val="24"/>
                <w:lang w:eastAsia="en-US"/>
              </w:rPr>
              <w:t xml:space="preserve"> as follows:</w:t>
            </w:r>
          </w:p>
          <w:p w14:paraId="03E46E37" w14:textId="77777777" w:rsidR="003B16B6" w:rsidRDefault="003B16B6" w:rsidP="003B16B6">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9C507A" w:rsidRPr="009C1F2A" w14:paraId="1BDEBB1C" w14:textId="77777777" w:rsidTr="009C507A">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9F30A4C" w14:textId="3A4299BF"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SHORT-TERM ABSENCE RATES</w:t>
                  </w:r>
                </w:p>
              </w:tc>
            </w:tr>
            <w:tr w:rsidR="003B16B6" w:rsidRPr="009C1F2A" w14:paraId="4AD7333E"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D64DFF6" w14:textId="74C3619E" w:rsidR="003B16B6" w:rsidRDefault="003B16B6" w:rsidP="003B16B6">
                  <w:pPr>
                    <w:spacing w:line="276" w:lineRule="auto"/>
                    <w:jc w:val="center"/>
                    <w:rPr>
                      <w:rFonts w:ascii="Arial" w:eastAsia="Calibri" w:hAnsi="Arial" w:cs="Arial"/>
                      <w:b/>
                      <w:bCs/>
                      <w:szCs w:val="24"/>
                    </w:rPr>
                  </w:pPr>
                </w:p>
                <w:p w14:paraId="1EB94BD3" w14:textId="77777777" w:rsidR="003B16B6" w:rsidRPr="009C1F2A" w:rsidRDefault="003B16B6" w:rsidP="009C507A">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59E945A" w14:textId="77777777" w:rsidR="003B16B6" w:rsidRPr="009C1F2A" w:rsidRDefault="003B16B6" w:rsidP="003B16B6">
                  <w:pPr>
                    <w:spacing w:line="276" w:lineRule="auto"/>
                    <w:jc w:val="center"/>
                    <w:rPr>
                      <w:rFonts w:ascii="Arial" w:eastAsia="Calibri" w:hAnsi="Arial" w:cs="Arial"/>
                      <w:b/>
                      <w:bCs/>
                      <w:szCs w:val="24"/>
                    </w:rPr>
                  </w:pPr>
                </w:p>
                <w:p w14:paraId="6FAE0B19"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002686D2"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02ECA616" w14:textId="610EDBB6"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BAC51F7" w14:textId="77777777" w:rsidR="003B16B6" w:rsidRPr="009C1F2A" w:rsidRDefault="003B16B6" w:rsidP="003B16B6">
                  <w:pPr>
                    <w:spacing w:line="276" w:lineRule="auto"/>
                    <w:jc w:val="center"/>
                    <w:rPr>
                      <w:rFonts w:ascii="Arial" w:eastAsia="Calibri" w:hAnsi="Arial" w:cs="Arial"/>
                      <w:b/>
                      <w:bCs/>
                      <w:szCs w:val="24"/>
                    </w:rPr>
                  </w:pPr>
                </w:p>
                <w:p w14:paraId="2CD13E83"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01A60B50"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7257E088" w14:textId="5A0CA8DE"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04DC368" w14:textId="77777777" w:rsidR="003B16B6" w:rsidRPr="009C1F2A" w:rsidRDefault="003B16B6" w:rsidP="003B16B6">
                  <w:pPr>
                    <w:spacing w:line="276" w:lineRule="auto"/>
                    <w:jc w:val="center"/>
                    <w:rPr>
                      <w:rFonts w:ascii="Arial" w:eastAsia="Calibri" w:hAnsi="Arial" w:cs="Arial"/>
                      <w:b/>
                      <w:bCs/>
                      <w:szCs w:val="24"/>
                    </w:rPr>
                  </w:pPr>
                </w:p>
                <w:p w14:paraId="324E4C51"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ADE7D6C"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00D2899C" w14:textId="047E6377"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7F5D268" w14:textId="77777777" w:rsidR="003B16B6" w:rsidRPr="009C1F2A" w:rsidRDefault="003B16B6" w:rsidP="003B16B6">
                  <w:pPr>
                    <w:spacing w:line="276" w:lineRule="auto"/>
                    <w:jc w:val="center"/>
                    <w:rPr>
                      <w:rFonts w:ascii="Arial" w:eastAsia="Calibri" w:hAnsi="Arial" w:cs="Arial"/>
                      <w:b/>
                      <w:bCs/>
                      <w:szCs w:val="24"/>
                    </w:rPr>
                  </w:pPr>
                </w:p>
                <w:p w14:paraId="1C95A41F"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32DE7C1D"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33C5EB0D" w14:textId="1C4C3696"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r>
            <w:tr w:rsidR="003B16B6" w:rsidRPr="009C1F2A" w14:paraId="6D009767"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77070BB"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1A4E7" w14:textId="6975059C" w:rsidR="003B16B6" w:rsidRDefault="003B16B6" w:rsidP="003B16B6">
                  <w:pPr>
                    <w:spacing w:line="276" w:lineRule="auto"/>
                    <w:jc w:val="center"/>
                    <w:rPr>
                      <w:rFonts w:ascii="Arial" w:eastAsia="Calibri" w:hAnsi="Arial" w:cs="Arial"/>
                      <w:szCs w:val="24"/>
                    </w:rPr>
                  </w:pPr>
                  <w:r>
                    <w:rPr>
                      <w:rFonts w:ascii="Arial" w:eastAsia="Calibri" w:hAnsi="Arial" w:cs="Arial"/>
                      <w:szCs w:val="24"/>
                    </w:rPr>
                    <w:t>0.9</w:t>
                  </w:r>
                  <w:r w:rsidR="009C507A">
                    <w:rPr>
                      <w:rFonts w:ascii="Arial" w:eastAsia="Calibri" w:hAnsi="Arial" w:cs="Arial"/>
                      <w:szCs w:val="24"/>
                    </w:rPr>
                    <w:t>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00C21" w14:textId="49650F8F" w:rsidR="003B16B6" w:rsidRDefault="003B16B6" w:rsidP="003B16B6">
                  <w:pPr>
                    <w:spacing w:line="276" w:lineRule="auto"/>
                    <w:jc w:val="center"/>
                    <w:rPr>
                      <w:rFonts w:ascii="Arial" w:eastAsia="Calibri" w:hAnsi="Arial" w:cs="Arial"/>
                      <w:szCs w:val="24"/>
                    </w:rPr>
                  </w:pPr>
                  <w:r>
                    <w:rPr>
                      <w:rFonts w:ascii="Arial" w:eastAsia="Calibri" w:hAnsi="Arial" w:cs="Arial"/>
                      <w:szCs w:val="24"/>
                    </w:rPr>
                    <w:t>0.99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1E4280" w14:textId="4512AB47" w:rsidR="003B16B6" w:rsidRDefault="003B16B6" w:rsidP="003B16B6">
                  <w:pPr>
                    <w:spacing w:line="276" w:lineRule="auto"/>
                    <w:jc w:val="center"/>
                    <w:rPr>
                      <w:rFonts w:ascii="Arial" w:eastAsia="Calibri" w:hAnsi="Arial" w:cs="Arial"/>
                      <w:szCs w:val="24"/>
                    </w:rPr>
                  </w:pPr>
                  <w:r>
                    <w:rPr>
                      <w:rFonts w:ascii="Arial" w:eastAsia="Calibri" w:hAnsi="Arial" w:cs="Arial"/>
                      <w:szCs w:val="24"/>
                    </w:rPr>
                    <w:t>1.32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A13A5" w14:textId="7841A3D2" w:rsidR="003B16B6" w:rsidRDefault="003B16B6" w:rsidP="003B16B6">
                  <w:pPr>
                    <w:spacing w:line="276" w:lineRule="auto"/>
                    <w:jc w:val="center"/>
                    <w:rPr>
                      <w:rFonts w:ascii="Arial" w:eastAsia="Calibri" w:hAnsi="Arial" w:cs="Arial"/>
                      <w:szCs w:val="24"/>
                    </w:rPr>
                  </w:pPr>
                  <w:r>
                    <w:rPr>
                      <w:rFonts w:ascii="Arial" w:eastAsia="Calibri" w:hAnsi="Arial" w:cs="Arial"/>
                      <w:szCs w:val="24"/>
                    </w:rPr>
                    <w:t>1.42</w:t>
                  </w:r>
                </w:p>
              </w:tc>
            </w:tr>
            <w:tr w:rsidR="003B16B6" w:rsidRPr="009C1F2A" w14:paraId="078040C8"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ABD2AED"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49E23" w14:textId="0936B81D" w:rsidR="003B16B6" w:rsidRDefault="003B16B6" w:rsidP="003B16B6">
                  <w:pPr>
                    <w:spacing w:line="276" w:lineRule="auto"/>
                    <w:jc w:val="center"/>
                    <w:rPr>
                      <w:rFonts w:ascii="Arial" w:eastAsia="Calibri" w:hAnsi="Arial" w:cs="Arial"/>
                      <w:szCs w:val="24"/>
                    </w:rPr>
                  </w:pPr>
                  <w:r>
                    <w:rPr>
                      <w:rFonts w:ascii="Arial" w:eastAsia="Calibri" w:hAnsi="Arial" w:cs="Arial"/>
                      <w:szCs w:val="24"/>
                    </w:rPr>
                    <w:t>0.90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D38EF6" w14:textId="1341D7BA" w:rsidR="003B16B6" w:rsidRDefault="003B16B6" w:rsidP="003B16B6">
                  <w:pPr>
                    <w:spacing w:line="276" w:lineRule="auto"/>
                    <w:jc w:val="center"/>
                    <w:rPr>
                      <w:rFonts w:ascii="Arial" w:eastAsia="Calibri" w:hAnsi="Arial" w:cs="Arial"/>
                      <w:szCs w:val="24"/>
                    </w:rPr>
                  </w:pPr>
                  <w:r>
                    <w:rPr>
                      <w:rFonts w:ascii="Arial" w:eastAsia="Calibri" w:hAnsi="Arial" w:cs="Arial"/>
                      <w:szCs w:val="24"/>
                    </w:rPr>
                    <w:t>1.00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2062F0" w14:textId="5FFDADF8" w:rsidR="003B16B6" w:rsidRDefault="003B16B6" w:rsidP="003B16B6">
                  <w:pPr>
                    <w:spacing w:line="276" w:lineRule="auto"/>
                    <w:jc w:val="center"/>
                    <w:rPr>
                      <w:rFonts w:ascii="Arial" w:eastAsia="Calibri" w:hAnsi="Arial" w:cs="Arial"/>
                      <w:szCs w:val="24"/>
                    </w:rPr>
                  </w:pPr>
                  <w:r>
                    <w:rPr>
                      <w:rFonts w:ascii="Arial" w:eastAsia="Calibri" w:hAnsi="Arial" w:cs="Arial"/>
                      <w:szCs w:val="24"/>
                    </w:rPr>
                    <w:t>1.58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566B" w14:textId="2207F42A" w:rsidR="003B16B6" w:rsidRDefault="003B16B6" w:rsidP="003B16B6">
                  <w:pPr>
                    <w:spacing w:line="276" w:lineRule="auto"/>
                    <w:jc w:val="center"/>
                    <w:rPr>
                      <w:rFonts w:ascii="Arial" w:eastAsia="Calibri" w:hAnsi="Arial" w:cs="Arial"/>
                      <w:szCs w:val="24"/>
                    </w:rPr>
                  </w:pPr>
                  <w:r>
                    <w:rPr>
                      <w:rFonts w:ascii="Arial" w:eastAsia="Calibri" w:hAnsi="Arial" w:cs="Arial"/>
                      <w:szCs w:val="24"/>
                    </w:rPr>
                    <w:t>1.33</w:t>
                  </w:r>
                </w:p>
              </w:tc>
            </w:tr>
            <w:tr w:rsidR="00EA0200" w:rsidRPr="009C1F2A" w14:paraId="5DD4A73A" w14:textId="77777777" w:rsidTr="009C507A">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60188A5" w14:textId="61B082DE" w:rsidR="00EA0200" w:rsidRDefault="00EA0200" w:rsidP="003B16B6">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40E83" w14:textId="262EA668" w:rsidR="00EA0200" w:rsidRDefault="00067164" w:rsidP="003B16B6">
                  <w:pPr>
                    <w:spacing w:line="276" w:lineRule="auto"/>
                    <w:jc w:val="center"/>
                    <w:rPr>
                      <w:rFonts w:ascii="Arial" w:eastAsia="Calibri" w:hAnsi="Arial" w:cs="Arial"/>
                      <w:szCs w:val="24"/>
                    </w:rPr>
                  </w:pPr>
                  <w:r>
                    <w:rPr>
                      <w:rFonts w:ascii="Arial" w:eastAsia="Calibri" w:hAnsi="Arial" w:cs="Arial"/>
                      <w:szCs w:val="24"/>
                    </w:rPr>
                    <w:t>0.01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0D9900" w14:textId="66B2B1A1" w:rsidR="00EA0200" w:rsidRDefault="00536ED0" w:rsidP="003B16B6">
                  <w:pPr>
                    <w:spacing w:line="276" w:lineRule="auto"/>
                    <w:jc w:val="center"/>
                    <w:rPr>
                      <w:rFonts w:ascii="Arial" w:eastAsia="Calibri" w:hAnsi="Arial" w:cs="Arial"/>
                      <w:szCs w:val="24"/>
                    </w:rPr>
                  </w:pPr>
                  <w:r>
                    <w:rPr>
                      <w:rFonts w:ascii="Arial" w:eastAsia="Calibri" w:hAnsi="Arial" w:cs="Arial"/>
                      <w:szCs w:val="24"/>
                    </w:rPr>
                    <w:t>0.15</w:t>
                  </w:r>
                </w:p>
              </w:tc>
              <w:tc>
                <w:tcPr>
                  <w:tcW w:w="1033" w:type="pct"/>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67B34D92" w14:textId="5FFA9F64" w:rsidR="00EA0200" w:rsidRDefault="00EA0200" w:rsidP="003B16B6">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64B3B932" w14:textId="3715F23B" w:rsidR="00EA0200" w:rsidRDefault="00EA0200" w:rsidP="003B16B6">
                  <w:pPr>
                    <w:spacing w:line="276" w:lineRule="auto"/>
                    <w:jc w:val="center"/>
                    <w:rPr>
                      <w:rFonts w:ascii="Arial" w:eastAsia="Calibri" w:hAnsi="Arial" w:cs="Arial"/>
                      <w:szCs w:val="24"/>
                    </w:rPr>
                  </w:pPr>
                </w:p>
              </w:tc>
            </w:tr>
          </w:tbl>
          <w:p w14:paraId="0851567B" w14:textId="77777777" w:rsidR="003B16B6" w:rsidRDefault="003B16B6" w:rsidP="003B16B6">
            <w:pPr>
              <w:jc w:val="both"/>
              <w:rPr>
                <w:rFonts w:ascii="Arial" w:eastAsia="Calibri" w:hAnsi="Arial" w:cs="Arial"/>
                <w:szCs w:val="24"/>
                <w:lang w:eastAsia="en-US"/>
              </w:rPr>
            </w:pPr>
          </w:p>
          <w:p w14:paraId="2CE16E9A" w14:textId="79BE76BD" w:rsidR="00363435" w:rsidRDefault="00363435" w:rsidP="00363435">
            <w:pPr>
              <w:jc w:val="both"/>
              <w:rPr>
                <w:rFonts w:ascii="Arial" w:hAnsi="Arial" w:cs="Arial"/>
              </w:rPr>
            </w:pPr>
            <w:r w:rsidRPr="005F296B">
              <w:rPr>
                <w:rFonts w:ascii="Arial" w:hAnsi="Arial" w:cs="Arial"/>
              </w:rPr>
              <w:lastRenderedPageBreak/>
              <w:t xml:space="preserve">Quarter </w:t>
            </w:r>
            <w:r>
              <w:rPr>
                <w:rFonts w:ascii="Arial" w:hAnsi="Arial" w:cs="Arial"/>
              </w:rPr>
              <w:t>2</w:t>
            </w:r>
            <w:r w:rsidRPr="005F296B">
              <w:rPr>
                <w:rFonts w:ascii="Arial" w:hAnsi="Arial" w:cs="Arial"/>
              </w:rPr>
              <w:t xml:space="preserve"> has shown </w:t>
            </w:r>
            <w:r>
              <w:rPr>
                <w:rFonts w:ascii="Arial" w:hAnsi="Arial" w:cs="Arial"/>
              </w:rPr>
              <w:t xml:space="preserve">an increase of 0.14% </w:t>
            </w:r>
            <w:r w:rsidRPr="005F296B">
              <w:rPr>
                <w:rFonts w:ascii="Arial" w:hAnsi="Arial" w:cs="Arial"/>
              </w:rPr>
              <w:t xml:space="preserve">in the </w:t>
            </w:r>
            <w:r>
              <w:rPr>
                <w:rFonts w:ascii="Arial" w:hAnsi="Arial" w:cs="Arial"/>
              </w:rPr>
              <w:t>short-</w:t>
            </w:r>
            <w:r w:rsidRPr="005F296B">
              <w:rPr>
                <w:rFonts w:ascii="Arial" w:hAnsi="Arial" w:cs="Arial"/>
              </w:rPr>
              <w:t xml:space="preserve">term absence rate </w:t>
            </w:r>
            <w:r>
              <w:rPr>
                <w:rFonts w:ascii="Arial" w:hAnsi="Arial" w:cs="Arial"/>
              </w:rPr>
              <w:t>compared to Quarter 1 of 2020/21. It should be noted that Quarter 1 rates reflected the high level of staff placed on furlough during that quarter and therefore low absence levels.  Quarter 2 reflects the return</w:t>
            </w:r>
            <w:r w:rsidR="00E0234D">
              <w:rPr>
                <w:rFonts w:ascii="Arial" w:hAnsi="Arial" w:cs="Arial"/>
              </w:rPr>
              <w:t xml:space="preserve"> to work</w:t>
            </w:r>
            <w:r>
              <w:rPr>
                <w:rFonts w:ascii="Arial" w:hAnsi="Arial" w:cs="Arial"/>
              </w:rPr>
              <w:t xml:space="preserve"> </w:t>
            </w:r>
            <w:r w:rsidR="00E0234D">
              <w:rPr>
                <w:rFonts w:ascii="Arial" w:hAnsi="Arial" w:cs="Arial"/>
              </w:rPr>
              <w:t>for</w:t>
            </w:r>
            <w:r>
              <w:rPr>
                <w:rFonts w:ascii="Arial" w:hAnsi="Arial" w:cs="Arial"/>
              </w:rPr>
              <w:t xml:space="preserve"> many staff and therefore a</w:t>
            </w:r>
            <w:r w:rsidR="00E0234D">
              <w:rPr>
                <w:rFonts w:ascii="Arial" w:hAnsi="Arial" w:cs="Arial"/>
              </w:rPr>
              <w:t>s would be expected, a</w:t>
            </w:r>
            <w:r>
              <w:rPr>
                <w:rFonts w:ascii="Arial" w:hAnsi="Arial" w:cs="Arial"/>
              </w:rPr>
              <w:t xml:space="preserve"> higher level of absence reporting. </w:t>
            </w:r>
          </w:p>
          <w:p w14:paraId="22AA54E3" w14:textId="523A97E1" w:rsidR="00363435" w:rsidRPr="009C1F2A" w:rsidRDefault="00363435" w:rsidP="00363435">
            <w:pPr>
              <w:jc w:val="both"/>
              <w:rPr>
                <w:rFonts w:ascii="Arial" w:eastAsia="Calibri" w:hAnsi="Arial" w:cs="Arial"/>
                <w:szCs w:val="24"/>
                <w:lang w:eastAsia="en-US"/>
              </w:rPr>
            </w:pPr>
          </w:p>
        </w:tc>
      </w:tr>
      <w:tr w:rsidR="003B16B6" w:rsidRPr="007214D1" w14:paraId="63ABC174" w14:textId="77777777" w:rsidTr="003B16B6">
        <w:trPr>
          <w:trHeight w:val="805"/>
        </w:trPr>
        <w:tc>
          <w:tcPr>
            <w:tcW w:w="959" w:type="dxa"/>
          </w:tcPr>
          <w:p w14:paraId="40488372" w14:textId="2E3942A4" w:rsidR="003B16B6" w:rsidRDefault="003B16B6" w:rsidP="003B16B6">
            <w:pPr>
              <w:rPr>
                <w:rFonts w:ascii="Arial" w:hAnsi="Arial" w:cs="Arial"/>
                <w:szCs w:val="24"/>
              </w:rPr>
            </w:pPr>
            <w:r>
              <w:rPr>
                <w:rFonts w:ascii="Arial" w:hAnsi="Arial" w:cs="Arial"/>
                <w:szCs w:val="24"/>
              </w:rPr>
              <w:lastRenderedPageBreak/>
              <w:t>3.2.3</w:t>
            </w:r>
          </w:p>
          <w:p w14:paraId="16D425F1" w14:textId="77777777" w:rsidR="003B16B6" w:rsidRDefault="003B16B6" w:rsidP="003B16B6">
            <w:pPr>
              <w:rPr>
                <w:rFonts w:ascii="Arial" w:hAnsi="Arial" w:cs="Arial"/>
                <w:szCs w:val="24"/>
              </w:rPr>
            </w:pPr>
          </w:p>
        </w:tc>
        <w:tc>
          <w:tcPr>
            <w:tcW w:w="8505" w:type="dxa"/>
          </w:tcPr>
          <w:p w14:paraId="2F94931F" w14:textId="0B065382" w:rsidR="00E52812" w:rsidRPr="009C1F2A" w:rsidRDefault="00E52812" w:rsidP="00E52812">
            <w:pPr>
              <w:jc w:val="both"/>
              <w:rPr>
                <w:rFonts w:ascii="Arial" w:eastAsia="Calibri" w:hAnsi="Arial" w:cs="Arial"/>
                <w:szCs w:val="24"/>
                <w:lang w:eastAsia="en-US"/>
              </w:rPr>
            </w:pPr>
            <w:r w:rsidRPr="009C1F2A">
              <w:rPr>
                <w:rFonts w:ascii="Arial" w:eastAsia="Calibri" w:hAnsi="Arial" w:cs="Arial"/>
                <w:szCs w:val="24"/>
                <w:lang w:eastAsia="en-US"/>
              </w:rPr>
              <w:t xml:space="preserve">The </w:t>
            </w:r>
            <w:r>
              <w:rPr>
                <w:rFonts w:ascii="Arial" w:eastAsia="Calibri" w:hAnsi="Arial" w:cs="Arial"/>
                <w:szCs w:val="24"/>
                <w:lang w:eastAsia="en-US"/>
              </w:rPr>
              <w:t>long</w:t>
            </w:r>
            <w:r w:rsidR="009C507A">
              <w:rPr>
                <w:rFonts w:ascii="Arial" w:eastAsia="Calibri" w:hAnsi="Arial" w:cs="Arial"/>
                <w:szCs w:val="24"/>
                <w:lang w:eastAsia="en-US"/>
              </w:rPr>
              <w:t>-</w:t>
            </w:r>
            <w:r>
              <w:rPr>
                <w:rFonts w:ascii="Arial" w:eastAsia="Calibri" w:hAnsi="Arial" w:cs="Arial"/>
                <w:szCs w:val="24"/>
                <w:lang w:eastAsia="en-US"/>
              </w:rPr>
              <w:t xml:space="preserve">term </w:t>
            </w:r>
            <w:r w:rsidRPr="009C1F2A">
              <w:rPr>
                <w:rFonts w:ascii="Arial" w:eastAsia="Calibri" w:hAnsi="Arial" w:cs="Arial"/>
                <w:szCs w:val="24"/>
                <w:lang w:eastAsia="en-US"/>
              </w:rPr>
              <w:t>absence</w:t>
            </w:r>
            <w:r w:rsidR="009C507A">
              <w:rPr>
                <w:rFonts w:ascii="Arial" w:eastAsia="Calibri" w:hAnsi="Arial" w:cs="Arial"/>
                <w:szCs w:val="24"/>
                <w:lang w:eastAsia="en-US"/>
              </w:rPr>
              <w:t xml:space="preserve"> %</w:t>
            </w:r>
            <w:r w:rsidRPr="009C1F2A">
              <w:rPr>
                <w:rFonts w:ascii="Arial" w:eastAsia="Calibri" w:hAnsi="Arial" w:cs="Arial"/>
                <w:szCs w:val="24"/>
                <w:lang w:eastAsia="en-US"/>
              </w:rPr>
              <w:t xml:space="preserve"> </w:t>
            </w:r>
            <w:r>
              <w:rPr>
                <w:rFonts w:ascii="Arial" w:eastAsia="Calibri" w:hAnsi="Arial" w:cs="Arial"/>
                <w:szCs w:val="24"/>
                <w:lang w:eastAsia="en-US"/>
              </w:rPr>
              <w:t>rate</w:t>
            </w:r>
            <w:r w:rsidRPr="009C1F2A">
              <w:rPr>
                <w:rFonts w:ascii="Arial" w:eastAsia="Calibri" w:hAnsi="Arial" w:cs="Arial"/>
                <w:szCs w:val="24"/>
                <w:lang w:eastAsia="en-US"/>
              </w:rPr>
              <w:t xml:space="preserve"> up to the end of Quarter </w:t>
            </w:r>
            <w:r w:rsidR="00363435">
              <w:rPr>
                <w:rFonts w:ascii="Arial" w:eastAsia="Calibri" w:hAnsi="Arial" w:cs="Arial"/>
                <w:szCs w:val="24"/>
                <w:lang w:eastAsia="en-US"/>
              </w:rPr>
              <w:t>2</w:t>
            </w:r>
            <w:r>
              <w:rPr>
                <w:rFonts w:ascii="Arial" w:eastAsia="Calibri" w:hAnsi="Arial" w:cs="Arial"/>
                <w:szCs w:val="24"/>
                <w:lang w:eastAsia="en-US"/>
              </w:rPr>
              <w:t xml:space="preserve"> </w:t>
            </w:r>
            <w:r w:rsidRPr="009C1F2A">
              <w:rPr>
                <w:rFonts w:ascii="Arial" w:eastAsia="Calibri" w:hAnsi="Arial" w:cs="Arial"/>
                <w:szCs w:val="24"/>
                <w:lang w:eastAsia="en-US"/>
              </w:rPr>
              <w:t>w</w:t>
            </w:r>
            <w:r>
              <w:rPr>
                <w:rFonts w:ascii="Arial" w:eastAsia="Calibri" w:hAnsi="Arial" w:cs="Arial"/>
                <w:szCs w:val="24"/>
                <w:lang w:eastAsia="en-US"/>
              </w:rPr>
              <w:t>as</w:t>
            </w:r>
            <w:r w:rsidRPr="009C1F2A">
              <w:rPr>
                <w:rFonts w:ascii="Arial" w:eastAsia="Calibri" w:hAnsi="Arial" w:cs="Arial"/>
                <w:szCs w:val="24"/>
                <w:lang w:eastAsia="en-US"/>
              </w:rPr>
              <w:t xml:space="preserve"> as follows:</w:t>
            </w:r>
          </w:p>
          <w:p w14:paraId="71DCEA4B" w14:textId="77777777" w:rsidR="00E52812" w:rsidRPr="009C1F2A" w:rsidRDefault="00E52812" w:rsidP="00E52812">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9C507A" w:rsidRPr="009C1F2A" w14:paraId="25B2756F" w14:textId="77777777" w:rsidTr="009C507A">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B58B8B3" w14:textId="7FD8BF3C"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LONG-TERM ABSENCE RATES</w:t>
                  </w:r>
                </w:p>
              </w:tc>
            </w:tr>
            <w:tr w:rsidR="00E52812" w:rsidRPr="009C1F2A" w14:paraId="5BCF008A"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3153DE0" w14:textId="43052793" w:rsidR="00E52812" w:rsidRDefault="00E52812" w:rsidP="00E52812">
                  <w:pPr>
                    <w:spacing w:line="276" w:lineRule="auto"/>
                    <w:jc w:val="center"/>
                    <w:rPr>
                      <w:rFonts w:ascii="Arial" w:eastAsia="Calibri" w:hAnsi="Arial" w:cs="Arial"/>
                      <w:b/>
                      <w:bCs/>
                      <w:szCs w:val="24"/>
                    </w:rPr>
                  </w:pPr>
                </w:p>
                <w:p w14:paraId="3B675534" w14:textId="77777777" w:rsidR="00E52812" w:rsidRPr="009C1F2A" w:rsidRDefault="00E52812" w:rsidP="00E52812">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63C9060" w14:textId="77777777" w:rsidR="00E52812" w:rsidRPr="009C1F2A" w:rsidRDefault="00E52812" w:rsidP="00E52812">
                  <w:pPr>
                    <w:spacing w:line="276" w:lineRule="auto"/>
                    <w:jc w:val="center"/>
                    <w:rPr>
                      <w:rFonts w:ascii="Arial" w:eastAsia="Calibri" w:hAnsi="Arial" w:cs="Arial"/>
                      <w:b/>
                      <w:bCs/>
                      <w:szCs w:val="24"/>
                    </w:rPr>
                  </w:pPr>
                </w:p>
                <w:p w14:paraId="5C7B563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2B714784"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02A8582D" w14:textId="33D14B73"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F4B6D0C" w14:textId="77777777" w:rsidR="00E52812" w:rsidRPr="009C1F2A" w:rsidRDefault="00E52812" w:rsidP="00E52812">
                  <w:pPr>
                    <w:spacing w:line="276" w:lineRule="auto"/>
                    <w:jc w:val="center"/>
                    <w:rPr>
                      <w:rFonts w:ascii="Arial" w:eastAsia="Calibri" w:hAnsi="Arial" w:cs="Arial"/>
                      <w:b/>
                      <w:bCs/>
                      <w:szCs w:val="24"/>
                    </w:rPr>
                  </w:pPr>
                </w:p>
                <w:p w14:paraId="5BA32FC4"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14A3C5EB"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1E6C4AD8" w14:textId="69EC8955"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B8015BD" w14:textId="77777777" w:rsidR="00E52812" w:rsidRPr="009C1F2A" w:rsidRDefault="00E52812" w:rsidP="00E52812">
                  <w:pPr>
                    <w:spacing w:line="276" w:lineRule="auto"/>
                    <w:jc w:val="center"/>
                    <w:rPr>
                      <w:rFonts w:ascii="Arial" w:eastAsia="Calibri" w:hAnsi="Arial" w:cs="Arial"/>
                      <w:b/>
                      <w:bCs/>
                      <w:szCs w:val="24"/>
                    </w:rPr>
                  </w:pPr>
                </w:p>
                <w:p w14:paraId="3BCEC243"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455A7392"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05FF4C93" w14:textId="3A109356"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E295AC7" w14:textId="77777777" w:rsidR="00E52812" w:rsidRPr="009C1F2A" w:rsidRDefault="00E52812" w:rsidP="00E52812">
                  <w:pPr>
                    <w:spacing w:line="276" w:lineRule="auto"/>
                    <w:jc w:val="center"/>
                    <w:rPr>
                      <w:rFonts w:ascii="Arial" w:eastAsia="Calibri" w:hAnsi="Arial" w:cs="Arial"/>
                      <w:b/>
                      <w:bCs/>
                      <w:szCs w:val="24"/>
                    </w:rPr>
                  </w:pPr>
                </w:p>
                <w:p w14:paraId="038C40B0"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46A3040F"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369A62D9" w14:textId="76DF8C3C"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w:t>
                  </w:r>
                </w:p>
              </w:tc>
            </w:tr>
            <w:tr w:rsidR="00E52812" w:rsidRPr="009C1F2A" w14:paraId="771B867E"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C159470"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C895F" w14:textId="70556320" w:rsidR="00E52812" w:rsidRDefault="00E52812" w:rsidP="00E52812">
                  <w:pPr>
                    <w:spacing w:line="276" w:lineRule="auto"/>
                    <w:jc w:val="center"/>
                    <w:rPr>
                      <w:rFonts w:ascii="Arial" w:eastAsia="Calibri" w:hAnsi="Arial" w:cs="Arial"/>
                      <w:szCs w:val="24"/>
                    </w:rPr>
                  </w:pPr>
                  <w:r>
                    <w:rPr>
                      <w:rFonts w:ascii="Arial" w:eastAsia="Calibri" w:hAnsi="Arial" w:cs="Arial"/>
                      <w:szCs w:val="24"/>
                    </w:rPr>
                    <w:t>2.12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5EBE95" w14:textId="16C8A336" w:rsidR="00E52812" w:rsidRDefault="00E52812" w:rsidP="00E52812">
                  <w:pPr>
                    <w:spacing w:line="276" w:lineRule="auto"/>
                    <w:jc w:val="center"/>
                    <w:rPr>
                      <w:rFonts w:ascii="Arial" w:eastAsia="Calibri" w:hAnsi="Arial" w:cs="Arial"/>
                      <w:szCs w:val="24"/>
                    </w:rPr>
                  </w:pPr>
                  <w:r>
                    <w:rPr>
                      <w:rFonts w:ascii="Arial" w:eastAsia="Calibri" w:hAnsi="Arial" w:cs="Arial"/>
                      <w:szCs w:val="24"/>
                    </w:rPr>
                    <w:t>2.37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C20F08" w14:textId="2A2A0757" w:rsidR="00E52812" w:rsidRDefault="00E52812" w:rsidP="00E52812">
                  <w:pPr>
                    <w:spacing w:line="276" w:lineRule="auto"/>
                    <w:jc w:val="center"/>
                    <w:rPr>
                      <w:rFonts w:ascii="Arial" w:eastAsia="Calibri" w:hAnsi="Arial" w:cs="Arial"/>
                      <w:szCs w:val="24"/>
                    </w:rPr>
                  </w:pPr>
                  <w:r>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76286" w14:textId="29685B57" w:rsidR="00E52812" w:rsidRDefault="00E52812" w:rsidP="00E52812">
                  <w:pPr>
                    <w:spacing w:line="276" w:lineRule="auto"/>
                    <w:jc w:val="center"/>
                    <w:rPr>
                      <w:rFonts w:ascii="Arial" w:eastAsia="Calibri" w:hAnsi="Arial" w:cs="Arial"/>
                      <w:szCs w:val="24"/>
                    </w:rPr>
                  </w:pPr>
                  <w:r>
                    <w:rPr>
                      <w:rFonts w:ascii="Arial" w:eastAsia="Calibri" w:hAnsi="Arial" w:cs="Arial"/>
                      <w:szCs w:val="24"/>
                    </w:rPr>
                    <w:t>2.73</w:t>
                  </w:r>
                </w:p>
              </w:tc>
            </w:tr>
            <w:tr w:rsidR="00E52812" w:rsidRPr="009C1F2A" w14:paraId="25FE8CE6"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6038B7A"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AC355" w14:textId="100FD0AD" w:rsidR="00E52812" w:rsidRDefault="00E52812" w:rsidP="00E52812">
                  <w:pPr>
                    <w:spacing w:line="276" w:lineRule="auto"/>
                    <w:jc w:val="center"/>
                    <w:rPr>
                      <w:rFonts w:ascii="Arial" w:eastAsia="Calibri" w:hAnsi="Arial" w:cs="Arial"/>
                      <w:szCs w:val="24"/>
                    </w:rPr>
                  </w:pPr>
                  <w:r>
                    <w:rPr>
                      <w:rFonts w:ascii="Arial" w:eastAsia="Calibri" w:hAnsi="Arial" w:cs="Arial"/>
                      <w:szCs w:val="24"/>
                    </w:rPr>
                    <w:t>3.37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438AC" w14:textId="5272901F" w:rsidR="00E52812" w:rsidRDefault="00E52812" w:rsidP="00E52812">
                  <w:pPr>
                    <w:spacing w:line="276" w:lineRule="auto"/>
                    <w:jc w:val="center"/>
                    <w:rPr>
                      <w:rFonts w:ascii="Arial" w:eastAsia="Calibri" w:hAnsi="Arial" w:cs="Arial"/>
                      <w:szCs w:val="24"/>
                    </w:rPr>
                  </w:pPr>
                  <w:r>
                    <w:rPr>
                      <w:rFonts w:ascii="Arial" w:eastAsia="Calibri" w:hAnsi="Arial" w:cs="Arial"/>
                      <w:szCs w:val="24"/>
                    </w:rPr>
                    <w:t>2.55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2ED914" w14:textId="3B47F443" w:rsidR="00E52812" w:rsidRDefault="00E52812" w:rsidP="00E52812">
                  <w:pPr>
                    <w:spacing w:line="276" w:lineRule="auto"/>
                    <w:jc w:val="center"/>
                    <w:rPr>
                      <w:rFonts w:ascii="Arial" w:eastAsia="Calibri" w:hAnsi="Arial" w:cs="Arial"/>
                      <w:szCs w:val="24"/>
                    </w:rPr>
                  </w:pPr>
                  <w:r>
                    <w:rPr>
                      <w:rFonts w:ascii="Arial" w:eastAsia="Calibri" w:hAnsi="Arial" w:cs="Arial"/>
                      <w:szCs w:val="24"/>
                    </w:rPr>
                    <w:t>1.27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ABB41" w14:textId="2384DE11" w:rsidR="00E52812" w:rsidRDefault="00E52812" w:rsidP="00E52812">
                  <w:pPr>
                    <w:spacing w:line="276" w:lineRule="auto"/>
                    <w:jc w:val="center"/>
                    <w:rPr>
                      <w:rFonts w:ascii="Arial" w:eastAsia="Calibri" w:hAnsi="Arial" w:cs="Arial"/>
                      <w:szCs w:val="24"/>
                    </w:rPr>
                  </w:pPr>
                  <w:r>
                    <w:rPr>
                      <w:rFonts w:ascii="Arial" w:eastAsia="Calibri" w:hAnsi="Arial" w:cs="Arial"/>
                      <w:szCs w:val="24"/>
                    </w:rPr>
                    <w:t>1.64</w:t>
                  </w:r>
                </w:p>
              </w:tc>
            </w:tr>
            <w:tr w:rsidR="00DB4BDE" w:rsidRPr="009C1F2A" w14:paraId="22AC27D8" w14:textId="77777777" w:rsidTr="00C22A7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5B5BD90" w14:textId="4CBBA277" w:rsidR="00DB4BDE" w:rsidRDefault="00DB4BDE" w:rsidP="00E52812">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61CB3" w14:textId="49C54767" w:rsidR="00DB4BDE" w:rsidRDefault="00DB4BDE" w:rsidP="00E52812">
                  <w:pPr>
                    <w:spacing w:line="276" w:lineRule="auto"/>
                    <w:jc w:val="center"/>
                    <w:rPr>
                      <w:rFonts w:ascii="Arial" w:eastAsia="Calibri" w:hAnsi="Arial" w:cs="Arial"/>
                      <w:szCs w:val="24"/>
                    </w:rPr>
                  </w:pPr>
                  <w:r>
                    <w:rPr>
                      <w:rFonts w:ascii="Arial" w:eastAsia="Calibri" w:hAnsi="Arial" w:cs="Arial"/>
                      <w:szCs w:val="24"/>
                    </w:rPr>
                    <w:t>0.05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F7BB46" w14:textId="305109FE" w:rsidR="00DB4BDE" w:rsidRDefault="00536ED0" w:rsidP="00E52812">
                  <w:pPr>
                    <w:spacing w:line="276" w:lineRule="auto"/>
                    <w:jc w:val="center"/>
                    <w:rPr>
                      <w:rFonts w:ascii="Arial" w:eastAsia="Calibri" w:hAnsi="Arial" w:cs="Arial"/>
                      <w:szCs w:val="24"/>
                    </w:rPr>
                  </w:pPr>
                  <w:r>
                    <w:rPr>
                      <w:rFonts w:ascii="Arial" w:eastAsia="Calibri" w:hAnsi="Arial" w:cs="Arial"/>
                      <w:szCs w:val="24"/>
                    </w:rPr>
                    <w:t>0.</w:t>
                  </w:r>
                  <w:r w:rsidR="00363435">
                    <w:rPr>
                      <w:rFonts w:ascii="Arial" w:eastAsia="Calibri" w:hAnsi="Arial" w:cs="Arial"/>
                      <w:szCs w:val="24"/>
                    </w:rPr>
                    <w:t>78</w:t>
                  </w:r>
                </w:p>
              </w:tc>
              <w:tc>
                <w:tcPr>
                  <w:tcW w:w="1033" w:type="pct"/>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20D82168" w14:textId="77777777" w:rsidR="00DB4BDE" w:rsidRDefault="00DB4BDE" w:rsidP="00E52812">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shd w:val="clear" w:color="auto" w:fill="000000" w:themeFill="text1"/>
                  <w:tcMar>
                    <w:top w:w="0" w:type="dxa"/>
                    <w:left w:w="108" w:type="dxa"/>
                    <w:bottom w:w="0" w:type="dxa"/>
                    <w:right w:w="108" w:type="dxa"/>
                  </w:tcMar>
                  <w:vAlign w:val="center"/>
                </w:tcPr>
                <w:p w14:paraId="1E86565E" w14:textId="77777777" w:rsidR="00DB4BDE" w:rsidRDefault="00DB4BDE" w:rsidP="00E52812">
                  <w:pPr>
                    <w:spacing w:line="276" w:lineRule="auto"/>
                    <w:jc w:val="center"/>
                    <w:rPr>
                      <w:rFonts w:ascii="Arial" w:eastAsia="Calibri" w:hAnsi="Arial" w:cs="Arial"/>
                      <w:szCs w:val="24"/>
                    </w:rPr>
                  </w:pPr>
                </w:p>
              </w:tc>
            </w:tr>
          </w:tbl>
          <w:p w14:paraId="2B27C3F0" w14:textId="77777777" w:rsidR="00E52812" w:rsidRDefault="00E52812" w:rsidP="003B16B6">
            <w:pPr>
              <w:jc w:val="both"/>
              <w:rPr>
                <w:rFonts w:ascii="Arial" w:hAnsi="Arial" w:cs="Arial"/>
              </w:rPr>
            </w:pPr>
          </w:p>
          <w:p w14:paraId="63C04F36" w14:textId="77777777" w:rsidR="003B16B6" w:rsidRDefault="003B16B6" w:rsidP="003B16B6">
            <w:pPr>
              <w:jc w:val="both"/>
              <w:rPr>
                <w:rFonts w:ascii="Arial" w:eastAsia="Calibri" w:hAnsi="Arial" w:cs="Arial"/>
                <w:szCs w:val="24"/>
                <w:lang w:eastAsia="en-US"/>
              </w:rPr>
            </w:pPr>
          </w:p>
        </w:tc>
      </w:tr>
      <w:tr w:rsidR="003B16B6" w:rsidRPr="007214D1" w14:paraId="77EE4B49" w14:textId="77777777" w:rsidTr="00835331">
        <w:trPr>
          <w:trHeight w:val="770"/>
        </w:trPr>
        <w:tc>
          <w:tcPr>
            <w:tcW w:w="959" w:type="dxa"/>
          </w:tcPr>
          <w:p w14:paraId="5986C0CA" w14:textId="77777777" w:rsidR="003B16B6" w:rsidRDefault="003B16B6" w:rsidP="003B16B6">
            <w:pPr>
              <w:rPr>
                <w:rFonts w:ascii="Arial" w:hAnsi="Arial" w:cs="Arial"/>
                <w:szCs w:val="24"/>
              </w:rPr>
            </w:pPr>
            <w:r>
              <w:rPr>
                <w:rFonts w:ascii="Arial" w:hAnsi="Arial" w:cs="Arial"/>
                <w:szCs w:val="24"/>
              </w:rPr>
              <w:t>3.2.4</w:t>
            </w:r>
          </w:p>
          <w:p w14:paraId="219EE452" w14:textId="77777777" w:rsidR="003B16B6" w:rsidRDefault="003B16B6" w:rsidP="003B16B6">
            <w:pPr>
              <w:rPr>
                <w:rFonts w:ascii="Arial" w:hAnsi="Arial" w:cs="Arial"/>
                <w:szCs w:val="24"/>
              </w:rPr>
            </w:pPr>
          </w:p>
          <w:p w14:paraId="67A9D695" w14:textId="77777777" w:rsidR="003B16B6" w:rsidRDefault="003B16B6" w:rsidP="003B16B6">
            <w:pPr>
              <w:rPr>
                <w:rFonts w:ascii="Arial" w:hAnsi="Arial" w:cs="Arial"/>
                <w:szCs w:val="24"/>
              </w:rPr>
            </w:pPr>
          </w:p>
          <w:p w14:paraId="38C9D072" w14:textId="77777777" w:rsidR="004C05A9" w:rsidRDefault="004C05A9" w:rsidP="003B16B6">
            <w:pPr>
              <w:rPr>
                <w:rFonts w:ascii="Arial" w:hAnsi="Arial" w:cs="Arial"/>
                <w:szCs w:val="24"/>
              </w:rPr>
            </w:pPr>
          </w:p>
          <w:p w14:paraId="2ADC5924" w14:textId="77777777" w:rsidR="004C05A9" w:rsidRDefault="004C05A9" w:rsidP="003B16B6">
            <w:pPr>
              <w:rPr>
                <w:rFonts w:ascii="Arial" w:hAnsi="Arial" w:cs="Arial"/>
                <w:szCs w:val="24"/>
              </w:rPr>
            </w:pPr>
          </w:p>
          <w:p w14:paraId="799A0631" w14:textId="314E7B48" w:rsidR="003B16B6" w:rsidRDefault="003B16B6" w:rsidP="003B16B6">
            <w:pPr>
              <w:rPr>
                <w:rFonts w:ascii="Arial" w:hAnsi="Arial" w:cs="Arial"/>
                <w:szCs w:val="24"/>
              </w:rPr>
            </w:pPr>
            <w:r>
              <w:rPr>
                <w:rFonts w:ascii="Arial" w:hAnsi="Arial" w:cs="Arial"/>
                <w:szCs w:val="24"/>
              </w:rPr>
              <w:t>3.2.5</w:t>
            </w:r>
          </w:p>
          <w:p w14:paraId="24EC6D81" w14:textId="77777777" w:rsidR="003B16B6" w:rsidRDefault="003B16B6" w:rsidP="003B16B6">
            <w:pPr>
              <w:rPr>
                <w:rFonts w:ascii="Arial" w:hAnsi="Arial" w:cs="Arial"/>
                <w:szCs w:val="24"/>
              </w:rPr>
            </w:pPr>
          </w:p>
          <w:p w14:paraId="2C57EC0C" w14:textId="28306FAA" w:rsidR="00E52812" w:rsidRDefault="00E52812" w:rsidP="00B35A42">
            <w:pPr>
              <w:rPr>
                <w:rFonts w:ascii="Arial" w:hAnsi="Arial" w:cs="Arial"/>
                <w:szCs w:val="24"/>
              </w:rPr>
            </w:pPr>
          </w:p>
        </w:tc>
        <w:tc>
          <w:tcPr>
            <w:tcW w:w="8505" w:type="dxa"/>
          </w:tcPr>
          <w:p w14:paraId="72B5E51D" w14:textId="050183AD" w:rsidR="004C05A9" w:rsidRDefault="003B16B6" w:rsidP="004C05A9">
            <w:pPr>
              <w:jc w:val="both"/>
              <w:rPr>
                <w:rFonts w:ascii="Arial" w:hAnsi="Arial" w:cs="Arial"/>
              </w:rPr>
            </w:pPr>
            <w:r w:rsidRPr="005F296B">
              <w:rPr>
                <w:rFonts w:ascii="Arial" w:hAnsi="Arial" w:cs="Arial"/>
              </w:rPr>
              <w:t xml:space="preserve">Quarter </w:t>
            </w:r>
            <w:r w:rsidR="00485D0B">
              <w:rPr>
                <w:rFonts w:ascii="Arial" w:hAnsi="Arial" w:cs="Arial"/>
              </w:rPr>
              <w:t>2</w:t>
            </w:r>
            <w:r w:rsidR="006B71C3">
              <w:rPr>
                <w:rFonts w:ascii="Arial" w:hAnsi="Arial" w:cs="Arial"/>
              </w:rPr>
              <w:t xml:space="preserve"> </w:t>
            </w:r>
            <w:r w:rsidRPr="005F296B">
              <w:rPr>
                <w:rFonts w:ascii="Arial" w:hAnsi="Arial" w:cs="Arial"/>
              </w:rPr>
              <w:t>has shown a</w:t>
            </w:r>
            <w:r w:rsidR="00363435">
              <w:rPr>
                <w:rFonts w:ascii="Arial" w:hAnsi="Arial" w:cs="Arial"/>
              </w:rPr>
              <w:t>n</w:t>
            </w:r>
            <w:r w:rsidRPr="005F296B">
              <w:rPr>
                <w:rFonts w:ascii="Arial" w:hAnsi="Arial" w:cs="Arial"/>
              </w:rPr>
              <w:t xml:space="preserve"> </w:t>
            </w:r>
            <w:r w:rsidR="00363435">
              <w:rPr>
                <w:rFonts w:ascii="Arial" w:hAnsi="Arial" w:cs="Arial"/>
              </w:rPr>
              <w:t>increase</w:t>
            </w:r>
            <w:r w:rsidR="00DB4BDE">
              <w:rPr>
                <w:rFonts w:ascii="Arial" w:hAnsi="Arial" w:cs="Arial"/>
              </w:rPr>
              <w:t xml:space="preserve"> of</w:t>
            </w:r>
            <w:r>
              <w:rPr>
                <w:rFonts w:ascii="Arial" w:hAnsi="Arial" w:cs="Arial"/>
              </w:rPr>
              <w:t xml:space="preserve"> </w:t>
            </w:r>
            <w:r w:rsidR="00363435">
              <w:rPr>
                <w:rFonts w:ascii="Arial" w:hAnsi="Arial" w:cs="Arial"/>
              </w:rPr>
              <w:t>0.73</w:t>
            </w:r>
            <w:r>
              <w:rPr>
                <w:rFonts w:ascii="Arial" w:hAnsi="Arial" w:cs="Arial"/>
              </w:rPr>
              <w:t>%</w:t>
            </w:r>
            <w:r w:rsidRPr="005F296B">
              <w:rPr>
                <w:rFonts w:ascii="Arial" w:hAnsi="Arial" w:cs="Arial"/>
              </w:rPr>
              <w:t xml:space="preserve"> in the long</w:t>
            </w:r>
            <w:r>
              <w:rPr>
                <w:rFonts w:ascii="Arial" w:hAnsi="Arial" w:cs="Arial"/>
              </w:rPr>
              <w:t>-</w:t>
            </w:r>
            <w:r w:rsidRPr="005F296B">
              <w:rPr>
                <w:rFonts w:ascii="Arial" w:hAnsi="Arial" w:cs="Arial"/>
              </w:rPr>
              <w:t xml:space="preserve">term absence rate </w:t>
            </w:r>
            <w:r>
              <w:rPr>
                <w:rFonts w:ascii="Arial" w:hAnsi="Arial" w:cs="Arial"/>
              </w:rPr>
              <w:t xml:space="preserve">compared to Quarter </w:t>
            </w:r>
            <w:r w:rsidR="00363435">
              <w:rPr>
                <w:rFonts w:ascii="Arial" w:hAnsi="Arial" w:cs="Arial"/>
              </w:rPr>
              <w:t>1</w:t>
            </w:r>
            <w:r>
              <w:rPr>
                <w:rFonts w:ascii="Arial" w:hAnsi="Arial" w:cs="Arial"/>
              </w:rPr>
              <w:t xml:space="preserve"> of 20</w:t>
            </w:r>
            <w:r w:rsidR="00363435">
              <w:rPr>
                <w:rFonts w:ascii="Arial" w:hAnsi="Arial" w:cs="Arial"/>
              </w:rPr>
              <w:t>20</w:t>
            </w:r>
            <w:r>
              <w:rPr>
                <w:rFonts w:ascii="Arial" w:hAnsi="Arial" w:cs="Arial"/>
              </w:rPr>
              <w:t>/2</w:t>
            </w:r>
            <w:r w:rsidR="00363435">
              <w:rPr>
                <w:rFonts w:ascii="Arial" w:hAnsi="Arial" w:cs="Arial"/>
              </w:rPr>
              <w:t>1</w:t>
            </w:r>
            <w:r w:rsidR="004C05A9">
              <w:rPr>
                <w:rFonts w:ascii="Arial" w:hAnsi="Arial" w:cs="Arial"/>
              </w:rPr>
              <w:t xml:space="preserve"> </w:t>
            </w:r>
            <w:r w:rsidR="00E0234D">
              <w:rPr>
                <w:rFonts w:ascii="Arial" w:hAnsi="Arial" w:cs="Arial"/>
              </w:rPr>
              <w:t>and as with the short</w:t>
            </w:r>
            <w:r w:rsidR="009C507A">
              <w:rPr>
                <w:rFonts w:ascii="Arial" w:hAnsi="Arial" w:cs="Arial"/>
              </w:rPr>
              <w:t>-</w:t>
            </w:r>
            <w:r w:rsidR="00E0234D">
              <w:rPr>
                <w:rFonts w:ascii="Arial" w:hAnsi="Arial" w:cs="Arial"/>
              </w:rPr>
              <w:t xml:space="preserve">term absence increase </w:t>
            </w:r>
            <w:r w:rsidR="00944306">
              <w:rPr>
                <w:rFonts w:ascii="Arial" w:hAnsi="Arial" w:cs="Arial"/>
              </w:rPr>
              <w:t>is an</w:t>
            </w:r>
            <w:r w:rsidR="00E0234D">
              <w:rPr>
                <w:rFonts w:ascii="Arial" w:hAnsi="Arial" w:cs="Arial"/>
              </w:rPr>
              <w:t xml:space="preserve"> expected</w:t>
            </w:r>
            <w:r w:rsidR="004C05A9">
              <w:rPr>
                <w:rFonts w:ascii="Arial" w:hAnsi="Arial" w:cs="Arial"/>
              </w:rPr>
              <w:t xml:space="preserve"> </w:t>
            </w:r>
            <w:r w:rsidR="00944306">
              <w:rPr>
                <w:rFonts w:ascii="Arial" w:hAnsi="Arial" w:cs="Arial"/>
              </w:rPr>
              <w:t xml:space="preserve">result of staff returning to work and absences being reported as normal. </w:t>
            </w:r>
          </w:p>
          <w:p w14:paraId="44074DE5" w14:textId="2CC3E85C" w:rsidR="003B16B6" w:rsidRDefault="003B16B6" w:rsidP="003B16B6">
            <w:pPr>
              <w:jc w:val="both"/>
              <w:rPr>
                <w:rFonts w:ascii="Arial" w:hAnsi="Arial" w:cs="Arial"/>
              </w:rPr>
            </w:pPr>
            <w:r>
              <w:rPr>
                <w:rFonts w:ascii="Arial" w:hAnsi="Arial" w:cs="Arial"/>
              </w:rPr>
              <w:t xml:space="preserve"> </w:t>
            </w:r>
          </w:p>
          <w:p w14:paraId="39A3358C" w14:textId="5D768A4D" w:rsidR="003B16B6" w:rsidRPr="00A72F95" w:rsidRDefault="003B16B6" w:rsidP="003B16B6">
            <w:pPr>
              <w:jc w:val="both"/>
              <w:rPr>
                <w:rFonts w:ascii="Arial" w:eastAsia="Calibri" w:hAnsi="Arial" w:cs="Arial"/>
                <w:szCs w:val="24"/>
                <w:lang w:eastAsia="en-US"/>
              </w:rPr>
            </w:pPr>
            <w:r w:rsidRPr="00A72F95">
              <w:rPr>
                <w:rFonts w:ascii="Arial" w:eastAsia="Calibri" w:hAnsi="Arial" w:cs="Arial"/>
                <w:szCs w:val="24"/>
                <w:lang w:eastAsia="en-US"/>
              </w:rPr>
              <w:t xml:space="preserve">There </w:t>
            </w:r>
            <w:r w:rsidR="00944306" w:rsidRPr="00A72F95">
              <w:rPr>
                <w:rFonts w:ascii="Arial" w:eastAsia="Calibri" w:hAnsi="Arial" w:cs="Arial"/>
                <w:szCs w:val="24"/>
                <w:lang w:eastAsia="en-US"/>
              </w:rPr>
              <w:t xml:space="preserve">were </w:t>
            </w:r>
            <w:r w:rsidR="009C507A">
              <w:rPr>
                <w:rFonts w:ascii="Arial" w:eastAsia="Calibri" w:hAnsi="Arial" w:cs="Arial"/>
                <w:szCs w:val="24"/>
                <w:lang w:eastAsia="en-US"/>
              </w:rPr>
              <w:t>four</w:t>
            </w:r>
            <w:r w:rsidRPr="00A72F95">
              <w:rPr>
                <w:rFonts w:ascii="Arial" w:eastAsia="Calibri" w:hAnsi="Arial" w:cs="Arial"/>
                <w:szCs w:val="24"/>
                <w:lang w:eastAsia="en-US"/>
              </w:rPr>
              <w:t xml:space="preserve"> long-term absence</w:t>
            </w:r>
            <w:r w:rsidR="00944306" w:rsidRPr="00A72F95">
              <w:rPr>
                <w:rFonts w:ascii="Arial" w:eastAsia="Calibri" w:hAnsi="Arial" w:cs="Arial"/>
                <w:szCs w:val="24"/>
                <w:lang w:eastAsia="en-US"/>
              </w:rPr>
              <w:t>s</w:t>
            </w:r>
            <w:r w:rsidRPr="00A72F95">
              <w:rPr>
                <w:rFonts w:ascii="Arial" w:eastAsia="Calibri" w:hAnsi="Arial" w:cs="Arial"/>
                <w:szCs w:val="24"/>
                <w:lang w:eastAsia="en-US"/>
              </w:rPr>
              <w:t xml:space="preserve"> within the quarter (</w:t>
            </w:r>
            <w:r w:rsidR="00944306" w:rsidRPr="00A72F95">
              <w:rPr>
                <w:rFonts w:ascii="Arial" w:eastAsia="Calibri" w:hAnsi="Arial" w:cs="Arial"/>
                <w:szCs w:val="24"/>
                <w:lang w:eastAsia="en-US"/>
              </w:rPr>
              <w:t>1</w:t>
            </w:r>
            <w:r w:rsidRPr="00A72F95">
              <w:rPr>
                <w:rFonts w:ascii="Arial" w:eastAsia="Calibri" w:hAnsi="Arial" w:cs="Arial"/>
                <w:szCs w:val="24"/>
                <w:lang w:eastAsia="en-US"/>
              </w:rPr>
              <w:t xml:space="preserve"> in Q</w:t>
            </w:r>
            <w:r w:rsidR="00944306" w:rsidRPr="00A72F95">
              <w:rPr>
                <w:rFonts w:ascii="Arial" w:eastAsia="Calibri" w:hAnsi="Arial" w:cs="Arial"/>
                <w:szCs w:val="24"/>
                <w:lang w:eastAsia="en-US"/>
              </w:rPr>
              <w:t>1</w:t>
            </w:r>
            <w:r w:rsidRPr="00A72F95">
              <w:rPr>
                <w:rFonts w:ascii="Arial" w:eastAsia="Calibri" w:hAnsi="Arial" w:cs="Arial"/>
                <w:szCs w:val="24"/>
                <w:lang w:eastAsia="en-US"/>
              </w:rPr>
              <w:t xml:space="preserve">) which </w:t>
            </w:r>
            <w:r w:rsidR="007E07FB" w:rsidRPr="00A72F95">
              <w:rPr>
                <w:rFonts w:ascii="Arial" w:eastAsia="Calibri" w:hAnsi="Arial" w:cs="Arial"/>
                <w:szCs w:val="24"/>
                <w:lang w:eastAsia="en-US"/>
              </w:rPr>
              <w:t xml:space="preserve">carried forward into </w:t>
            </w:r>
            <w:r w:rsidRPr="00A72F95">
              <w:rPr>
                <w:rFonts w:ascii="Arial" w:eastAsia="Calibri" w:hAnsi="Arial" w:cs="Arial"/>
                <w:szCs w:val="24"/>
                <w:lang w:eastAsia="en-US"/>
              </w:rPr>
              <w:t>Q</w:t>
            </w:r>
            <w:r w:rsidR="0078641E" w:rsidRPr="00A72F95">
              <w:rPr>
                <w:rFonts w:ascii="Arial" w:eastAsia="Calibri" w:hAnsi="Arial" w:cs="Arial"/>
                <w:szCs w:val="24"/>
                <w:lang w:eastAsia="en-US"/>
              </w:rPr>
              <w:t>3</w:t>
            </w:r>
            <w:r w:rsidRPr="00A72F95">
              <w:rPr>
                <w:rFonts w:ascii="Arial" w:eastAsia="Calibri" w:hAnsi="Arial" w:cs="Arial"/>
                <w:szCs w:val="24"/>
                <w:lang w:eastAsia="en-US"/>
              </w:rPr>
              <w:t xml:space="preserve"> 2020/21. </w:t>
            </w:r>
          </w:p>
          <w:p w14:paraId="04C0EA6F" w14:textId="1A7B2320" w:rsidR="0078641E" w:rsidRPr="005F296B" w:rsidRDefault="0078641E" w:rsidP="00B35A42">
            <w:pPr>
              <w:jc w:val="both"/>
              <w:rPr>
                <w:rFonts w:ascii="Arial" w:hAnsi="Arial" w:cs="Arial"/>
              </w:rPr>
            </w:pPr>
          </w:p>
        </w:tc>
      </w:tr>
      <w:tr w:rsidR="003B16B6" w:rsidRPr="007214D1" w14:paraId="1023DA3E" w14:textId="77777777" w:rsidTr="00E52812">
        <w:tc>
          <w:tcPr>
            <w:tcW w:w="959" w:type="dxa"/>
          </w:tcPr>
          <w:p w14:paraId="0AD34DD6" w14:textId="15747BE5" w:rsidR="003B16B6" w:rsidRDefault="003B16B6" w:rsidP="003B16B6">
            <w:pPr>
              <w:rPr>
                <w:rFonts w:ascii="Arial" w:hAnsi="Arial" w:cs="Arial"/>
                <w:szCs w:val="24"/>
              </w:rPr>
            </w:pPr>
            <w:r>
              <w:rPr>
                <w:rFonts w:ascii="Arial" w:hAnsi="Arial" w:cs="Arial"/>
                <w:szCs w:val="24"/>
              </w:rPr>
              <w:t>3.2.</w:t>
            </w:r>
            <w:r w:rsidR="00EA2A30">
              <w:rPr>
                <w:rFonts w:ascii="Arial" w:hAnsi="Arial" w:cs="Arial"/>
                <w:szCs w:val="24"/>
              </w:rPr>
              <w:t>8</w:t>
            </w:r>
          </w:p>
          <w:p w14:paraId="06DF83B6" w14:textId="4FECD9AF" w:rsidR="003B16B6" w:rsidRDefault="003B16B6" w:rsidP="003B16B6">
            <w:pPr>
              <w:rPr>
                <w:rFonts w:ascii="Arial" w:hAnsi="Arial" w:cs="Arial"/>
                <w:szCs w:val="24"/>
              </w:rPr>
            </w:pPr>
          </w:p>
        </w:tc>
        <w:tc>
          <w:tcPr>
            <w:tcW w:w="8505" w:type="dxa"/>
          </w:tcPr>
          <w:p w14:paraId="47CC7EC3" w14:textId="445A06EF" w:rsidR="003B16B6" w:rsidRDefault="003B16B6" w:rsidP="003B16B6">
            <w:pPr>
              <w:jc w:val="both"/>
              <w:rPr>
                <w:rFonts w:ascii="Arial" w:eastAsia="Calibri" w:hAnsi="Arial" w:cs="Arial"/>
                <w:szCs w:val="24"/>
                <w:lang w:eastAsia="en-US"/>
              </w:rPr>
            </w:pPr>
            <w:r>
              <w:rPr>
                <w:rFonts w:ascii="Arial" w:eastAsia="Calibri" w:hAnsi="Arial" w:cs="Arial"/>
                <w:szCs w:val="24"/>
                <w:lang w:eastAsia="en-US"/>
              </w:rPr>
              <w:t xml:space="preserve">The average sick days per employee up to the end of Quarter </w:t>
            </w:r>
            <w:r w:rsidR="003E1AA0">
              <w:rPr>
                <w:rFonts w:ascii="Arial" w:eastAsia="Calibri" w:hAnsi="Arial" w:cs="Arial"/>
                <w:szCs w:val="24"/>
                <w:lang w:eastAsia="en-US"/>
              </w:rPr>
              <w:t>2</w:t>
            </w:r>
            <w:r>
              <w:rPr>
                <w:rFonts w:ascii="Arial" w:eastAsia="Calibri" w:hAnsi="Arial" w:cs="Arial"/>
                <w:szCs w:val="24"/>
                <w:lang w:eastAsia="en-US"/>
              </w:rPr>
              <w:t xml:space="preserve"> were as follows:</w:t>
            </w:r>
          </w:p>
          <w:p w14:paraId="3AEDEF25" w14:textId="54FC3030" w:rsidR="00E52812" w:rsidRDefault="00E52812" w:rsidP="003B16B6">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9C507A" w:rsidRPr="009C1F2A" w14:paraId="7AA9BAA4" w14:textId="77777777" w:rsidTr="009C507A">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EFBBDB5" w14:textId="15D766B1"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AVERAGE SICKNESS ABSENCE DAYS PER EMPLOYEE</w:t>
                  </w:r>
                </w:p>
              </w:tc>
            </w:tr>
            <w:tr w:rsidR="00E52812" w:rsidRPr="009C1F2A" w14:paraId="6E174636"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A38BF1B" w14:textId="77777777" w:rsidR="00E52812" w:rsidRPr="009C1F2A" w:rsidRDefault="00E52812" w:rsidP="009C507A">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E085DA1" w14:textId="77777777" w:rsidR="00E52812" w:rsidRPr="009C1F2A" w:rsidRDefault="00E52812" w:rsidP="00E52812">
                  <w:pPr>
                    <w:spacing w:line="276" w:lineRule="auto"/>
                    <w:jc w:val="center"/>
                    <w:rPr>
                      <w:rFonts w:ascii="Arial" w:eastAsia="Calibri" w:hAnsi="Arial" w:cs="Arial"/>
                      <w:b/>
                      <w:bCs/>
                      <w:szCs w:val="24"/>
                    </w:rPr>
                  </w:pPr>
                </w:p>
                <w:p w14:paraId="41FCB5C4"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16D5F699"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9620F9E" w14:textId="77777777" w:rsidR="00E52812" w:rsidRPr="009C1F2A" w:rsidRDefault="00E52812" w:rsidP="00E52812">
                  <w:pPr>
                    <w:spacing w:line="276" w:lineRule="auto"/>
                    <w:jc w:val="center"/>
                    <w:rPr>
                      <w:rFonts w:ascii="Arial" w:eastAsia="Calibri" w:hAnsi="Arial" w:cs="Arial"/>
                      <w:b/>
                      <w:bCs/>
                      <w:szCs w:val="24"/>
                    </w:rPr>
                  </w:pPr>
                </w:p>
                <w:p w14:paraId="31FDF78B"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770E4C7C"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A992BB4" w14:textId="77777777" w:rsidR="00E52812" w:rsidRPr="009C1F2A" w:rsidRDefault="00E52812" w:rsidP="00E52812">
                  <w:pPr>
                    <w:spacing w:line="276" w:lineRule="auto"/>
                    <w:jc w:val="center"/>
                    <w:rPr>
                      <w:rFonts w:ascii="Arial" w:eastAsia="Calibri" w:hAnsi="Arial" w:cs="Arial"/>
                      <w:b/>
                      <w:bCs/>
                      <w:szCs w:val="24"/>
                    </w:rPr>
                  </w:pPr>
                </w:p>
                <w:p w14:paraId="612E7F91"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4FE0BC29"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B9F4C9A" w14:textId="77777777" w:rsidR="00E52812" w:rsidRPr="009C1F2A" w:rsidRDefault="00E52812" w:rsidP="00E52812">
                  <w:pPr>
                    <w:spacing w:line="276" w:lineRule="auto"/>
                    <w:jc w:val="center"/>
                    <w:rPr>
                      <w:rFonts w:ascii="Arial" w:eastAsia="Calibri" w:hAnsi="Arial" w:cs="Arial"/>
                      <w:b/>
                      <w:bCs/>
                      <w:szCs w:val="24"/>
                    </w:rPr>
                  </w:pPr>
                </w:p>
                <w:p w14:paraId="294ABCB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33375DD3"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E52812" w:rsidRPr="009C1F2A" w14:paraId="1080EEA7" w14:textId="77777777" w:rsidTr="00101437">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14:paraId="0DED684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C70DFD"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2.30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08FB4"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2.17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45E2B4"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2.39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6E5F6"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2.53</w:t>
                  </w:r>
                </w:p>
              </w:tc>
            </w:tr>
            <w:tr w:rsidR="00E52812" w:rsidRPr="009C1F2A" w14:paraId="3D9652B5" w14:textId="77777777" w:rsidTr="00101437">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D503FCE"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C9215"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2.02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D1E12"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2.18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278EB3"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2.45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9A5406"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2.57</w:t>
                  </w:r>
                </w:p>
              </w:tc>
            </w:tr>
            <w:tr w:rsidR="00E52812" w:rsidRPr="009C1F2A" w14:paraId="553FDB28" w14:textId="77777777" w:rsidTr="00101437">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AEFAC24"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ABB85E"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2.82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CCDF71"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A4BE1A"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1.74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DD34C"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1.81</w:t>
                  </w:r>
                </w:p>
              </w:tc>
            </w:tr>
            <w:tr w:rsidR="004244F8" w:rsidRPr="009C1F2A" w14:paraId="471770EF" w14:textId="77777777" w:rsidTr="00101437">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C29605A" w14:textId="477A4D32" w:rsidR="004244F8" w:rsidRDefault="004244F8" w:rsidP="00E52812">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22B73" w14:textId="3FAC23FA" w:rsidR="004244F8" w:rsidRDefault="004244F8" w:rsidP="00E52812">
                  <w:pPr>
                    <w:spacing w:line="276" w:lineRule="auto"/>
                    <w:jc w:val="center"/>
                    <w:rPr>
                      <w:rFonts w:ascii="Arial" w:eastAsia="Calibri" w:hAnsi="Arial" w:cs="Arial"/>
                      <w:szCs w:val="24"/>
                    </w:rPr>
                  </w:pPr>
                  <w:r>
                    <w:rPr>
                      <w:rFonts w:ascii="Arial" w:eastAsia="Calibri" w:hAnsi="Arial" w:cs="Arial"/>
                      <w:szCs w:val="24"/>
                    </w:rPr>
                    <w:t>0.04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98A95" w14:textId="0BAEACA9" w:rsidR="004244F8" w:rsidRDefault="006B71C3" w:rsidP="00E52812">
                  <w:pPr>
                    <w:spacing w:line="276" w:lineRule="auto"/>
                    <w:jc w:val="center"/>
                    <w:rPr>
                      <w:rFonts w:ascii="Arial" w:eastAsia="Calibri" w:hAnsi="Arial" w:cs="Arial"/>
                      <w:szCs w:val="24"/>
                    </w:rPr>
                  </w:pPr>
                  <w:r>
                    <w:rPr>
                      <w:rFonts w:ascii="Arial" w:eastAsia="Calibri" w:hAnsi="Arial" w:cs="Arial"/>
                      <w:szCs w:val="24"/>
                    </w:rPr>
                    <w:t>0.64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64BA0" w14:textId="77777777" w:rsidR="004244F8" w:rsidRDefault="004244F8" w:rsidP="00E52812">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FF645" w14:textId="77777777" w:rsidR="004244F8" w:rsidRDefault="004244F8" w:rsidP="00E52812">
                  <w:pPr>
                    <w:spacing w:line="276" w:lineRule="auto"/>
                    <w:jc w:val="center"/>
                    <w:rPr>
                      <w:rFonts w:ascii="Arial" w:eastAsia="Calibri" w:hAnsi="Arial" w:cs="Arial"/>
                      <w:szCs w:val="24"/>
                    </w:rPr>
                  </w:pPr>
                </w:p>
              </w:tc>
            </w:tr>
          </w:tbl>
          <w:p w14:paraId="69D181CB" w14:textId="77777777" w:rsidR="00E52812" w:rsidRDefault="00E52812" w:rsidP="003B16B6">
            <w:pPr>
              <w:jc w:val="both"/>
              <w:rPr>
                <w:rFonts w:ascii="Arial" w:eastAsia="Calibri" w:hAnsi="Arial" w:cs="Arial"/>
                <w:szCs w:val="24"/>
                <w:lang w:eastAsia="en-US"/>
              </w:rPr>
            </w:pPr>
          </w:p>
          <w:p w14:paraId="0B27C7AC" w14:textId="77777777" w:rsidR="003B16B6" w:rsidRPr="009C1F2A" w:rsidRDefault="003B16B6" w:rsidP="003B16B6">
            <w:pPr>
              <w:jc w:val="both"/>
              <w:rPr>
                <w:rFonts w:ascii="Arial" w:eastAsia="Calibri" w:hAnsi="Arial" w:cs="Arial"/>
                <w:szCs w:val="24"/>
                <w:lang w:eastAsia="en-US"/>
              </w:rPr>
            </w:pPr>
          </w:p>
        </w:tc>
      </w:tr>
      <w:tr w:rsidR="003B16B6" w:rsidRPr="007214D1" w14:paraId="3A41F40E" w14:textId="77777777" w:rsidTr="00835331">
        <w:trPr>
          <w:trHeight w:val="426"/>
        </w:trPr>
        <w:tc>
          <w:tcPr>
            <w:tcW w:w="959" w:type="dxa"/>
          </w:tcPr>
          <w:p w14:paraId="6AB8028B" w14:textId="6B3A2668" w:rsidR="003B16B6" w:rsidRDefault="00E52812" w:rsidP="003B16B6">
            <w:pPr>
              <w:rPr>
                <w:rFonts w:ascii="Arial" w:hAnsi="Arial" w:cs="Arial"/>
                <w:szCs w:val="24"/>
              </w:rPr>
            </w:pPr>
            <w:r>
              <w:rPr>
                <w:rFonts w:ascii="Arial" w:hAnsi="Arial" w:cs="Arial"/>
                <w:szCs w:val="24"/>
              </w:rPr>
              <w:t>3.2.</w:t>
            </w:r>
            <w:r w:rsidR="00EA2A30">
              <w:rPr>
                <w:rFonts w:ascii="Arial" w:hAnsi="Arial" w:cs="Arial"/>
                <w:szCs w:val="24"/>
              </w:rPr>
              <w:t>9</w:t>
            </w:r>
          </w:p>
        </w:tc>
        <w:tc>
          <w:tcPr>
            <w:tcW w:w="8505" w:type="dxa"/>
          </w:tcPr>
          <w:p w14:paraId="30466CAF" w14:textId="155C4B43" w:rsidR="003B16B6" w:rsidRDefault="003B16B6" w:rsidP="003B16B6">
            <w:pPr>
              <w:spacing w:line="276" w:lineRule="auto"/>
              <w:jc w:val="both"/>
              <w:rPr>
                <w:rFonts w:ascii="Arial" w:eastAsia="Calibri" w:hAnsi="Arial" w:cs="Arial"/>
                <w:bCs/>
                <w:szCs w:val="24"/>
              </w:rPr>
            </w:pPr>
            <w:r>
              <w:rPr>
                <w:rFonts w:ascii="Arial" w:eastAsia="Calibri" w:hAnsi="Arial" w:cs="Arial"/>
                <w:bCs/>
                <w:szCs w:val="24"/>
              </w:rPr>
              <w:t>The average sick days/FTE</w:t>
            </w:r>
            <w:r w:rsidRPr="00D44B45">
              <w:rPr>
                <w:rFonts w:ascii="Arial" w:eastAsia="Calibri" w:hAnsi="Arial" w:cs="Arial"/>
                <w:bCs/>
                <w:szCs w:val="24"/>
              </w:rPr>
              <w:t xml:space="preserve"> per employee </w:t>
            </w:r>
            <w:r w:rsidR="000E37F0">
              <w:rPr>
                <w:rFonts w:ascii="Arial" w:eastAsia="Calibri" w:hAnsi="Arial" w:cs="Arial"/>
                <w:bCs/>
                <w:szCs w:val="24"/>
              </w:rPr>
              <w:t>shows</w:t>
            </w:r>
            <w:r w:rsidRPr="00D44B45">
              <w:rPr>
                <w:rFonts w:ascii="Arial" w:eastAsia="Calibri" w:hAnsi="Arial" w:cs="Arial"/>
                <w:bCs/>
                <w:szCs w:val="24"/>
              </w:rPr>
              <w:t xml:space="preserve"> </w:t>
            </w:r>
            <w:r>
              <w:rPr>
                <w:rFonts w:ascii="Arial" w:eastAsia="Calibri" w:hAnsi="Arial" w:cs="Arial"/>
                <w:bCs/>
                <w:szCs w:val="24"/>
              </w:rPr>
              <w:t>a</w:t>
            </w:r>
            <w:r w:rsidR="006B71C3">
              <w:rPr>
                <w:rFonts w:ascii="Arial" w:eastAsia="Calibri" w:hAnsi="Arial" w:cs="Arial"/>
                <w:bCs/>
                <w:szCs w:val="24"/>
              </w:rPr>
              <w:t>n</w:t>
            </w:r>
            <w:r>
              <w:rPr>
                <w:rFonts w:ascii="Arial" w:eastAsia="Calibri" w:hAnsi="Arial" w:cs="Arial"/>
                <w:bCs/>
                <w:szCs w:val="24"/>
              </w:rPr>
              <w:t xml:space="preserve"> </w:t>
            </w:r>
            <w:r w:rsidR="006B71C3">
              <w:rPr>
                <w:rFonts w:ascii="Arial" w:eastAsia="Calibri" w:hAnsi="Arial" w:cs="Arial"/>
                <w:bCs/>
                <w:szCs w:val="24"/>
              </w:rPr>
              <w:t>increase</w:t>
            </w:r>
            <w:r w:rsidR="004244F8">
              <w:rPr>
                <w:rFonts w:ascii="Arial" w:eastAsia="Calibri" w:hAnsi="Arial" w:cs="Arial"/>
                <w:bCs/>
                <w:szCs w:val="24"/>
              </w:rPr>
              <w:t xml:space="preserve"> </w:t>
            </w:r>
            <w:r w:rsidRPr="006B590D">
              <w:rPr>
                <w:rFonts w:ascii="Arial" w:eastAsia="Calibri" w:hAnsi="Arial" w:cs="Arial"/>
                <w:bCs/>
                <w:szCs w:val="24"/>
              </w:rPr>
              <w:t xml:space="preserve">of </w:t>
            </w:r>
            <w:r w:rsidR="006B71C3">
              <w:rPr>
                <w:rFonts w:ascii="Arial" w:eastAsia="Calibri" w:hAnsi="Arial" w:cs="Arial"/>
                <w:bCs/>
                <w:szCs w:val="24"/>
              </w:rPr>
              <w:t>0.6</w:t>
            </w:r>
            <w:r>
              <w:rPr>
                <w:rFonts w:ascii="Arial" w:eastAsia="Calibri" w:hAnsi="Arial" w:cs="Arial"/>
                <w:bCs/>
                <w:szCs w:val="24"/>
              </w:rPr>
              <w:t>%</w:t>
            </w:r>
            <w:r w:rsidRPr="00D44B45">
              <w:rPr>
                <w:rFonts w:ascii="Arial" w:eastAsia="Calibri" w:hAnsi="Arial" w:cs="Arial"/>
                <w:bCs/>
                <w:szCs w:val="24"/>
              </w:rPr>
              <w:t xml:space="preserve"> days</w:t>
            </w:r>
            <w:r>
              <w:rPr>
                <w:rFonts w:ascii="Arial" w:eastAsia="Calibri" w:hAnsi="Arial" w:cs="Arial"/>
                <w:bCs/>
                <w:szCs w:val="24"/>
              </w:rPr>
              <w:t xml:space="preserve"> compared to Quarter </w:t>
            </w:r>
            <w:r w:rsidR="006B71C3">
              <w:rPr>
                <w:rFonts w:ascii="Arial" w:eastAsia="Calibri" w:hAnsi="Arial" w:cs="Arial"/>
                <w:bCs/>
                <w:szCs w:val="24"/>
              </w:rPr>
              <w:t>1</w:t>
            </w:r>
            <w:r>
              <w:rPr>
                <w:rFonts w:ascii="Arial" w:eastAsia="Calibri" w:hAnsi="Arial" w:cs="Arial"/>
                <w:bCs/>
                <w:szCs w:val="24"/>
              </w:rPr>
              <w:t xml:space="preserve"> of 20</w:t>
            </w:r>
            <w:r w:rsidR="006B71C3">
              <w:rPr>
                <w:rFonts w:ascii="Arial" w:eastAsia="Calibri" w:hAnsi="Arial" w:cs="Arial"/>
                <w:bCs/>
                <w:szCs w:val="24"/>
              </w:rPr>
              <w:t>20</w:t>
            </w:r>
            <w:r>
              <w:rPr>
                <w:rFonts w:ascii="Arial" w:eastAsia="Calibri" w:hAnsi="Arial" w:cs="Arial"/>
                <w:bCs/>
                <w:szCs w:val="24"/>
              </w:rPr>
              <w:t>/2</w:t>
            </w:r>
            <w:r w:rsidR="006B71C3">
              <w:rPr>
                <w:rFonts w:ascii="Arial" w:eastAsia="Calibri" w:hAnsi="Arial" w:cs="Arial"/>
                <w:bCs/>
                <w:szCs w:val="24"/>
              </w:rPr>
              <w:t>1</w:t>
            </w:r>
            <w:r>
              <w:rPr>
                <w:rFonts w:ascii="Arial" w:eastAsia="Calibri" w:hAnsi="Arial" w:cs="Arial"/>
                <w:bCs/>
                <w:szCs w:val="24"/>
              </w:rPr>
              <w:t xml:space="preserve">. </w:t>
            </w:r>
          </w:p>
          <w:p w14:paraId="18C4356A" w14:textId="77777777" w:rsidR="003B16B6" w:rsidRPr="00D44B45" w:rsidRDefault="003B16B6" w:rsidP="003B16B6">
            <w:pPr>
              <w:spacing w:line="276" w:lineRule="auto"/>
              <w:jc w:val="both"/>
              <w:rPr>
                <w:rFonts w:ascii="Arial" w:eastAsia="Calibri" w:hAnsi="Arial" w:cs="Arial"/>
                <w:bCs/>
                <w:szCs w:val="24"/>
              </w:rPr>
            </w:pPr>
          </w:p>
        </w:tc>
      </w:tr>
      <w:tr w:rsidR="003B16B6" w:rsidRPr="007214D1" w14:paraId="371DBB6E" w14:textId="77777777" w:rsidTr="00835331">
        <w:trPr>
          <w:trHeight w:val="426"/>
        </w:trPr>
        <w:tc>
          <w:tcPr>
            <w:tcW w:w="959" w:type="dxa"/>
          </w:tcPr>
          <w:p w14:paraId="7A8A96D3" w14:textId="26C281D6" w:rsidR="003B16B6" w:rsidRDefault="00E52812" w:rsidP="003B16B6">
            <w:pPr>
              <w:rPr>
                <w:rFonts w:ascii="Arial" w:hAnsi="Arial" w:cs="Arial"/>
                <w:szCs w:val="24"/>
              </w:rPr>
            </w:pPr>
            <w:r>
              <w:rPr>
                <w:rFonts w:ascii="Arial" w:hAnsi="Arial" w:cs="Arial"/>
                <w:szCs w:val="24"/>
              </w:rPr>
              <w:t>3.2.1</w:t>
            </w:r>
            <w:r w:rsidR="00EA2A30">
              <w:rPr>
                <w:rFonts w:ascii="Arial" w:hAnsi="Arial" w:cs="Arial"/>
                <w:szCs w:val="24"/>
              </w:rPr>
              <w:t>0</w:t>
            </w:r>
          </w:p>
          <w:p w14:paraId="0AACD796" w14:textId="77777777" w:rsidR="004C05A9" w:rsidRDefault="004C05A9" w:rsidP="003B16B6">
            <w:pPr>
              <w:rPr>
                <w:rFonts w:ascii="Arial" w:hAnsi="Arial" w:cs="Arial"/>
                <w:szCs w:val="24"/>
              </w:rPr>
            </w:pPr>
          </w:p>
          <w:p w14:paraId="155940CB" w14:textId="77777777" w:rsidR="004C05A9" w:rsidRDefault="004C05A9" w:rsidP="003B16B6">
            <w:pPr>
              <w:rPr>
                <w:rFonts w:ascii="Arial" w:hAnsi="Arial" w:cs="Arial"/>
                <w:szCs w:val="24"/>
              </w:rPr>
            </w:pPr>
          </w:p>
          <w:p w14:paraId="4AA69D1B" w14:textId="77777777" w:rsidR="004C05A9" w:rsidRDefault="004C05A9" w:rsidP="003B16B6">
            <w:pPr>
              <w:rPr>
                <w:rFonts w:ascii="Arial" w:hAnsi="Arial" w:cs="Arial"/>
                <w:szCs w:val="24"/>
              </w:rPr>
            </w:pPr>
          </w:p>
          <w:p w14:paraId="3700A573" w14:textId="77777777" w:rsidR="004C05A9" w:rsidRDefault="004C05A9" w:rsidP="003B16B6">
            <w:pPr>
              <w:rPr>
                <w:rFonts w:ascii="Arial" w:hAnsi="Arial" w:cs="Arial"/>
                <w:szCs w:val="24"/>
              </w:rPr>
            </w:pPr>
          </w:p>
          <w:p w14:paraId="2C891ADA" w14:textId="77777777" w:rsidR="004C05A9" w:rsidRDefault="004C05A9" w:rsidP="003B16B6">
            <w:pPr>
              <w:rPr>
                <w:rFonts w:ascii="Arial" w:hAnsi="Arial" w:cs="Arial"/>
                <w:szCs w:val="24"/>
              </w:rPr>
            </w:pPr>
          </w:p>
          <w:p w14:paraId="5243E4E8" w14:textId="0CBD15A0" w:rsidR="004C05A9" w:rsidRDefault="004C05A9" w:rsidP="003B16B6">
            <w:pPr>
              <w:rPr>
                <w:rFonts w:ascii="Arial" w:hAnsi="Arial" w:cs="Arial"/>
                <w:szCs w:val="24"/>
              </w:rPr>
            </w:pPr>
          </w:p>
          <w:p w14:paraId="4CF3447C" w14:textId="2B972D14" w:rsidR="00D255F5" w:rsidRDefault="00D255F5" w:rsidP="003B16B6">
            <w:pPr>
              <w:rPr>
                <w:rFonts w:ascii="Arial" w:hAnsi="Arial" w:cs="Arial"/>
                <w:szCs w:val="24"/>
              </w:rPr>
            </w:pPr>
          </w:p>
          <w:p w14:paraId="61A91E8C" w14:textId="77777777" w:rsidR="00D255F5" w:rsidRDefault="00D255F5" w:rsidP="003B16B6">
            <w:pPr>
              <w:rPr>
                <w:rFonts w:ascii="Arial" w:hAnsi="Arial" w:cs="Arial"/>
                <w:szCs w:val="24"/>
              </w:rPr>
            </w:pPr>
          </w:p>
          <w:p w14:paraId="60319865" w14:textId="77777777" w:rsidR="004C05A9" w:rsidRDefault="004C05A9" w:rsidP="003B16B6">
            <w:pPr>
              <w:rPr>
                <w:rFonts w:ascii="Arial" w:hAnsi="Arial" w:cs="Arial"/>
                <w:szCs w:val="24"/>
              </w:rPr>
            </w:pPr>
          </w:p>
          <w:p w14:paraId="2D065B97" w14:textId="6A3CC577" w:rsidR="004C05A9" w:rsidRDefault="004C05A9" w:rsidP="003B16B6">
            <w:pPr>
              <w:rPr>
                <w:rFonts w:ascii="Arial" w:hAnsi="Arial" w:cs="Arial"/>
                <w:szCs w:val="24"/>
              </w:rPr>
            </w:pPr>
            <w:r>
              <w:rPr>
                <w:rFonts w:ascii="Arial" w:hAnsi="Arial" w:cs="Arial"/>
                <w:szCs w:val="24"/>
              </w:rPr>
              <w:lastRenderedPageBreak/>
              <w:t>3.2.1</w:t>
            </w:r>
            <w:r w:rsidR="00EA2A30">
              <w:rPr>
                <w:rFonts w:ascii="Arial" w:hAnsi="Arial" w:cs="Arial"/>
                <w:szCs w:val="24"/>
              </w:rPr>
              <w:t>1</w:t>
            </w:r>
          </w:p>
          <w:p w14:paraId="0A0D817C" w14:textId="69B056FF" w:rsidR="004C05A9" w:rsidRDefault="004C05A9" w:rsidP="003B16B6">
            <w:pPr>
              <w:rPr>
                <w:rFonts w:ascii="Arial" w:hAnsi="Arial" w:cs="Arial"/>
                <w:szCs w:val="24"/>
              </w:rPr>
            </w:pPr>
          </w:p>
        </w:tc>
        <w:tc>
          <w:tcPr>
            <w:tcW w:w="8505" w:type="dxa"/>
          </w:tcPr>
          <w:p w14:paraId="432D35A2" w14:textId="6AABF4FB" w:rsidR="003B16B6" w:rsidRDefault="003B16B6" w:rsidP="003B16B6">
            <w:pPr>
              <w:jc w:val="both"/>
              <w:rPr>
                <w:rFonts w:ascii="Arial" w:eastAsia="Calibri" w:hAnsi="Arial" w:cs="Arial"/>
                <w:bCs/>
                <w:szCs w:val="24"/>
              </w:rPr>
            </w:pPr>
            <w:r>
              <w:rPr>
                <w:rFonts w:ascii="Arial" w:eastAsia="Calibri" w:hAnsi="Arial" w:cs="Arial"/>
                <w:bCs/>
                <w:szCs w:val="24"/>
              </w:rPr>
              <w:lastRenderedPageBreak/>
              <w:t xml:space="preserve">As outlined in previous reports, </w:t>
            </w:r>
            <w:r w:rsidRPr="008F18C3">
              <w:rPr>
                <w:rFonts w:ascii="Arial" w:eastAsia="Calibri" w:hAnsi="Arial" w:cs="Arial"/>
                <w:bCs/>
                <w:szCs w:val="24"/>
              </w:rPr>
              <w:t xml:space="preserve">HR </w:t>
            </w:r>
            <w:r>
              <w:rPr>
                <w:rFonts w:ascii="Arial" w:eastAsia="Calibri" w:hAnsi="Arial" w:cs="Arial"/>
                <w:bCs/>
                <w:szCs w:val="24"/>
              </w:rPr>
              <w:t xml:space="preserve">continues to </w:t>
            </w:r>
            <w:r w:rsidRPr="008F18C3">
              <w:rPr>
                <w:rFonts w:ascii="Arial" w:eastAsia="Calibri" w:hAnsi="Arial" w:cs="Arial"/>
                <w:bCs/>
                <w:szCs w:val="24"/>
              </w:rPr>
              <w:t xml:space="preserve">work closely with </w:t>
            </w:r>
            <w:r>
              <w:rPr>
                <w:rFonts w:ascii="Arial" w:eastAsia="Calibri" w:hAnsi="Arial" w:cs="Arial"/>
                <w:bCs/>
                <w:szCs w:val="24"/>
              </w:rPr>
              <w:t xml:space="preserve">all </w:t>
            </w:r>
            <w:r w:rsidRPr="008F18C3">
              <w:rPr>
                <w:rFonts w:ascii="Arial" w:eastAsia="Calibri" w:hAnsi="Arial" w:cs="Arial"/>
                <w:bCs/>
                <w:szCs w:val="24"/>
              </w:rPr>
              <w:t>managers and employees to find opportunities to encourage earlier returns to work.</w:t>
            </w:r>
            <w:r>
              <w:rPr>
                <w:rFonts w:ascii="Arial" w:eastAsia="Calibri" w:hAnsi="Arial" w:cs="Arial"/>
                <w:bCs/>
                <w:szCs w:val="24"/>
              </w:rPr>
              <w:t xml:space="preserve"> The current COVID-19 situation </w:t>
            </w:r>
            <w:r w:rsidR="004C05A9">
              <w:rPr>
                <w:rFonts w:ascii="Arial" w:eastAsia="Calibri" w:hAnsi="Arial" w:cs="Arial"/>
                <w:bCs/>
                <w:szCs w:val="24"/>
              </w:rPr>
              <w:t>has meant</w:t>
            </w:r>
            <w:r>
              <w:rPr>
                <w:rFonts w:ascii="Arial" w:eastAsia="Calibri" w:hAnsi="Arial" w:cs="Arial"/>
                <w:bCs/>
                <w:szCs w:val="24"/>
              </w:rPr>
              <w:t xml:space="preserve"> that </w:t>
            </w:r>
            <w:r w:rsidR="007E07FB">
              <w:rPr>
                <w:rFonts w:ascii="Arial" w:eastAsia="Calibri" w:hAnsi="Arial" w:cs="Arial"/>
                <w:bCs/>
                <w:szCs w:val="24"/>
              </w:rPr>
              <w:t xml:space="preserve">a large </w:t>
            </w:r>
            <w:r w:rsidR="006B71C3">
              <w:rPr>
                <w:rFonts w:ascii="Arial" w:eastAsia="Calibri" w:hAnsi="Arial" w:cs="Arial"/>
                <w:bCs/>
                <w:szCs w:val="24"/>
              </w:rPr>
              <w:t>number</w:t>
            </w:r>
            <w:r w:rsidR="007E07FB">
              <w:rPr>
                <w:rFonts w:ascii="Arial" w:eastAsia="Calibri" w:hAnsi="Arial" w:cs="Arial"/>
                <w:bCs/>
                <w:szCs w:val="24"/>
              </w:rPr>
              <w:t xml:space="preserve"> of</w:t>
            </w:r>
            <w:r>
              <w:rPr>
                <w:rFonts w:ascii="Arial" w:eastAsia="Calibri" w:hAnsi="Arial" w:cs="Arial"/>
                <w:bCs/>
                <w:szCs w:val="24"/>
              </w:rPr>
              <w:t xml:space="preserve"> staff </w:t>
            </w:r>
            <w:r w:rsidR="007E07FB">
              <w:rPr>
                <w:rFonts w:ascii="Arial" w:eastAsia="Calibri" w:hAnsi="Arial" w:cs="Arial"/>
                <w:bCs/>
                <w:szCs w:val="24"/>
              </w:rPr>
              <w:t>remain</w:t>
            </w:r>
            <w:r w:rsidR="006B71C3">
              <w:rPr>
                <w:rFonts w:ascii="Arial" w:eastAsia="Calibri" w:hAnsi="Arial" w:cs="Arial"/>
                <w:bCs/>
                <w:szCs w:val="24"/>
              </w:rPr>
              <w:t>ed</w:t>
            </w:r>
            <w:r w:rsidR="007E07FB">
              <w:rPr>
                <w:rFonts w:ascii="Arial" w:eastAsia="Calibri" w:hAnsi="Arial" w:cs="Arial"/>
                <w:bCs/>
                <w:szCs w:val="24"/>
              </w:rPr>
              <w:t xml:space="preserve"> </w:t>
            </w:r>
            <w:r>
              <w:rPr>
                <w:rFonts w:ascii="Arial" w:eastAsia="Calibri" w:hAnsi="Arial" w:cs="Arial"/>
                <w:bCs/>
                <w:szCs w:val="24"/>
              </w:rPr>
              <w:t>on furlough leave</w:t>
            </w:r>
            <w:r w:rsidR="006B71C3">
              <w:rPr>
                <w:rFonts w:ascii="Arial" w:eastAsia="Calibri" w:hAnsi="Arial" w:cs="Arial"/>
                <w:bCs/>
                <w:szCs w:val="24"/>
              </w:rPr>
              <w:t xml:space="preserve"> during Quarter 2</w:t>
            </w:r>
            <w:r w:rsidR="004C05A9">
              <w:rPr>
                <w:rFonts w:ascii="Arial" w:eastAsia="Calibri" w:hAnsi="Arial" w:cs="Arial"/>
                <w:bCs/>
                <w:szCs w:val="24"/>
              </w:rPr>
              <w:t xml:space="preserve">, </w:t>
            </w:r>
            <w:r w:rsidR="006B71C3">
              <w:rPr>
                <w:rFonts w:ascii="Arial" w:eastAsia="Calibri" w:hAnsi="Arial" w:cs="Arial"/>
                <w:bCs/>
                <w:szCs w:val="24"/>
              </w:rPr>
              <w:t>but</w:t>
            </w:r>
            <w:r>
              <w:rPr>
                <w:rFonts w:ascii="Arial" w:eastAsia="Calibri" w:hAnsi="Arial" w:cs="Arial"/>
                <w:bCs/>
                <w:szCs w:val="24"/>
              </w:rPr>
              <w:t xml:space="preserve"> managers </w:t>
            </w:r>
            <w:r w:rsidR="004C05A9">
              <w:rPr>
                <w:rFonts w:ascii="Arial" w:eastAsia="Calibri" w:hAnsi="Arial" w:cs="Arial"/>
                <w:bCs/>
                <w:szCs w:val="24"/>
              </w:rPr>
              <w:t xml:space="preserve">have </w:t>
            </w:r>
            <w:r>
              <w:rPr>
                <w:rFonts w:ascii="Arial" w:eastAsia="Calibri" w:hAnsi="Arial" w:cs="Arial"/>
                <w:bCs/>
                <w:szCs w:val="24"/>
              </w:rPr>
              <w:t>remain</w:t>
            </w:r>
            <w:r w:rsidR="004C05A9">
              <w:rPr>
                <w:rFonts w:ascii="Arial" w:eastAsia="Calibri" w:hAnsi="Arial" w:cs="Arial"/>
                <w:bCs/>
                <w:szCs w:val="24"/>
              </w:rPr>
              <w:t>ed</w:t>
            </w:r>
            <w:r>
              <w:rPr>
                <w:rFonts w:ascii="Arial" w:eastAsia="Calibri" w:hAnsi="Arial" w:cs="Arial"/>
                <w:bCs/>
                <w:szCs w:val="24"/>
              </w:rPr>
              <w:t xml:space="preserve"> committed to keeping in contact with all staff, regularly checking in on their health and wellbeing and highlighting to the HR Manager any concerns they have regarding staff health and wellbeing during this time.</w:t>
            </w:r>
          </w:p>
          <w:p w14:paraId="41CA6623" w14:textId="77777777" w:rsidR="00D255F5" w:rsidRDefault="00D255F5" w:rsidP="003B16B6">
            <w:pPr>
              <w:jc w:val="both"/>
              <w:rPr>
                <w:rFonts w:ascii="Arial" w:eastAsia="Calibri" w:hAnsi="Arial" w:cs="Arial"/>
                <w:bCs/>
                <w:szCs w:val="24"/>
              </w:rPr>
            </w:pPr>
          </w:p>
          <w:p w14:paraId="3D5B4283" w14:textId="1625C384" w:rsidR="006B71C3" w:rsidRDefault="006B71C3" w:rsidP="003B16B6">
            <w:pPr>
              <w:jc w:val="both"/>
              <w:rPr>
                <w:rFonts w:ascii="Arial" w:eastAsia="Calibri" w:hAnsi="Arial" w:cs="Arial"/>
                <w:bCs/>
                <w:szCs w:val="24"/>
              </w:rPr>
            </w:pPr>
            <w:r>
              <w:rPr>
                <w:rFonts w:ascii="Arial" w:eastAsia="Calibri" w:hAnsi="Arial" w:cs="Arial"/>
                <w:bCs/>
                <w:szCs w:val="24"/>
              </w:rPr>
              <w:lastRenderedPageBreak/>
              <w:t xml:space="preserve">In addition, as staff have returned to work and health concerns have been raised, HR and service managers have been pro-active in supporting those staff through early intervention </w:t>
            </w:r>
            <w:r w:rsidR="003E1AA0">
              <w:rPr>
                <w:rFonts w:ascii="Arial" w:eastAsia="Calibri" w:hAnsi="Arial" w:cs="Arial"/>
                <w:bCs/>
                <w:szCs w:val="24"/>
              </w:rPr>
              <w:t>including</w:t>
            </w:r>
            <w:r>
              <w:rPr>
                <w:rFonts w:ascii="Arial" w:eastAsia="Calibri" w:hAnsi="Arial" w:cs="Arial"/>
                <w:bCs/>
                <w:szCs w:val="24"/>
              </w:rPr>
              <w:t xml:space="preserve"> OH referrals and Counselling services. </w:t>
            </w:r>
          </w:p>
          <w:p w14:paraId="65E902CF" w14:textId="083CEFF3" w:rsidR="003B16B6" w:rsidRPr="005F2664" w:rsidRDefault="003B16B6" w:rsidP="006B71C3">
            <w:pPr>
              <w:jc w:val="both"/>
              <w:rPr>
                <w:rFonts w:ascii="Arial" w:eastAsia="Calibri" w:hAnsi="Arial" w:cs="Arial"/>
                <w:bCs/>
                <w:szCs w:val="24"/>
                <w:highlight w:val="yellow"/>
              </w:rPr>
            </w:pPr>
          </w:p>
        </w:tc>
      </w:tr>
      <w:tr w:rsidR="003B16B6" w:rsidRPr="007214D1" w14:paraId="2B8D2501" w14:textId="77777777" w:rsidTr="00835331">
        <w:trPr>
          <w:trHeight w:val="80"/>
        </w:trPr>
        <w:tc>
          <w:tcPr>
            <w:tcW w:w="959" w:type="dxa"/>
          </w:tcPr>
          <w:p w14:paraId="0AAC4AF3" w14:textId="77777777" w:rsidR="003B16B6" w:rsidRDefault="003B16B6" w:rsidP="003B16B6">
            <w:pPr>
              <w:rPr>
                <w:rFonts w:ascii="Arial" w:hAnsi="Arial" w:cs="Arial"/>
                <w:szCs w:val="24"/>
              </w:rPr>
            </w:pPr>
            <w:r w:rsidRPr="003E159A">
              <w:rPr>
                <w:rFonts w:ascii="Arial" w:hAnsi="Arial" w:cs="Arial"/>
                <w:szCs w:val="24"/>
              </w:rPr>
              <w:lastRenderedPageBreak/>
              <w:t>3.</w:t>
            </w:r>
            <w:r>
              <w:rPr>
                <w:rFonts w:ascii="Arial" w:hAnsi="Arial" w:cs="Arial"/>
                <w:szCs w:val="24"/>
              </w:rPr>
              <w:t>3</w:t>
            </w:r>
          </w:p>
          <w:p w14:paraId="0EC3F38B" w14:textId="77777777" w:rsidR="003B16B6" w:rsidRDefault="003B16B6" w:rsidP="003B16B6">
            <w:pPr>
              <w:rPr>
                <w:rFonts w:ascii="Arial" w:hAnsi="Arial" w:cs="Arial"/>
                <w:szCs w:val="24"/>
              </w:rPr>
            </w:pPr>
          </w:p>
          <w:p w14:paraId="0E62D5DE" w14:textId="77777777" w:rsidR="003B16B6" w:rsidRPr="003E159A" w:rsidRDefault="003B16B6" w:rsidP="003B16B6">
            <w:pPr>
              <w:rPr>
                <w:rFonts w:ascii="Arial" w:hAnsi="Arial" w:cs="Arial"/>
                <w:szCs w:val="24"/>
              </w:rPr>
            </w:pPr>
            <w:r>
              <w:rPr>
                <w:rFonts w:ascii="Arial" w:hAnsi="Arial" w:cs="Arial"/>
                <w:szCs w:val="24"/>
              </w:rPr>
              <w:t>3.3.1</w:t>
            </w:r>
          </w:p>
        </w:tc>
        <w:tc>
          <w:tcPr>
            <w:tcW w:w="8505" w:type="dxa"/>
          </w:tcPr>
          <w:p w14:paraId="00B36C3C" w14:textId="77777777" w:rsidR="003B16B6" w:rsidRPr="0020611C" w:rsidRDefault="003B16B6" w:rsidP="002C5CBE">
            <w:pPr>
              <w:jc w:val="both"/>
              <w:rPr>
                <w:rFonts w:ascii="Arial" w:eastAsia="Calibri" w:hAnsi="Arial" w:cs="Arial"/>
                <w:szCs w:val="24"/>
                <w:u w:val="single"/>
                <w:lang w:eastAsia="en-US"/>
              </w:rPr>
            </w:pPr>
            <w:r w:rsidRPr="0020611C">
              <w:rPr>
                <w:rFonts w:ascii="Arial" w:eastAsia="Calibri" w:hAnsi="Arial" w:cs="Arial"/>
                <w:szCs w:val="24"/>
                <w:u w:val="single"/>
                <w:lang w:eastAsia="en-US"/>
              </w:rPr>
              <w:t>Staff Turnover</w:t>
            </w:r>
          </w:p>
          <w:p w14:paraId="7E4BF151" w14:textId="77777777" w:rsidR="003B16B6" w:rsidRPr="0020611C" w:rsidRDefault="003B16B6" w:rsidP="002C5CBE">
            <w:pPr>
              <w:jc w:val="both"/>
              <w:rPr>
                <w:rFonts w:ascii="Arial" w:eastAsia="Calibri" w:hAnsi="Arial" w:cs="Arial"/>
                <w:szCs w:val="24"/>
              </w:rPr>
            </w:pPr>
          </w:p>
          <w:p w14:paraId="03DD62DB" w14:textId="491C04FA" w:rsidR="003B16B6" w:rsidRDefault="000E37F0" w:rsidP="002C5CBE">
            <w:pPr>
              <w:jc w:val="both"/>
              <w:rPr>
                <w:rFonts w:ascii="Arial" w:eastAsia="Calibri" w:hAnsi="Arial" w:cs="Arial"/>
                <w:szCs w:val="24"/>
              </w:rPr>
            </w:pPr>
            <w:r w:rsidRPr="000E37F0">
              <w:rPr>
                <w:rFonts w:ascii="Arial" w:eastAsia="Calibri" w:hAnsi="Arial" w:cs="Arial"/>
                <w:szCs w:val="24"/>
              </w:rPr>
              <w:t>The number of resignations per month as a percentage of posts in Q2 was 1% in July, 1% in August and 0.8% in September.</w:t>
            </w:r>
          </w:p>
          <w:p w14:paraId="35B2E878" w14:textId="753EC375" w:rsidR="000E37F0" w:rsidRPr="0020611C" w:rsidRDefault="000E37F0" w:rsidP="002C5CBE">
            <w:pPr>
              <w:jc w:val="both"/>
              <w:rPr>
                <w:rFonts w:ascii="Arial" w:eastAsia="Calibri" w:hAnsi="Arial" w:cs="Arial"/>
                <w:szCs w:val="24"/>
                <w:u w:val="single"/>
                <w:lang w:eastAsia="en-US"/>
              </w:rPr>
            </w:pPr>
          </w:p>
        </w:tc>
      </w:tr>
      <w:tr w:rsidR="003B16B6" w:rsidRPr="007214D1" w14:paraId="11681E52" w14:textId="77777777" w:rsidTr="00835331">
        <w:trPr>
          <w:trHeight w:val="80"/>
        </w:trPr>
        <w:tc>
          <w:tcPr>
            <w:tcW w:w="959" w:type="dxa"/>
          </w:tcPr>
          <w:p w14:paraId="60D14FEF" w14:textId="77777777" w:rsidR="003B16B6" w:rsidRDefault="003B16B6" w:rsidP="003B16B6">
            <w:pPr>
              <w:rPr>
                <w:rFonts w:ascii="Arial" w:hAnsi="Arial" w:cs="Arial"/>
                <w:szCs w:val="24"/>
              </w:rPr>
            </w:pPr>
            <w:r>
              <w:rPr>
                <w:rFonts w:ascii="Arial" w:hAnsi="Arial" w:cs="Arial"/>
                <w:szCs w:val="24"/>
              </w:rPr>
              <w:t>3.3.2</w:t>
            </w:r>
          </w:p>
          <w:p w14:paraId="58F462FB" w14:textId="77777777" w:rsidR="003B16B6" w:rsidRPr="003E159A" w:rsidRDefault="003B16B6" w:rsidP="003B16B6">
            <w:pPr>
              <w:rPr>
                <w:rFonts w:ascii="Arial" w:hAnsi="Arial" w:cs="Arial"/>
                <w:szCs w:val="24"/>
              </w:rPr>
            </w:pPr>
          </w:p>
        </w:tc>
        <w:tc>
          <w:tcPr>
            <w:tcW w:w="8505" w:type="dxa"/>
          </w:tcPr>
          <w:p w14:paraId="1B6B05E3" w14:textId="0E146DDF" w:rsidR="003B16B6" w:rsidRDefault="003B16B6" w:rsidP="00004850">
            <w:pPr>
              <w:jc w:val="both"/>
              <w:rPr>
                <w:rFonts w:ascii="Arial" w:eastAsia="Calibri" w:hAnsi="Arial" w:cs="Arial"/>
                <w:szCs w:val="24"/>
              </w:rPr>
            </w:pPr>
            <w:r w:rsidRPr="0020611C">
              <w:rPr>
                <w:rFonts w:ascii="Arial" w:eastAsia="Calibri" w:hAnsi="Arial" w:cs="Arial"/>
                <w:szCs w:val="24"/>
              </w:rPr>
              <w:t xml:space="preserve">Staff turnover </w:t>
            </w:r>
            <w:r w:rsidR="000E37F0">
              <w:rPr>
                <w:rFonts w:ascii="Arial" w:eastAsia="Calibri" w:hAnsi="Arial" w:cs="Arial"/>
                <w:szCs w:val="24"/>
              </w:rPr>
              <w:t>therefore sits as</w:t>
            </w:r>
            <w:r w:rsidR="00D15A10">
              <w:rPr>
                <w:rFonts w:ascii="Arial" w:eastAsia="Calibri" w:hAnsi="Arial" w:cs="Arial"/>
                <w:szCs w:val="24"/>
              </w:rPr>
              <w:t xml:space="preserve"> </w:t>
            </w:r>
            <w:r w:rsidR="00004850">
              <w:rPr>
                <w:rFonts w:ascii="Arial" w:eastAsia="Calibri" w:hAnsi="Arial" w:cs="Arial"/>
                <w:szCs w:val="24"/>
              </w:rPr>
              <w:t>‘</w:t>
            </w:r>
            <w:r w:rsidR="000E37F0">
              <w:rPr>
                <w:rFonts w:ascii="Arial" w:eastAsia="Calibri" w:hAnsi="Arial" w:cs="Arial"/>
                <w:szCs w:val="24"/>
              </w:rPr>
              <w:t>green’</w:t>
            </w:r>
            <w:r w:rsidRPr="0020611C">
              <w:rPr>
                <w:rFonts w:ascii="Arial" w:eastAsia="Calibri" w:hAnsi="Arial" w:cs="Arial"/>
                <w:szCs w:val="24"/>
              </w:rPr>
              <w:t xml:space="preserve"> RAG-rated status in terms of the Charity’s performance reporting</w:t>
            </w:r>
            <w:r w:rsidR="00004850">
              <w:rPr>
                <w:rFonts w:ascii="Arial" w:eastAsia="Calibri" w:hAnsi="Arial" w:cs="Arial"/>
                <w:szCs w:val="24"/>
              </w:rPr>
              <w:t>.</w:t>
            </w:r>
            <w:r w:rsidRPr="0020611C">
              <w:rPr>
                <w:rFonts w:ascii="Arial" w:eastAsia="Calibri" w:hAnsi="Arial" w:cs="Arial"/>
                <w:szCs w:val="24"/>
              </w:rPr>
              <w:t xml:space="preserve"> </w:t>
            </w:r>
          </w:p>
          <w:p w14:paraId="6035F796" w14:textId="498F598B" w:rsidR="00004850" w:rsidRPr="0020611C" w:rsidRDefault="00004850" w:rsidP="00004850">
            <w:pPr>
              <w:jc w:val="both"/>
              <w:rPr>
                <w:rFonts w:ascii="Arial" w:eastAsia="Calibri" w:hAnsi="Arial" w:cs="Arial"/>
                <w:szCs w:val="24"/>
                <w:u w:val="single"/>
                <w:lang w:eastAsia="en-US"/>
              </w:rPr>
            </w:pPr>
          </w:p>
        </w:tc>
      </w:tr>
      <w:tr w:rsidR="003E1AA0" w:rsidRPr="007214D1" w14:paraId="1773A784" w14:textId="77777777" w:rsidTr="00835331">
        <w:trPr>
          <w:trHeight w:val="80"/>
        </w:trPr>
        <w:tc>
          <w:tcPr>
            <w:tcW w:w="959" w:type="dxa"/>
          </w:tcPr>
          <w:p w14:paraId="1CFF019B" w14:textId="15AD7445" w:rsidR="003E1AA0" w:rsidRDefault="003E1AA0" w:rsidP="003B16B6">
            <w:pPr>
              <w:rPr>
                <w:rFonts w:ascii="Arial" w:hAnsi="Arial" w:cs="Arial"/>
                <w:szCs w:val="24"/>
              </w:rPr>
            </w:pPr>
            <w:r>
              <w:rPr>
                <w:rFonts w:ascii="Arial" w:hAnsi="Arial" w:cs="Arial"/>
                <w:szCs w:val="24"/>
              </w:rPr>
              <w:t>3.3.</w:t>
            </w:r>
            <w:r w:rsidR="000E37F0">
              <w:rPr>
                <w:rFonts w:ascii="Arial" w:hAnsi="Arial" w:cs="Arial"/>
                <w:szCs w:val="24"/>
              </w:rPr>
              <w:t>3</w:t>
            </w:r>
          </w:p>
        </w:tc>
        <w:tc>
          <w:tcPr>
            <w:tcW w:w="8505" w:type="dxa"/>
          </w:tcPr>
          <w:p w14:paraId="10930A04" w14:textId="16FBF86D" w:rsidR="003E1AA0" w:rsidRDefault="003E1AA0" w:rsidP="002C5CBE">
            <w:pPr>
              <w:jc w:val="both"/>
              <w:rPr>
                <w:rFonts w:ascii="Arial" w:eastAsia="Calibri" w:hAnsi="Arial" w:cs="Arial"/>
                <w:szCs w:val="24"/>
              </w:rPr>
            </w:pPr>
            <w:r>
              <w:rPr>
                <w:rFonts w:ascii="Arial" w:eastAsia="Calibri" w:hAnsi="Arial" w:cs="Arial"/>
                <w:szCs w:val="24"/>
              </w:rPr>
              <w:t>Some of the reasons</w:t>
            </w:r>
            <w:r w:rsidR="000E37F0">
              <w:rPr>
                <w:rFonts w:ascii="Arial" w:eastAsia="Calibri" w:hAnsi="Arial" w:cs="Arial"/>
                <w:szCs w:val="24"/>
              </w:rPr>
              <w:t xml:space="preserve"> for resignations</w:t>
            </w:r>
            <w:r>
              <w:rPr>
                <w:rFonts w:ascii="Arial" w:eastAsia="Calibri" w:hAnsi="Arial" w:cs="Arial"/>
                <w:szCs w:val="24"/>
              </w:rPr>
              <w:t xml:space="preserve"> include:</w:t>
            </w:r>
          </w:p>
          <w:p w14:paraId="5B76384D" w14:textId="77777777" w:rsidR="0064363A" w:rsidRDefault="0064363A" w:rsidP="002C5CBE">
            <w:pPr>
              <w:jc w:val="both"/>
              <w:rPr>
                <w:rFonts w:ascii="Arial" w:eastAsia="Calibri" w:hAnsi="Arial" w:cs="Arial"/>
                <w:szCs w:val="24"/>
              </w:rPr>
            </w:pPr>
          </w:p>
          <w:p w14:paraId="702B013D" w14:textId="7C38F5B6" w:rsidR="003E1AA0" w:rsidRPr="004B4B6C" w:rsidRDefault="003E1AA0" w:rsidP="0064363A">
            <w:pPr>
              <w:pStyle w:val="ListParagraph"/>
              <w:numPr>
                <w:ilvl w:val="0"/>
                <w:numId w:val="10"/>
              </w:numPr>
              <w:jc w:val="both"/>
              <w:rPr>
                <w:rFonts w:ascii="Arial" w:hAnsi="Arial" w:cs="Arial"/>
                <w:sz w:val="24"/>
                <w:szCs w:val="24"/>
              </w:rPr>
            </w:pPr>
            <w:r w:rsidRPr="004B4B6C">
              <w:rPr>
                <w:rFonts w:ascii="Arial" w:hAnsi="Arial" w:cs="Arial"/>
                <w:sz w:val="24"/>
                <w:szCs w:val="24"/>
              </w:rPr>
              <w:t>the reduction in furlough top up payments meant some staff had to seek employment elsewhere</w:t>
            </w:r>
            <w:r w:rsidR="004B4B6C" w:rsidRPr="004B4B6C">
              <w:rPr>
                <w:rFonts w:ascii="Arial" w:hAnsi="Arial" w:cs="Arial"/>
                <w:sz w:val="24"/>
                <w:szCs w:val="24"/>
              </w:rPr>
              <w:t xml:space="preserve"> because of financial concerns</w:t>
            </w:r>
            <w:r w:rsidRPr="004B4B6C">
              <w:rPr>
                <w:rFonts w:ascii="Arial" w:hAnsi="Arial" w:cs="Arial"/>
                <w:sz w:val="24"/>
                <w:szCs w:val="24"/>
              </w:rPr>
              <w:t>;</w:t>
            </w:r>
          </w:p>
          <w:p w14:paraId="4C730C30" w14:textId="68F5C909" w:rsidR="004B4B6C" w:rsidRPr="004B4B6C" w:rsidRDefault="004B4B6C" w:rsidP="0064363A">
            <w:pPr>
              <w:pStyle w:val="ListParagraph"/>
              <w:numPr>
                <w:ilvl w:val="0"/>
                <w:numId w:val="10"/>
              </w:numPr>
              <w:jc w:val="both"/>
              <w:rPr>
                <w:rFonts w:ascii="Arial" w:hAnsi="Arial" w:cs="Arial"/>
                <w:sz w:val="24"/>
                <w:szCs w:val="24"/>
              </w:rPr>
            </w:pPr>
            <w:r w:rsidRPr="004B4B6C">
              <w:rPr>
                <w:rFonts w:ascii="Arial" w:hAnsi="Arial" w:cs="Arial"/>
                <w:sz w:val="24"/>
                <w:szCs w:val="24"/>
              </w:rPr>
              <w:t xml:space="preserve">career changes as a direct result of the </w:t>
            </w:r>
            <w:r w:rsidR="000E37F0">
              <w:rPr>
                <w:rFonts w:ascii="Arial" w:hAnsi="Arial" w:cs="Arial"/>
                <w:sz w:val="24"/>
                <w:szCs w:val="24"/>
              </w:rPr>
              <w:t>COVID</w:t>
            </w:r>
            <w:r w:rsidRPr="004B4B6C">
              <w:rPr>
                <w:rFonts w:ascii="Arial" w:hAnsi="Arial" w:cs="Arial"/>
                <w:sz w:val="24"/>
                <w:szCs w:val="24"/>
              </w:rPr>
              <w:t xml:space="preserve"> situation </w:t>
            </w:r>
            <w:r w:rsidR="000E37F0" w:rsidRPr="004B4B6C">
              <w:rPr>
                <w:rFonts w:ascii="Arial" w:hAnsi="Arial" w:cs="Arial"/>
                <w:sz w:val="24"/>
                <w:szCs w:val="24"/>
              </w:rPr>
              <w:t>e.g.</w:t>
            </w:r>
            <w:r w:rsidRPr="004B4B6C">
              <w:rPr>
                <w:rFonts w:ascii="Arial" w:hAnsi="Arial" w:cs="Arial"/>
                <w:sz w:val="24"/>
                <w:szCs w:val="24"/>
              </w:rPr>
              <w:t xml:space="preserve"> one employee was fast-tracked into paramedic training and one employee offered a full</w:t>
            </w:r>
            <w:r w:rsidR="000E37F0">
              <w:rPr>
                <w:rFonts w:ascii="Arial" w:hAnsi="Arial" w:cs="Arial"/>
                <w:sz w:val="24"/>
                <w:szCs w:val="24"/>
              </w:rPr>
              <w:t>-</w:t>
            </w:r>
            <w:r w:rsidRPr="004B4B6C">
              <w:rPr>
                <w:rFonts w:ascii="Arial" w:hAnsi="Arial" w:cs="Arial"/>
                <w:sz w:val="24"/>
                <w:szCs w:val="24"/>
              </w:rPr>
              <w:t>time position with community organisation they had volunteered with during furlough</w:t>
            </w:r>
            <w:r w:rsidR="000E37F0">
              <w:rPr>
                <w:rFonts w:ascii="Arial" w:hAnsi="Arial" w:cs="Arial"/>
                <w:sz w:val="24"/>
                <w:szCs w:val="24"/>
              </w:rPr>
              <w:t>;</w:t>
            </w:r>
          </w:p>
          <w:p w14:paraId="0A8452B4" w14:textId="25C953D1" w:rsidR="003E1AA0" w:rsidRPr="004B4B6C" w:rsidRDefault="003E1AA0" w:rsidP="0064363A">
            <w:pPr>
              <w:pStyle w:val="ListParagraph"/>
              <w:numPr>
                <w:ilvl w:val="0"/>
                <w:numId w:val="10"/>
              </w:numPr>
              <w:jc w:val="both"/>
              <w:rPr>
                <w:rFonts w:ascii="Arial" w:hAnsi="Arial" w:cs="Arial"/>
                <w:sz w:val="24"/>
                <w:szCs w:val="24"/>
              </w:rPr>
            </w:pPr>
            <w:r w:rsidRPr="004B4B6C">
              <w:rPr>
                <w:rFonts w:ascii="Arial" w:hAnsi="Arial" w:cs="Arial"/>
                <w:sz w:val="24"/>
                <w:szCs w:val="24"/>
              </w:rPr>
              <w:t>staff no longer wanting to work in a public facing role or office environment due to health concerns for themselves or loved ones;</w:t>
            </w:r>
          </w:p>
          <w:p w14:paraId="7DED661F" w14:textId="1BC05CC3" w:rsidR="003E1AA0" w:rsidRPr="004B4B6C" w:rsidRDefault="003E1AA0" w:rsidP="0064363A">
            <w:pPr>
              <w:pStyle w:val="ListParagraph"/>
              <w:numPr>
                <w:ilvl w:val="0"/>
                <w:numId w:val="10"/>
              </w:numPr>
              <w:jc w:val="both"/>
              <w:rPr>
                <w:rFonts w:ascii="Arial" w:hAnsi="Arial" w:cs="Arial"/>
                <w:sz w:val="24"/>
                <w:szCs w:val="24"/>
              </w:rPr>
            </w:pPr>
            <w:r w:rsidRPr="004B4B6C">
              <w:rPr>
                <w:rFonts w:ascii="Arial" w:hAnsi="Arial" w:cs="Arial"/>
                <w:sz w:val="24"/>
                <w:szCs w:val="24"/>
              </w:rPr>
              <w:t xml:space="preserve">having had the time </w:t>
            </w:r>
            <w:r w:rsidR="004B4B6C" w:rsidRPr="004B4B6C">
              <w:rPr>
                <w:rFonts w:ascii="Arial" w:hAnsi="Arial" w:cs="Arial"/>
                <w:sz w:val="24"/>
                <w:szCs w:val="24"/>
              </w:rPr>
              <w:t xml:space="preserve">to reflect during </w:t>
            </w:r>
            <w:r w:rsidRPr="004B4B6C">
              <w:rPr>
                <w:rFonts w:ascii="Arial" w:hAnsi="Arial" w:cs="Arial"/>
                <w:sz w:val="24"/>
                <w:szCs w:val="24"/>
              </w:rPr>
              <w:t xml:space="preserve">furlough and </w:t>
            </w:r>
            <w:r w:rsidR="004B4B6C" w:rsidRPr="004B4B6C">
              <w:rPr>
                <w:rFonts w:ascii="Arial" w:hAnsi="Arial" w:cs="Arial"/>
                <w:sz w:val="24"/>
                <w:szCs w:val="24"/>
              </w:rPr>
              <w:t>having reached retirement age</w:t>
            </w:r>
            <w:r w:rsidR="000E37F0">
              <w:rPr>
                <w:rFonts w:ascii="Arial" w:hAnsi="Arial" w:cs="Arial"/>
                <w:sz w:val="24"/>
                <w:szCs w:val="24"/>
              </w:rPr>
              <w:t>,</w:t>
            </w:r>
            <w:r w:rsidR="004B4B6C" w:rsidRPr="004B4B6C">
              <w:rPr>
                <w:rFonts w:ascii="Arial" w:hAnsi="Arial" w:cs="Arial"/>
                <w:sz w:val="24"/>
                <w:szCs w:val="24"/>
              </w:rPr>
              <w:t xml:space="preserve"> a number of staff</w:t>
            </w:r>
            <w:r w:rsidR="000E37F0">
              <w:rPr>
                <w:rFonts w:ascii="Arial" w:hAnsi="Arial" w:cs="Arial"/>
                <w:sz w:val="24"/>
                <w:szCs w:val="24"/>
              </w:rPr>
              <w:t xml:space="preserve"> have</w:t>
            </w:r>
            <w:r w:rsidR="004B4B6C" w:rsidRPr="004B4B6C">
              <w:rPr>
                <w:rFonts w:ascii="Arial" w:hAnsi="Arial" w:cs="Arial"/>
                <w:sz w:val="24"/>
                <w:szCs w:val="24"/>
              </w:rPr>
              <w:t xml:space="preserve"> decided to retire.</w:t>
            </w:r>
          </w:p>
        </w:tc>
      </w:tr>
      <w:tr w:rsidR="003B16B6" w:rsidRPr="007214D1" w14:paraId="36C4964B" w14:textId="77777777" w:rsidTr="00835331">
        <w:trPr>
          <w:trHeight w:val="80"/>
        </w:trPr>
        <w:tc>
          <w:tcPr>
            <w:tcW w:w="959" w:type="dxa"/>
          </w:tcPr>
          <w:p w14:paraId="625FE7AF" w14:textId="77777777" w:rsidR="003B16B6" w:rsidRDefault="003B16B6" w:rsidP="003B16B6">
            <w:pPr>
              <w:rPr>
                <w:rFonts w:ascii="Arial" w:hAnsi="Arial" w:cs="Arial"/>
                <w:szCs w:val="24"/>
              </w:rPr>
            </w:pPr>
            <w:r>
              <w:rPr>
                <w:rFonts w:ascii="Arial" w:hAnsi="Arial" w:cs="Arial"/>
                <w:szCs w:val="24"/>
              </w:rPr>
              <w:t>3.4</w:t>
            </w:r>
          </w:p>
          <w:p w14:paraId="144811BF" w14:textId="77777777" w:rsidR="003B16B6" w:rsidRDefault="003B16B6" w:rsidP="003B16B6">
            <w:pPr>
              <w:rPr>
                <w:rFonts w:ascii="Arial" w:hAnsi="Arial" w:cs="Arial"/>
                <w:szCs w:val="24"/>
              </w:rPr>
            </w:pPr>
          </w:p>
          <w:p w14:paraId="2BDD98D1" w14:textId="77777777" w:rsidR="003B16B6" w:rsidRDefault="003B16B6" w:rsidP="003B16B6">
            <w:pPr>
              <w:rPr>
                <w:rFonts w:ascii="Arial" w:hAnsi="Arial" w:cs="Arial"/>
                <w:szCs w:val="24"/>
              </w:rPr>
            </w:pPr>
            <w:r>
              <w:rPr>
                <w:rFonts w:ascii="Arial" w:hAnsi="Arial" w:cs="Arial"/>
                <w:szCs w:val="24"/>
              </w:rPr>
              <w:t>3.4.1</w:t>
            </w:r>
          </w:p>
          <w:p w14:paraId="6F3C47E4" w14:textId="77777777" w:rsidR="003B16B6" w:rsidRDefault="003B16B6" w:rsidP="003B16B6">
            <w:pPr>
              <w:rPr>
                <w:rFonts w:ascii="Arial" w:hAnsi="Arial" w:cs="Arial"/>
                <w:szCs w:val="24"/>
              </w:rPr>
            </w:pPr>
          </w:p>
          <w:p w14:paraId="769ED7FB" w14:textId="7A916E69" w:rsidR="003B16B6" w:rsidRDefault="003B16B6" w:rsidP="003B16B6">
            <w:pPr>
              <w:rPr>
                <w:rFonts w:ascii="Arial" w:hAnsi="Arial" w:cs="Arial"/>
                <w:szCs w:val="24"/>
              </w:rPr>
            </w:pPr>
          </w:p>
          <w:p w14:paraId="46D0B696" w14:textId="77777777" w:rsidR="003B16B6" w:rsidRDefault="003B16B6" w:rsidP="003B16B6">
            <w:pPr>
              <w:rPr>
                <w:rFonts w:ascii="Arial" w:hAnsi="Arial" w:cs="Arial"/>
                <w:szCs w:val="24"/>
              </w:rPr>
            </w:pPr>
            <w:r>
              <w:rPr>
                <w:rFonts w:ascii="Arial" w:hAnsi="Arial" w:cs="Arial"/>
                <w:szCs w:val="24"/>
              </w:rPr>
              <w:t>3.5</w:t>
            </w:r>
          </w:p>
          <w:p w14:paraId="4FF982D1" w14:textId="77777777" w:rsidR="003B16B6" w:rsidRDefault="003B16B6" w:rsidP="003B16B6">
            <w:pPr>
              <w:rPr>
                <w:rFonts w:ascii="Arial" w:hAnsi="Arial" w:cs="Arial"/>
                <w:szCs w:val="24"/>
              </w:rPr>
            </w:pPr>
          </w:p>
          <w:p w14:paraId="321C5C1A" w14:textId="77777777" w:rsidR="003B16B6" w:rsidRDefault="003B16B6" w:rsidP="003B16B6">
            <w:pPr>
              <w:rPr>
                <w:rFonts w:ascii="Arial" w:hAnsi="Arial" w:cs="Arial"/>
                <w:szCs w:val="24"/>
              </w:rPr>
            </w:pPr>
            <w:r>
              <w:rPr>
                <w:rFonts w:ascii="Arial" w:hAnsi="Arial" w:cs="Arial"/>
                <w:szCs w:val="24"/>
              </w:rPr>
              <w:t>3.5.1</w:t>
            </w:r>
          </w:p>
          <w:p w14:paraId="05061290" w14:textId="77777777" w:rsidR="003B16B6" w:rsidRDefault="003B16B6" w:rsidP="003B16B6">
            <w:pPr>
              <w:rPr>
                <w:rFonts w:ascii="Arial" w:hAnsi="Arial" w:cs="Arial"/>
                <w:szCs w:val="24"/>
              </w:rPr>
            </w:pPr>
          </w:p>
          <w:p w14:paraId="5502CBDE" w14:textId="77777777" w:rsidR="003B16B6" w:rsidRDefault="003B16B6" w:rsidP="003B16B6">
            <w:pPr>
              <w:rPr>
                <w:rFonts w:ascii="Arial" w:hAnsi="Arial" w:cs="Arial"/>
                <w:szCs w:val="24"/>
              </w:rPr>
            </w:pPr>
          </w:p>
          <w:p w14:paraId="10126488" w14:textId="77777777" w:rsidR="003B16B6" w:rsidRDefault="003B16B6" w:rsidP="003B16B6">
            <w:pPr>
              <w:rPr>
                <w:rFonts w:ascii="Arial" w:hAnsi="Arial" w:cs="Arial"/>
                <w:szCs w:val="24"/>
              </w:rPr>
            </w:pPr>
            <w:r>
              <w:rPr>
                <w:rFonts w:ascii="Arial" w:hAnsi="Arial" w:cs="Arial"/>
                <w:szCs w:val="24"/>
              </w:rPr>
              <w:t>3.6</w:t>
            </w:r>
          </w:p>
          <w:p w14:paraId="2CA76476" w14:textId="77777777" w:rsidR="003B16B6" w:rsidRDefault="003B16B6" w:rsidP="003B16B6">
            <w:pPr>
              <w:rPr>
                <w:rFonts w:ascii="Arial" w:hAnsi="Arial" w:cs="Arial"/>
                <w:szCs w:val="24"/>
              </w:rPr>
            </w:pPr>
          </w:p>
          <w:p w14:paraId="2CC5DF68" w14:textId="77777777" w:rsidR="003B16B6" w:rsidRDefault="003B16B6" w:rsidP="003B16B6">
            <w:pPr>
              <w:rPr>
                <w:rFonts w:ascii="Arial" w:hAnsi="Arial" w:cs="Arial"/>
                <w:szCs w:val="24"/>
              </w:rPr>
            </w:pPr>
            <w:r>
              <w:rPr>
                <w:rFonts w:ascii="Arial" w:hAnsi="Arial" w:cs="Arial"/>
                <w:szCs w:val="24"/>
              </w:rPr>
              <w:t>3.6.1</w:t>
            </w:r>
          </w:p>
        </w:tc>
        <w:tc>
          <w:tcPr>
            <w:tcW w:w="8505" w:type="dxa"/>
          </w:tcPr>
          <w:p w14:paraId="3E1858C5" w14:textId="77777777" w:rsidR="003B16B6" w:rsidRPr="009C1F2A" w:rsidRDefault="003B16B6" w:rsidP="002C5CBE">
            <w:pPr>
              <w:jc w:val="both"/>
              <w:rPr>
                <w:rFonts w:ascii="Arial" w:hAnsi="Arial" w:cs="Arial"/>
                <w:szCs w:val="24"/>
                <w:u w:val="single"/>
              </w:rPr>
            </w:pPr>
            <w:r>
              <w:rPr>
                <w:rFonts w:ascii="Arial" w:hAnsi="Arial" w:cs="Arial"/>
                <w:szCs w:val="24"/>
                <w:u w:val="single"/>
              </w:rPr>
              <w:t>Use of the charity disciplinary processes</w:t>
            </w:r>
          </w:p>
          <w:p w14:paraId="47125C0D" w14:textId="77777777" w:rsidR="003B16B6" w:rsidRPr="009C1F2A" w:rsidRDefault="003B16B6" w:rsidP="002C5CBE">
            <w:pPr>
              <w:jc w:val="both"/>
              <w:rPr>
                <w:rFonts w:ascii="Arial" w:hAnsi="Arial" w:cs="Arial"/>
                <w:szCs w:val="24"/>
              </w:rPr>
            </w:pPr>
          </w:p>
          <w:p w14:paraId="26623A70" w14:textId="00ECC4BB" w:rsidR="003B16B6" w:rsidRPr="007B5E32" w:rsidRDefault="003B16B6" w:rsidP="002C5CBE">
            <w:pPr>
              <w:jc w:val="both"/>
              <w:rPr>
                <w:rFonts w:ascii="Arial" w:hAnsi="Arial" w:cs="Arial"/>
              </w:rPr>
            </w:pPr>
            <w:r>
              <w:rPr>
                <w:rFonts w:ascii="Arial" w:hAnsi="Arial" w:cs="Arial"/>
              </w:rPr>
              <w:t xml:space="preserve">There were </w:t>
            </w:r>
            <w:r w:rsidR="000C0C19">
              <w:rPr>
                <w:rFonts w:ascii="Arial" w:hAnsi="Arial" w:cs="Arial"/>
              </w:rPr>
              <w:t xml:space="preserve">no </w:t>
            </w:r>
            <w:r w:rsidRPr="009C1F2A">
              <w:rPr>
                <w:rFonts w:ascii="Arial" w:hAnsi="Arial" w:cs="Arial"/>
              </w:rPr>
              <w:t>issue</w:t>
            </w:r>
            <w:r>
              <w:rPr>
                <w:rFonts w:ascii="Arial" w:hAnsi="Arial" w:cs="Arial"/>
              </w:rPr>
              <w:t>s considered under the C</w:t>
            </w:r>
            <w:r w:rsidRPr="009C1F2A">
              <w:rPr>
                <w:rFonts w:ascii="Arial" w:hAnsi="Arial" w:cs="Arial"/>
              </w:rPr>
              <w:t>harity’s disciplinary process in Q</w:t>
            </w:r>
            <w:r w:rsidR="004B4B6C">
              <w:rPr>
                <w:rFonts w:ascii="Arial" w:hAnsi="Arial" w:cs="Arial"/>
              </w:rPr>
              <w:t>2</w:t>
            </w:r>
            <w:r w:rsidR="00E52812">
              <w:rPr>
                <w:rFonts w:ascii="Arial" w:hAnsi="Arial" w:cs="Arial"/>
              </w:rPr>
              <w:t>-20</w:t>
            </w:r>
            <w:r w:rsidR="000C0C19">
              <w:rPr>
                <w:rFonts w:ascii="Arial" w:hAnsi="Arial" w:cs="Arial"/>
              </w:rPr>
              <w:t>20</w:t>
            </w:r>
            <w:r>
              <w:rPr>
                <w:rFonts w:ascii="Arial" w:hAnsi="Arial" w:cs="Arial"/>
              </w:rPr>
              <w:t>/2</w:t>
            </w:r>
            <w:r w:rsidR="000C0C19">
              <w:rPr>
                <w:rFonts w:ascii="Arial" w:hAnsi="Arial" w:cs="Arial"/>
              </w:rPr>
              <w:t>1.</w:t>
            </w:r>
            <w:r>
              <w:rPr>
                <w:rFonts w:ascii="Arial" w:hAnsi="Arial" w:cs="Arial"/>
              </w:rPr>
              <w:t xml:space="preserve"> </w:t>
            </w:r>
          </w:p>
          <w:p w14:paraId="21689AC1" w14:textId="202378D5" w:rsidR="003B16B6" w:rsidRDefault="003B16B6" w:rsidP="002C5CBE">
            <w:pPr>
              <w:jc w:val="both"/>
              <w:rPr>
                <w:rFonts w:ascii="Arial" w:hAnsi="Arial" w:cs="Arial"/>
                <w:szCs w:val="24"/>
                <w:u w:val="single"/>
              </w:rPr>
            </w:pPr>
          </w:p>
          <w:p w14:paraId="45059D34" w14:textId="77777777" w:rsidR="003B16B6" w:rsidRPr="009C1F2A" w:rsidRDefault="003B16B6" w:rsidP="002C5CBE">
            <w:pPr>
              <w:jc w:val="both"/>
              <w:rPr>
                <w:rFonts w:ascii="Arial" w:hAnsi="Arial" w:cs="Arial"/>
                <w:szCs w:val="24"/>
                <w:u w:val="single"/>
              </w:rPr>
            </w:pPr>
            <w:r>
              <w:rPr>
                <w:rFonts w:ascii="Arial" w:hAnsi="Arial" w:cs="Arial"/>
                <w:szCs w:val="24"/>
                <w:u w:val="single"/>
              </w:rPr>
              <w:t>Use of the charity grievance processes</w:t>
            </w:r>
          </w:p>
          <w:p w14:paraId="036CAB7C" w14:textId="77777777" w:rsidR="003B16B6" w:rsidRPr="009C1F2A" w:rsidRDefault="003B16B6" w:rsidP="002C5CBE">
            <w:pPr>
              <w:jc w:val="both"/>
              <w:rPr>
                <w:rFonts w:ascii="Arial" w:hAnsi="Arial" w:cs="Arial"/>
                <w:szCs w:val="24"/>
              </w:rPr>
            </w:pPr>
          </w:p>
          <w:p w14:paraId="7AFB747B" w14:textId="0DBB12A5" w:rsidR="003B16B6" w:rsidRDefault="003B16B6" w:rsidP="002C5CBE">
            <w:pPr>
              <w:pStyle w:val="CommentText"/>
              <w:jc w:val="both"/>
              <w:rPr>
                <w:rFonts w:ascii="Arial" w:hAnsi="Arial" w:cs="Arial"/>
                <w:sz w:val="24"/>
                <w:szCs w:val="24"/>
              </w:rPr>
            </w:pPr>
            <w:r w:rsidRPr="009C1F2A">
              <w:rPr>
                <w:rFonts w:ascii="Arial" w:hAnsi="Arial" w:cs="Arial"/>
                <w:sz w:val="24"/>
                <w:szCs w:val="24"/>
              </w:rPr>
              <w:t xml:space="preserve">There </w:t>
            </w:r>
            <w:r w:rsidR="000C0C19">
              <w:rPr>
                <w:rFonts w:ascii="Arial" w:hAnsi="Arial" w:cs="Arial"/>
                <w:sz w:val="24"/>
                <w:szCs w:val="24"/>
              </w:rPr>
              <w:t>w</w:t>
            </w:r>
            <w:r w:rsidR="004B4B6C">
              <w:rPr>
                <w:rFonts w:ascii="Arial" w:hAnsi="Arial" w:cs="Arial"/>
                <w:sz w:val="24"/>
                <w:szCs w:val="24"/>
              </w:rPr>
              <w:t>ere</w:t>
            </w:r>
            <w:r w:rsidR="000C0C19">
              <w:rPr>
                <w:rFonts w:ascii="Arial" w:hAnsi="Arial" w:cs="Arial"/>
                <w:sz w:val="24"/>
                <w:szCs w:val="24"/>
              </w:rPr>
              <w:t xml:space="preserve"> </w:t>
            </w:r>
            <w:r w:rsidR="004B4B6C">
              <w:rPr>
                <w:rFonts w:ascii="Arial" w:hAnsi="Arial" w:cs="Arial"/>
                <w:sz w:val="24"/>
                <w:szCs w:val="24"/>
              </w:rPr>
              <w:t>no</w:t>
            </w:r>
            <w:r>
              <w:rPr>
                <w:rFonts w:ascii="Arial" w:hAnsi="Arial" w:cs="Arial"/>
                <w:sz w:val="24"/>
                <w:szCs w:val="24"/>
              </w:rPr>
              <w:t xml:space="preserve"> new </w:t>
            </w:r>
            <w:r w:rsidRPr="009C1F2A">
              <w:rPr>
                <w:rFonts w:ascii="Arial" w:hAnsi="Arial" w:cs="Arial"/>
                <w:sz w:val="24"/>
                <w:szCs w:val="24"/>
              </w:rPr>
              <w:t>matter</w:t>
            </w:r>
            <w:r w:rsidR="004B4B6C">
              <w:rPr>
                <w:rFonts w:ascii="Arial" w:hAnsi="Arial" w:cs="Arial"/>
                <w:sz w:val="24"/>
                <w:szCs w:val="24"/>
              </w:rPr>
              <w:t>s</w:t>
            </w:r>
            <w:r w:rsidRPr="009C1F2A">
              <w:rPr>
                <w:rFonts w:ascii="Arial" w:hAnsi="Arial" w:cs="Arial"/>
                <w:sz w:val="24"/>
                <w:szCs w:val="24"/>
              </w:rPr>
              <w:t xml:space="preserve"> </w:t>
            </w:r>
            <w:r>
              <w:rPr>
                <w:rFonts w:ascii="Arial" w:hAnsi="Arial" w:cs="Arial"/>
                <w:sz w:val="24"/>
                <w:szCs w:val="24"/>
              </w:rPr>
              <w:t>received</w:t>
            </w:r>
            <w:r w:rsidRPr="009C1F2A">
              <w:rPr>
                <w:rFonts w:ascii="Arial" w:hAnsi="Arial" w:cs="Arial"/>
                <w:sz w:val="24"/>
                <w:szCs w:val="24"/>
              </w:rPr>
              <w:t xml:space="preserve"> under the chari</w:t>
            </w:r>
            <w:r>
              <w:rPr>
                <w:rFonts w:ascii="Arial" w:hAnsi="Arial" w:cs="Arial"/>
                <w:sz w:val="24"/>
                <w:szCs w:val="24"/>
              </w:rPr>
              <w:t>ty’s grievance procedure in Q</w:t>
            </w:r>
            <w:r w:rsidR="004B4B6C">
              <w:rPr>
                <w:rFonts w:ascii="Arial" w:hAnsi="Arial" w:cs="Arial"/>
                <w:sz w:val="24"/>
                <w:szCs w:val="24"/>
              </w:rPr>
              <w:t>2</w:t>
            </w:r>
            <w:r w:rsidR="00E52812">
              <w:rPr>
                <w:rFonts w:ascii="Arial" w:hAnsi="Arial" w:cs="Arial"/>
                <w:sz w:val="24"/>
                <w:szCs w:val="24"/>
              </w:rPr>
              <w:t>-</w:t>
            </w:r>
            <w:r w:rsidR="000C0C19">
              <w:rPr>
                <w:rFonts w:ascii="Arial" w:hAnsi="Arial" w:cs="Arial"/>
                <w:sz w:val="24"/>
                <w:szCs w:val="24"/>
              </w:rPr>
              <w:t>2020/21</w:t>
            </w:r>
            <w:r>
              <w:rPr>
                <w:rFonts w:ascii="Arial" w:hAnsi="Arial" w:cs="Arial"/>
                <w:sz w:val="24"/>
                <w:szCs w:val="24"/>
              </w:rPr>
              <w:t xml:space="preserve">. </w:t>
            </w:r>
          </w:p>
          <w:p w14:paraId="1BB09AFB" w14:textId="77777777" w:rsidR="003B16B6" w:rsidRDefault="003B16B6" w:rsidP="002C5CBE">
            <w:pPr>
              <w:jc w:val="both"/>
              <w:rPr>
                <w:rFonts w:ascii="Arial" w:hAnsi="Arial" w:cs="Arial"/>
                <w:szCs w:val="24"/>
                <w:u w:val="single"/>
              </w:rPr>
            </w:pPr>
          </w:p>
          <w:p w14:paraId="6136523E" w14:textId="77777777" w:rsidR="003B16B6" w:rsidRPr="00C8333C" w:rsidRDefault="003B16B6" w:rsidP="002C5CBE">
            <w:pPr>
              <w:jc w:val="both"/>
              <w:rPr>
                <w:rFonts w:ascii="Arial" w:hAnsi="Arial" w:cs="Arial"/>
                <w:szCs w:val="24"/>
                <w:u w:val="single"/>
              </w:rPr>
            </w:pPr>
            <w:r w:rsidRPr="00C8333C">
              <w:rPr>
                <w:rFonts w:ascii="Arial" w:hAnsi="Arial" w:cs="Arial"/>
                <w:szCs w:val="24"/>
                <w:u w:val="single"/>
              </w:rPr>
              <w:t>Harassment</w:t>
            </w:r>
          </w:p>
          <w:p w14:paraId="7BFE042A" w14:textId="77777777" w:rsidR="003B16B6" w:rsidRPr="009C1F2A" w:rsidRDefault="003B16B6" w:rsidP="002C5CBE">
            <w:pPr>
              <w:jc w:val="both"/>
              <w:rPr>
                <w:rFonts w:ascii="Arial" w:hAnsi="Arial" w:cs="Arial"/>
                <w:b/>
                <w:szCs w:val="24"/>
              </w:rPr>
            </w:pPr>
          </w:p>
          <w:p w14:paraId="5AF2B1D2" w14:textId="10EEDD73" w:rsidR="003B16B6" w:rsidRDefault="003B16B6" w:rsidP="002C5CBE">
            <w:pPr>
              <w:jc w:val="both"/>
              <w:rPr>
                <w:rFonts w:ascii="Arial" w:hAnsi="Arial" w:cs="Arial"/>
                <w:szCs w:val="24"/>
              </w:rPr>
            </w:pPr>
            <w:r w:rsidRPr="009C1F2A">
              <w:rPr>
                <w:rFonts w:ascii="Arial" w:hAnsi="Arial" w:cs="Arial"/>
                <w:szCs w:val="24"/>
              </w:rPr>
              <w:t>There were no harassment issues raised during Q</w:t>
            </w:r>
            <w:r w:rsidR="00A83178">
              <w:rPr>
                <w:rFonts w:ascii="Arial" w:hAnsi="Arial" w:cs="Arial"/>
                <w:szCs w:val="24"/>
              </w:rPr>
              <w:t>2</w:t>
            </w:r>
            <w:r w:rsidR="00E52812">
              <w:rPr>
                <w:rFonts w:ascii="Arial" w:hAnsi="Arial" w:cs="Arial"/>
                <w:szCs w:val="24"/>
              </w:rPr>
              <w:t>-</w:t>
            </w:r>
            <w:r w:rsidR="000C0C19">
              <w:rPr>
                <w:rFonts w:ascii="Arial" w:hAnsi="Arial" w:cs="Arial"/>
                <w:szCs w:val="24"/>
              </w:rPr>
              <w:t>2020/21</w:t>
            </w:r>
            <w:r w:rsidRPr="009C1F2A">
              <w:rPr>
                <w:rFonts w:ascii="Arial" w:hAnsi="Arial" w:cs="Arial"/>
                <w:szCs w:val="24"/>
              </w:rPr>
              <w:t>.</w:t>
            </w:r>
          </w:p>
          <w:p w14:paraId="2B9CBB27" w14:textId="77777777" w:rsidR="003B16B6" w:rsidRPr="00835331" w:rsidRDefault="003B16B6" w:rsidP="002C5CBE">
            <w:pPr>
              <w:jc w:val="both"/>
              <w:rPr>
                <w:rFonts w:ascii="Arial" w:hAnsi="Arial" w:cs="Arial"/>
                <w:szCs w:val="24"/>
              </w:rPr>
            </w:pPr>
          </w:p>
        </w:tc>
      </w:tr>
      <w:tr w:rsidR="003B16B6" w:rsidRPr="007214D1" w14:paraId="17008541" w14:textId="77777777" w:rsidTr="00835331">
        <w:trPr>
          <w:trHeight w:val="80"/>
        </w:trPr>
        <w:tc>
          <w:tcPr>
            <w:tcW w:w="959" w:type="dxa"/>
          </w:tcPr>
          <w:p w14:paraId="2EC68DE5" w14:textId="77777777" w:rsidR="003B16B6" w:rsidRDefault="003B16B6" w:rsidP="003B16B6">
            <w:pPr>
              <w:rPr>
                <w:rFonts w:ascii="Arial" w:hAnsi="Arial" w:cs="Arial"/>
                <w:szCs w:val="24"/>
              </w:rPr>
            </w:pPr>
            <w:r>
              <w:rPr>
                <w:rFonts w:ascii="Arial" w:hAnsi="Arial" w:cs="Arial"/>
                <w:szCs w:val="24"/>
              </w:rPr>
              <w:t>3.7</w:t>
            </w:r>
          </w:p>
          <w:p w14:paraId="123E4B15" w14:textId="77777777" w:rsidR="003B16B6" w:rsidRDefault="003B16B6" w:rsidP="003B16B6">
            <w:pPr>
              <w:rPr>
                <w:rFonts w:ascii="Arial" w:hAnsi="Arial" w:cs="Arial"/>
                <w:szCs w:val="24"/>
              </w:rPr>
            </w:pPr>
          </w:p>
          <w:p w14:paraId="7AD323A4" w14:textId="77777777" w:rsidR="003B16B6" w:rsidRDefault="003B16B6" w:rsidP="003B16B6">
            <w:pPr>
              <w:rPr>
                <w:rFonts w:ascii="Arial" w:hAnsi="Arial" w:cs="Arial"/>
                <w:szCs w:val="24"/>
              </w:rPr>
            </w:pPr>
            <w:r>
              <w:rPr>
                <w:rFonts w:ascii="Arial" w:hAnsi="Arial" w:cs="Arial"/>
                <w:szCs w:val="24"/>
              </w:rPr>
              <w:t>3.7.1</w:t>
            </w:r>
          </w:p>
          <w:p w14:paraId="110B4191" w14:textId="77777777" w:rsidR="003B16B6" w:rsidRDefault="003B16B6" w:rsidP="003B16B6">
            <w:pPr>
              <w:rPr>
                <w:rFonts w:ascii="Arial" w:hAnsi="Arial" w:cs="Arial"/>
                <w:szCs w:val="24"/>
              </w:rPr>
            </w:pPr>
          </w:p>
          <w:p w14:paraId="77DF1C3B" w14:textId="77777777" w:rsidR="003B16B6" w:rsidRDefault="003B16B6" w:rsidP="003B16B6">
            <w:pPr>
              <w:rPr>
                <w:rFonts w:ascii="Arial" w:hAnsi="Arial" w:cs="Arial"/>
                <w:szCs w:val="24"/>
              </w:rPr>
            </w:pPr>
          </w:p>
          <w:p w14:paraId="454B0B5B" w14:textId="77777777" w:rsidR="003B16B6" w:rsidRDefault="003B16B6" w:rsidP="003B16B6">
            <w:pPr>
              <w:rPr>
                <w:rFonts w:ascii="Arial" w:hAnsi="Arial" w:cs="Arial"/>
                <w:szCs w:val="24"/>
              </w:rPr>
            </w:pPr>
          </w:p>
          <w:p w14:paraId="6AFF68B7" w14:textId="77777777" w:rsidR="003B16B6" w:rsidRDefault="003B16B6" w:rsidP="003B16B6">
            <w:pPr>
              <w:rPr>
                <w:rFonts w:ascii="Arial" w:hAnsi="Arial" w:cs="Arial"/>
                <w:szCs w:val="24"/>
              </w:rPr>
            </w:pPr>
          </w:p>
          <w:p w14:paraId="63611955" w14:textId="29CB4732" w:rsidR="003B16B6" w:rsidRDefault="003B16B6" w:rsidP="003B16B6">
            <w:pPr>
              <w:rPr>
                <w:rFonts w:ascii="Arial" w:hAnsi="Arial" w:cs="Arial"/>
                <w:szCs w:val="24"/>
              </w:rPr>
            </w:pPr>
            <w:r>
              <w:rPr>
                <w:rFonts w:ascii="Arial" w:hAnsi="Arial" w:cs="Arial"/>
                <w:szCs w:val="24"/>
              </w:rPr>
              <w:t>3.7.2</w:t>
            </w:r>
          </w:p>
          <w:p w14:paraId="1F15BE9A" w14:textId="77777777" w:rsidR="003B16B6" w:rsidRDefault="003B16B6" w:rsidP="003B16B6">
            <w:pPr>
              <w:rPr>
                <w:rFonts w:ascii="Arial" w:hAnsi="Arial" w:cs="Arial"/>
                <w:szCs w:val="24"/>
              </w:rPr>
            </w:pPr>
          </w:p>
          <w:p w14:paraId="203DE2EE" w14:textId="77777777" w:rsidR="003B16B6" w:rsidRDefault="003B16B6" w:rsidP="003B16B6">
            <w:pPr>
              <w:rPr>
                <w:rFonts w:ascii="Arial" w:hAnsi="Arial" w:cs="Arial"/>
                <w:szCs w:val="24"/>
              </w:rPr>
            </w:pPr>
          </w:p>
          <w:p w14:paraId="013774CB" w14:textId="77777777" w:rsidR="003B16B6" w:rsidRDefault="003B16B6" w:rsidP="003B16B6">
            <w:pPr>
              <w:rPr>
                <w:rFonts w:ascii="Arial" w:hAnsi="Arial" w:cs="Arial"/>
                <w:szCs w:val="24"/>
              </w:rPr>
            </w:pPr>
          </w:p>
          <w:p w14:paraId="4788494A" w14:textId="77777777" w:rsidR="003B16B6" w:rsidRDefault="003B16B6" w:rsidP="003B16B6">
            <w:pPr>
              <w:rPr>
                <w:rFonts w:ascii="Arial" w:hAnsi="Arial" w:cs="Arial"/>
                <w:szCs w:val="24"/>
              </w:rPr>
            </w:pPr>
          </w:p>
          <w:p w14:paraId="527088E7" w14:textId="77777777" w:rsidR="003B16B6" w:rsidRDefault="003B16B6" w:rsidP="003B16B6">
            <w:pPr>
              <w:rPr>
                <w:rFonts w:ascii="Arial" w:hAnsi="Arial" w:cs="Arial"/>
                <w:szCs w:val="24"/>
              </w:rPr>
            </w:pPr>
          </w:p>
          <w:p w14:paraId="4240F63C" w14:textId="77777777" w:rsidR="003B16B6" w:rsidRDefault="003B16B6" w:rsidP="003B16B6">
            <w:pPr>
              <w:rPr>
                <w:rFonts w:ascii="Arial" w:hAnsi="Arial" w:cs="Arial"/>
                <w:szCs w:val="24"/>
              </w:rPr>
            </w:pPr>
          </w:p>
        </w:tc>
        <w:tc>
          <w:tcPr>
            <w:tcW w:w="8505" w:type="dxa"/>
          </w:tcPr>
          <w:p w14:paraId="5133405A" w14:textId="77777777" w:rsidR="003B16B6" w:rsidRPr="00265F13" w:rsidRDefault="003B16B6" w:rsidP="002C5CBE">
            <w:pPr>
              <w:jc w:val="both"/>
              <w:rPr>
                <w:rFonts w:ascii="Arial" w:hAnsi="Arial" w:cs="Arial"/>
                <w:szCs w:val="24"/>
                <w:u w:val="single"/>
              </w:rPr>
            </w:pPr>
            <w:r w:rsidRPr="00265F13">
              <w:rPr>
                <w:rFonts w:ascii="Arial" w:hAnsi="Arial" w:cs="Arial"/>
                <w:szCs w:val="24"/>
                <w:u w:val="single"/>
              </w:rPr>
              <w:t xml:space="preserve">Employee relations </w:t>
            </w:r>
          </w:p>
          <w:p w14:paraId="36388D65" w14:textId="77777777" w:rsidR="003B16B6" w:rsidRDefault="003B16B6" w:rsidP="002C5CBE">
            <w:pPr>
              <w:jc w:val="both"/>
              <w:rPr>
                <w:rFonts w:ascii="Arial" w:hAnsi="Arial" w:cs="Arial"/>
                <w:szCs w:val="24"/>
              </w:rPr>
            </w:pPr>
          </w:p>
          <w:p w14:paraId="32952738" w14:textId="680E9B4E" w:rsidR="003B16B6" w:rsidRDefault="003B16B6" w:rsidP="002C5CBE">
            <w:pPr>
              <w:jc w:val="both"/>
              <w:rPr>
                <w:rFonts w:ascii="Arial" w:hAnsi="Arial" w:cs="Arial"/>
                <w:szCs w:val="24"/>
              </w:rPr>
            </w:pPr>
            <w:r>
              <w:rPr>
                <w:rFonts w:ascii="Arial" w:hAnsi="Arial" w:cs="Arial"/>
                <w:szCs w:val="24"/>
              </w:rPr>
              <w:t xml:space="preserve">The Charity has engaged with the four Trade Unions (TUs) representing members within the organisation, namely Unison, Unite, GMB and EIS.  The Charity deals with the TUs formally through the Joint Consultation Forum (JCF) which </w:t>
            </w:r>
            <w:r w:rsidR="002962A5">
              <w:rPr>
                <w:rFonts w:ascii="Arial" w:hAnsi="Arial" w:cs="Arial"/>
                <w:szCs w:val="24"/>
              </w:rPr>
              <w:t>met on 17 September 2020</w:t>
            </w:r>
            <w:r w:rsidR="000C0C19">
              <w:rPr>
                <w:rFonts w:ascii="Arial" w:hAnsi="Arial" w:cs="Arial"/>
                <w:szCs w:val="24"/>
              </w:rPr>
              <w:t xml:space="preserve">. </w:t>
            </w:r>
          </w:p>
          <w:p w14:paraId="1F0E6CC8" w14:textId="77777777" w:rsidR="003B16B6" w:rsidRDefault="003B16B6" w:rsidP="002C5CBE">
            <w:pPr>
              <w:jc w:val="both"/>
              <w:rPr>
                <w:rFonts w:ascii="Arial" w:hAnsi="Arial" w:cs="Arial"/>
                <w:szCs w:val="24"/>
              </w:rPr>
            </w:pPr>
          </w:p>
          <w:p w14:paraId="5C4F2DC4" w14:textId="6B029B2C" w:rsidR="000C0C19" w:rsidRDefault="002962A5" w:rsidP="002C5CBE">
            <w:pPr>
              <w:jc w:val="both"/>
              <w:rPr>
                <w:rFonts w:ascii="Arial" w:hAnsi="Arial" w:cs="Arial"/>
                <w:szCs w:val="24"/>
              </w:rPr>
            </w:pPr>
            <w:r>
              <w:rPr>
                <w:rFonts w:ascii="Arial" w:hAnsi="Arial" w:cs="Arial"/>
                <w:szCs w:val="24"/>
              </w:rPr>
              <w:t>Discussions included:</w:t>
            </w:r>
          </w:p>
          <w:p w14:paraId="30C37035" w14:textId="77777777" w:rsidR="000F534E" w:rsidRDefault="000F534E" w:rsidP="00D255F5">
            <w:pPr>
              <w:jc w:val="both"/>
              <w:rPr>
                <w:rFonts w:ascii="Arial" w:hAnsi="Arial" w:cs="Arial"/>
                <w:szCs w:val="24"/>
              </w:rPr>
            </w:pPr>
          </w:p>
          <w:p w14:paraId="5F6D858B" w14:textId="6E192E90" w:rsidR="002962A5" w:rsidRDefault="002962A5"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HLH Financial Position</w:t>
            </w:r>
            <w:r w:rsidR="00066820">
              <w:rPr>
                <w:rFonts w:ascii="Arial" w:hAnsi="Arial" w:cs="Arial"/>
                <w:sz w:val="24"/>
                <w:szCs w:val="24"/>
              </w:rPr>
              <w:t>;</w:t>
            </w:r>
          </w:p>
          <w:p w14:paraId="166FD0B3" w14:textId="66B60FFA" w:rsidR="002962A5" w:rsidRDefault="0064363A"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c</w:t>
            </w:r>
            <w:r w:rsidR="002962A5">
              <w:rPr>
                <w:rFonts w:ascii="Arial" w:hAnsi="Arial" w:cs="Arial"/>
                <w:sz w:val="24"/>
                <w:szCs w:val="24"/>
              </w:rPr>
              <w:t>hanges to Terms and Conditions effective from 1 August 2020 on all new contracts</w:t>
            </w:r>
            <w:r w:rsidR="00066820">
              <w:rPr>
                <w:rFonts w:ascii="Arial" w:hAnsi="Arial" w:cs="Arial"/>
                <w:sz w:val="24"/>
                <w:szCs w:val="24"/>
              </w:rPr>
              <w:t>;</w:t>
            </w:r>
          </w:p>
          <w:p w14:paraId="7EC584DA" w14:textId="36D2D3B8" w:rsidR="002962A5" w:rsidRDefault="0064363A"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s</w:t>
            </w:r>
            <w:r w:rsidR="002962A5">
              <w:rPr>
                <w:rFonts w:ascii="Arial" w:hAnsi="Arial" w:cs="Arial"/>
                <w:sz w:val="24"/>
                <w:szCs w:val="24"/>
              </w:rPr>
              <w:t>taff consultations undertaken during lockdown</w:t>
            </w:r>
            <w:r w:rsidR="00066820">
              <w:rPr>
                <w:rFonts w:ascii="Arial" w:hAnsi="Arial" w:cs="Arial"/>
                <w:sz w:val="24"/>
                <w:szCs w:val="24"/>
              </w:rPr>
              <w:t>;</w:t>
            </w:r>
          </w:p>
          <w:p w14:paraId="7E5172BC" w14:textId="142A94E9" w:rsidR="002962A5" w:rsidRDefault="0064363A"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r</w:t>
            </w:r>
            <w:r w:rsidR="002962A5">
              <w:rPr>
                <w:rFonts w:ascii="Arial" w:hAnsi="Arial" w:cs="Arial"/>
                <w:sz w:val="24"/>
                <w:szCs w:val="24"/>
              </w:rPr>
              <w:t>ecovery planning</w:t>
            </w:r>
            <w:r w:rsidR="00066820">
              <w:rPr>
                <w:rFonts w:ascii="Arial" w:hAnsi="Arial" w:cs="Arial"/>
                <w:sz w:val="24"/>
                <w:szCs w:val="24"/>
              </w:rPr>
              <w:t>;</w:t>
            </w:r>
          </w:p>
          <w:p w14:paraId="5197515C" w14:textId="3C3C5FAD" w:rsidR="002962A5" w:rsidRDefault="0064363A"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lastRenderedPageBreak/>
              <w:t>c</w:t>
            </w:r>
            <w:r w:rsidR="002962A5">
              <w:rPr>
                <w:rFonts w:ascii="Arial" w:hAnsi="Arial" w:cs="Arial"/>
                <w:sz w:val="24"/>
                <w:szCs w:val="24"/>
              </w:rPr>
              <w:t>hanges to working practices including blended working</w:t>
            </w:r>
            <w:r w:rsidR="00066820">
              <w:rPr>
                <w:rFonts w:ascii="Arial" w:hAnsi="Arial" w:cs="Arial"/>
                <w:sz w:val="24"/>
                <w:szCs w:val="24"/>
              </w:rPr>
              <w:t>;</w:t>
            </w:r>
            <w:r>
              <w:rPr>
                <w:rFonts w:ascii="Arial" w:hAnsi="Arial" w:cs="Arial"/>
                <w:sz w:val="24"/>
                <w:szCs w:val="24"/>
              </w:rPr>
              <w:t xml:space="preserve"> and</w:t>
            </w:r>
          </w:p>
          <w:p w14:paraId="33106507" w14:textId="0F868430" w:rsidR="003B16B6" w:rsidRPr="00066820" w:rsidRDefault="0064363A"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w</w:t>
            </w:r>
            <w:r w:rsidR="002962A5">
              <w:rPr>
                <w:rFonts w:ascii="Arial" w:hAnsi="Arial" w:cs="Arial"/>
                <w:sz w:val="24"/>
                <w:szCs w:val="24"/>
              </w:rPr>
              <w:t>elfare issues during the pandemic</w:t>
            </w:r>
            <w:r>
              <w:rPr>
                <w:rFonts w:ascii="Arial" w:hAnsi="Arial" w:cs="Arial"/>
                <w:sz w:val="24"/>
                <w:szCs w:val="24"/>
              </w:rPr>
              <w:t>.</w:t>
            </w:r>
          </w:p>
        </w:tc>
      </w:tr>
      <w:tr w:rsidR="003B16B6" w:rsidRPr="007214D1" w14:paraId="2DECBC8F" w14:textId="77777777" w:rsidTr="00835331">
        <w:trPr>
          <w:trHeight w:val="80"/>
        </w:trPr>
        <w:tc>
          <w:tcPr>
            <w:tcW w:w="959" w:type="dxa"/>
          </w:tcPr>
          <w:p w14:paraId="0A04BB93" w14:textId="77777777" w:rsidR="003B16B6" w:rsidRDefault="003B16B6" w:rsidP="003B16B6">
            <w:pPr>
              <w:rPr>
                <w:rFonts w:ascii="Arial" w:hAnsi="Arial" w:cs="Arial"/>
                <w:szCs w:val="24"/>
              </w:rPr>
            </w:pPr>
            <w:r>
              <w:rPr>
                <w:rFonts w:ascii="Arial" w:hAnsi="Arial" w:cs="Arial"/>
                <w:szCs w:val="24"/>
              </w:rPr>
              <w:lastRenderedPageBreak/>
              <w:t>3.7.3</w:t>
            </w:r>
          </w:p>
        </w:tc>
        <w:tc>
          <w:tcPr>
            <w:tcW w:w="8505" w:type="dxa"/>
          </w:tcPr>
          <w:p w14:paraId="729CA947" w14:textId="257E013C" w:rsidR="003B16B6" w:rsidRDefault="003B16B6" w:rsidP="002C5CBE">
            <w:pPr>
              <w:jc w:val="both"/>
              <w:rPr>
                <w:rFonts w:ascii="Arial" w:hAnsi="Arial" w:cs="Arial"/>
                <w:szCs w:val="24"/>
              </w:rPr>
            </w:pPr>
            <w:r w:rsidRPr="004438C9">
              <w:rPr>
                <w:rFonts w:ascii="Arial" w:hAnsi="Arial" w:cs="Arial"/>
                <w:szCs w:val="24"/>
              </w:rPr>
              <w:t>In addition, the</w:t>
            </w:r>
            <w:r>
              <w:rPr>
                <w:rFonts w:ascii="Arial" w:hAnsi="Arial" w:cs="Arial"/>
                <w:szCs w:val="24"/>
              </w:rPr>
              <w:t xml:space="preserve"> above</w:t>
            </w:r>
            <w:r w:rsidRPr="004438C9">
              <w:rPr>
                <w:rFonts w:ascii="Arial" w:hAnsi="Arial" w:cs="Arial"/>
                <w:szCs w:val="24"/>
              </w:rPr>
              <w:t xml:space="preserv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w:t>
            </w:r>
            <w:r>
              <w:rPr>
                <w:rFonts w:ascii="Arial" w:hAnsi="Arial" w:cs="Arial"/>
                <w:szCs w:val="24"/>
              </w:rPr>
              <w:t xml:space="preserve"> invited to</w:t>
            </w:r>
            <w:r w:rsidR="00066820">
              <w:rPr>
                <w:rFonts w:ascii="Arial" w:hAnsi="Arial" w:cs="Arial"/>
                <w:szCs w:val="24"/>
              </w:rPr>
              <w:t xml:space="preserve"> meet with the </w:t>
            </w:r>
            <w:r w:rsidR="0064363A">
              <w:rPr>
                <w:rFonts w:ascii="Arial" w:hAnsi="Arial" w:cs="Arial"/>
                <w:szCs w:val="24"/>
              </w:rPr>
              <w:t xml:space="preserve">Principal </w:t>
            </w:r>
            <w:r w:rsidR="00066820">
              <w:rPr>
                <w:rFonts w:ascii="Arial" w:hAnsi="Arial" w:cs="Arial"/>
                <w:szCs w:val="24"/>
              </w:rPr>
              <w:t>Estates Manager in the current absence of the</w:t>
            </w:r>
            <w:r w:rsidRPr="004438C9">
              <w:rPr>
                <w:rFonts w:ascii="Arial" w:hAnsi="Arial" w:cs="Arial"/>
                <w:szCs w:val="24"/>
              </w:rPr>
              <w:t xml:space="preserve"> staff Health and Safety </w:t>
            </w:r>
            <w:r w:rsidR="00066820">
              <w:rPr>
                <w:rFonts w:ascii="Arial" w:hAnsi="Arial" w:cs="Arial"/>
                <w:szCs w:val="24"/>
              </w:rPr>
              <w:t>Group</w:t>
            </w:r>
            <w:r w:rsidRPr="004438C9">
              <w:rPr>
                <w:rFonts w:ascii="Arial" w:hAnsi="Arial" w:cs="Arial"/>
                <w:szCs w:val="24"/>
              </w:rPr>
              <w:t>.</w:t>
            </w:r>
            <w:r>
              <w:rPr>
                <w:rFonts w:ascii="Arial" w:hAnsi="Arial" w:cs="Arial"/>
                <w:szCs w:val="24"/>
              </w:rPr>
              <w:t xml:space="preserve">  </w:t>
            </w:r>
          </w:p>
          <w:p w14:paraId="7F16EF71" w14:textId="77777777" w:rsidR="003B16B6" w:rsidDel="00C83D2B" w:rsidRDefault="003B16B6" w:rsidP="002C5CBE">
            <w:pPr>
              <w:jc w:val="both"/>
              <w:rPr>
                <w:rFonts w:ascii="Arial" w:eastAsia="Calibri" w:hAnsi="Arial" w:cs="Arial"/>
                <w:szCs w:val="24"/>
                <w:lang w:eastAsia="en-US"/>
              </w:rPr>
            </w:pPr>
          </w:p>
        </w:tc>
      </w:tr>
      <w:tr w:rsidR="003B16B6" w:rsidRPr="00DB7D86" w14:paraId="2E335571" w14:textId="77777777" w:rsidTr="00835331">
        <w:trPr>
          <w:trHeight w:val="80"/>
        </w:trPr>
        <w:tc>
          <w:tcPr>
            <w:tcW w:w="959" w:type="dxa"/>
          </w:tcPr>
          <w:p w14:paraId="6E0A9330" w14:textId="77777777" w:rsidR="003B16B6" w:rsidRDefault="003B16B6" w:rsidP="003B16B6">
            <w:pPr>
              <w:rPr>
                <w:rFonts w:ascii="Arial" w:hAnsi="Arial" w:cs="Arial"/>
                <w:szCs w:val="24"/>
              </w:rPr>
            </w:pPr>
            <w:r>
              <w:rPr>
                <w:rFonts w:ascii="Arial" w:hAnsi="Arial" w:cs="Arial"/>
                <w:szCs w:val="24"/>
              </w:rPr>
              <w:t>3.7.4</w:t>
            </w:r>
          </w:p>
          <w:p w14:paraId="26BD7F17" w14:textId="77777777" w:rsidR="003B16B6" w:rsidRDefault="003B16B6" w:rsidP="003B16B6">
            <w:pPr>
              <w:rPr>
                <w:rFonts w:ascii="Arial" w:hAnsi="Arial" w:cs="Arial"/>
                <w:szCs w:val="24"/>
              </w:rPr>
            </w:pPr>
          </w:p>
        </w:tc>
        <w:tc>
          <w:tcPr>
            <w:tcW w:w="8505" w:type="dxa"/>
          </w:tcPr>
          <w:p w14:paraId="4EC16980" w14:textId="77777777" w:rsidR="003B16B6" w:rsidRDefault="003B16B6" w:rsidP="002C5CBE">
            <w:pPr>
              <w:jc w:val="both"/>
              <w:rPr>
                <w:rFonts w:ascii="Arial" w:hAnsi="Arial" w:cs="Arial"/>
                <w:szCs w:val="24"/>
              </w:rPr>
            </w:pPr>
            <w:r>
              <w:rPr>
                <w:rFonts w:ascii="Arial" w:hAnsi="Arial" w:cs="Arial"/>
                <w:szCs w:val="24"/>
              </w:rPr>
              <w:t>Management and representatives of HR also discuss with the Trade Unions individual issues as and when required.</w:t>
            </w:r>
          </w:p>
          <w:p w14:paraId="6CF92CAA" w14:textId="77777777" w:rsidR="003B16B6" w:rsidRPr="001500BA" w:rsidRDefault="003B16B6" w:rsidP="002C5CBE">
            <w:pPr>
              <w:jc w:val="both"/>
              <w:rPr>
                <w:rFonts w:ascii="Arial" w:hAnsi="Arial" w:cs="Arial"/>
                <w:szCs w:val="24"/>
              </w:rPr>
            </w:pPr>
          </w:p>
        </w:tc>
      </w:tr>
      <w:tr w:rsidR="00A9526C" w:rsidRPr="00DB7D86" w14:paraId="50F4F3BB" w14:textId="77777777" w:rsidTr="00835331">
        <w:trPr>
          <w:trHeight w:val="80"/>
        </w:trPr>
        <w:tc>
          <w:tcPr>
            <w:tcW w:w="959" w:type="dxa"/>
          </w:tcPr>
          <w:p w14:paraId="466EBE34" w14:textId="7B3018A9"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.2</w:t>
            </w:r>
          </w:p>
        </w:tc>
        <w:tc>
          <w:tcPr>
            <w:tcW w:w="8505" w:type="dxa"/>
          </w:tcPr>
          <w:p w14:paraId="0429621D" w14:textId="77777777" w:rsidR="00A9526C" w:rsidRDefault="00A9526C" w:rsidP="00A9526C">
            <w:pPr>
              <w:jc w:val="both"/>
              <w:rPr>
                <w:rFonts w:ascii="Arial" w:hAnsi="Arial" w:cs="Arial"/>
                <w:b/>
                <w:szCs w:val="24"/>
              </w:rPr>
            </w:pPr>
            <w:r>
              <w:rPr>
                <w:rFonts w:ascii="Arial" w:hAnsi="Arial" w:cs="Arial"/>
                <w:b/>
                <w:szCs w:val="24"/>
              </w:rPr>
              <w:t>Status Review Group</w:t>
            </w:r>
          </w:p>
          <w:p w14:paraId="21839B99" w14:textId="35E74406" w:rsidR="00A9526C" w:rsidRPr="003D330B" w:rsidRDefault="00A9526C" w:rsidP="00A9526C">
            <w:pPr>
              <w:jc w:val="both"/>
              <w:rPr>
                <w:rFonts w:ascii="Arial" w:hAnsi="Arial" w:cs="Arial"/>
                <w:b/>
                <w:szCs w:val="24"/>
              </w:rPr>
            </w:pPr>
          </w:p>
        </w:tc>
      </w:tr>
      <w:tr w:rsidR="00A9526C" w:rsidRPr="00DB7D86" w14:paraId="283189E0" w14:textId="77777777" w:rsidTr="00835331">
        <w:trPr>
          <w:trHeight w:val="80"/>
        </w:trPr>
        <w:tc>
          <w:tcPr>
            <w:tcW w:w="959" w:type="dxa"/>
          </w:tcPr>
          <w:p w14:paraId="0AF6501F" w14:textId="4C2A2F54"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.2.1</w:t>
            </w:r>
          </w:p>
        </w:tc>
        <w:tc>
          <w:tcPr>
            <w:tcW w:w="8505" w:type="dxa"/>
          </w:tcPr>
          <w:p w14:paraId="5AC8BC17" w14:textId="60A55F8D" w:rsidR="00A9526C" w:rsidRDefault="002962A5" w:rsidP="00EA2A30">
            <w:pPr>
              <w:jc w:val="both"/>
              <w:rPr>
                <w:rFonts w:ascii="Arial" w:hAnsi="Arial" w:cs="Arial"/>
                <w:szCs w:val="24"/>
              </w:rPr>
            </w:pPr>
            <w:r>
              <w:rPr>
                <w:rFonts w:ascii="Arial" w:hAnsi="Arial" w:cs="Arial"/>
                <w:szCs w:val="24"/>
              </w:rPr>
              <w:t>The</w:t>
            </w:r>
            <w:r w:rsidR="00A9526C">
              <w:rPr>
                <w:rFonts w:ascii="Arial" w:hAnsi="Arial" w:cs="Arial"/>
                <w:szCs w:val="24"/>
              </w:rPr>
              <w:t xml:space="preserve"> Status Review Group (SRG)</w:t>
            </w:r>
            <w:r>
              <w:rPr>
                <w:rFonts w:ascii="Arial" w:hAnsi="Arial" w:cs="Arial"/>
                <w:szCs w:val="24"/>
              </w:rPr>
              <w:t xml:space="preserve"> continues to</w:t>
            </w:r>
            <w:r w:rsidR="00A9526C">
              <w:rPr>
                <w:rFonts w:ascii="Arial" w:hAnsi="Arial" w:cs="Arial"/>
                <w:szCs w:val="24"/>
              </w:rPr>
              <w:t xml:space="preserve"> </w:t>
            </w:r>
            <w:r>
              <w:rPr>
                <w:rFonts w:ascii="Arial" w:hAnsi="Arial" w:cs="Arial"/>
                <w:szCs w:val="24"/>
              </w:rPr>
              <w:t xml:space="preserve">meet on a weekly basis </w:t>
            </w:r>
            <w:r w:rsidR="00A9526C">
              <w:rPr>
                <w:rFonts w:ascii="Arial" w:hAnsi="Arial" w:cs="Arial"/>
                <w:szCs w:val="24"/>
              </w:rPr>
              <w:t>to provide a platform to review:</w:t>
            </w:r>
          </w:p>
          <w:p w14:paraId="034774E8" w14:textId="77777777" w:rsidR="00A9526C" w:rsidRDefault="00A9526C" w:rsidP="00D255F5">
            <w:pPr>
              <w:jc w:val="both"/>
              <w:rPr>
                <w:rFonts w:ascii="Arial" w:hAnsi="Arial" w:cs="Arial"/>
                <w:szCs w:val="24"/>
              </w:rPr>
            </w:pPr>
          </w:p>
          <w:p w14:paraId="2878323D" w14:textId="52F49E37" w:rsidR="00A9526C" w:rsidRPr="00632408" w:rsidRDefault="00A9526C" w:rsidP="00D255F5">
            <w:pPr>
              <w:pStyle w:val="ListParagraph"/>
              <w:numPr>
                <w:ilvl w:val="0"/>
                <w:numId w:val="3"/>
              </w:numPr>
              <w:spacing w:line="240" w:lineRule="auto"/>
              <w:ind w:left="495" w:hanging="426"/>
              <w:jc w:val="both"/>
              <w:rPr>
                <w:rFonts w:ascii="Arial" w:hAnsi="Arial" w:cs="Arial"/>
                <w:sz w:val="24"/>
                <w:szCs w:val="24"/>
              </w:rPr>
            </w:pPr>
            <w:r w:rsidRPr="00632408">
              <w:rPr>
                <w:rFonts w:ascii="Arial" w:hAnsi="Arial" w:cs="Arial"/>
                <w:sz w:val="24"/>
                <w:szCs w:val="24"/>
              </w:rPr>
              <w:t>any claims from relief staff regarding their employment status with HL</w:t>
            </w:r>
            <w:r w:rsidR="0064363A">
              <w:rPr>
                <w:rFonts w:ascii="Arial" w:hAnsi="Arial" w:cs="Arial"/>
                <w:sz w:val="24"/>
                <w:szCs w:val="24"/>
              </w:rPr>
              <w:t>H</w:t>
            </w:r>
          </w:p>
          <w:p w14:paraId="01469A11" w14:textId="64EC1C70" w:rsidR="00A9526C" w:rsidRPr="00632408" w:rsidRDefault="00A9526C" w:rsidP="00D255F5">
            <w:pPr>
              <w:pStyle w:val="ListParagraph"/>
              <w:numPr>
                <w:ilvl w:val="0"/>
                <w:numId w:val="3"/>
              </w:numPr>
              <w:spacing w:line="240" w:lineRule="auto"/>
              <w:ind w:left="495" w:hanging="426"/>
              <w:jc w:val="both"/>
              <w:rPr>
                <w:rFonts w:ascii="Arial" w:hAnsi="Arial" w:cs="Arial"/>
                <w:sz w:val="24"/>
                <w:szCs w:val="24"/>
              </w:rPr>
            </w:pPr>
            <w:r w:rsidRPr="00632408">
              <w:rPr>
                <w:rFonts w:ascii="Arial" w:hAnsi="Arial" w:cs="Arial"/>
                <w:sz w:val="24"/>
                <w:szCs w:val="24"/>
              </w:rPr>
              <w:t>internal vacancy recruitment</w:t>
            </w:r>
          </w:p>
          <w:p w14:paraId="266C6A2A" w14:textId="4FF7BF41" w:rsidR="00A9526C" w:rsidRPr="00632408" w:rsidRDefault="00A9526C" w:rsidP="00D255F5">
            <w:pPr>
              <w:pStyle w:val="ListParagraph"/>
              <w:numPr>
                <w:ilvl w:val="0"/>
                <w:numId w:val="3"/>
              </w:numPr>
              <w:spacing w:line="240" w:lineRule="auto"/>
              <w:ind w:left="495" w:hanging="426"/>
              <w:jc w:val="both"/>
              <w:rPr>
                <w:rFonts w:ascii="Arial" w:hAnsi="Arial" w:cs="Arial"/>
                <w:szCs w:val="24"/>
              </w:rPr>
            </w:pPr>
            <w:r w:rsidRPr="00632408">
              <w:rPr>
                <w:rFonts w:ascii="Arial" w:hAnsi="Arial" w:cs="Arial"/>
                <w:sz w:val="24"/>
                <w:szCs w:val="24"/>
              </w:rPr>
              <w:t>changes to the establishment.</w:t>
            </w:r>
          </w:p>
        </w:tc>
      </w:tr>
      <w:tr w:rsidR="00A9526C" w:rsidRPr="00DB7D86" w14:paraId="31B9112A" w14:textId="77777777" w:rsidTr="00835331">
        <w:trPr>
          <w:trHeight w:val="80"/>
        </w:trPr>
        <w:tc>
          <w:tcPr>
            <w:tcW w:w="959" w:type="dxa"/>
          </w:tcPr>
          <w:p w14:paraId="7817B238" w14:textId="3B209EDF"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.2.2</w:t>
            </w:r>
          </w:p>
        </w:tc>
        <w:tc>
          <w:tcPr>
            <w:tcW w:w="8505" w:type="dxa"/>
          </w:tcPr>
          <w:p w14:paraId="2CEA5C64" w14:textId="13FDC507" w:rsidR="00A9526C" w:rsidRDefault="00A9526C" w:rsidP="00A9526C">
            <w:pPr>
              <w:jc w:val="both"/>
              <w:rPr>
                <w:rFonts w:ascii="Arial" w:hAnsi="Arial" w:cs="Arial"/>
                <w:szCs w:val="24"/>
              </w:rPr>
            </w:pPr>
            <w:r>
              <w:rPr>
                <w:rFonts w:ascii="Arial" w:hAnsi="Arial" w:cs="Arial"/>
                <w:szCs w:val="24"/>
              </w:rPr>
              <w:t>The SRG consist</w:t>
            </w:r>
            <w:r w:rsidR="0064363A">
              <w:rPr>
                <w:rFonts w:ascii="Arial" w:hAnsi="Arial" w:cs="Arial"/>
                <w:szCs w:val="24"/>
              </w:rPr>
              <w:t xml:space="preserve">s </w:t>
            </w:r>
            <w:r>
              <w:rPr>
                <w:rFonts w:ascii="Arial" w:hAnsi="Arial" w:cs="Arial"/>
                <w:szCs w:val="24"/>
              </w:rPr>
              <w:t>of the Director of Corporate Services (Sponsor), HR Manager, Principal Business Support Manager, Finance Manager and all Principal Managers for services.</w:t>
            </w:r>
          </w:p>
          <w:p w14:paraId="401CF392" w14:textId="0A3BA30A" w:rsidR="00A9526C" w:rsidRDefault="00A9526C" w:rsidP="00A9526C">
            <w:pPr>
              <w:jc w:val="both"/>
              <w:rPr>
                <w:rFonts w:ascii="Arial" w:hAnsi="Arial" w:cs="Arial"/>
                <w:szCs w:val="24"/>
              </w:rPr>
            </w:pPr>
          </w:p>
        </w:tc>
      </w:tr>
      <w:tr w:rsidR="002962A5" w:rsidRPr="00DB7D86" w14:paraId="3B950F10" w14:textId="77777777" w:rsidTr="00835331">
        <w:trPr>
          <w:trHeight w:val="80"/>
        </w:trPr>
        <w:tc>
          <w:tcPr>
            <w:tcW w:w="959" w:type="dxa"/>
          </w:tcPr>
          <w:p w14:paraId="5D4F91B5" w14:textId="77777777" w:rsidR="002962A5" w:rsidRDefault="002962A5" w:rsidP="00D255F5">
            <w:pPr>
              <w:rPr>
                <w:rFonts w:ascii="Arial" w:hAnsi="Arial" w:cs="Arial"/>
                <w:szCs w:val="24"/>
              </w:rPr>
            </w:pPr>
            <w:r>
              <w:rPr>
                <w:rFonts w:ascii="Arial" w:hAnsi="Arial" w:cs="Arial"/>
                <w:szCs w:val="24"/>
              </w:rPr>
              <w:t>4.2.3</w:t>
            </w:r>
          </w:p>
          <w:p w14:paraId="17C8EB08" w14:textId="77777777" w:rsidR="0064363A" w:rsidRDefault="0064363A" w:rsidP="00D255F5">
            <w:pPr>
              <w:rPr>
                <w:rFonts w:ascii="Arial" w:hAnsi="Arial" w:cs="Arial"/>
                <w:szCs w:val="24"/>
              </w:rPr>
            </w:pPr>
          </w:p>
          <w:p w14:paraId="58FE3614" w14:textId="77777777" w:rsidR="0064363A" w:rsidRDefault="0064363A" w:rsidP="00D255F5">
            <w:pPr>
              <w:rPr>
                <w:rFonts w:ascii="Arial" w:hAnsi="Arial" w:cs="Arial"/>
                <w:szCs w:val="24"/>
              </w:rPr>
            </w:pPr>
          </w:p>
          <w:p w14:paraId="24C672B8" w14:textId="77777777" w:rsidR="0064363A" w:rsidRDefault="0064363A" w:rsidP="00D255F5">
            <w:pPr>
              <w:rPr>
                <w:rFonts w:ascii="Arial" w:hAnsi="Arial" w:cs="Arial"/>
                <w:szCs w:val="24"/>
              </w:rPr>
            </w:pPr>
          </w:p>
          <w:p w14:paraId="66AA2255" w14:textId="77777777" w:rsidR="0064363A" w:rsidRDefault="0064363A" w:rsidP="00D255F5">
            <w:pPr>
              <w:rPr>
                <w:rFonts w:ascii="Arial" w:hAnsi="Arial" w:cs="Arial"/>
                <w:szCs w:val="24"/>
              </w:rPr>
            </w:pPr>
          </w:p>
          <w:p w14:paraId="59295DAE" w14:textId="77777777" w:rsidR="0064363A" w:rsidRDefault="0064363A" w:rsidP="00D255F5">
            <w:pPr>
              <w:rPr>
                <w:rFonts w:ascii="Arial" w:hAnsi="Arial" w:cs="Arial"/>
                <w:szCs w:val="24"/>
              </w:rPr>
            </w:pPr>
          </w:p>
          <w:p w14:paraId="070C4804" w14:textId="02A2649C" w:rsidR="0064363A" w:rsidRDefault="0064363A" w:rsidP="00D255F5">
            <w:pPr>
              <w:rPr>
                <w:rFonts w:ascii="Arial" w:hAnsi="Arial" w:cs="Arial"/>
                <w:szCs w:val="24"/>
              </w:rPr>
            </w:pPr>
          </w:p>
        </w:tc>
        <w:tc>
          <w:tcPr>
            <w:tcW w:w="8505" w:type="dxa"/>
          </w:tcPr>
          <w:p w14:paraId="43C87B8A" w14:textId="3744CE78" w:rsidR="00944BF2" w:rsidRDefault="002962A5" w:rsidP="00D255F5">
            <w:pPr>
              <w:jc w:val="both"/>
              <w:rPr>
                <w:rFonts w:ascii="Arial" w:eastAsiaTheme="minorHAnsi" w:hAnsi="Arial" w:cs="Arial"/>
                <w:szCs w:val="24"/>
                <w:lang w:eastAsia="en-US"/>
              </w:rPr>
            </w:pPr>
            <w:r>
              <w:rPr>
                <w:rFonts w:ascii="Arial" w:hAnsi="Arial" w:cs="Arial"/>
                <w:szCs w:val="24"/>
              </w:rPr>
              <w:t xml:space="preserve">In Quarter 2 the SRG considered </w:t>
            </w:r>
            <w:r w:rsidR="00944BF2" w:rsidRPr="00944BF2">
              <w:rPr>
                <w:rFonts w:ascii="Arial" w:eastAsiaTheme="minorHAnsi" w:hAnsi="Arial" w:cs="Arial"/>
                <w:szCs w:val="24"/>
                <w:lang w:eastAsia="en-US"/>
              </w:rPr>
              <w:t>130 requests falling within the categories listed above and of that, recommended for approval to WBM:</w:t>
            </w:r>
          </w:p>
          <w:p w14:paraId="65B1ADFA" w14:textId="77777777" w:rsidR="00066820" w:rsidRPr="00944BF2" w:rsidRDefault="00066820" w:rsidP="00D255F5">
            <w:pPr>
              <w:jc w:val="both"/>
              <w:rPr>
                <w:rFonts w:ascii="Arial" w:eastAsiaTheme="minorHAnsi" w:hAnsi="Arial" w:cs="Arial"/>
                <w:szCs w:val="24"/>
                <w:lang w:eastAsia="en-US"/>
              </w:rPr>
            </w:pPr>
          </w:p>
          <w:p w14:paraId="7D382B5B" w14:textId="00888AD3" w:rsidR="00944BF2" w:rsidRPr="00944BF2" w:rsidRDefault="00944BF2" w:rsidP="00D255F5">
            <w:pPr>
              <w:numPr>
                <w:ilvl w:val="0"/>
                <w:numId w:val="7"/>
              </w:numPr>
              <w:spacing w:after="200"/>
              <w:ind w:left="495" w:hanging="426"/>
              <w:contextualSpacing/>
              <w:jc w:val="both"/>
              <w:rPr>
                <w:rFonts w:ascii="Arial" w:eastAsiaTheme="minorHAnsi" w:hAnsi="Arial" w:cs="Arial"/>
                <w:szCs w:val="24"/>
                <w:lang w:eastAsia="en-US"/>
              </w:rPr>
            </w:pPr>
            <w:r w:rsidRPr="00944BF2">
              <w:rPr>
                <w:rFonts w:ascii="Arial" w:eastAsiaTheme="minorHAnsi" w:hAnsi="Arial" w:cs="Arial"/>
                <w:szCs w:val="24"/>
                <w:lang w:eastAsia="en-US"/>
              </w:rPr>
              <w:t>5</w:t>
            </w:r>
            <w:r>
              <w:rPr>
                <w:rFonts w:ascii="Arial" w:eastAsiaTheme="minorHAnsi" w:hAnsi="Arial" w:cs="Arial"/>
                <w:szCs w:val="24"/>
                <w:lang w:eastAsia="en-US"/>
              </w:rPr>
              <w:t xml:space="preserve">7 </w:t>
            </w:r>
            <w:r w:rsidRPr="00944BF2">
              <w:rPr>
                <w:rFonts w:ascii="Arial" w:eastAsiaTheme="minorHAnsi" w:hAnsi="Arial" w:cs="Arial"/>
                <w:szCs w:val="24"/>
                <w:lang w:eastAsia="en-US"/>
              </w:rPr>
              <w:t>changes to contract status (</w:t>
            </w:r>
            <w:proofErr w:type="spellStart"/>
            <w:r w:rsidRPr="00944BF2">
              <w:rPr>
                <w:rFonts w:ascii="Arial" w:eastAsiaTheme="minorHAnsi" w:hAnsi="Arial" w:cs="Arial"/>
                <w:szCs w:val="24"/>
                <w:lang w:eastAsia="en-US"/>
              </w:rPr>
              <w:t>ie</w:t>
            </w:r>
            <w:proofErr w:type="spellEnd"/>
            <w:r w:rsidRPr="00944BF2">
              <w:rPr>
                <w:rFonts w:ascii="Arial" w:eastAsiaTheme="minorHAnsi" w:hAnsi="Arial" w:cs="Arial"/>
                <w:szCs w:val="24"/>
                <w:lang w:eastAsia="en-US"/>
              </w:rPr>
              <w:t xml:space="preserve">. relief to contracted hours) </w:t>
            </w:r>
            <w:r>
              <w:rPr>
                <w:rFonts w:ascii="Arial" w:eastAsiaTheme="minorHAnsi" w:hAnsi="Arial" w:cs="Arial"/>
                <w:szCs w:val="24"/>
                <w:lang w:eastAsia="en-US"/>
              </w:rPr>
              <w:t xml:space="preserve">or the creation of additional posts (as detailed in </w:t>
            </w:r>
            <w:r w:rsidRPr="0064363A">
              <w:rPr>
                <w:rFonts w:ascii="Arial" w:eastAsiaTheme="minorHAnsi" w:hAnsi="Arial" w:cs="Arial"/>
                <w:b/>
                <w:bCs/>
                <w:szCs w:val="24"/>
                <w:lang w:eastAsia="en-US"/>
              </w:rPr>
              <w:t>Appendix A</w:t>
            </w:r>
            <w:r>
              <w:rPr>
                <w:rFonts w:ascii="Arial" w:eastAsiaTheme="minorHAnsi" w:hAnsi="Arial" w:cs="Arial"/>
                <w:szCs w:val="24"/>
                <w:lang w:eastAsia="en-US"/>
              </w:rPr>
              <w:t>)</w:t>
            </w:r>
          </w:p>
          <w:p w14:paraId="7D337ED1" w14:textId="1F264678" w:rsidR="002962A5" w:rsidRPr="000942D5" w:rsidRDefault="00944BF2" w:rsidP="00D255F5">
            <w:pPr>
              <w:numPr>
                <w:ilvl w:val="0"/>
                <w:numId w:val="7"/>
              </w:numPr>
              <w:spacing w:after="200"/>
              <w:ind w:left="495" w:hanging="426"/>
              <w:contextualSpacing/>
              <w:jc w:val="both"/>
              <w:rPr>
                <w:rFonts w:ascii="Arial" w:eastAsiaTheme="minorHAnsi" w:hAnsi="Arial" w:cs="Arial"/>
                <w:szCs w:val="24"/>
                <w:lang w:eastAsia="en-US"/>
              </w:rPr>
            </w:pPr>
            <w:r w:rsidRPr="00944BF2">
              <w:rPr>
                <w:rFonts w:ascii="Arial" w:eastAsiaTheme="minorHAnsi" w:hAnsi="Arial" w:cs="Arial"/>
                <w:szCs w:val="24"/>
                <w:lang w:eastAsia="en-US"/>
              </w:rPr>
              <w:t>63 internal vacancies to be advertised</w:t>
            </w:r>
            <w:r w:rsidR="000942D5">
              <w:rPr>
                <w:rFonts w:ascii="Arial" w:eastAsiaTheme="minorHAnsi" w:hAnsi="Arial" w:cs="Arial"/>
                <w:szCs w:val="24"/>
                <w:lang w:eastAsia="en-US"/>
              </w:rPr>
              <w:t>.</w:t>
            </w:r>
          </w:p>
        </w:tc>
      </w:tr>
      <w:tr w:rsidR="000942D5" w:rsidRPr="00717E7E" w14:paraId="60D8BDE1" w14:textId="77777777" w:rsidTr="00835331">
        <w:trPr>
          <w:trHeight w:val="80"/>
        </w:trPr>
        <w:tc>
          <w:tcPr>
            <w:tcW w:w="959" w:type="dxa"/>
          </w:tcPr>
          <w:p w14:paraId="686BAC20" w14:textId="21101FD8" w:rsidR="000942D5" w:rsidRPr="000942D5" w:rsidRDefault="000942D5" w:rsidP="00D255F5">
            <w:pPr>
              <w:rPr>
                <w:rFonts w:ascii="Arial" w:hAnsi="Arial" w:cs="Arial"/>
                <w:bCs/>
                <w:szCs w:val="24"/>
              </w:rPr>
            </w:pPr>
            <w:r w:rsidRPr="000942D5">
              <w:rPr>
                <w:rFonts w:ascii="Arial" w:hAnsi="Arial" w:cs="Arial"/>
                <w:bCs/>
                <w:szCs w:val="24"/>
              </w:rPr>
              <w:t>4.2.4</w:t>
            </w:r>
          </w:p>
        </w:tc>
        <w:tc>
          <w:tcPr>
            <w:tcW w:w="8505" w:type="dxa"/>
          </w:tcPr>
          <w:p w14:paraId="779EF689" w14:textId="77777777" w:rsidR="000942D5" w:rsidRPr="00944BF2" w:rsidRDefault="000942D5"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The positions adopted by the SRG are in line with the spirit of agreement with Unions during discussions around the management of the pandemic and the temporary collective agreement put in place at the original lockdown.</w:t>
            </w:r>
          </w:p>
          <w:p w14:paraId="05B7377F" w14:textId="77777777" w:rsidR="000942D5" w:rsidRPr="0017031E" w:rsidRDefault="000942D5" w:rsidP="00D255F5">
            <w:pPr>
              <w:jc w:val="both"/>
              <w:rPr>
                <w:rFonts w:ascii="Arial" w:hAnsi="Arial" w:cs="Arial"/>
                <w:b/>
                <w:szCs w:val="24"/>
              </w:rPr>
            </w:pPr>
          </w:p>
        </w:tc>
      </w:tr>
      <w:tr w:rsidR="00944BF2" w:rsidRPr="00717E7E" w14:paraId="218D62F2" w14:textId="77777777" w:rsidTr="00835331">
        <w:trPr>
          <w:trHeight w:val="80"/>
        </w:trPr>
        <w:tc>
          <w:tcPr>
            <w:tcW w:w="959" w:type="dxa"/>
          </w:tcPr>
          <w:p w14:paraId="17F1DBE4" w14:textId="34B4F22B" w:rsidR="00944BF2" w:rsidRPr="00FD39F5" w:rsidRDefault="00944BF2" w:rsidP="00944BF2">
            <w:pPr>
              <w:rPr>
                <w:rFonts w:ascii="Arial" w:hAnsi="Arial" w:cs="Arial"/>
                <w:b/>
                <w:szCs w:val="24"/>
              </w:rPr>
            </w:pPr>
            <w:r>
              <w:rPr>
                <w:rFonts w:ascii="Arial" w:hAnsi="Arial" w:cs="Arial"/>
                <w:b/>
                <w:szCs w:val="24"/>
              </w:rPr>
              <w:t>5</w:t>
            </w:r>
            <w:r w:rsidRPr="00FD39F5">
              <w:rPr>
                <w:rFonts w:ascii="Arial" w:hAnsi="Arial" w:cs="Arial"/>
                <w:b/>
                <w:szCs w:val="24"/>
              </w:rPr>
              <w:t>.</w:t>
            </w:r>
          </w:p>
          <w:p w14:paraId="5F14A5CB" w14:textId="56AF2380" w:rsidR="00944BF2" w:rsidRPr="00DB7D86" w:rsidRDefault="00944BF2" w:rsidP="00944BF2">
            <w:pPr>
              <w:rPr>
                <w:rFonts w:ascii="Arial" w:hAnsi="Arial" w:cs="Arial"/>
                <w:szCs w:val="24"/>
              </w:rPr>
            </w:pPr>
          </w:p>
        </w:tc>
        <w:tc>
          <w:tcPr>
            <w:tcW w:w="8505" w:type="dxa"/>
          </w:tcPr>
          <w:p w14:paraId="348D8402" w14:textId="77777777" w:rsidR="00944BF2" w:rsidRPr="0017031E" w:rsidRDefault="00944BF2" w:rsidP="00944BF2">
            <w:pPr>
              <w:jc w:val="both"/>
              <w:rPr>
                <w:rFonts w:ascii="Arial" w:hAnsi="Arial" w:cs="Arial"/>
                <w:b/>
                <w:szCs w:val="24"/>
              </w:rPr>
            </w:pPr>
            <w:r w:rsidRPr="0017031E">
              <w:rPr>
                <w:rFonts w:ascii="Arial" w:hAnsi="Arial" w:cs="Arial"/>
                <w:b/>
                <w:szCs w:val="24"/>
              </w:rPr>
              <w:t>Policies update</w:t>
            </w:r>
          </w:p>
          <w:p w14:paraId="25434A7D" w14:textId="1210B9E1" w:rsidR="00944BF2" w:rsidRPr="00DB7D86" w:rsidRDefault="00944BF2" w:rsidP="00944BF2">
            <w:pPr>
              <w:jc w:val="both"/>
              <w:rPr>
                <w:rFonts w:ascii="Arial" w:hAnsi="Arial" w:cs="Arial"/>
                <w:szCs w:val="24"/>
                <w:u w:val="single"/>
              </w:rPr>
            </w:pPr>
          </w:p>
        </w:tc>
      </w:tr>
      <w:tr w:rsidR="00944BF2" w:rsidRPr="00717E7E" w14:paraId="4F11A8E6" w14:textId="77777777" w:rsidTr="00835331">
        <w:trPr>
          <w:trHeight w:val="80"/>
        </w:trPr>
        <w:tc>
          <w:tcPr>
            <w:tcW w:w="959" w:type="dxa"/>
          </w:tcPr>
          <w:p w14:paraId="4819A6F8" w14:textId="534CB511" w:rsidR="00944BF2" w:rsidRPr="0064363A" w:rsidRDefault="00944BF2" w:rsidP="00944BF2">
            <w:pPr>
              <w:rPr>
                <w:rFonts w:ascii="Arial" w:hAnsi="Arial" w:cs="Arial"/>
                <w:bCs/>
                <w:szCs w:val="24"/>
              </w:rPr>
            </w:pPr>
            <w:r w:rsidRPr="0064363A">
              <w:rPr>
                <w:rFonts w:ascii="Arial" w:hAnsi="Arial" w:cs="Arial"/>
                <w:bCs/>
                <w:szCs w:val="24"/>
              </w:rPr>
              <w:t>5.1</w:t>
            </w:r>
          </w:p>
        </w:tc>
        <w:tc>
          <w:tcPr>
            <w:tcW w:w="8505" w:type="dxa"/>
          </w:tcPr>
          <w:p w14:paraId="1B1B49FD" w14:textId="788E6550" w:rsidR="00944BF2" w:rsidRPr="00066820" w:rsidRDefault="00944BF2" w:rsidP="0064363A">
            <w:pPr>
              <w:ind w:right="-103"/>
              <w:jc w:val="both"/>
              <w:rPr>
                <w:rFonts w:ascii="Arial" w:hAnsi="Arial" w:cs="Arial"/>
                <w:szCs w:val="24"/>
              </w:rPr>
            </w:pPr>
            <w:r w:rsidRPr="00066820">
              <w:rPr>
                <w:rFonts w:ascii="Arial" w:hAnsi="Arial" w:cs="Arial"/>
                <w:szCs w:val="24"/>
              </w:rPr>
              <w:t>The following policies have been considered in line with the review schedule:</w:t>
            </w:r>
          </w:p>
          <w:p w14:paraId="00F23B91" w14:textId="77777777" w:rsidR="00944BF2" w:rsidRPr="00066820" w:rsidRDefault="00944BF2" w:rsidP="0064363A">
            <w:pPr>
              <w:jc w:val="both"/>
              <w:rPr>
                <w:rFonts w:ascii="Arial" w:hAnsi="Arial" w:cs="Arial"/>
                <w:szCs w:val="24"/>
              </w:rPr>
            </w:pPr>
          </w:p>
          <w:p w14:paraId="1E47B1B0" w14:textId="37A42B42" w:rsidR="00A72F95" w:rsidRPr="00066820" w:rsidRDefault="00A72F95" w:rsidP="004724C6">
            <w:pPr>
              <w:pStyle w:val="ListParagraph"/>
              <w:numPr>
                <w:ilvl w:val="0"/>
                <w:numId w:val="9"/>
              </w:numPr>
              <w:spacing w:line="240" w:lineRule="auto"/>
              <w:ind w:left="352" w:hanging="352"/>
              <w:jc w:val="both"/>
              <w:rPr>
                <w:rFonts w:ascii="Arial" w:hAnsi="Arial" w:cs="Arial"/>
                <w:sz w:val="24"/>
                <w:szCs w:val="28"/>
              </w:rPr>
            </w:pPr>
            <w:r w:rsidRPr="00066820">
              <w:rPr>
                <w:rFonts w:ascii="Arial" w:hAnsi="Arial" w:cs="Arial"/>
                <w:sz w:val="24"/>
                <w:szCs w:val="28"/>
              </w:rPr>
              <w:t>Child and VA Protection Policy</w:t>
            </w:r>
            <w:r w:rsidR="00066820">
              <w:rPr>
                <w:rFonts w:ascii="Arial" w:hAnsi="Arial" w:cs="Arial"/>
                <w:sz w:val="24"/>
                <w:szCs w:val="28"/>
              </w:rPr>
              <w:t xml:space="preserve"> – This policy has been updated and amended </w:t>
            </w:r>
            <w:r w:rsidR="00C04062">
              <w:rPr>
                <w:rFonts w:ascii="Arial" w:hAnsi="Arial" w:cs="Arial"/>
                <w:sz w:val="24"/>
                <w:szCs w:val="28"/>
              </w:rPr>
              <w:t>as a result of</w:t>
            </w:r>
            <w:r w:rsidR="00066820">
              <w:rPr>
                <w:rFonts w:ascii="Arial" w:hAnsi="Arial" w:cs="Arial"/>
                <w:sz w:val="24"/>
                <w:szCs w:val="28"/>
              </w:rPr>
              <w:t xml:space="preserve"> changes to legislation in Scotland. </w:t>
            </w:r>
            <w:r w:rsidR="00C04062">
              <w:rPr>
                <w:rFonts w:ascii="Arial" w:hAnsi="Arial" w:cs="Arial"/>
                <w:sz w:val="24"/>
                <w:szCs w:val="28"/>
              </w:rPr>
              <w:t>The policy</w:t>
            </w:r>
            <w:r w:rsidR="00066820">
              <w:rPr>
                <w:rFonts w:ascii="Arial" w:hAnsi="Arial" w:cs="Arial"/>
                <w:sz w:val="24"/>
                <w:szCs w:val="28"/>
              </w:rPr>
              <w:t xml:space="preserve"> will now be known as the “</w:t>
            </w:r>
            <w:r w:rsidR="00066820" w:rsidRPr="00BD4872">
              <w:rPr>
                <w:rFonts w:ascii="Arial" w:hAnsi="Arial" w:cs="Arial"/>
                <w:b/>
                <w:bCs/>
                <w:sz w:val="24"/>
                <w:szCs w:val="28"/>
              </w:rPr>
              <w:t>Protection and Safeguarding Policy</w:t>
            </w:r>
            <w:r w:rsidR="00066820">
              <w:rPr>
                <w:rFonts w:ascii="Arial" w:hAnsi="Arial" w:cs="Arial"/>
                <w:sz w:val="24"/>
                <w:szCs w:val="28"/>
              </w:rPr>
              <w:t xml:space="preserve">” – attached in </w:t>
            </w:r>
            <w:r w:rsidR="00066820" w:rsidRPr="0064363A">
              <w:rPr>
                <w:rFonts w:ascii="Arial" w:hAnsi="Arial" w:cs="Arial"/>
                <w:b/>
                <w:bCs/>
                <w:sz w:val="24"/>
                <w:szCs w:val="28"/>
              </w:rPr>
              <w:t xml:space="preserve">Appendix </w:t>
            </w:r>
            <w:r w:rsidR="0064363A" w:rsidRPr="0064363A">
              <w:rPr>
                <w:rFonts w:ascii="Arial" w:hAnsi="Arial" w:cs="Arial"/>
                <w:b/>
                <w:bCs/>
                <w:sz w:val="24"/>
                <w:szCs w:val="28"/>
              </w:rPr>
              <w:t>B</w:t>
            </w:r>
            <w:r w:rsidR="0064363A">
              <w:rPr>
                <w:rFonts w:ascii="Arial" w:hAnsi="Arial" w:cs="Arial"/>
                <w:b/>
                <w:bCs/>
                <w:sz w:val="24"/>
                <w:szCs w:val="28"/>
              </w:rPr>
              <w:t>1</w:t>
            </w:r>
            <w:r w:rsidR="00066820">
              <w:rPr>
                <w:rFonts w:ascii="Arial" w:hAnsi="Arial" w:cs="Arial"/>
                <w:sz w:val="24"/>
                <w:szCs w:val="28"/>
              </w:rPr>
              <w:t>.</w:t>
            </w:r>
            <w:r w:rsidR="00C22A7F">
              <w:rPr>
                <w:rFonts w:ascii="Arial" w:hAnsi="Arial" w:cs="Arial"/>
                <w:sz w:val="24"/>
                <w:szCs w:val="28"/>
              </w:rPr>
              <w:t xml:space="preserve"> </w:t>
            </w:r>
            <w:r w:rsidR="0064363A">
              <w:rPr>
                <w:rFonts w:ascii="Arial" w:hAnsi="Arial" w:cs="Arial"/>
                <w:sz w:val="24"/>
                <w:szCs w:val="28"/>
              </w:rPr>
              <w:t>Directors</w:t>
            </w:r>
            <w:r w:rsidR="00C22A7F">
              <w:rPr>
                <w:rFonts w:ascii="Arial" w:hAnsi="Arial" w:cs="Arial"/>
                <w:sz w:val="24"/>
                <w:szCs w:val="28"/>
              </w:rPr>
              <w:t xml:space="preserve"> should note that a number of related guidance notes accompanying the new Protection and Safeguarding Policy have also been</w:t>
            </w:r>
            <w:r w:rsidR="00C04062">
              <w:rPr>
                <w:rFonts w:ascii="Arial" w:hAnsi="Arial" w:cs="Arial"/>
                <w:sz w:val="24"/>
                <w:szCs w:val="28"/>
              </w:rPr>
              <w:t xml:space="preserve"> added and/or</w:t>
            </w:r>
            <w:r w:rsidR="00C22A7F">
              <w:rPr>
                <w:rFonts w:ascii="Arial" w:hAnsi="Arial" w:cs="Arial"/>
                <w:sz w:val="24"/>
                <w:szCs w:val="28"/>
              </w:rPr>
              <w:t xml:space="preserve"> updated.</w:t>
            </w:r>
          </w:p>
          <w:p w14:paraId="3F7874A5" w14:textId="756D6E5B" w:rsidR="00A72F95" w:rsidRPr="00066820" w:rsidRDefault="00A72F95" w:rsidP="004724C6">
            <w:pPr>
              <w:pStyle w:val="ListParagraph"/>
              <w:numPr>
                <w:ilvl w:val="0"/>
                <w:numId w:val="9"/>
              </w:numPr>
              <w:spacing w:line="240" w:lineRule="auto"/>
              <w:ind w:left="352" w:hanging="352"/>
              <w:jc w:val="both"/>
              <w:rPr>
                <w:rFonts w:ascii="Arial" w:hAnsi="Arial" w:cs="Arial"/>
                <w:sz w:val="24"/>
                <w:szCs w:val="28"/>
              </w:rPr>
            </w:pPr>
            <w:r w:rsidRPr="00066820">
              <w:rPr>
                <w:rFonts w:ascii="Arial" w:hAnsi="Arial" w:cs="Arial"/>
                <w:sz w:val="24"/>
                <w:szCs w:val="28"/>
              </w:rPr>
              <w:t>Vetting Policy</w:t>
            </w:r>
            <w:r w:rsidR="00066820">
              <w:rPr>
                <w:rFonts w:ascii="Arial" w:hAnsi="Arial" w:cs="Arial"/>
                <w:sz w:val="24"/>
                <w:szCs w:val="28"/>
              </w:rPr>
              <w:t xml:space="preserve"> – This policy has been reviewed and updated</w:t>
            </w:r>
            <w:r w:rsidR="00053CD9">
              <w:rPr>
                <w:rFonts w:ascii="Arial" w:hAnsi="Arial" w:cs="Arial"/>
                <w:sz w:val="24"/>
                <w:szCs w:val="28"/>
              </w:rPr>
              <w:t xml:space="preserve"> and reflects the operational changes to the Charity since </w:t>
            </w:r>
            <w:r w:rsidR="00C04062">
              <w:rPr>
                <w:rFonts w:ascii="Arial" w:hAnsi="Arial" w:cs="Arial"/>
                <w:sz w:val="24"/>
                <w:szCs w:val="28"/>
              </w:rPr>
              <w:t>setup</w:t>
            </w:r>
            <w:r w:rsidR="00053CD9">
              <w:rPr>
                <w:rFonts w:ascii="Arial" w:hAnsi="Arial" w:cs="Arial"/>
                <w:sz w:val="24"/>
                <w:szCs w:val="28"/>
              </w:rPr>
              <w:t xml:space="preserve">. </w:t>
            </w:r>
            <w:r w:rsidR="00C04062">
              <w:rPr>
                <w:rFonts w:ascii="Arial" w:hAnsi="Arial" w:cs="Arial"/>
                <w:sz w:val="24"/>
                <w:szCs w:val="28"/>
              </w:rPr>
              <w:t>The policy</w:t>
            </w:r>
            <w:r w:rsidR="00053CD9">
              <w:rPr>
                <w:rFonts w:ascii="Arial" w:hAnsi="Arial" w:cs="Arial"/>
                <w:sz w:val="24"/>
                <w:szCs w:val="28"/>
              </w:rPr>
              <w:t xml:space="preserve"> will now be known as the “</w:t>
            </w:r>
            <w:r w:rsidR="00053CD9" w:rsidRPr="00BD4872">
              <w:rPr>
                <w:rFonts w:ascii="Arial" w:hAnsi="Arial" w:cs="Arial"/>
                <w:b/>
                <w:bCs/>
                <w:sz w:val="24"/>
                <w:szCs w:val="28"/>
              </w:rPr>
              <w:t>Protecting Vulnerable Groups Policy</w:t>
            </w:r>
            <w:r w:rsidR="00053CD9">
              <w:rPr>
                <w:rFonts w:ascii="Arial" w:hAnsi="Arial" w:cs="Arial"/>
                <w:sz w:val="24"/>
                <w:szCs w:val="28"/>
              </w:rPr>
              <w:t xml:space="preserve">” – attached in </w:t>
            </w:r>
            <w:r w:rsidR="00053CD9" w:rsidRPr="0064363A">
              <w:rPr>
                <w:rFonts w:ascii="Arial" w:hAnsi="Arial" w:cs="Arial"/>
                <w:b/>
                <w:bCs/>
                <w:sz w:val="24"/>
                <w:szCs w:val="28"/>
              </w:rPr>
              <w:t xml:space="preserve">Appendix </w:t>
            </w:r>
            <w:r w:rsidR="0064363A" w:rsidRPr="0064363A">
              <w:rPr>
                <w:rFonts w:ascii="Arial" w:hAnsi="Arial" w:cs="Arial"/>
                <w:b/>
                <w:bCs/>
                <w:sz w:val="24"/>
                <w:szCs w:val="28"/>
              </w:rPr>
              <w:t>B2</w:t>
            </w:r>
            <w:r w:rsidR="00053CD9">
              <w:rPr>
                <w:rFonts w:ascii="Arial" w:hAnsi="Arial" w:cs="Arial"/>
                <w:sz w:val="24"/>
                <w:szCs w:val="28"/>
              </w:rPr>
              <w:t>.</w:t>
            </w:r>
          </w:p>
          <w:p w14:paraId="0B1FB144" w14:textId="022F906C" w:rsidR="00A72F95" w:rsidRPr="0064363A" w:rsidRDefault="00A72F95" w:rsidP="004724C6">
            <w:pPr>
              <w:pStyle w:val="ListParagraph"/>
              <w:numPr>
                <w:ilvl w:val="0"/>
                <w:numId w:val="9"/>
              </w:numPr>
              <w:spacing w:line="240" w:lineRule="auto"/>
              <w:ind w:left="352" w:hanging="352"/>
              <w:jc w:val="both"/>
              <w:rPr>
                <w:rFonts w:ascii="Arial" w:hAnsi="Arial" w:cs="Arial"/>
                <w:sz w:val="24"/>
                <w:szCs w:val="28"/>
              </w:rPr>
            </w:pPr>
            <w:r w:rsidRPr="00066820">
              <w:rPr>
                <w:rFonts w:ascii="Arial" w:hAnsi="Arial" w:cs="Arial"/>
                <w:sz w:val="24"/>
                <w:szCs w:val="28"/>
              </w:rPr>
              <w:t>Recruitment of Ex</w:t>
            </w:r>
            <w:r w:rsidR="00053CD9">
              <w:rPr>
                <w:rFonts w:ascii="Arial" w:hAnsi="Arial" w:cs="Arial"/>
                <w:sz w:val="24"/>
                <w:szCs w:val="28"/>
              </w:rPr>
              <w:t>-</w:t>
            </w:r>
            <w:r w:rsidRPr="00066820">
              <w:rPr>
                <w:rFonts w:ascii="Arial" w:hAnsi="Arial" w:cs="Arial"/>
                <w:sz w:val="24"/>
                <w:szCs w:val="28"/>
              </w:rPr>
              <w:t>offender policy</w:t>
            </w:r>
            <w:r w:rsidR="00053CD9">
              <w:rPr>
                <w:rFonts w:ascii="Arial" w:hAnsi="Arial" w:cs="Arial"/>
                <w:sz w:val="24"/>
                <w:szCs w:val="28"/>
              </w:rPr>
              <w:t xml:space="preserve"> – This policy has been reviewed and updated to include the inclusion of the Charity’s new “Protection and Safeguarding Statement” and </w:t>
            </w:r>
            <w:r w:rsidR="00C04062">
              <w:rPr>
                <w:rFonts w:ascii="Arial" w:hAnsi="Arial" w:cs="Arial"/>
                <w:sz w:val="24"/>
                <w:szCs w:val="28"/>
              </w:rPr>
              <w:t>has been retitled</w:t>
            </w:r>
            <w:r w:rsidR="00053CD9">
              <w:rPr>
                <w:rFonts w:ascii="Arial" w:hAnsi="Arial" w:cs="Arial"/>
                <w:sz w:val="24"/>
                <w:szCs w:val="28"/>
              </w:rPr>
              <w:t xml:space="preserve"> as the “</w:t>
            </w:r>
            <w:r w:rsidR="00053CD9" w:rsidRPr="00BD4872">
              <w:rPr>
                <w:rFonts w:ascii="Arial" w:hAnsi="Arial" w:cs="Arial"/>
                <w:b/>
                <w:bCs/>
                <w:sz w:val="24"/>
                <w:szCs w:val="28"/>
              </w:rPr>
              <w:t>Recruitment and Engagement of Ex-Offenders Policy</w:t>
            </w:r>
            <w:r w:rsidR="00053CD9">
              <w:rPr>
                <w:rFonts w:ascii="Arial" w:hAnsi="Arial" w:cs="Arial"/>
                <w:sz w:val="24"/>
                <w:szCs w:val="28"/>
              </w:rPr>
              <w:t xml:space="preserve">” – attached in </w:t>
            </w:r>
            <w:r w:rsidR="00053CD9" w:rsidRPr="0064363A">
              <w:rPr>
                <w:rFonts w:ascii="Arial" w:hAnsi="Arial" w:cs="Arial"/>
                <w:b/>
                <w:bCs/>
                <w:sz w:val="24"/>
                <w:szCs w:val="28"/>
              </w:rPr>
              <w:t xml:space="preserve">Appendix </w:t>
            </w:r>
            <w:r w:rsidR="0064363A">
              <w:rPr>
                <w:rFonts w:ascii="Arial" w:hAnsi="Arial" w:cs="Arial"/>
                <w:b/>
                <w:bCs/>
                <w:sz w:val="24"/>
                <w:szCs w:val="28"/>
              </w:rPr>
              <w:t>B</w:t>
            </w:r>
            <w:r w:rsidR="00053CD9" w:rsidRPr="0064363A">
              <w:rPr>
                <w:rFonts w:ascii="Arial" w:hAnsi="Arial" w:cs="Arial"/>
                <w:b/>
                <w:bCs/>
                <w:sz w:val="24"/>
                <w:szCs w:val="28"/>
              </w:rPr>
              <w:t>3</w:t>
            </w:r>
            <w:r w:rsidR="00053CD9" w:rsidRPr="0064363A">
              <w:rPr>
                <w:rFonts w:ascii="Arial" w:hAnsi="Arial" w:cs="Arial"/>
                <w:sz w:val="24"/>
                <w:szCs w:val="28"/>
              </w:rPr>
              <w:t>.</w:t>
            </w:r>
          </w:p>
          <w:p w14:paraId="59E03094" w14:textId="702A1AF3" w:rsidR="00A72F95" w:rsidRPr="00066820" w:rsidRDefault="00A72F95" w:rsidP="004724C6">
            <w:pPr>
              <w:pStyle w:val="ListParagraph"/>
              <w:numPr>
                <w:ilvl w:val="0"/>
                <w:numId w:val="9"/>
              </w:numPr>
              <w:spacing w:line="240" w:lineRule="auto"/>
              <w:ind w:left="352" w:hanging="352"/>
              <w:jc w:val="both"/>
              <w:rPr>
                <w:rFonts w:ascii="Arial" w:hAnsi="Arial" w:cs="Arial"/>
                <w:sz w:val="24"/>
                <w:szCs w:val="28"/>
              </w:rPr>
            </w:pPr>
            <w:r w:rsidRPr="00066820">
              <w:rPr>
                <w:rFonts w:ascii="Arial" w:hAnsi="Arial" w:cs="Arial"/>
                <w:sz w:val="24"/>
                <w:szCs w:val="28"/>
              </w:rPr>
              <w:t>Policy for the secure handling and storage</w:t>
            </w:r>
            <w:r w:rsidR="00053CD9">
              <w:rPr>
                <w:rFonts w:ascii="Arial" w:hAnsi="Arial" w:cs="Arial"/>
                <w:sz w:val="24"/>
                <w:szCs w:val="28"/>
              </w:rPr>
              <w:t xml:space="preserve"> – This policy has been reviewed and updated and will </w:t>
            </w:r>
            <w:r w:rsidR="00C04062">
              <w:rPr>
                <w:rFonts w:ascii="Arial" w:hAnsi="Arial" w:cs="Arial"/>
                <w:sz w:val="24"/>
                <w:szCs w:val="28"/>
              </w:rPr>
              <w:t>become the</w:t>
            </w:r>
            <w:r w:rsidR="00053CD9">
              <w:rPr>
                <w:rFonts w:ascii="Arial" w:hAnsi="Arial" w:cs="Arial"/>
                <w:sz w:val="24"/>
                <w:szCs w:val="28"/>
              </w:rPr>
              <w:t xml:space="preserve"> “</w:t>
            </w:r>
            <w:r w:rsidR="00053CD9" w:rsidRPr="00BD4872">
              <w:rPr>
                <w:rFonts w:ascii="Arial" w:hAnsi="Arial" w:cs="Arial"/>
                <w:b/>
                <w:bCs/>
                <w:sz w:val="24"/>
                <w:szCs w:val="28"/>
              </w:rPr>
              <w:t>Security of Disclosure Information Policy</w:t>
            </w:r>
            <w:r w:rsidR="00053CD9">
              <w:rPr>
                <w:rFonts w:ascii="Arial" w:hAnsi="Arial" w:cs="Arial"/>
                <w:sz w:val="24"/>
                <w:szCs w:val="28"/>
              </w:rPr>
              <w:t xml:space="preserve">” – attached in </w:t>
            </w:r>
            <w:r w:rsidR="00053CD9" w:rsidRPr="0064363A">
              <w:rPr>
                <w:rFonts w:ascii="Arial" w:hAnsi="Arial" w:cs="Arial"/>
                <w:b/>
                <w:bCs/>
                <w:sz w:val="24"/>
                <w:szCs w:val="28"/>
              </w:rPr>
              <w:t xml:space="preserve">Appendix </w:t>
            </w:r>
            <w:r w:rsidR="0064363A" w:rsidRPr="0064363A">
              <w:rPr>
                <w:rFonts w:ascii="Arial" w:hAnsi="Arial" w:cs="Arial"/>
                <w:b/>
                <w:bCs/>
                <w:sz w:val="24"/>
                <w:szCs w:val="28"/>
              </w:rPr>
              <w:t>B4</w:t>
            </w:r>
            <w:r w:rsidRPr="00066820">
              <w:rPr>
                <w:rFonts w:ascii="Arial" w:hAnsi="Arial" w:cs="Arial"/>
                <w:sz w:val="24"/>
                <w:szCs w:val="28"/>
              </w:rPr>
              <w:t>.</w:t>
            </w:r>
          </w:p>
          <w:p w14:paraId="08B4846C" w14:textId="14778E01" w:rsidR="00A72F95" w:rsidRPr="00066820" w:rsidRDefault="00A72F95" w:rsidP="004724C6">
            <w:pPr>
              <w:pStyle w:val="ListParagraph"/>
              <w:numPr>
                <w:ilvl w:val="0"/>
                <w:numId w:val="9"/>
              </w:numPr>
              <w:spacing w:line="240" w:lineRule="auto"/>
              <w:ind w:left="352" w:hanging="352"/>
              <w:jc w:val="both"/>
              <w:rPr>
                <w:rFonts w:ascii="Arial" w:hAnsi="Arial" w:cs="Arial"/>
                <w:sz w:val="24"/>
                <w:szCs w:val="28"/>
              </w:rPr>
            </w:pPr>
            <w:r w:rsidRPr="00D255F5">
              <w:rPr>
                <w:rFonts w:ascii="Arial" w:hAnsi="Arial" w:cs="Arial"/>
                <w:b/>
                <w:bCs/>
                <w:sz w:val="24"/>
                <w:szCs w:val="28"/>
              </w:rPr>
              <w:lastRenderedPageBreak/>
              <w:t>Equal Opportunities Policy</w:t>
            </w:r>
            <w:r w:rsidR="00C22A7F">
              <w:rPr>
                <w:rFonts w:ascii="Arial" w:hAnsi="Arial" w:cs="Arial"/>
                <w:sz w:val="24"/>
                <w:szCs w:val="28"/>
              </w:rPr>
              <w:t xml:space="preserve"> – reviewed with minor changing references to “Company” to “Charity”;</w:t>
            </w:r>
          </w:p>
          <w:p w14:paraId="72FD383F" w14:textId="4DC7BEB5" w:rsidR="00944BF2" w:rsidRDefault="00A72F95" w:rsidP="004724C6">
            <w:pPr>
              <w:pStyle w:val="ListParagraph"/>
              <w:numPr>
                <w:ilvl w:val="0"/>
                <w:numId w:val="9"/>
              </w:numPr>
              <w:spacing w:line="240" w:lineRule="auto"/>
              <w:ind w:left="352" w:hanging="352"/>
              <w:jc w:val="both"/>
              <w:rPr>
                <w:rFonts w:ascii="Arial" w:hAnsi="Arial" w:cs="Arial"/>
                <w:sz w:val="24"/>
                <w:szCs w:val="28"/>
              </w:rPr>
            </w:pPr>
            <w:r w:rsidRPr="00D255F5">
              <w:rPr>
                <w:rFonts w:ascii="Arial" w:hAnsi="Arial" w:cs="Arial"/>
                <w:b/>
                <w:bCs/>
                <w:sz w:val="24"/>
                <w:szCs w:val="28"/>
              </w:rPr>
              <w:t>Harassment at Work Policy</w:t>
            </w:r>
            <w:r w:rsidR="00C22A7F">
              <w:rPr>
                <w:rFonts w:ascii="Arial" w:hAnsi="Arial" w:cs="Arial"/>
                <w:sz w:val="24"/>
                <w:szCs w:val="28"/>
              </w:rPr>
              <w:t xml:space="preserve"> - reviewed with minor changing references to “Company” to “Charity”</w:t>
            </w:r>
          </w:p>
          <w:p w14:paraId="1B2755C2" w14:textId="7AB0516D" w:rsidR="00A72F95" w:rsidRPr="00C22A7F" w:rsidRDefault="00C22A7F" w:rsidP="004724C6">
            <w:pPr>
              <w:pStyle w:val="ListParagraph"/>
              <w:numPr>
                <w:ilvl w:val="0"/>
                <w:numId w:val="9"/>
              </w:numPr>
              <w:spacing w:line="240" w:lineRule="auto"/>
              <w:ind w:left="352" w:hanging="352"/>
              <w:jc w:val="both"/>
              <w:rPr>
                <w:rFonts w:ascii="Arial" w:hAnsi="Arial" w:cs="Arial"/>
                <w:sz w:val="24"/>
                <w:szCs w:val="28"/>
              </w:rPr>
            </w:pPr>
            <w:r w:rsidRPr="00D255F5">
              <w:rPr>
                <w:rFonts w:ascii="Arial" w:hAnsi="Arial" w:cs="Arial"/>
                <w:b/>
                <w:bCs/>
                <w:sz w:val="24"/>
                <w:szCs w:val="28"/>
              </w:rPr>
              <w:t>Services Equality Policy</w:t>
            </w:r>
            <w:r>
              <w:rPr>
                <w:rFonts w:ascii="Arial" w:hAnsi="Arial" w:cs="Arial"/>
                <w:sz w:val="24"/>
                <w:szCs w:val="28"/>
              </w:rPr>
              <w:t xml:space="preserve"> – reviewed</w:t>
            </w:r>
            <w:r w:rsidR="0064363A">
              <w:rPr>
                <w:rFonts w:ascii="Arial" w:hAnsi="Arial" w:cs="Arial"/>
                <w:sz w:val="24"/>
                <w:szCs w:val="28"/>
              </w:rPr>
              <w:t xml:space="preserve"> with no changes required.</w:t>
            </w:r>
          </w:p>
        </w:tc>
      </w:tr>
      <w:tr w:rsidR="006419CC" w:rsidRPr="00717E7E" w14:paraId="45219680" w14:textId="77777777" w:rsidTr="00835331">
        <w:trPr>
          <w:trHeight w:val="80"/>
        </w:trPr>
        <w:tc>
          <w:tcPr>
            <w:tcW w:w="959" w:type="dxa"/>
          </w:tcPr>
          <w:p w14:paraId="464619BE" w14:textId="77777777" w:rsidR="006419CC" w:rsidRPr="006419CC" w:rsidRDefault="006419CC" w:rsidP="006419CC">
            <w:pPr>
              <w:rPr>
                <w:rFonts w:ascii="Arial" w:hAnsi="Arial" w:cs="Arial"/>
                <w:b/>
                <w:szCs w:val="24"/>
              </w:rPr>
            </w:pPr>
            <w:r w:rsidRPr="006419CC">
              <w:rPr>
                <w:rFonts w:ascii="Arial" w:hAnsi="Arial" w:cs="Arial"/>
                <w:b/>
                <w:szCs w:val="24"/>
              </w:rPr>
              <w:lastRenderedPageBreak/>
              <w:t>6</w:t>
            </w:r>
          </w:p>
          <w:p w14:paraId="3239DFAC" w14:textId="77777777" w:rsidR="006419CC" w:rsidRDefault="006419CC" w:rsidP="006419CC">
            <w:pPr>
              <w:rPr>
                <w:rFonts w:ascii="Arial" w:hAnsi="Arial" w:cs="Arial"/>
                <w:bCs/>
                <w:szCs w:val="24"/>
              </w:rPr>
            </w:pPr>
          </w:p>
          <w:p w14:paraId="54D88775" w14:textId="77777777" w:rsidR="006419CC" w:rsidRDefault="006419CC" w:rsidP="006419CC">
            <w:pPr>
              <w:rPr>
                <w:rFonts w:ascii="Arial" w:hAnsi="Arial" w:cs="Arial"/>
                <w:bCs/>
                <w:szCs w:val="24"/>
              </w:rPr>
            </w:pPr>
            <w:r>
              <w:rPr>
                <w:rFonts w:ascii="Arial" w:hAnsi="Arial" w:cs="Arial"/>
                <w:bCs/>
                <w:szCs w:val="24"/>
              </w:rPr>
              <w:t>6.1</w:t>
            </w:r>
          </w:p>
          <w:p w14:paraId="2C98A0E8" w14:textId="77777777" w:rsidR="006419CC" w:rsidRDefault="006419CC" w:rsidP="006419CC">
            <w:pPr>
              <w:rPr>
                <w:rFonts w:ascii="Arial" w:hAnsi="Arial" w:cs="Arial"/>
                <w:bCs/>
                <w:szCs w:val="24"/>
              </w:rPr>
            </w:pPr>
          </w:p>
          <w:p w14:paraId="1C8B76AC" w14:textId="77777777" w:rsidR="006419CC" w:rsidRDefault="006419CC" w:rsidP="006419CC">
            <w:pPr>
              <w:rPr>
                <w:rFonts w:ascii="Arial" w:hAnsi="Arial" w:cs="Arial"/>
                <w:bCs/>
                <w:szCs w:val="24"/>
              </w:rPr>
            </w:pPr>
          </w:p>
          <w:p w14:paraId="797241E7" w14:textId="77777777" w:rsidR="006419CC" w:rsidRDefault="006419CC" w:rsidP="006419CC">
            <w:pPr>
              <w:rPr>
                <w:rFonts w:ascii="Arial" w:hAnsi="Arial" w:cs="Arial"/>
                <w:bCs/>
                <w:szCs w:val="24"/>
              </w:rPr>
            </w:pPr>
            <w:r>
              <w:rPr>
                <w:rFonts w:ascii="Arial" w:hAnsi="Arial" w:cs="Arial"/>
                <w:bCs/>
                <w:szCs w:val="24"/>
              </w:rPr>
              <w:t>6.2</w:t>
            </w:r>
          </w:p>
          <w:p w14:paraId="3E929C75" w14:textId="77777777" w:rsidR="006419CC" w:rsidRDefault="006419CC" w:rsidP="006419CC">
            <w:pPr>
              <w:rPr>
                <w:rFonts w:ascii="Arial" w:hAnsi="Arial" w:cs="Arial"/>
                <w:bCs/>
                <w:szCs w:val="24"/>
              </w:rPr>
            </w:pPr>
          </w:p>
          <w:p w14:paraId="39993BE9" w14:textId="77777777" w:rsidR="006419CC" w:rsidRDefault="006419CC" w:rsidP="006419CC">
            <w:pPr>
              <w:rPr>
                <w:rFonts w:ascii="Arial" w:hAnsi="Arial" w:cs="Arial"/>
                <w:bCs/>
                <w:szCs w:val="24"/>
              </w:rPr>
            </w:pPr>
          </w:p>
          <w:p w14:paraId="3BEDE98F" w14:textId="77777777" w:rsidR="006419CC" w:rsidRDefault="006419CC" w:rsidP="006419CC">
            <w:pPr>
              <w:rPr>
                <w:rFonts w:ascii="Arial" w:hAnsi="Arial" w:cs="Arial"/>
                <w:bCs/>
                <w:szCs w:val="24"/>
              </w:rPr>
            </w:pPr>
            <w:r>
              <w:rPr>
                <w:rFonts w:ascii="Arial" w:hAnsi="Arial" w:cs="Arial"/>
                <w:bCs/>
                <w:szCs w:val="24"/>
              </w:rPr>
              <w:t>6.3</w:t>
            </w:r>
          </w:p>
          <w:p w14:paraId="16D474BD" w14:textId="77777777" w:rsidR="006419CC" w:rsidRDefault="006419CC" w:rsidP="006419CC">
            <w:pPr>
              <w:rPr>
                <w:rFonts w:ascii="Arial" w:hAnsi="Arial" w:cs="Arial"/>
                <w:bCs/>
                <w:szCs w:val="24"/>
              </w:rPr>
            </w:pPr>
          </w:p>
          <w:p w14:paraId="648698E8" w14:textId="77777777" w:rsidR="006419CC" w:rsidRDefault="006419CC" w:rsidP="006419CC">
            <w:pPr>
              <w:rPr>
                <w:rFonts w:ascii="Arial" w:hAnsi="Arial" w:cs="Arial"/>
                <w:bCs/>
                <w:szCs w:val="24"/>
              </w:rPr>
            </w:pPr>
          </w:p>
          <w:p w14:paraId="644F5A40" w14:textId="7415EFDA" w:rsidR="006419CC" w:rsidRPr="0064363A" w:rsidRDefault="006419CC" w:rsidP="006419CC">
            <w:pPr>
              <w:rPr>
                <w:rFonts w:ascii="Arial" w:hAnsi="Arial" w:cs="Arial"/>
                <w:bCs/>
                <w:szCs w:val="24"/>
              </w:rPr>
            </w:pPr>
            <w:r>
              <w:rPr>
                <w:rFonts w:ascii="Arial" w:hAnsi="Arial" w:cs="Arial"/>
                <w:bCs/>
                <w:szCs w:val="24"/>
              </w:rPr>
              <w:t>6.4</w:t>
            </w:r>
          </w:p>
        </w:tc>
        <w:tc>
          <w:tcPr>
            <w:tcW w:w="8505" w:type="dxa"/>
          </w:tcPr>
          <w:p w14:paraId="14F7ABD0" w14:textId="77777777" w:rsidR="006419CC" w:rsidRDefault="006419CC" w:rsidP="006419CC">
            <w:pPr>
              <w:autoSpaceDE w:val="0"/>
              <w:autoSpaceDN w:val="0"/>
              <w:adjustRightInd w:val="0"/>
              <w:jc w:val="both"/>
              <w:rPr>
                <w:rFonts w:ascii="Arial" w:hAnsi="Arial" w:cs="Arial"/>
                <w:b/>
              </w:rPr>
            </w:pPr>
            <w:r w:rsidRPr="00751A5C">
              <w:rPr>
                <w:rFonts w:ascii="Arial" w:hAnsi="Arial" w:cs="Arial"/>
                <w:b/>
              </w:rPr>
              <w:t>Implications</w:t>
            </w:r>
          </w:p>
          <w:p w14:paraId="7C870BE6" w14:textId="77777777" w:rsidR="006419CC" w:rsidRDefault="006419CC" w:rsidP="006419CC">
            <w:pPr>
              <w:autoSpaceDE w:val="0"/>
              <w:autoSpaceDN w:val="0"/>
              <w:adjustRightInd w:val="0"/>
              <w:jc w:val="both"/>
              <w:rPr>
                <w:rFonts w:ascii="Arial" w:hAnsi="Arial" w:cs="Arial"/>
                <w:b/>
              </w:rPr>
            </w:pPr>
          </w:p>
          <w:p w14:paraId="63E05F61" w14:textId="77777777" w:rsidR="006419CC" w:rsidRDefault="006419CC" w:rsidP="006419CC">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14:paraId="31B7EA93" w14:textId="77777777" w:rsidR="006419CC" w:rsidRDefault="006419CC" w:rsidP="006419CC">
            <w:pPr>
              <w:autoSpaceDE w:val="0"/>
              <w:autoSpaceDN w:val="0"/>
              <w:adjustRightInd w:val="0"/>
              <w:jc w:val="both"/>
              <w:rPr>
                <w:rFonts w:ascii="Arial" w:hAnsi="Arial" w:cs="Arial"/>
              </w:rPr>
            </w:pPr>
          </w:p>
          <w:p w14:paraId="77AED72D" w14:textId="77777777" w:rsidR="006419CC" w:rsidRDefault="006419CC" w:rsidP="006419CC">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14:paraId="0981C805" w14:textId="77777777" w:rsidR="006419CC" w:rsidRDefault="006419CC" w:rsidP="006419CC">
            <w:pPr>
              <w:autoSpaceDE w:val="0"/>
              <w:autoSpaceDN w:val="0"/>
              <w:adjustRightInd w:val="0"/>
              <w:spacing w:before="100" w:beforeAutospacing="1" w:after="100" w:afterAutospacing="1"/>
              <w:jc w:val="both"/>
              <w:rPr>
                <w:rFonts w:ascii="Arial" w:hAnsi="Arial" w:cs="Arial"/>
              </w:rPr>
            </w:pPr>
            <w:r>
              <w:rPr>
                <w:rFonts w:ascii="Arial" w:hAnsi="Arial" w:cs="Arial"/>
              </w:rPr>
              <w:t>Equality Implications – there are no new equality implications arising from the recommendations of this report.</w:t>
            </w:r>
          </w:p>
          <w:p w14:paraId="52E3263B" w14:textId="77777777" w:rsidR="006419CC" w:rsidRDefault="006419CC" w:rsidP="006419CC">
            <w:pPr>
              <w:jc w:val="both"/>
              <w:rPr>
                <w:rFonts w:ascii="Arial" w:hAnsi="Arial" w:cs="Arial"/>
              </w:rPr>
            </w:pPr>
            <w:r>
              <w:rPr>
                <w:rFonts w:ascii="Arial" w:hAnsi="Arial" w:cs="Arial"/>
              </w:rPr>
              <w:t>Risk Implications – there are no new risks arising from the recommendations of this report.</w:t>
            </w:r>
          </w:p>
          <w:p w14:paraId="534625B6" w14:textId="77777777" w:rsidR="006419CC" w:rsidRPr="00066820" w:rsidRDefault="006419CC" w:rsidP="006419CC">
            <w:pPr>
              <w:ind w:right="-103"/>
              <w:jc w:val="both"/>
              <w:rPr>
                <w:rFonts w:ascii="Arial" w:hAnsi="Arial" w:cs="Arial"/>
                <w:szCs w:val="24"/>
              </w:rPr>
            </w:pPr>
          </w:p>
        </w:tc>
      </w:tr>
      <w:tr w:rsidR="006419CC" w:rsidRPr="007214D1" w14:paraId="2CC28771" w14:textId="77777777" w:rsidTr="0083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14:paraId="69188BF5" w14:textId="77777777" w:rsidR="006419CC" w:rsidRPr="00E52812" w:rsidRDefault="006419CC" w:rsidP="006419CC">
            <w:pPr>
              <w:jc w:val="both"/>
              <w:rPr>
                <w:rFonts w:ascii="Arial" w:hAnsi="Arial" w:cs="Arial"/>
                <w:szCs w:val="24"/>
              </w:rPr>
            </w:pPr>
            <w:r w:rsidRPr="00E52812">
              <w:rPr>
                <w:rFonts w:ascii="Arial" w:hAnsi="Arial" w:cs="Arial"/>
                <w:szCs w:val="24"/>
              </w:rPr>
              <w:t xml:space="preserve">It is recommended that Directors: </w:t>
            </w:r>
          </w:p>
          <w:p w14:paraId="6DBE37ED" w14:textId="77777777" w:rsidR="006419CC" w:rsidRPr="00E52812" w:rsidRDefault="006419CC" w:rsidP="006419CC">
            <w:pPr>
              <w:jc w:val="both"/>
              <w:rPr>
                <w:rFonts w:ascii="Arial" w:hAnsi="Arial" w:cs="Arial"/>
                <w:szCs w:val="24"/>
              </w:rPr>
            </w:pPr>
          </w:p>
          <w:p w14:paraId="35747DF4" w14:textId="77777777" w:rsidR="006419CC" w:rsidRDefault="006419CC" w:rsidP="00D255F5">
            <w:pPr>
              <w:pStyle w:val="ListParagraph"/>
              <w:numPr>
                <w:ilvl w:val="0"/>
                <w:numId w:val="5"/>
              </w:numPr>
              <w:spacing w:line="240" w:lineRule="auto"/>
              <w:ind w:hanging="357"/>
              <w:jc w:val="both"/>
              <w:rPr>
                <w:rFonts w:ascii="Arial" w:hAnsi="Arial" w:cs="Arial"/>
                <w:sz w:val="24"/>
                <w:szCs w:val="24"/>
              </w:rPr>
            </w:pPr>
            <w:r w:rsidRPr="00E52812">
              <w:rPr>
                <w:rFonts w:ascii="Arial" w:hAnsi="Arial" w:cs="Arial"/>
                <w:sz w:val="24"/>
                <w:szCs w:val="24"/>
              </w:rPr>
              <w:t>note and comment on the content of the quarterly HR report including the update on the staffing establishment</w:t>
            </w:r>
            <w:r>
              <w:rPr>
                <w:rFonts w:ascii="Arial" w:hAnsi="Arial" w:cs="Arial"/>
                <w:sz w:val="24"/>
                <w:szCs w:val="24"/>
              </w:rPr>
              <w:t xml:space="preserve"> and attendance management and union engagement</w:t>
            </w:r>
            <w:r w:rsidRPr="00E52812">
              <w:rPr>
                <w:rFonts w:ascii="Arial" w:hAnsi="Arial" w:cs="Arial"/>
                <w:sz w:val="24"/>
                <w:szCs w:val="24"/>
              </w:rPr>
              <w:t>;</w:t>
            </w:r>
            <w:r>
              <w:rPr>
                <w:rFonts w:ascii="Arial" w:hAnsi="Arial" w:cs="Arial"/>
                <w:sz w:val="24"/>
                <w:szCs w:val="24"/>
              </w:rPr>
              <w:t xml:space="preserve"> </w:t>
            </w:r>
          </w:p>
          <w:p w14:paraId="0ACAC72C" w14:textId="2AF7A658" w:rsidR="006419CC" w:rsidRPr="00090240" w:rsidRDefault="006419CC" w:rsidP="00D255F5">
            <w:pPr>
              <w:pStyle w:val="ListParagraph"/>
              <w:numPr>
                <w:ilvl w:val="0"/>
                <w:numId w:val="5"/>
              </w:numPr>
              <w:spacing w:line="240" w:lineRule="auto"/>
              <w:ind w:hanging="357"/>
              <w:jc w:val="both"/>
              <w:rPr>
                <w:rFonts w:ascii="Arial" w:hAnsi="Arial" w:cs="Arial"/>
                <w:szCs w:val="24"/>
              </w:rPr>
            </w:pPr>
            <w:r w:rsidRPr="00090240">
              <w:rPr>
                <w:rFonts w:ascii="Arial" w:hAnsi="Arial" w:cs="Arial"/>
                <w:sz w:val="24"/>
                <w:szCs w:val="24"/>
              </w:rPr>
              <w:t>approve the updated policies:</w:t>
            </w:r>
          </w:p>
          <w:p w14:paraId="2047A659" w14:textId="1202E276" w:rsidR="006419CC" w:rsidRPr="00053CD9" w:rsidRDefault="006419CC" w:rsidP="00D255F5">
            <w:pPr>
              <w:pStyle w:val="ListParagraph"/>
              <w:numPr>
                <w:ilvl w:val="1"/>
                <w:numId w:val="5"/>
              </w:numPr>
              <w:spacing w:line="240" w:lineRule="auto"/>
              <w:ind w:hanging="357"/>
              <w:jc w:val="both"/>
              <w:rPr>
                <w:rFonts w:ascii="Arial" w:hAnsi="Arial" w:cs="Arial"/>
                <w:szCs w:val="24"/>
              </w:rPr>
            </w:pPr>
            <w:r>
              <w:rPr>
                <w:rFonts w:ascii="Arial" w:hAnsi="Arial" w:cs="Arial"/>
                <w:sz w:val="24"/>
                <w:szCs w:val="24"/>
              </w:rPr>
              <w:t xml:space="preserve">Protection and Safeguarding Policy at </w:t>
            </w:r>
            <w:r w:rsidRPr="00090240">
              <w:rPr>
                <w:rFonts w:ascii="Arial" w:hAnsi="Arial" w:cs="Arial"/>
                <w:b/>
                <w:bCs/>
                <w:sz w:val="24"/>
                <w:szCs w:val="24"/>
              </w:rPr>
              <w:t>Appendix B1</w:t>
            </w:r>
            <w:r>
              <w:rPr>
                <w:rFonts w:ascii="Arial" w:hAnsi="Arial" w:cs="Arial"/>
                <w:sz w:val="24"/>
                <w:szCs w:val="24"/>
              </w:rPr>
              <w:t>;</w:t>
            </w:r>
          </w:p>
          <w:p w14:paraId="77C5631E" w14:textId="068AE057" w:rsidR="006419CC" w:rsidRPr="00090240" w:rsidRDefault="006419CC" w:rsidP="00D255F5">
            <w:pPr>
              <w:pStyle w:val="ListParagraph"/>
              <w:numPr>
                <w:ilvl w:val="1"/>
                <w:numId w:val="5"/>
              </w:numPr>
              <w:spacing w:line="240" w:lineRule="auto"/>
              <w:ind w:hanging="357"/>
              <w:jc w:val="both"/>
              <w:rPr>
                <w:rFonts w:ascii="Arial" w:hAnsi="Arial" w:cs="Arial"/>
                <w:szCs w:val="24"/>
              </w:rPr>
            </w:pPr>
            <w:r>
              <w:rPr>
                <w:rFonts w:ascii="Arial" w:hAnsi="Arial" w:cs="Arial"/>
                <w:sz w:val="24"/>
                <w:szCs w:val="24"/>
              </w:rPr>
              <w:t xml:space="preserve">Protecting Vulnerable Groups Policy at </w:t>
            </w:r>
            <w:r w:rsidRPr="00090240">
              <w:rPr>
                <w:rFonts w:ascii="Arial" w:hAnsi="Arial" w:cs="Arial"/>
                <w:b/>
                <w:bCs/>
                <w:sz w:val="24"/>
                <w:szCs w:val="24"/>
              </w:rPr>
              <w:t>Appendix B2</w:t>
            </w:r>
            <w:r>
              <w:rPr>
                <w:rFonts w:ascii="Arial" w:hAnsi="Arial" w:cs="Arial"/>
                <w:sz w:val="24"/>
                <w:szCs w:val="24"/>
              </w:rPr>
              <w:t>;</w:t>
            </w:r>
          </w:p>
          <w:p w14:paraId="4102C179" w14:textId="20CD3498" w:rsidR="006419CC" w:rsidRPr="00090240" w:rsidRDefault="006419CC" w:rsidP="00D255F5">
            <w:pPr>
              <w:pStyle w:val="ListParagraph"/>
              <w:numPr>
                <w:ilvl w:val="1"/>
                <w:numId w:val="5"/>
              </w:numPr>
              <w:spacing w:line="240" w:lineRule="auto"/>
              <w:ind w:hanging="357"/>
              <w:jc w:val="both"/>
              <w:rPr>
                <w:rFonts w:ascii="Arial" w:hAnsi="Arial" w:cs="Arial"/>
                <w:szCs w:val="24"/>
              </w:rPr>
            </w:pPr>
            <w:r>
              <w:rPr>
                <w:rFonts w:ascii="Arial" w:hAnsi="Arial" w:cs="Arial"/>
                <w:sz w:val="24"/>
                <w:szCs w:val="24"/>
              </w:rPr>
              <w:t xml:space="preserve">Recruitment and Engagement of Ex-Offenders Policy at </w:t>
            </w:r>
            <w:r w:rsidRPr="00090240">
              <w:rPr>
                <w:rFonts w:ascii="Arial" w:hAnsi="Arial" w:cs="Arial"/>
                <w:b/>
                <w:bCs/>
                <w:sz w:val="24"/>
                <w:szCs w:val="24"/>
              </w:rPr>
              <w:t>Appendix B</w:t>
            </w:r>
            <w:r>
              <w:rPr>
                <w:rFonts w:ascii="Arial" w:hAnsi="Arial" w:cs="Arial"/>
                <w:b/>
                <w:bCs/>
                <w:sz w:val="24"/>
                <w:szCs w:val="24"/>
              </w:rPr>
              <w:t>3</w:t>
            </w:r>
            <w:r>
              <w:rPr>
                <w:rFonts w:ascii="Arial" w:hAnsi="Arial" w:cs="Arial"/>
                <w:sz w:val="24"/>
                <w:szCs w:val="24"/>
              </w:rPr>
              <w:t>;</w:t>
            </w:r>
          </w:p>
          <w:p w14:paraId="0CD043B7" w14:textId="5381A14F" w:rsidR="006419CC" w:rsidRPr="00090240" w:rsidRDefault="006419CC" w:rsidP="00D255F5">
            <w:pPr>
              <w:pStyle w:val="ListParagraph"/>
              <w:numPr>
                <w:ilvl w:val="1"/>
                <w:numId w:val="5"/>
              </w:numPr>
              <w:spacing w:line="240" w:lineRule="auto"/>
              <w:ind w:hanging="357"/>
              <w:jc w:val="both"/>
              <w:rPr>
                <w:rFonts w:ascii="Arial" w:hAnsi="Arial" w:cs="Arial"/>
                <w:szCs w:val="24"/>
              </w:rPr>
            </w:pPr>
            <w:r>
              <w:rPr>
                <w:rFonts w:ascii="Arial" w:hAnsi="Arial" w:cs="Arial"/>
                <w:sz w:val="24"/>
                <w:szCs w:val="24"/>
              </w:rPr>
              <w:t xml:space="preserve">Security of Disclosure Information Policy at </w:t>
            </w:r>
            <w:r w:rsidRPr="00090240">
              <w:rPr>
                <w:rFonts w:ascii="Arial" w:hAnsi="Arial" w:cs="Arial"/>
                <w:b/>
                <w:bCs/>
                <w:sz w:val="24"/>
                <w:szCs w:val="24"/>
              </w:rPr>
              <w:t>Appendix B</w:t>
            </w:r>
            <w:r>
              <w:rPr>
                <w:rFonts w:ascii="Arial" w:hAnsi="Arial" w:cs="Arial"/>
                <w:b/>
                <w:bCs/>
                <w:sz w:val="24"/>
                <w:szCs w:val="24"/>
              </w:rPr>
              <w:t>4</w:t>
            </w:r>
            <w:r>
              <w:rPr>
                <w:rFonts w:ascii="Arial" w:hAnsi="Arial" w:cs="Arial"/>
                <w:sz w:val="24"/>
                <w:szCs w:val="24"/>
              </w:rPr>
              <w:t>;</w:t>
            </w:r>
          </w:p>
        </w:tc>
      </w:tr>
    </w:tbl>
    <w:p w14:paraId="3DD2CA39" w14:textId="77777777" w:rsidR="008E3C2A" w:rsidRDefault="008E3C2A" w:rsidP="00416BFF">
      <w:pPr>
        <w:rPr>
          <w:rFonts w:ascii="Arial" w:hAnsi="Arial" w:cs="Arial"/>
          <w:szCs w:val="24"/>
        </w:rPr>
      </w:pPr>
    </w:p>
    <w:p w14:paraId="7359FF90" w14:textId="77777777" w:rsidR="00BD4872" w:rsidRDefault="00BD4872" w:rsidP="00416BFF">
      <w:pPr>
        <w:rPr>
          <w:rFonts w:ascii="Arial" w:hAnsi="Arial" w:cs="Arial"/>
          <w:szCs w:val="24"/>
        </w:rPr>
      </w:pPr>
    </w:p>
    <w:p w14:paraId="5AA4D42F" w14:textId="098FF942"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14:paraId="006CE300" w14:textId="77777777" w:rsidR="0039450A" w:rsidRPr="007214D1" w:rsidRDefault="0039450A" w:rsidP="00416BFF">
      <w:pPr>
        <w:rPr>
          <w:rFonts w:ascii="Arial" w:hAnsi="Arial" w:cs="Arial"/>
          <w:szCs w:val="24"/>
        </w:rPr>
      </w:pPr>
    </w:p>
    <w:p w14:paraId="6F4ABA4D" w14:textId="3EA9302A" w:rsidR="00C22A7F" w:rsidRDefault="0039450A">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A72F95">
        <w:rPr>
          <w:rFonts w:ascii="Arial" w:hAnsi="Arial" w:cs="Arial"/>
          <w:szCs w:val="24"/>
        </w:rPr>
        <w:t>2</w:t>
      </w:r>
      <w:r w:rsidR="005A29D3">
        <w:rPr>
          <w:rFonts w:ascii="Arial" w:hAnsi="Arial" w:cs="Arial"/>
          <w:szCs w:val="24"/>
        </w:rPr>
        <w:t>6</w:t>
      </w:r>
      <w:r w:rsidR="00A72F95">
        <w:rPr>
          <w:rFonts w:ascii="Arial" w:hAnsi="Arial" w:cs="Arial"/>
          <w:szCs w:val="24"/>
        </w:rPr>
        <w:t xml:space="preserve"> Nove</w:t>
      </w:r>
      <w:r w:rsidR="00C22A7F">
        <w:rPr>
          <w:rFonts w:ascii="Arial" w:hAnsi="Arial" w:cs="Arial"/>
          <w:szCs w:val="24"/>
        </w:rPr>
        <w:t>mber 2020</w:t>
      </w:r>
    </w:p>
    <w:p w14:paraId="2D22F714" w14:textId="77777777" w:rsidR="00BD4872" w:rsidRDefault="00BD4872">
      <w:pPr>
        <w:rPr>
          <w:rFonts w:ascii="Arial" w:hAnsi="Arial" w:cs="Arial"/>
          <w:szCs w:val="24"/>
        </w:rPr>
      </w:pPr>
    </w:p>
    <w:p w14:paraId="74AC7347" w14:textId="77777777" w:rsidR="00BD4872" w:rsidRDefault="00BD4872">
      <w:pPr>
        <w:rPr>
          <w:rFonts w:ascii="Arial" w:hAnsi="Arial" w:cs="Arial"/>
          <w:szCs w:val="24"/>
        </w:rPr>
      </w:pPr>
    </w:p>
    <w:p w14:paraId="04131495" w14:textId="6F5B5BE0" w:rsidR="00C22A7F" w:rsidRDefault="00C22A7F">
      <w:pPr>
        <w:rPr>
          <w:rFonts w:ascii="Arial" w:hAnsi="Arial" w:cs="Arial"/>
          <w:szCs w:val="24"/>
        </w:rPr>
      </w:pPr>
      <w:r>
        <w:rPr>
          <w:rFonts w:ascii="Arial" w:hAnsi="Arial" w:cs="Arial"/>
          <w:szCs w:val="24"/>
        </w:rPr>
        <w:br w:type="page"/>
      </w:r>
    </w:p>
    <w:p w14:paraId="03BFB52D" w14:textId="38287B68" w:rsidR="00101437" w:rsidRPr="00245458" w:rsidRDefault="00101437" w:rsidP="00101437">
      <w:pPr>
        <w:jc w:val="right"/>
        <w:rPr>
          <w:rFonts w:ascii="Arial" w:hAnsi="Arial" w:cs="Arial"/>
          <w:b/>
          <w:bCs/>
          <w:szCs w:val="24"/>
        </w:rPr>
      </w:pPr>
      <w:r w:rsidRPr="00245458">
        <w:rPr>
          <w:rFonts w:ascii="Arial" w:hAnsi="Arial" w:cs="Arial"/>
          <w:b/>
          <w:bCs/>
          <w:szCs w:val="24"/>
        </w:rPr>
        <w:lastRenderedPageBreak/>
        <w:t>Appendix A</w:t>
      </w:r>
    </w:p>
    <w:p w14:paraId="56E9EB9D" w14:textId="6700B741" w:rsidR="009A5B76" w:rsidRDefault="009A5B76" w:rsidP="00101437">
      <w:pPr>
        <w:jc w:val="right"/>
        <w:rPr>
          <w:rFonts w:ascii="Arial" w:hAnsi="Arial" w:cs="Arial"/>
          <w:szCs w:val="24"/>
        </w:rPr>
      </w:pPr>
    </w:p>
    <w:p w14:paraId="41920253" w14:textId="4B9E283E" w:rsidR="009A5B76" w:rsidRDefault="009A5B76" w:rsidP="009A5B76">
      <w:pPr>
        <w:rPr>
          <w:rFonts w:ascii="Arial" w:hAnsi="Arial" w:cs="Arial"/>
          <w:b/>
          <w:szCs w:val="24"/>
        </w:rPr>
      </w:pPr>
      <w:r>
        <w:rPr>
          <w:rFonts w:ascii="Arial" w:hAnsi="Arial" w:cs="Arial"/>
          <w:b/>
          <w:szCs w:val="24"/>
        </w:rPr>
        <w:t xml:space="preserve">CHANGES TO STAFFING ESTABLISHMENT IN QUARTER </w:t>
      </w:r>
      <w:r w:rsidR="00D71509">
        <w:rPr>
          <w:rFonts w:ascii="Arial" w:hAnsi="Arial" w:cs="Arial"/>
          <w:b/>
          <w:szCs w:val="24"/>
        </w:rPr>
        <w:t>2</w:t>
      </w:r>
    </w:p>
    <w:p w14:paraId="218334EC" w14:textId="0990E0FA" w:rsidR="009A5B76" w:rsidRPr="00441FB2" w:rsidRDefault="009A5B76" w:rsidP="00441FB2">
      <w:pPr>
        <w:rPr>
          <w:rFonts w:ascii="Arial" w:hAnsi="Arial" w:cs="Arial"/>
          <w:b/>
          <w:szCs w:val="24"/>
        </w:rPr>
      </w:pPr>
      <w:r>
        <w:rPr>
          <w:rFonts w:ascii="Arial" w:hAnsi="Arial" w:cs="Arial"/>
          <w:b/>
          <w:szCs w:val="24"/>
        </w:rPr>
        <w:t>(</w:t>
      </w:r>
      <w:r w:rsidR="00441FB2">
        <w:rPr>
          <w:rFonts w:ascii="Arial" w:hAnsi="Arial" w:cs="Arial"/>
          <w:b/>
          <w:szCs w:val="24"/>
        </w:rPr>
        <w:t>July – September 2020</w:t>
      </w:r>
      <w:r>
        <w:rPr>
          <w:rFonts w:ascii="Arial" w:hAnsi="Arial" w:cs="Arial"/>
          <w:b/>
          <w:szCs w:val="24"/>
        </w:rPr>
        <w:t>)</w:t>
      </w:r>
    </w:p>
    <w:p w14:paraId="46E27EF5" w14:textId="77777777" w:rsidR="00101437" w:rsidRDefault="00101437" w:rsidP="00380CDF">
      <w:pPr>
        <w:rPr>
          <w:rFonts w:ascii="Arial" w:hAnsi="Arial" w:cs="Arial"/>
          <w:szCs w:val="24"/>
        </w:rPr>
      </w:pPr>
    </w:p>
    <w:tbl>
      <w:tblPr>
        <w:tblStyle w:val="TableGrid"/>
        <w:tblW w:w="9547" w:type="dxa"/>
        <w:tblLook w:val="04A0" w:firstRow="1" w:lastRow="0" w:firstColumn="1" w:lastColumn="0" w:noHBand="0" w:noVBand="1"/>
      </w:tblPr>
      <w:tblGrid>
        <w:gridCol w:w="3823"/>
        <w:gridCol w:w="1897"/>
        <w:gridCol w:w="938"/>
        <w:gridCol w:w="2889"/>
      </w:tblGrid>
      <w:tr w:rsidR="00441FB2" w:rsidRPr="00101437" w14:paraId="4ED2562A" w14:textId="77777777" w:rsidTr="00441FB2">
        <w:trPr>
          <w:trHeight w:val="300"/>
        </w:trPr>
        <w:tc>
          <w:tcPr>
            <w:tcW w:w="3823" w:type="dxa"/>
            <w:noWrap/>
          </w:tcPr>
          <w:p w14:paraId="2E00D9F4" w14:textId="11CF6EE1" w:rsidR="00441FB2" w:rsidRPr="00441FB2" w:rsidRDefault="00441FB2">
            <w:pPr>
              <w:rPr>
                <w:rFonts w:ascii="Arial" w:hAnsi="Arial" w:cs="Arial"/>
                <w:b/>
                <w:bCs/>
                <w:szCs w:val="24"/>
              </w:rPr>
            </w:pPr>
            <w:r w:rsidRPr="00441FB2">
              <w:rPr>
                <w:rFonts w:ascii="Arial" w:hAnsi="Arial" w:cs="Arial"/>
                <w:b/>
                <w:bCs/>
                <w:szCs w:val="24"/>
              </w:rPr>
              <w:t>Post Title</w:t>
            </w:r>
          </w:p>
        </w:tc>
        <w:tc>
          <w:tcPr>
            <w:tcW w:w="1897" w:type="dxa"/>
            <w:noWrap/>
          </w:tcPr>
          <w:p w14:paraId="71B62FAB" w14:textId="2F4AD889" w:rsidR="00441FB2" w:rsidRPr="00441FB2" w:rsidRDefault="00441FB2">
            <w:pPr>
              <w:rPr>
                <w:rFonts w:ascii="Arial" w:hAnsi="Arial" w:cs="Arial"/>
                <w:b/>
                <w:bCs/>
                <w:szCs w:val="24"/>
              </w:rPr>
            </w:pPr>
            <w:r w:rsidRPr="00441FB2">
              <w:rPr>
                <w:rFonts w:ascii="Arial" w:hAnsi="Arial" w:cs="Arial"/>
                <w:b/>
                <w:bCs/>
                <w:szCs w:val="24"/>
              </w:rPr>
              <w:t>Location</w:t>
            </w:r>
          </w:p>
        </w:tc>
        <w:tc>
          <w:tcPr>
            <w:tcW w:w="938" w:type="dxa"/>
            <w:noWrap/>
          </w:tcPr>
          <w:p w14:paraId="754F9EA4" w14:textId="4632ABAA" w:rsidR="00441FB2" w:rsidRPr="00441FB2" w:rsidRDefault="00441FB2" w:rsidP="00101437">
            <w:pPr>
              <w:rPr>
                <w:rFonts w:ascii="Arial" w:hAnsi="Arial" w:cs="Arial"/>
                <w:b/>
                <w:bCs/>
                <w:szCs w:val="24"/>
              </w:rPr>
            </w:pPr>
            <w:r w:rsidRPr="00441FB2">
              <w:rPr>
                <w:rFonts w:ascii="Arial" w:hAnsi="Arial" w:cs="Arial"/>
                <w:b/>
                <w:bCs/>
                <w:szCs w:val="24"/>
              </w:rPr>
              <w:t>FTE</w:t>
            </w:r>
          </w:p>
        </w:tc>
        <w:tc>
          <w:tcPr>
            <w:tcW w:w="2889" w:type="dxa"/>
            <w:noWrap/>
          </w:tcPr>
          <w:p w14:paraId="0A85EC99" w14:textId="56B55C07" w:rsidR="00441FB2" w:rsidRPr="00441FB2" w:rsidRDefault="00441FB2" w:rsidP="00101437">
            <w:pPr>
              <w:rPr>
                <w:rFonts w:ascii="Arial" w:hAnsi="Arial" w:cs="Arial"/>
                <w:b/>
                <w:bCs/>
                <w:szCs w:val="24"/>
              </w:rPr>
            </w:pPr>
            <w:r w:rsidRPr="00441FB2">
              <w:rPr>
                <w:rFonts w:ascii="Arial" w:hAnsi="Arial" w:cs="Arial"/>
                <w:b/>
                <w:bCs/>
                <w:szCs w:val="24"/>
              </w:rPr>
              <w:t>Comment</w:t>
            </w:r>
          </w:p>
        </w:tc>
      </w:tr>
      <w:tr w:rsidR="00441FB2" w:rsidRPr="00101437" w14:paraId="0AC603B9" w14:textId="77777777" w:rsidTr="00441FB2">
        <w:trPr>
          <w:trHeight w:val="300"/>
        </w:trPr>
        <w:tc>
          <w:tcPr>
            <w:tcW w:w="3823" w:type="dxa"/>
            <w:noWrap/>
            <w:hideMark/>
          </w:tcPr>
          <w:p w14:paraId="59C175DF" w14:textId="258FB630" w:rsidR="00441FB2" w:rsidRPr="00101437" w:rsidRDefault="00441FB2">
            <w:pPr>
              <w:rPr>
                <w:rFonts w:ascii="Arial" w:hAnsi="Arial" w:cs="Arial"/>
                <w:szCs w:val="24"/>
              </w:rPr>
            </w:pPr>
            <w:r w:rsidRPr="00101437">
              <w:rPr>
                <w:rFonts w:ascii="Arial" w:hAnsi="Arial" w:cs="Arial"/>
                <w:szCs w:val="24"/>
              </w:rPr>
              <w:t>Catering Supervi</w:t>
            </w:r>
            <w:r>
              <w:rPr>
                <w:rFonts w:ascii="Arial" w:hAnsi="Arial" w:cs="Arial"/>
                <w:szCs w:val="24"/>
              </w:rPr>
              <w:t>s</w:t>
            </w:r>
            <w:r w:rsidRPr="00101437">
              <w:rPr>
                <w:rFonts w:ascii="Arial" w:hAnsi="Arial" w:cs="Arial"/>
                <w:szCs w:val="24"/>
              </w:rPr>
              <w:t>or</w:t>
            </w:r>
            <w:r>
              <w:rPr>
                <w:rFonts w:ascii="Arial" w:hAnsi="Arial" w:cs="Arial"/>
                <w:szCs w:val="24"/>
              </w:rPr>
              <w:t xml:space="preserve"> x 2</w:t>
            </w:r>
          </w:p>
        </w:tc>
        <w:tc>
          <w:tcPr>
            <w:tcW w:w="1897" w:type="dxa"/>
            <w:noWrap/>
            <w:hideMark/>
          </w:tcPr>
          <w:p w14:paraId="6DD3DF79" w14:textId="4D4AB742" w:rsidR="00441FB2" w:rsidRPr="00101437" w:rsidRDefault="00441FB2">
            <w:pPr>
              <w:rPr>
                <w:rFonts w:ascii="Arial" w:hAnsi="Arial" w:cs="Arial"/>
                <w:szCs w:val="24"/>
              </w:rPr>
            </w:pPr>
            <w:r>
              <w:rPr>
                <w:rFonts w:ascii="Arial" w:hAnsi="Arial" w:cs="Arial"/>
                <w:szCs w:val="24"/>
              </w:rPr>
              <w:t>IBG</w:t>
            </w:r>
          </w:p>
        </w:tc>
        <w:tc>
          <w:tcPr>
            <w:tcW w:w="938" w:type="dxa"/>
            <w:noWrap/>
            <w:hideMark/>
          </w:tcPr>
          <w:p w14:paraId="20838E48" w14:textId="3691A0F5" w:rsidR="00441FB2" w:rsidRPr="00101437" w:rsidRDefault="00441FB2" w:rsidP="00101437">
            <w:pPr>
              <w:rPr>
                <w:rFonts w:ascii="Arial" w:hAnsi="Arial" w:cs="Arial"/>
                <w:szCs w:val="24"/>
              </w:rPr>
            </w:pPr>
            <w:r>
              <w:rPr>
                <w:rFonts w:ascii="Arial" w:hAnsi="Arial" w:cs="Arial"/>
                <w:szCs w:val="24"/>
              </w:rPr>
              <w:t>2</w:t>
            </w:r>
          </w:p>
        </w:tc>
        <w:tc>
          <w:tcPr>
            <w:tcW w:w="2889" w:type="dxa"/>
            <w:noWrap/>
            <w:hideMark/>
          </w:tcPr>
          <w:p w14:paraId="71F623BD" w14:textId="77777777" w:rsidR="00441FB2" w:rsidRPr="00101437" w:rsidRDefault="00441FB2" w:rsidP="00101437">
            <w:pPr>
              <w:rPr>
                <w:rFonts w:ascii="Arial" w:hAnsi="Arial" w:cs="Arial"/>
                <w:szCs w:val="24"/>
              </w:rPr>
            </w:pPr>
            <w:r w:rsidRPr="00101437">
              <w:rPr>
                <w:rFonts w:ascii="Arial" w:hAnsi="Arial" w:cs="Arial"/>
                <w:szCs w:val="24"/>
              </w:rPr>
              <w:t>TUPE</w:t>
            </w:r>
          </w:p>
        </w:tc>
      </w:tr>
      <w:tr w:rsidR="00441FB2" w:rsidRPr="00101437" w14:paraId="2F5D0AAE" w14:textId="77777777" w:rsidTr="00441FB2">
        <w:trPr>
          <w:trHeight w:val="300"/>
        </w:trPr>
        <w:tc>
          <w:tcPr>
            <w:tcW w:w="3823" w:type="dxa"/>
            <w:noWrap/>
            <w:hideMark/>
          </w:tcPr>
          <w:p w14:paraId="2EDB6787" w14:textId="77777777" w:rsidR="00441FB2" w:rsidRPr="00101437" w:rsidRDefault="00441FB2">
            <w:pPr>
              <w:rPr>
                <w:rFonts w:ascii="Arial" w:hAnsi="Arial" w:cs="Arial"/>
                <w:szCs w:val="24"/>
              </w:rPr>
            </w:pPr>
            <w:r w:rsidRPr="00101437">
              <w:rPr>
                <w:rFonts w:ascii="Arial" w:hAnsi="Arial" w:cs="Arial"/>
                <w:szCs w:val="24"/>
              </w:rPr>
              <w:t>Cleaning Operative</w:t>
            </w:r>
          </w:p>
        </w:tc>
        <w:tc>
          <w:tcPr>
            <w:tcW w:w="1897" w:type="dxa"/>
            <w:noWrap/>
            <w:hideMark/>
          </w:tcPr>
          <w:p w14:paraId="321F8427" w14:textId="6D0EC238" w:rsidR="00441FB2" w:rsidRPr="00101437" w:rsidRDefault="00441FB2">
            <w:pPr>
              <w:rPr>
                <w:rFonts w:ascii="Arial" w:hAnsi="Arial" w:cs="Arial"/>
                <w:szCs w:val="24"/>
              </w:rPr>
            </w:pPr>
            <w:r>
              <w:rPr>
                <w:rFonts w:ascii="Arial" w:hAnsi="Arial" w:cs="Arial"/>
                <w:szCs w:val="24"/>
              </w:rPr>
              <w:t>IBG</w:t>
            </w:r>
          </w:p>
        </w:tc>
        <w:tc>
          <w:tcPr>
            <w:tcW w:w="938" w:type="dxa"/>
            <w:noWrap/>
            <w:hideMark/>
          </w:tcPr>
          <w:p w14:paraId="27F726B9" w14:textId="77777777" w:rsidR="00441FB2" w:rsidRPr="00101437" w:rsidRDefault="00441FB2" w:rsidP="00101437">
            <w:pPr>
              <w:rPr>
                <w:rFonts w:ascii="Arial" w:hAnsi="Arial" w:cs="Arial"/>
                <w:szCs w:val="24"/>
              </w:rPr>
            </w:pPr>
            <w:r w:rsidRPr="00101437">
              <w:rPr>
                <w:rFonts w:ascii="Arial" w:hAnsi="Arial" w:cs="Arial"/>
                <w:szCs w:val="24"/>
              </w:rPr>
              <w:t>0.19</w:t>
            </w:r>
          </w:p>
        </w:tc>
        <w:tc>
          <w:tcPr>
            <w:tcW w:w="2889" w:type="dxa"/>
            <w:noWrap/>
            <w:hideMark/>
          </w:tcPr>
          <w:p w14:paraId="4F9557FB" w14:textId="77777777" w:rsidR="00441FB2" w:rsidRPr="00101437" w:rsidRDefault="00441FB2" w:rsidP="00101437">
            <w:pPr>
              <w:rPr>
                <w:rFonts w:ascii="Arial" w:hAnsi="Arial" w:cs="Arial"/>
                <w:szCs w:val="24"/>
              </w:rPr>
            </w:pPr>
            <w:r w:rsidRPr="00101437">
              <w:rPr>
                <w:rFonts w:ascii="Arial" w:hAnsi="Arial" w:cs="Arial"/>
                <w:szCs w:val="24"/>
              </w:rPr>
              <w:t>TUPE</w:t>
            </w:r>
          </w:p>
        </w:tc>
      </w:tr>
      <w:tr w:rsidR="00441FB2" w:rsidRPr="00101437" w14:paraId="694E3228" w14:textId="77777777" w:rsidTr="00441FB2">
        <w:trPr>
          <w:trHeight w:val="300"/>
        </w:trPr>
        <w:tc>
          <w:tcPr>
            <w:tcW w:w="3823" w:type="dxa"/>
            <w:noWrap/>
            <w:hideMark/>
          </w:tcPr>
          <w:p w14:paraId="15BB984D" w14:textId="42ABA6E1" w:rsidR="00441FB2" w:rsidRPr="00101437" w:rsidRDefault="00441FB2">
            <w:pPr>
              <w:rPr>
                <w:rFonts w:ascii="Arial" w:hAnsi="Arial" w:cs="Arial"/>
                <w:szCs w:val="24"/>
              </w:rPr>
            </w:pPr>
            <w:r w:rsidRPr="00101437">
              <w:rPr>
                <w:rFonts w:ascii="Arial" w:hAnsi="Arial" w:cs="Arial"/>
                <w:szCs w:val="24"/>
              </w:rPr>
              <w:t>Catering Assistant</w:t>
            </w:r>
            <w:r>
              <w:rPr>
                <w:rFonts w:ascii="Arial" w:hAnsi="Arial" w:cs="Arial"/>
                <w:szCs w:val="24"/>
              </w:rPr>
              <w:t xml:space="preserve"> x 2</w:t>
            </w:r>
          </w:p>
        </w:tc>
        <w:tc>
          <w:tcPr>
            <w:tcW w:w="1897" w:type="dxa"/>
            <w:noWrap/>
            <w:hideMark/>
          </w:tcPr>
          <w:p w14:paraId="58CE91D8" w14:textId="45BE700C" w:rsidR="00441FB2" w:rsidRPr="00101437" w:rsidRDefault="00441FB2">
            <w:pPr>
              <w:rPr>
                <w:rFonts w:ascii="Arial" w:hAnsi="Arial" w:cs="Arial"/>
                <w:szCs w:val="24"/>
              </w:rPr>
            </w:pPr>
            <w:r>
              <w:rPr>
                <w:rFonts w:ascii="Arial" w:hAnsi="Arial" w:cs="Arial"/>
                <w:szCs w:val="24"/>
              </w:rPr>
              <w:t>IBG</w:t>
            </w:r>
          </w:p>
        </w:tc>
        <w:tc>
          <w:tcPr>
            <w:tcW w:w="938" w:type="dxa"/>
            <w:noWrap/>
            <w:hideMark/>
          </w:tcPr>
          <w:p w14:paraId="71BB1BB1" w14:textId="65270479" w:rsidR="00441FB2" w:rsidRPr="00101437" w:rsidRDefault="00441FB2" w:rsidP="00101437">
            <w:pPr>
              <w:rPr>
                <w:rFonts w:ascii="Arial" w:hAnsi="Arial" w:cs="Arial"/>
                <w:szCs w:val="24"/>
              </w:rPr>
            </w:pPr>
            <w:r>
              <w:rPr>
                <w:rFonts w:ascii="Arial" w:hAnsi="Arial" w:cs="Arial"/>
                <w:szCs w:val="24"/>
              </w:rPr>
              <w:t>1.89</w:t>
            </w:r>
          </w:p>
        </w:tc>
        <w:tc>
          <w:tcPr>
            <w:tcW w:w="2889" w:type="dxa"/>
            <w:noWrap/>
            <w:hideMark/>
          </w:tcPr>
          <w:p w14:paraId="32224F6F" w14:textId="77777777" w:rsidR="00441FB2" w:rsidRPr="00101437" w:rsidRDefault="00441FB2" w:rsidP="00101437">
            <w:pPr>
              <w:rPr>
                <w:rFonts w:ascii="Arial" w:hAnsi="Arial" w:cs="Arial"/>
                <w:szCs w:val="24"/>
              </w:rPr>
            </w:pPr>
            <w:r w:rsidRPr="00101437">
              <w:rPr>
                <w:rFonts w:ascii="Arial" w:hAnsi="Arial" w:cs="Arial"/>
                <w:szCs w:val="24"/>
              </w:rPr>
              <w:t>TUPE</w:t>
            </w:r>
          </w:p>
        </w:tc>
      </w:tr>
      <w:tr w:rsidR="00441FB2" w:rsidRPr="00101437" w14:paraId="2B9E3F7D" w14:textId="77777777" w:rsidTr="00441FB2">
        <w:trPr>
          <w:trHeight w:val="300"/>
        </w:trPr>
        <w:tc>
          <w:tcPr>
            <w:tcW w:w="3823" w:type="dxa"/>
            <w:noWrap/>
            <w:hideMark/>
          </w:tcPr>
          <w:p w14:paraId="2A2FC569" w14:textId="7E4113F4" w:rsidR="00441FB2" w:rsidRPr="00101437" w:rsidRDefault="00441FB2">
            <w:pPr>
              <w:rPr>
                <w:rFonts w:ascii="Arial" w:hAnsi="Arial" w:cs="Arial"/>
                <w:szCs w:val="24"/>
              </w:rPr>
            </w:pPr>
            <w:r w:rsidRPr="00101437">
              <w:rPr>
                <w:rFonts w:ascii="Arial" w:hAnsi="Arial" w:cs="Arial"/>
                <w:szCs w:val="24"/>
              </w:rPr>
              <w:t>Tutor/Coach (Climbing Wall)</w:t>
            </w:r>
          </w:p>
        </w:tc>
        <w:tc>
          <w:tcPr>
            <w:tcW w:w="1897" w:type="dxa"/>
            <w:noWrap/>
            <w:hideMark/>
          </w:tcPr>
          <w:p w14:paraId="05B5214B" w14:textId="19C260E4" w:rsidR="00441FB2" w:rsidRPr="00101437" w:rsidRDefault="00441FB2">
            <w:pPr>
              <w:rPr>
                <w:rFonts w:ascii="Arial" w:hAnsi="Arial" w:cs="Arial"/>
                <w:szCs w:val="24"/>
              </w:rPr>
            </w:pPr>
            <w:proofErr w:type="spellStart"/>
            <w:r w:rsidRPr="00101437">
              <w:rPr>
                <w:rFonts w:ascii="Arial" w:hAnsi="Arial" w:cs="Arial"/>
                <w:szCs w:val="24"/>
              </w:rPr>
              <w:t>Ga</w:t>
            </w:r>
            <w:r>
              <w:rPr>
                <w:rFonts w:ascii="Arial" w:hAnsi="Arial" w:cs="Arial"/>
                <w:szCs w:val="24"/>
              </w:rPr>
              <w:t>i</w:t>
            </w:r>
            <w:r w:rsidRPr="00101437">
              <w:rPr>
                <w:rFonts w:ascii="Arial" w:hAnsi="Arial" w:cs="Arial"/>
                <w:szCs w:val="24"/>
              </w:rPr>
              <w:t>rloch</w:t>
            </w:r>
            <w:proofErr w:type="spellEnd"/>
            <w:r w:rsidRPr="00101437">
              <w:rPr>
                <w:rFonts w:ascii="Arial" w:hAnsi="Arial" w:cs="Arial"/>
                <w:szCs w:val="24"/>
              </w:rPr>
              <w:t xml:space="preserve"> Leisure </w:t>
            </w:r>
            <w:r>
              <w:rPr>
                <w:rFonts w:ascii="Arial" w:hAnsi="Arial" w:cs="Arial"/>
                <w:szCs w:val="24"/>
              </w:rPr>
              <w:t>C</w:t>
            </w:r>
            <w:r w:rsidRPr="00101437">
              <w:rPr>
                <w:rFonts w:ascii="Arial" w:hAnsi="Arial" w:cs="Arial"/>
                <w:szCs w:val="24"/>
              </w:rPr>
              <w:t>entre</w:t>
            </w:r>
          </w:p>
        </w:tc>
        <w:tc>
          <w:tcPr>
            <w:tcW w:w="938" w:type="dxa"/>
            <w:noWrap/>
            <w:hideMark/>
          </w:tcPr>
          <w:p w14:paraId="70380F1C" w14:textId="77777777" w:rsidR="00441FB2" w:rsidRPr="00101437" w:rsidRDefault="00441FB2" w:rsidP="00101437">
            <w:pPr>
              <w:rPr>
                <w:rFonts w:ascii="Arial" w:hAnsi="Arial" w:cs="Arial"/>
                <w:szCs w:val="24"/>
              </w:rPr>
            </w:pPr>
            <w:r w:rsidRPr="00101437">
              <w:rPr>
                <w:rFonts w:ascii="Arial" w:hAnsi="Arial" w:cs="Arial"/>
                <w:szCs w:val="24"/>
              </w:rPr>
              <w:t>0.1</w:t>
            </w:r>
          </w:p>
        </w:tc>
        <w:tc>
          <w:tcPr>
            <w:tcW w:w="2889" w:type="dxa"/>
            <w:noWrap/>
            <w:hideMark/>
          </w:tcPr>
          <w:p w14:paraId="31A89664" w14:textId="1481E0A1" w:rsidR="00441FB2" w:rsidRPr="00441FB2" w:rsidRDefault="00441FB2" w:rsidP="00101437">
            <w:pPr>
              <w:rPr>
                <w:rFonts w:ascii="Arial" w:hAnsi="Arial" w:cs="Arial"/>
                <w:sz w:val="16"/>
                <w:szCs w:val="16"/>
              </w:rPr>
            </w:pPr>
            <w:r w:rsidRPr="00441FB2">
              <w:rPr>
                <w:rFonts w:ascii="Arial" w:hAnsi="Arial" w:cs="Arial"/>
                <w:sz w:val="16"/>
                <w:szCs w:val="16"/>
              </w:rPr>
              <w:t>Previously relief working regular hours</w:t>
            </w:r>
            <w:r>
              <w:rPr>
                <w:rFonts w:ascii="Arial" w:hAnsi="Arial" w:cs="Arial"/>
                <w:sz w:val="16"/>
                <w:szCs w:val="16"/>
              </w:rPr>
              <w:t xml:space="preserve"> over extended period</w:t>
            </w:r>
          </w:p>
        </w:tc>
      </w:tr>
      <w:tr w:rsidR="00441FB2" w:rsidRPr="00101437" w14:paraId="5E19E810" w14:textId="77777777" w:rsidTr="00441FB2">
        <w:trPr>
          <w:trHeight w:val="300"/>
        </w:trPr>
        <w:tc>
          <w:tcPr>
            <w:tcW w:w="3823" w:type="dxa"/>
            <w:noWrap/>
            <w:hideMark/>
          </w:tcPr>
          <w:p w14:paraId="387337D0" w14:textId="361D94E6" w:rsidR="00441FB2" w:rsidRPr="00101437" w:rsidRDefault="00441FB2">
            <w:pPr>
              <w:rPr>
                <w:rFonts w:ascii="Arial" w:hAnsi="Arial" w:cs="Arial"/>
                <w:szCs w:val="24"/>
              </w:rPr>
            </w:pPr>
            <w:r w:rsidRPr="00101437">
              <w:rPr>
                <w:rFonts w:ascii="Arial" w:hAnsi="Arial" w:cs="Arial"/>
                <w:szCs w:val="24"/>
              </w:rPr>
              <w:t>Museum Attendant</w:t>
            </w:r>
            <w:r>
              <w:rPr>
                <w:rFonts w:ascii="Arial" w:hAnsi="Arial" w:cs="Arial"/>
                <w:szCs w:val="24"/>
              </w:rPr>
              <w:t>s</w:t>
            </w:r>
            <w:r w:rsidRPr="00101437">
              <w:rPr>
                <w:rFonts w:ascii="Arial" w:hAnsi="Arial" w:cs="Arial"/>
                <w:szCs w:val="24"/>
              </w:rPr>
              <w:t xml:space="preserve"> (stockm</w:t>
            </w:r>
            <w:r>
              <w:rPr>
                <w:rFonts w:ascii="Arial" w:hAnsi="Arial" w:cs="Arial"/>
                <w:szCs w:val="24"/>
              </w:rPr>
              <w:t>e</w:t>
            </w:r>
            <w:r w:rsidRPr="00101437">
              <w:rPr>
                <w:rFonts w:ascii="Arial" w:hAnsi="Arial" w:cs="Arial"/>
                <w:szCs w:val="24"/>
              </w:rPr>
              <w:t>n)</w:t>
            </w:r>
            <w:r>
              <w:rPr>
                <w:rFonts w:ascii="Arial" w:hAnsi="Arial" w:cs="Arial"/>
                <w:szCs w:val="24"/>
              </w:rPr>
              <w:t xml:space="preserve"> x 2</w:t>
            </w:r>
          </w:p>
        </w:tc>
        <w:tc>
          <w:tcPr>
            <w:tcW w:w="1897" w:type="dxa"/>
            <w:noWrap/>
            <w:hideMark/>
          </w:tcPr>
          <w:p w14:paraId="3731008D" w14:textId="77777777" w:rsidR="00441FB2" w:rsidRPr="00101437" w:rsidRDefault="00441FB2">
            <w:pPr>
              <w:rPr>
                <w:rFonts w:ascii="Arial" w:hAnsi="Arial" w:cs="Arial"/>
                <w:szCs w:val="24"/>
              </w:rPr>
            </w:pPr>
            <w:r w:rsidRPr="00101437">
              <w:rPr>
                <w:rFonts w:ascii="Arial" w:hAnsi="Arial" w:cs="Arial"/>
                <w:szCs w:val="24"/>
              </w:rPr>
              <w:t>HFM</w:t>
            </w:r>
          </w:p>
        </w:tc>
        <w:tc>
          <w:tcPr>
            <w:tcW w:w="938" w:type="dxa"/>
            <w:noWrap/>
            <w:hideMark/>
          </w:tcPr>
          <w:p w14:paraId="61F05617" w14:textId="0E81EF9B" w:rsidR="00441FB2" w:rsidRPr="00101437" w:rsidRDefault="00441FB2" w:rsidP="00101437">
            <w:pPr>
              <w:rPr>
                <w:rFonts w:ascii="Arial" w:hAnsi="Arial" w:cs="Arial"/>
                <w:szCs w:val="24"/>
              </w:rPr>
            </w:pPr>
            <w:r w:rsidRPr="00101437">
              <w:rPr>
                <w:rFonts w:ascii="Arial" w:hAnsi="Arial" w:cs="Arial"/>
                <w:szCs w:val="24"/>
              </w:rPr>
              <w:t>0.</w:t>
            </w:r>
            <w:r>
              <w:rPr>
                <w:rFonts w:ascii="Arial" w:hAnsi="Arial" w:cs="Arial"/>
                <w:szCs w:val="24"/>
              </w:rPr>
              <w:t>5</w:t>
            </w:r>
            <w:bookmarkStart w:id="0" w:name="_GoBack"/>
            <w:bookmarkEnd w:id="0"/>
            <w:r>
              <w:rPr>
                <w:rFonts w:ascii="Arial" w:hAnsi="Arial" w:cs="Arial"/>
                <w:szCs w:val="24"/>
              </w:rPr>
              <w:t>6</w:t>
            </w:r>
          </w:p>
        </w:tc>
        <w:tc>
          <w:tcPr>
            <w:tcW w:w="2889" w:type="dxa"/>
            <w:noWrap/>
            <w:hideMark/>
          </w:tcPr>
          <w:p w14:paraId="5C23A265" w14:textId="37D2A91A" w:rsidR="00441FB2" w:rsidRPr="00101437" w:rsidRDefault="00441FB2" w:rsidP="00101437">
            <w:pPr>
              <w:rPr>
                <w:rFonts w:ascii="Arial" w:hAnsi="Arial" w:cs="Arial"/>
                <w:szCs w:val="24"/>
              </w:rPr>
            </w:pPr>
            <w:r w:rsidRPr="00441FB2">
              <w:rPr>
                <w:rFonts w:ascii="Arial" w:hAnsi="Arial" w:cs="Arial"/>
                <w:sz w:val="16"/>
                <w:szCs w:val="16"/>
              </w:rPr>
              <w:t>Previously relief working regular hours</w:t>
            </w:r>
            <w:r>
              <w:rPr>
                <w:rFonts w:ascii="Arial" w:hAnsi="Arial" w:cs="Arial"/>
                <w:sz w:val="16"/>
                <w:szCs w:val="16"/>
              </w:rPr>
              <w:t xml:space="preserve"> over extended period</w:t>
            </w:r>
          </w:p>
        </w:tc>
      </w:tr>
      <w:tr w:rsidR="00441FB2" w:rsidRPr="00101437" w14:paraId="03C3135F" w14:textId="77777777" w:rsidTr="00441FB2">
        <w:trPr>
          <w:trHeight w:val="300"/>
        </w:trPr>
        <w:tc>
          <w:tcPr>
            <w:tcW w:w="3823" w:type="dxa"/>
            <w:noWrap/>
            <w:hideMark/>
          </w:tcPr>
          <w:p w14:paraId="13242639" w14:textId="327F1644" w:rsidR="00441FB2" w:rsidRPr="00101437" w:rsidRDefault="00441FB2">
            <w:pPr>
              <w:rPr>
                <w:rFonts w:ascii="Arial" w:hAnsi="Arial" w:cs="Arial"/>
                <w:szCs w:val="24"/>
              </w:rPr>
            </w:pPr>
            <w:r>
              <w:rPr>
                <w:rFonts w:ascii="Arial" w:hAnsi="Arial" w:cs="Arial"/>
                <w:szCs w:val="24"/>
              </w:rPr>
              <w:t xml:space="preserve">Adult Learning </w:t>
            </w:r>
            <w:r w:rsidRPr="00101437">
              <w:rPr>
                <w:rFonts w:ascii="Arial" w:hAnsi="Arial" w:cs="Arial"/>
                <w:szCs w:val="24"/>
              </w:rPr>
              <w:t xml:space="preserve">Tutor </w:t>
            </w:r>
          </w:p>
        </w:tc>
        <w:tc>
          <w:tcPr>
            <w:tcW w:w="1897" w:type="dxa"/>
            <w:noWrap/>
            <w:hideMark/>
          </w:tcPr>
          <w:p w14:paraId="6CDB0C41" w14:textId="77777777" w:rsidR="00441FB2" w:rsidRPr="00101437" w:rsidRDefault="00441FB2">
            <w:pPr>
              <w:rPr>
                <w:rFonts w:ascii="Arial" w:hAnsi="Arial" w:cs="Arial"/>
                <w:szCs w:val="24"/>
              </w:rPr>
            </w:pPr>
            <w:r w:rsidRPr="00101437">
              <w:rPr>
                <w:rFonts w:ascii="Arial" w:hAnsi="Arial" w:cs="Arial"/>
                <w:szCs w:val="24"/>
              </w:rPr>
              <w:t>Inverness/Nairn</w:t>
            </w:r>
          </w:p>
        </w:tc>
        <w:tc>
          <w:tcPr>
            <w:tcW w:w="938" w:type="dxa"/>
            <w:noWrap/>
            <w:hideMark/>
          </w:tcPr>
          <w:p w14:paraId="5A056097" w14:textId="77777777" w:rsidR="00441FB2" w:rsidRPr="00101437" w:rsidRDefault="00441FB2" w:rsidP="00101437">
            <w:pPr>
              <w:rPr>
                <w:rFonts w:ascii="Arial" w:hAnsi="Arial" w:cs="Arial"/>
                <w:szCs w:val="24"/>
              </w:rPr>
            </w:pPr>
            <w:r w:rsidRPr="00101437">
              <w:rPr>
                <w:rFonts w:ascii="Arial" w:hAnsi="Arial" w:cs="Arial"/>
                <w:szCs w:val="24"/>
              </w:rPr>
              <w:t>0.5</w:t>
            </w:r>
          </w:p>
        </w:tc>
        <w:tc>
          <w:tcPr>
            <w:tcW w:w="2889" w:type="dxa"/>
            <w:noWrap/>
            <w:hideMark/>
          </w:tcPr>
          <w:p w14:paraId="3BAE07AF" w14:textId="77777777" w:rsidR="00441FB2" w:rsidRDefault="00441FB2" w:rsidP="00101437">
            <w:pPr>
              <w:rPr>
                <w:rFonts w:ascii="Arial" w:hAnsi="Arial" w:cs="Arial"/>
                <w:szCs w:val="24"/>
              </w:rPr>
            </w:pPr>
            <w:r w:rsidRPr="00101437">
              <w:rPr>
                <w:rFonts w:ascii="Arial" w:hAnsi="Arial" w:cs="Arial"/>
                <w:szCs w:val="24"/>
              </w:rPr>
              <w:t>Temporary to 31.3.20</w:t>
            </w:r>
          </w:p>
          <w:p w14:paraId="1B576B7B" w14:textId="5259F7EC" w:rsidR="00441FB2" w:rsidRPr="00101437" w:rsidRDefault="00441FB2" w:rsidP="00101437">
            <w:pPr>
              <w:rPr>
                <w:rFonts w:ascii="Arial" w:hAnsi="Arial" w:cs="Arial"/>
                <w:szCs w:val="24"/>
              </w:rPr>
            </w:pPr>
            <w:r w:rsidRPr="00441FB2">
              <w:rPr>
                <w:rFonts w:ascii="Arial" w:hAnsi="Arial" w:cs="Arial"/>
                <w:sz w:val="16"/>
                <w:szCs w:val="16"/>
              </w:rPr>
              <w:t>Required for service delivery</w:t>
            </w:r>
          </w:p>
        </w:tc>
      </w:tr>
      <w:tr w:rsidR="00441FB2" w:rsidRPr="00101437" w14:paraId="53183815" w14:textId="77777777" w:rsidTr="00441FB2">
        <w:trPr>
          <w:trHeight w:val="300"/>
        </w:trPr>
        <w:tc>
          <w:tcPr>
            <w:tcW w:w="3823" w:type="dxa"/>
            <w:noWrap/>
            <w:hideMark/>
          </w:tcPr>
          <w:p w14:paraId="19393E80" w14:textId="77777777" w:rsidR="00441FB2" w:rsidRPr="00101437" w:rsidRDefault="00441FB2">
            <w:pPr>
              <w:rPr>
                <w:rFonts w:ascii="Arial" w:hAnsi="Arial" w:cs="Arial"/>
                <w:szCs w:val="24"/>
              </w:rPr>
            </w:pPr>
            <w:r w:rsidRPr="00101437">
              <w:rPr>
                <w:rFonts w:ascii="Arial" w:hAnsi="Arial" w:cs="Arial"/>
                <w:szCs w:val="24"/>
              </w:rPr>
              <w:t>Cook</w:t>
            </w:r>
          </w:p>
        </w:tc>
        <w:tc>
          <w:tcPr>
            <w:tcW w:w="1897" w:type="dxa"/>
            <w:noWrap/>
            <w:hideMark/>
          </w:tcPr>
          <w:p w14:paraId="441F6AAC" w14:textId="77777777" w:rsidR="00441FB2" w:rsidRPr="00101437" w:rsidRDefault="00441FB2">
            <w:pPr>
              <w:rPr>
                <w:rFonts w:ascii="Arial" w:hAnsi="Arial" w:cs="Arial"/>
                <w:szCs w:val="24"/>
              </w:rPr>
            </w:pPr>
            <w:r w:rsidRPr="00101437">
              <w:rPr>
                <w:rFonts w:ascii="Arial" w:hAnsi="Arial" w:cs="Arial"/>
                <w:szCs w:val="24"/>
              </w:rPr>
              <w:t>HFM</w:t>
            </w:r>
          </w:p>
        </w:tc>
        <w:tc>
          <w:tcPr>
            <w:tcW w:w="938" w:type="dxa"/>
            <w:noWrap/>
            <w:hideMark/>
          </w:tcPr>
          <w:p w14:paraId="15CEDAC9" w14:textId="77777777" w:rsidR="00441FB2" w:rsidRPr="00101437" w:rsidRDefault="00441FB2" w:rsidP="00101437">
            <w:pPr>
              <w:rPr>
                <w:rFonts w:ascii="Arial" w:hAnsi="Arial" w:cs="Arial"/>
                <w:szCs w:val="24"/>
              </w:rPr>
            </w:pPr>
            <w:r w:rsidRPr="00101437">
              <w:rPr>
                <w:rFonts w:ascii="Arial" w:hAnsi="Arial" w:cs="Arial"/>
                <w:szCs w:val="24"/>
              </w:rPr>
              <w:t>0.65</w:t>
            </w:r>
          </w:p>
        </w:tc>
        <w:tc>
          <w:tcPr>
            <w:tcW w:w="2889" w:type="dxa"/>
            <w:noWrap/>
            <w:hideMark/>
          </w:tcPr>
          <w:p w14:paraId="3BAC1115" w14:textId="3D863F8A" w:rsidR="00441FB2" w:rsidRPr="00101437" w:rsidRDefault="00441FB2" w:rsidP="00101437">
            <w:pPr>
              <w:rPr>
                <w:rFonts w:ascii="Arial" w:hAnsi="Arial" w:cs="Arial"/>
                <w:szCs w:val="24"/>
              </w:rPr>
            </w:pPr>
            <w:r w:rsidRPr="00441FB2">
              <w:rPr>
                <w:rFonts w:ascii="Arial" w:hAnsi="Arial" w:cs="Arial"/>
                <w:sz w:val="16"/>
                <w:szCs w:val="16"/>
              </w:rPr>
              <w:t>Previously relief working regular hours</w:t>
            </w:r>
            <w:r>
              <w:rPr>
                <w:rFonts w:ascii="Arial" w:hAnsi="Arial" w:cs="Arial"/>
                <w:sz w:val="16"/>
                <w:szCs w:val="16"/>
              </w:rPr>
              <w:t xml:space="preserve"> over extended period</w:t>
            </w:r>
          </w:p>
        </w:tc>
      </w:tr>
      <w:tr w:rsidR="00441FB2" w:rsidRPr="00101437" w14:paraId="53BB1E8E" w14:textId="77777777" w:rsidTr="00441FB2">
        <w:trPr>
          <w:trHeight w:val="300"/>
        </w:trPr>
        <w:tc>
          <w:tcPr>
            <w:tcW w:w="3823" w:type="dxa"/>
            <w:noWrap/>
            <w:hideMark/>
          </w:tcPr>
          <w:p w14:paraId="36CE2C25" w14:textId="7402AD2B" w:rsidR="00441FB2" w:rsidRPr="00101437" w:rsidRDefault="00441FB2">
            <w:pPr>
              <w:rPr>
                <w:rFonts w:ascii="Arial" w:hAnsi="Arial" w:cs="Arial"/>
                <w:szCs w:val="24"/>
              </w:rPr>
            </w:pPr>
            <w:r w:rsidRPr="00101437">
              <w:rPr>
                <w:rFonts w:ascii="Arial" w:hAnsi="Arial" w:cs="Arial"/>
                <w:szCs w:val="24"/>
              </w:rPr>
              <w:t>Heritage Attendants</w:t>
            </w:r>
            <w:r w:rsidR="00944BF2">
              <w:rPr>
                <w:rFonts w:ascii="Arial" w:hAnsi="Arial" w:cs="Arial"/>
                <w:szCs w:val="24"/>
              </w:rPr>
              <w:t xml:space="preserve"> x 22</w:t>
            </w:r>
          </w:p>
        </w:tc>
        <w:tc>
          <w:tcPr>
            <w:tcW w:w="1897" w:type="dxa"/>
            <w:noWrap/>
            <w:hideMark/>
          </w:tcPr>
          <w:p w14:paraId="1E806960" w14:textId="77777777" w:rsidR="00441FB2" w:rsidRPr="00101437" w:rsidRDefault="00441FB2">
            <w:pPr>
              <w:rPr>
                <w:rFonts w:ascii="Arial" w:hAnsi="Arial" w:cs="Arial"/>
                <w:szCs w:val="24"/>
              </w:rPr>
            </w:pPr>
            <w:r w:rsidRPr="00101437">
              <w:rPr>
                <w:rFonts w:ascii="Arial" w:hAnsi="Arial" w:cs="Arial"/>
                <w:szCs w:val="24"/>
              </w:rPr>
              <w:t>HFM</w:t>
            </w:r>
          </w:p>
        </w:tc>
        <w:tc>
          <w:tcPr>
            <w:tcW w:w="938" w:type="dxa"/>
            <w:noWrap/>
            <w:hideMark/>
          </w:tcPr>
          <w:p w14:paraId="2D3937E8" w14:textId="77777777" w:rsidR="00441FB2" w:rsidRPr="00101437" w:rsidRDefault="00441FB2" w:rsidP="00101437">
            <w:pPr>
              <w:rPr>
                <w:rFonts w:ascii="Arial" w:hAnsi="Arial" w:cs="Arial"/>
                <w:szCs w:val="24"/>
              </w:rPr>
            </w:pPr>
            <w:r w:rsidRPr="00101437">
              <w:rPr>
                <w:rFonts w:ascii="Arial" w:hAnsi="Arial" w:cs="Arial"/>
                <w:szCs w:val="24"/>
              </w:rPr>
              <w:t>6.8</w:t>
            </w:r>
          </w:p>
        </w:tc>
        <w:tc>
          <w:tcPr>
            <w:tcW w:w="2889" w:type="dxa"/>
            <w:noWrap/>
            <w:hideMark/>
          </w:tcPr>
          <w:p w14:paraId="07228E56" w14:textId="50BE3BF8" w:rsidR="00441FB2" w:rsidRPr="00101437" w:rsidRDefault="00441FB2" w:rsidP="00101437">
            <w:pPr>
              <w:rPr>
                <w:rFonts w:ascii="Arial" w:hAnsi="Arial" w:cs="Arial"/>
                <w:szCs w:val="24"/>
              </w:rPr>
            </w:pPr>
            <w:r w:rsidRPr="00101437">
              <w:rPr>
                <w:rFonts w:ascii="Arial" w:hAnsi="Arial" w:cs="Arial"/>
                <w:szCs w:val="24"/>
              </w:rPr>
              <w:t xml:space="preserve">Temporary </w:t>
            </w:r>
            <w:r>
              <w:rPr>
                <w:rFonts w:ascii="Arial" w:hAnsi="Arial" w:cs="Arial"/>
                <w:szCs w:val="24"/>
              </w:rPr>
              <w:t>3 months</w:t>
            </w:r>
          </w:p>
        </w:tc>
      </w:tr>
      <w:tr w:rsidR="00441FB2" w:rsidRPr="00101437" w14:paraId="5BDF89FD" w14:textId="77777777" w:rsidTr="00441FB2">
        <w:trPr>
          <w:trHeight w:val="300"/>
        </w:trPr>
        <w:tc>
          <w:tcPr>
            <w:tcW w:w="3823" w:type="dxa"/>
            <w:noWrap/>
            <w:hideMark/>
          </w:tcPr>
          <w:p w14:paraId="4F1A5402" w14:textId="77777777" w:rsidR="00441FB2" w:rsidRPr="00101437" w:rsidRDefault="00441FB2">
            <w:pPr>
              <w:rPr>
                <w:rFonts w:ascii="Arial" w:hAnsi="Arial" w:cs="Arial"/>
                <w:szCs w:val="24"/>
              </w:rPr>
            </w:pPr>
            <w:r w:rsidRPr="00101437">
              <w:rPr>
                <w:rFonts w:ascii="Arial" w:hAnsi="Arial" w:cs="Arial"/>
                <w:szCs w:val="24"/>
              </w:rPr>
              <w:t>Cashier receptionist</w:t>
            </w:r>
          </w:p>
        </w:tc>
        <w:tc>
          <w:tcPr>
            <w:tcW w:w="1897" w:type="dxa"/>
            <w:noWrap/>
            <w:hideMark/>
          </w:tcPr>
          <w:p w14:paraId="4015A4DF" w14:textId="77777777" w:rsidR="00441FB2" w:rsidRPr="00101437" w:rsidRDefault="00441FB2">
            <w:pPr>
              <w:rPr>
                <w:rFonts w:ascii="Arial" w:hAnsi="Arial" w:cs="Arial"/>
                <w:szCs w:val="24"/>
              </w:rPr>
            </w:pPr>
            <w:r w:rsidRPr="00101437">
              <w:rPr>
                <w:rFonts w:ascii="Arial" w:hAnsi="Arial" w:cs="Arial"/>
                <w:szCs w:val="24"/>
              </w:rPr>
              <w:t>Craig MacLean</w:t>
            </w:r>
          </w:p>
        </w:tc>
        <w:tc>
          <w:tcPr>
            <w:tcW w:w="938" w:type="dxa"/>
            <w:noWrap/>
            <w:hideMark/>
          </w:tcPr>
          <w:p w14:paraId="6AB60905" w14:textId="77777777" w:rsidR="00441FB2" w:rsidRPr="00101437" w:rsidRDefault="00441FB2" w:rsidP="00101437">
            <w:pPr>
              <w:rPr>
                <w:rFonts w:ascii="Arial" w:hAnsi="Arial" w:cs="Arial"/>
                <w:szCs w:val="24"/>
              </w:rPr>
            </w:pPr>
            <w:r w:rsidRPr="00101437">
              <w:rPr>
                <w:rFonts w:ascii="Arial" w:hAnsi="Arial" w:cs="Arial"/>
                <w:szCs w:val="24"/>
              </w:rPr>
              <w:t>-0.6</w:t>
            </w:r>
          </w:p>
        </w:tc>
        <w:tc>
          <w:tcPr>
            <w:tcW w:w="2889" w:type="dxa"/>
            <w:noWrap/>
            <w:hideMark/>
          </w:tcPr>
          <w:p w14:paraId="6484F608" w14:textId="44E83C47" w:rsidR="00441FB2" w:rsidRPr="00441FB2" w:rsidRDefault="00441FB2" w:rsidP="00101437">
            <w:pPr>
              <w:rPr>
                <w:rFonts w:ascii="Arial" w:hAnsi="Arial" w:cs="Arial"/>
                <w:sz w:val="16"/>
                <w:szCs w:val="16"/>
              </w:rPr>
            </w:pPr>
            <w:r w:rsidRPr="00441FB2">
              <w:rPr>
                <w:rFonts w:ascii="Arial" w:hAnsi="Arial" w:cs="Arial"/>
                <w:sz w:val="16"/>
                <w:szCs w:val="16"/>
              </w:rPr>
              <w:t>Required for service delivery</w:t>
            </w:r>
          </w:p>
        </w:tc>
      </w:tr>
      <w:tr w:rsidR="00441FB2" w:rsidRPr="00101437" w14:paraId="12A0AA01" w14:textId="77777777" w:rsidTr="00441FB2">
        <w:trPr>
          <w:trHeight w:val="300"/>
        </w:trPr>
        <w:tc>
          <w:tcPr>
            <w:tcW w:w="3823" w:type="dxa"/>
            <w:noWrap/>
            <w:hideMark/>
          </w:tcPr>
          <w:p w14:paraId="6A41DC3E" w14:textId="77777777" w:rsidR="00441FB2" w:rsidRPr="00101437" w:rsidRDefault="00441FB2" w:rsidP="00441FB2">
            <w:pPr>
              <w:rPr>
                <w:rFonts w:ascii="Arial" w:hAnsi="Arial" w:cs="Arial"/>
                <w:szCs w:val="24"/>
              </w:rPr>
            </w:pPr>
            <w:r w:rsidRPr="00101437">
              <w:rPr>
                <w:rFonts w:ascii="Arial" w:hAnsi="Arial" w:cs="Arial"/>
                <w:szCs w:val="24"/>
              </w:rPr>
              <w:t>Leisure Assistant (Wet)</w:t>
            </w:r>
          </w:p>
        </w:tc>
        <w:tc>
          <w:tcPr>
            <w:tcW w:w="1897" w:type="dxa"/>
            <w:noWrap/>
            <w:hideMark/>
          </w:tcPr>
          <w:p w14:paraId="7BAB2DE2" w14:textId="72BB6EB3" w:rsidR="00441FB2" w:rsidRPr="00101437" w:rsidRDefault="00441FB2" w:rsidP="00441FB2">
            <w:pPr>
              <w:rPr>
                <w:rFonts w:ascii="Arial" w:hAnsi="Arial" w:cs="Arial"/>
                <w:szCs w:val="24"/>
              </w:rPr>
            </w:pPr>
            <w:r w:rsidRPr="00101437">
              <w:rPr>
                <w:rFonts w:ascii="Arial" w:hAnsi="Arial" w:cs="Arial"/>
                <w:szCs w:val="24"/>
              </w:rPr>
              <w:t xml:space="preserve">Craig </w:t>
            </w:r>
            <w:r>
              <w:rPr>
                <w:rFonts w:ascii="Arial" w:hAnsi="Arial" w:cs="Arial"/>
                <w:szCs w:val="24"/>
              </w:rPr>
              <w:t>M</w:t>
            </w:r>
            <w:r w:rsidRPr="00101437">
              <w:rPr>
                <w:rFonts w:ascii="Arial" w:hAnsi="Arial" w:cs="Arial"/>
                <w:szCs w:val="24"/>
              </w:rPr>
              <w:t>aclean</w:t>
            </w:r>
          </w:p>
        </w:tc>
        <w:tc>
          <w:tcPr>
            <w:tcW w:w="938" w:type="dxa"/>
            <w:noWrap/>
            <w:hideMark/>
          </w:tcPr>
          <w:p w14:paraId="5167A561" w14:textId="77777777" w:rsidR="00441FB2" w:rsidRPr="00101437" w:rsidRDefault="00441FB2" w:rsidP="00441FB2">
            <w:pPr>
              <w:rPr>
                <w:rFonts w:ascii="Arial" w:hAnsi="Arial" w:cs="Arial"/>
                <w:szCs w:val="24"/>
              </w:rPr>
            </w:pPr>
            <w:r w:rsidRPr="00101437">
              <w:rPr>
                <w:rFonts w:ascii="Arial" w:hAnsi="Arial" w:cs="Arial"/>
                <w:szCs w:val="24"/>
              </w:rPr>
              <w:t>0.47</w:t>
            </w:r>
          </w:p>
        </w:tc>
        <w:tc>
          <w:tcPr>
            <w:tcW w:w="2889" w:type="dxa"/>
            <w:noWrap/>
            <w:hideMark/>
          </w:tcPr>
          <w:p w14:paraId="10406CF5" w14:textId="4DF1AADE" w:rsidR="00441FB2" w:rsidRPr="00101437" w:rsidRDefault="00441FB2" w:rsidP="00441FB2">
            <w:pPr>
              <w:rPr>
                <w:rFonts w:ascii="Arial" w:hAnsi="Arial" w:cs="Arial"/>
                <w:szCs w:val="24"/>
              </w:rPr>
            </w:pPr>
            <w:r w:rsidRPr="00441FB2">
              <w:rPr>
                <w:rFonts w:ascii="Arial" w:hAnsi="Arial" w:cs="Arial"/>
                <w:sz w:val="16"/>
                <w:szCs w:val="16"/>
              </w:rPr>
              <w:t>Required for service delivery</w:t>
            </w:r>
          </w:p>
        </w:tc>
      </w:tr>
      <w:tr w:rsidR="00441FB2" w:rsidRPr="00101437" w14:paraId="76FD47A5" w14:textId="77777777" w:rsidTr="00441FB2">
        <w:trPr>
          <w:trHeight w:val="300"/>
        </w:trPr>
        <w:tc>
          <w:tcPr>
            <w:tcW w:w="3823" w:type="dxa"/>
            <w:noWrap/>
            <w:hideMark/>
          </w:tcPr>
          <w:p w14:paraId="6C92834F" w14:textId="4E939895" w:rsidR="00441FB2" w:rsidRPr="00101437" w:rsidRDefault="00441FB2" w:rsidP="00441FB2">
            <w:pPr>
              <w:rPr>
                <w:rFonts w:ascii="Arial" w:hAnsi="Arial" w:cs="Arial"/>
                <w:szCs w:val="24"/>
              </w:rPr>
            </w:pPr>
            <w:r w:rsidRPr="00101437">
              <w:rPr>
                <w:rFonts w:ascii="Arial" w:hAnsi="Arial" w:cs="Arial"/>
                <w:szCs w:val="24"/>
              </w:rPr>
              <w:t>Leisure Assistant (Dry)</w:t>
            </w:r>
            <w:r>
              <w:rPr>
                <w:rFonts w:ascii="Arial" w:hAnsi="Arial" w:cs="Arial"/>
                <w:szCs w:val="24"/>
              </w:rPr>
              <w:t xml:space="preserve"> x 2</w:t>
            </w:r>
          </w:p>
        </w:tc>
        <w:tc>
          <w:tcPr>
            <w:tcW w:w="1897" w:type="dxa"/>
            <w:noWrap/>
            <w:hideMark/>
          </w:tcPr>
          <w:p w14:paraId="4BC44D88" w14:textId="77777777" w:rsidR="00441FB2" w:rsidRPr="00101437" w:rsidRDefault="00441FB2" w:rsidP="00441FB2">
            <w:pPr>
              <w:rPr>
                <w:rFonts w:ascii="Arial" w:hAnsi="Arial" w:cs="Arial"/>
                <w:szCs w:val="24"/>
              </w:rPr>
            </w:pPr>
            <w:r w:rsidRPr="00101437">
              <w:rPr>
                <w:rFonts w:ascii="Arial" w:hAnsi="Arial" w:cs="Arial"/>
                <w:szCs w:val="24"/>
              </w:rPr>
              <w:t>Badenoch Centre</w:t>
            </w:r>
          </w:p>
        </w:tc>
        <w:tc>
          <w:tcPr>
            <w:tcW w:w="938" w:type="dxa"/>
            <w:noWrap/>
            <w:hideMark/>
          </w:tcPr>
          <w:p w14:paraId="0DC3EB69" w14:textId="1B92B4A0" w:rsidR="00441FB2" w:rsidRPr="00101437" w:rsidRDefault="00441FB2" w:rsidP="00441FB2">
            <w:pPr>
              <w:rPr>
                <w:rFonts w:ascii="Arial" w:hAnsi="Arial" w:cs="Arial"/>
                <w:szCs w:val="24"/>
              </w:rPr>
            </w:pPr>
            <w:r>
              <w:rPr>
                <w:rFonts w:ascii="Arial" w:hAnsi="Arial" w:cs="Arial"/>
                <w:szCs w:val="24"/>
              </w:rPr>
              <w:t>-</w:t>
            </w:r>
            <w:r w:rsidRPr="00101437">
              <w:rPr>
                <w:rFonts w:ascii="Arial" w:hAnsi="Arial" w:cs="Arial"/>
                <w:szCs w:val="24"/>
              </w:rPr>
              <w:t>0.64</w:t>
            </w:r>
          </w:p>
        </w:tc>
        <w:tc>
          <w:tcPr>
            <w:tcW w:w="2889" w:type="dxa"/>
            <w:noWrap/>
            <w:hideMark/>
          </w:tcPr>
          <w:p w14:paraId="302ADA16" w14:textId="2A06FDBC" w:rsidR="00441FB2" w:rsidRPr="00101437" w:rsidRDefault="00441FB2" w:rsidP="00441FB2">
            <w:pPr>
              <w:rPr>
                <w:rFonts w:ascii="Arial" w:hAnsi="Arial" w:cs="Arial"/>
                <w:szCs w:val="24"/>
              </w:rPr>
            </w:pPr>
            <w:r w:rsidRPr="00441FB2">
              <w:rPr>
                <w:rFonts w:ascii="Arial" w:hAnsi="Arial" w:cs="Arial"/>
                <w:sz w:val="16"/>
                <w:szCs w:val="16"/>
              </w:rPr>
              <w:t>Required for service delivery</w:t>
            </w:r>
          </w:p>
        </w:tc>
      </w:tr>
      <w:tr w:rsidR="00441FB2" w:rsidRPr="00101437" w14:paraId="10566FA3" w14:textId="77777777" w:rsidTr="00441FB2">
        <w:trPr>
          <w:trHeight w:val="300"/>
        </w:trPr>
        <w:tc>
          <w:tcPr>
            <w:tcW w:w="3823" w:type="dxa"/>
            <w:noWrap/>
            <w:hideMark/>
          </w:tcPr>
          <w:p w14:paraId="72186BE0" w14:textId="5C9140BE" w:rsidR="00441FB2" w:rsidRPr="00101437" w:rsidRDefault="00441FB2" w:rsidP="00441FB2">
            <w:pPr>
              <w:rPr>
                <w:rFonts w:ascii="Arial" w:hAnsi="Arial" w:cs="Arial"/>
                <w:szCs w:val="24"/>
              </w:rPr>
            </w:pPr>
            <w:r w:rsidRPr="00101437">
              <w:rPr>
                <w:rFonts w:ascii="Arial" w:hAnsi="Arial" w:cs="Arial"/>
                <w:szCs w:val="24"/>
              </w:rPr>
              <w:t>Leisure Assistant (Dry)</w:t>
            </w:r>
            <w:r>
              <w:rPr>
                <w:rFonts w:ascii="Arial" w:hAnsi="Arial" w:cs="Arial"/>
                <w:szCs w:val="24"/>
              </w:rPr>
              <w:t xml:space="preserve"> x 1</w:t>
            </w:r>
          </w:p>
        </w:tc>
        <w:tc>
          <w:tcPr>
            <w:tcW w:w="1897" w:type="dxa"/>
            <w:noWrap/>
            <w:hideMark/>
          </w:tcPr>
          <w:p w14:paraId="2DEF6EC8" w14:textId="77777777" w:rsidR="00441FB2" w:rsidRPr="00101437" w:rsidRDefault="00441FB2" w:rsidP="00441FB2">
            <w:pPr>
              <w:rPr>
                <w:rFonts w:ascii="Arial" w:hAnsi="Arial" w:cs="Arial"/>
                <w:szCs w:val="24"/>
              </w:rPr>
            </w:pPr>
            <w:r w:rsidRPr="00101437">
              <w:rPr>
                <w:rFonts w:ascii="Arial" w:hAnsi="Arial" w:cs="Arial"/>
                <w:szCs w:val="24"/>
              </w:rPr>
              <w:t>Badenoch Centre</w:t>
            </w:r>
          </w:p>
        </w:tc>
        <w:tc>
          <w:tcPr>
            <w:tcW w:w="938" w:type="dxa"/>
            <w:noWrap/>
            <w:hideMark/>
          </w:tcPr>
          <w:p w14:paraId="24E8F384" w14:textId="77777777" w:rsidR="00441FB2" w:rsidRPr="00101437" w:rsidRDefault="00441FB2" w:rsidP="00441FB2">
            <w:pPr>
              <w:rPr>
                <w:rFonts w:ascii="Arial" w:hAnsi="Arial" w:cs="Arial"/>
                <w:szCs w:val="24"/>
              </w:rPr>
            </w:pPr>
            <w:r w:rsidRPr="00101437">
              <w:rPr>
                <w:rFonts w:ascii="Arial" w:hAnsi="Arial" w:cs="Arial"/>
                <w:szCs w:val="24"/>
              </w:rPr>
              <w:t>0.58</w:t>
            </w:r>
          </w:p>
        </w:tc>
        <w:tc>
          <w:tcPr>
            <w:tcW w:w="2889" w:type="dxa"/>
            <w:noWrap/>
            <w:hideMark/>
          </w:tcPr>
          <w:p w14:paraId="17D2E2E0" w14:textId="5DDD6E33" w:rsidR="00441FB2" w:rsidRPr="00101437" w:rsidRDefault="00441FB2" w:rsidP="00441FB2">
            <w:pPr>
              <w:rPr>
                <w:rFonts w:ascii="Arial" w:hAnsi="Arial" w:cs="Arial"/>
                <w:szCs w:val="24"/>
              </w:rPr>
            </w:pPr>
            <w:r w:rsidRPr="00441FB2">
              <w:rPr>
                <w:rFonts w:ascii="Arial" w:hAnsi="Arial" w:cs="Arial"/>
                <w:sz w:val="16"/>
                <w:szCs w:val="16"/>
              </w:rPr>
              <w:t>Required for service delivery</w:t>
            </w:r>
          </w:p>
        </w:tc>
      </w:tr>
      <w:tr w:rsidR="00441FB2" w:rsidRPr="00101437" w14:paraId="45776E3D" w14:textId="77777777" w:rsidTr="00441FB2">
        <w:trPr>
          <w:trHeight w:val="300"/>
        </w:trPr>
        <w:tc>
          <w:tcPr>
            <w:tcW w:w="3823" w:type="dxa"/>
            <w:noWrap/>
            <w:hideMark/>
          </w:tcPr>
          <w:p w14:paraId="71EE9F8B" w14:textId="1BF91FF6" w:rsidR="00441FB2" w:rsidRPr="00101437" w:rsidRDefault="00441FB2" w:rsidP="00441FB2">
            <w:pPr>
              <w:rPr>
                <w:rFonts w:ascii="Arial" w:hAnsi="Arial" w:cs="Arial"/>
                <w:szCs w:val="24"/>
              </w:rPr>
            </w:pPr>
            <w:r>
              <w:rPr>
                <w:rFonts w:ascii="Arial" w:hAnsi="Arial" w:cs="Arial"/>
                <w:szCs w:val="24"/>
              </w:rPr>
              <w:t xml:space="preserve">Youth </w:t>
            </w:r>
            <w:r w:rsidRPr="00101437">
              <w:rPr>
                <w:rFonts w:ascii="Arial" w:hAnsi="Arial" w:cs="Arial"/>
                <w:szCs w:val="24"/>
              </w:rPr>
              <w:t>Tutor/Coach</w:t>
            </w:r>
          </w:p>
        </w:tc>
        <w:tc>
          <w:tcPr>
            <w:tcW w:w="1897" w:type="dxa"/>
            <w:noWrap/>
            <w:hideMark/>
          </w:tcPr>
          <w:p w14:paraId="6A6B9346" w14:textId="77777777" w:rsidR="00441FB2" w:rsidRPr="00101437" w:rsidRDefault="00441FB2" w:rsidP="00441FB2">
            <w:pPr>
              <w:rPr>
                <w:rFonts w:ascii="Arial" w:hAnsi="Arial" w:cs="Arial"/>
                <w:szCs w:val="24"/>
              </w:rPr>
            </w:pPr>
            <w:r w:rsidRPr="00101437">
              <w:rPr>
                <w:rFonts w:ascii="Arial" w:hAnsi="Arial" w:cs="Arial"/>
                <w:szCs w:val="24"/>
              </w:rPr>
              <w:t>Dingwall</w:t>
            </w:r>
          </w:p>
        </w:tc>
        <w:tc>
          <w:tcPr>
            <w:tcW w:w="938" w:type="dxa"/>
            <w:noWrap/>
            <w:hideMark/>
          </w:tcPr>
          <w:p w14:paraId="22BD8E23" w14:textId="77777777" w:rsidR="00441FB2" w:rsidRPr="00101437" w:rsidRDefault="00441FB2" w:rsidP="00441FB2">
            <w:pPr>
              <w:rPr>
                <w:rFonts w:ascii="Arial" w:hAnsi="Arial" w:cs="Arial"/>
                <w:szCs w:val="24"/>
              </w:rPr>
            </w:pPr>
            <w:r w:rsidRPr="00101437">
              <w:rPr>
                <w:rFonts w:ascii="Arial" w:hAnsi="Arial" w:cs="Arial"/>
                <w:szCs w:val="24"/>
              </w:rPr>
              <w:t>0.5</w:t>
            </w:r>
          </w:p>
        </w:tc>
        <w:tc>
          <w:tcPr>
            <w:tcW w:w="2889" w:type="dxa"/>
            <w:noWrap/>
            <w:hideMark/>
          </w:tcPr>
          <w:p w14:paraId="04CE150A" w14:textId="77777777" w:rsidR="00441FB2" w:rsidRDefault="00441FB2" w:rsidP="00441FB2">
            <w:pPr>
              <w:rPr>
                <w:rFonts w:ascii="Arial" w:hAnsi="Arial" w:cs="Arial"/>
                <w:szCs w:val="24"/>
              </w:rPr>
            </w:pPr>
            <w:r w:rsidRPr="00101437">
              <w:rPr>
                <w:rFonts w:ascii="Arial" w:hAnsi="Arial" w:cs="Arial"/>
                <w:szCs w:val="24"/>
              </w:rPr>
              <w:t xml:space="preserve">Temporary </w:t>
            </w:r>
            <w:r>
              <w:rPr>
                <w:rFonts w:ascii="Arial" w:hAnsi="Arial" w:cs="Arial"/>
                <w:szCs w:val="24"/>
              </w:rPr>
              <w:t>3 months</w:t>
            </w:r>
          </w:p>
          <w:p w14:paraId="5D028A10" w14:textId="7109CA5D" w:rsidR="00441FB2" w:rsidRPr="00101437" w:rsidRDefault="00441FB2" w:rsidP="00441FB2">
            <w:pPr>
              <w:rPr>
                <w:rFonts w:ascii="Arial" w:hAnsi="Arial" w:cs="Arial"/>
                <w:szCs w:val="24"/>
              </w:rPr>
            </w:pPr>
            <w:r w:rsidRPr="00441FB2">
              <w:rPr>
                <w:rFonts w:ascii="Arial" w:hAnsi="Arial" w:cs="Arial"/>
                <w:sz w:val="16"/>
                <w:szCs w:val="16"/>
              </w:rPr>
              <w:t>Required for service delivery</w:t>
            </w:r>
          </w:p>
        </w:tc>
      </w:tr>
      <w:tr w:rsidR="00441FB2" w:rsidRPr="00101437" w14:paraId="00BE73EB" w14:textId="77777777" w:rsidTr="00441FB2">
        <w:trPr>
          <w:trHeight w:val="300"/>
        </w:trPr>
        <w:tc>
          <w:tcPr>
            <w:tcW w:w="3823" w:type="dxa"/>
            <w:noWrap/>
            <w:hideMark/>
          </w:tcPr>
          <w:p w14:paraId="007701A1" w14:textId="77777777" w:rsidR="00441FB2" w:rsidRPr="00101437" w:rsidRDefault="00441FB2" w:rsidP="00441FB2">
            <w:pPr>
              <w:rPr>
                <w:rFonts w:ascii="Arial" w:hAnsi="Arial" w:cs="Arial"/>
                <w:szCs w:val="24"/>
              </w:rPr>
            </w:pPr>
            <w:r w:rsidRPr="00101437">
              <w:rPr>
                <w:rFonts w:ascii="Arial" w:hAnsi="Arial" w:cs="Arial"/>
                <w:szCs w:val="24"/>
              </w:rPr>
              <w:t>YDO (CEYP)</w:t>
            </w:r>
          </w:p>
        </w:tc>
        <w:tc>
          <w:tcPr>
            <w:tcW w:w="1897" w:type="dxa"/>
            <w:noWrap/>
            <w:hideMark/>
          </w:tcPr>
          <w:p w14:paraId="70863DED" w14:textId="77777777" w:rsidR="00441FB2" w:rsidRPr="00101437" w:rsidRDefault="00441FB2" w:rsidP="00441FB2">
            <w:pPr>
              <w:rPr>
                <w:rFonts w:ascii="Arial" w:hAnsi="Arial" w:cs="Arial"/>
                <w:szCs w:val="24"/>
              </w:rPr>
            </w:pPr>
            <w:r w:rsidRPr="00101437">
              <w:rPr>
                <w:rFonts w:ascii="Arial" w:hAnsi="Arial" w:cs="Arial"/>
                <w:szCs w:val="24"/>
              </w:rPr>
              <w:t>Inverness (</w:t>
            </w:r>
            <w:proofErr w:type="spellStart"/>
            <w:r w:rsidRPr="00101437">
              <w:rPr>
                <w:rFonts w:ascii="Arial" w:hAnsi="Arial" w:cs="Arial"/>
                <w:szCs w:val="24"/>
              </w:rPr>
              <w:t>Clachnaharry</w:t>
            </w:r>
            <w:proofErr w:type="spellEnd"/>
            <w:r w:rsidRPr="00101437">
              <w:rPr>
                <w:rFonts w:ascii="Arial" w:hAnsi="Arial" w:cs="Arial"/>
                <w:szCs w:val="24"/>
              </w:rPr>
              <w:t>)</w:t>
            </w:r>
          </w:p>
        </w:tc>
        <w:tc>
          <w:tcPr>
            <w:tcW w:w="938" w:type="dxa"/>
            <w:noWrap/>
            <w:hideMark/>
          </w:tcPr>
          <w:p w14:paraId="0AF1E776" w14:textId="77777777" w:rsidR="00441FB2" w:rsidRPr="00101437" w:rsidRDefault="00441FB2" w:rsidP="00441FB2">
            <w:pPr>
              <w:rPr>
                <w:rFonts w:ascii="Arial" w:hAnsi="Arial" w:cs="Arial"/>
                <w:szCs w:val="24"/>
              </w:rPr>
            </w:pPr>
            <w:r w:rsidRPr="00101437">
              <w:rPr>
                <w:rFonts w:ascii="Arial" w:hAnsi="Arial" w:cs="Arial"/>
                <w:szCs w:val="24"/>
              </w:rPr>
              <w:t>0.5</w:t>
            </w:r>
          </w:p>
        </w:tc>
        <w:tc>
          <w:tcPr>
            <w:tcW w:w="2889" w:type="dxa"/>
            <w:noWrap/>
            <w:hideMark/>
          </w:tcPr>
          <w:p w14:paraId="24819951" w14:textId="77777777" w:rsidR="00441FB2" w:rsidRDefault="00441FB2" w:rsidP="00441FB2">
            <w:pPr>
              <w:rPr>
                <w:rFonts w:ascii="Arial" w:hAnsi="Arial" w:cs="Arial"/>
                <w:szCs w:val="24"/>
              </w:rPr>
            </w:pPr>
            <w:r>
              <w:rPr>
                <w:rFonts w:ascii="Arial" w:hAnsi="Arial" w:cs="Arial"/>
                <w:szCs w:val="24"/>
              </w:rPr>
              <w:t>Fixed term 12 months</w:t>
            </w:r>
          </w:p>
          <w:p w14:paraId="7D49513C" w14:textId="0BDCDF29" w:rsidR="00441FB2" w:rsidRPr="00101437" w:rsidRDefault="00441FB2" w:rsidP="00441FB2">
            <w:pPr>
              <w:rPr>
                <w:rFonts w:ascii="Arial" w:hAnsi="Arial" w:cs="Arial"/>
                <w:szCs w:val="24"/>
              </w:rPr>
            </w:pPr>
            <w:r>
              <w:rPr>
                <w:rFonts w:ascii="Arial" w:hAnsi="Arial" w:cs="Arial"/>
                <w:szCs w:val="24"/>
              </w:rPr>
              <w:t>Externally funded</w:t>
            </w:r>
            <w:r w:rsidRPr="00101437">
              <w:rPr>
                <w:rFonts w:ascii="Arial" w:hAnsi="Arial" w:cs="Arial"/>
                <w:szCs w:val="24"/>
              </w:rPr>
              <w:t xml:space="preserve"> </w:t>
            </w:r>
          </w:p>
        </w:tc>
      </w:tr>
      <w:tr w:rsidR="00441FB2" w:rsidRPr="00101437" w14:paraId="4CDC4E09" w14:textId="77777777" w:rsidTr="00441FB2">
        <w:trPr>
          <w:trHeight w:val="300"/>
        </w:trPr>
        <w:tc>
          <w:tcPr>
            <w:tcW w:w="3823" w:type="dxa"/>
            <w:noWrap/>
            <w:hideMark/>
          </w:tcPr>
          <w:p w14:paraId="1816889C" w14:textId="77777777" w:rsidR="00441FB2" w:rsidRPr="00101437" w:rsidRDefault="00441FB2" w:rsidP="00441FB2">
            <w:pPr>
              <w:rPr>
                <w:rFonts w:ascii="Arial" w:hAnsi="Arial" w:cs="Arial"/>
                <w:szCs w:val="24"/>
              </w:rPr>
            </w:pPr>
            <w:r w:rsidRPr="00101437">
              <w:rPr>
                <w:rFonts w:ascii="Arial" w:hAnsi="Arial" w:cs="Arial"/>
                <w:szCs w:val="24"/>
              </w:rPr>
              <w:t xml:space="preserve">Music Tutor (Pipe Band Drumming) </w:t>
            </w:r>
          </w:p>
        </w:tc>
        <w:tc>
          <w:tcPr>
            <w:tcW w:w="1897" w:type="dxa"/>
            <w:noWrap/>
            <w:hideMark/>
          </w:tcPr>
          <w:p w14:paraId="33837A03" w14:textId="77777777" w:rsidR="00441FB2" w:rsidRPr="00101437" w:rsidRDefault="00441FB2" w:rsidP="00441FB2">
            <w:pPr>
              <w:rPr>
                <w:rFonts w:ascii="Arial" w:hAnsi="Arial" w:cs="Arial"/>
                <w:szCs w:val="24"/>
              </w:rPr>
            </w:pPr>
            <w:r w:rsidRPr="00101437">
              <w:rPr>
                <w:rFonts w:ascii="Arial" w:hAnsi="Arial" w:cs="Arial"/>
                <w:szCs w:val="24"/>
              </w:rPr>
              <w:t>Ullapool</w:t>
            </w:r>
          </w:p>
        </w:tc>
        <w:tc>
          <w:tcPr>
            <w:tcW w:w="938" w:type="dxa"/>
            <w:noWrap/>
            <w:hideMark/>
          </w:tcPr>
          <w:p w14:paraId="0E0F6A9B" w14:textId="39E73361" w:rsidR="00441FB2" w:rsidRPr="00101437" w:rsidRDefault="00441FB2" w:rsidP="00441FB2">
            <w:pPr>
              <w:rPr>
                <w:rFonts w:ascii="Arial" w:hAnsi="Arial" w:cs="Arial"/>
                <w:szCs w:val="24"/>
              </w:rPr>
            </w:pPr>
            <w:r>
              <w:rPr>
                <w:rFonts w:ascii="Arial" w:hAnsi="Arial" w:cs="Arial"/>
                <w:szCs w:val="24"/>
              </w:rPr>
              <w:t>1.0</w:t>
            </w:r>
          </w:p>
        </w:tc>
        <w:tc>
          <w:tcPr>
            <w:tcW w:w="2889" w:type="dxa"/>
            <w:noWrap/>
            <w:hideMark/>
          </w:tcPr>
          <w:p w14:paraId="2546FD13" w14:textId="77777777" w:rsidR="00441FB2" w:rsidRDefault="00441FB2" w:rsidP="00441FB2">
            <w:pPr>
              <w:rPr>
                <w:rFonts w:ascii="Arial" w:hAnsi="Arial" w:cs="Arial"/>
                <w:szCs w:val="24"/>
              </w:rPr>
            </w:pPr>
            <w:r>
              <w:rPr>
                <w:rFonts w:ascii="Arial" w:hAnsi="Arial" w:cs="Arial"/>
                <w:szCs w:val="24"/>
              </w:rPr>
              <w:t>Fixed term 12 months</w:t>
            </w:r>
          </w:p>
          <w:p w14:paraId="007969CB" w14:textId="0D717517" w:rsidR="00441FB2" w:rsidRPr="00101437" w:rsidRDefault="00441FB2" w:rsidP="00441FB2">
            <w:pPr>
              <w:rPr>
                <w:rFonts w:ascii="Arial" w:hAnsi="Arial" w:cs="Arial"/>
                <w:szCs w:val="24"/>
              </w:rPr>
            </w:pPr>
            <w:r w:rsidRPr="00441FB2">
              <w:rPr>
                <w:rFonts w:ascii="Arial" w:hAnsi="Arial" w:cs="Arial"/>
                <w:sz w:val="16"/>
                <w:szCs w:val="16"/>
              </w:rPr>
              <w:t xml:space="preserve">Required </w:t>
            </w:r>
            <w:r>
              <w:rPr>
                <w:rFonts w:ascii="Arial" w:hAnsi="Arial" w:cs="Arial"/>
                <w:sz w:val="16"/>
                <w:szCs w:val="16"/>
              </w:rPr>
              <w:t>to meet service demand</w:t>
            </w:r>
          </w:p>
        </w:tc>
      </w:tr>
      <w:tr w:rsidR="00441FB2" w:rsidRPr="00101437" w14:paraId="43E3336B" w14:textId="77777777" w:rsidTr="00441FB2">
        <w:trPr>
          <w:trHeight w:val="300"/>
        </w:trPr>
        <w:tc>
          <w:tcPr>
            <w:tcW w:w="3823" w:type="dxa"/>
            <w:noWrap/>
            <w:hideMark/>
          </w:tcPr>
          <w:p w14:paraId="3EB36DC5" w14:textId="77777777" w:rsidR="00441FB2" w:rsidRPr="00101437" w:rsidRDefault="00441FB2" w:rsidP="00441FB2">
            <w:pPr>
              <w:rPr>
                <w:rFonts w:ascii="Arial" w:hAnsi="Arial" w:cs="Arial"/>
                <w:szCs w:val="24"/>
              </w:rPr>
            </w:pPr>
            <w:r w:rsidRPr="00101437">
              <w:rPr>
                <w:rFonts w:ascii="Arial" w:hAnsi="Arial" w:cs="Arial"/>
                <w:szCs w:val="24"/>
              </w:rPr>
              <w:t>Visitor Centre Assistant</w:t>
            </w:r>
          </w:p>
        </w:tc>
        <w:tc>
          <w:tcPr>
            <w:tcW w:w="1897" w:type="dxa"/>
            <w:noWrap/>
            <w:hideMark/>
          </w:tcPr>
          <w:p w14:paraId="0486EF7E" w14:textId="04F54A25" w:rsidR="00441FB2" w:rsidRPr="00101437" w:rsidRDefault="00441FB2" w:rsidP="00441FB2">
            <w:pPr>
              <w:rPr>
                <w:rFonts w:ascii="Arial" w:hAnsi="Arial" w:cs="Arial"/>
                <w:szCs w:val="24"/>
              </w:rPr>
            </w:pPr>
            <w:r w:rsidRPr="00101437">
              <w:rPr>
                <w:rFonts w:ascii="Arial" w:hAnsi="Arial" w:cs="Arial"/>
                <w:szCs w:val="24"/>
              </w:rPr>
              <w:t xml:space="preserve">Ben </w:t>
            </w:r>
            <w:r>
              <w:rPr>
                <w:rFonts w:ascii="Arial" w:hAnsi="Arial" w:cs="Arial"/>
                <w:szCs w:val="24"/>
              </w:rPr>
              <w:t>N</w:t>
            </w:r>
            <w:r w:rsidRPr="00101437">
              <w:rPr>
                <w:rFonts w:ascii="Arial" w:hAnsi="Arial" w:cs="Arial"/>
                <w:szCs w:val="24"/>
              </w:rPr>
              <w:t>evis Visitor Centre</w:t>
            </w:r>
          </w:p>
        </w:tc>
        <w:tc>
          <w:tcPr>
            <w:tcW w:w="938" w:type="dxa"/>
            <w:noWrap/>
            <w:hideMark/>
          </w:tcPr>
          <w:p w14:paraId="74200D80" w14:textId="77777777" w:rsidR="00441FB2" w:rsidRPr="00101437" w:rsidRDefault="00441FB2" w:rsidP="00441FB2">
            <w:pPr>
              <w:rPr>
                <w:rFonts w:ascii="Arial" w:hAnsi="Arial" w:cs="Arial"/>
                <w:szCs w:val="24"/>
              </w:rPr>
            </w:pPr>
            <w:r w:rsidRPr="00101437">
              <w:rPr>
                <w:rFonts w:ascii="Arial" w:hAnsi="Arial" w:cs="Arial"/>
                <w:szCs w:val="24"/>
              </w:rPr>
              <w:t>0.54</w:t>
            </w:r>
          </w:p>
        </w:tc>
        <w:tc>
          <w:tcPr>
            <w:tcW w:w="2889" w:type="dxa"/>
            <w:noWrap/>
            <w:hideMark/>
          </w:tcPr>
          <w:p w14:paraId="29510A34" w14:textId="77777777" w:rsidR="00441FB2" w:rsidRDefault="00441FB2" w:rsidP="00441FB2">
            <w:pPr>
              <w:rPr>
                <w:rFonts w:ascii="Arial" w:hAnsi="Arial" w:cs="Arial"/>
                <w:szCs w:val="24"/>
              </w:rPr>
            </w:pPr>
            <w:r w:rsidRPr="00101437">
              <w:rPr>
                <w:rFonts w:ascii="Arial" w:hAnsi="Arial" w:cs="Arial"/>
                <w:szCs w:val="24"/>
              </w:rPr>
              <w:t xml:space="preserve">Temporary </w:t>
            </w:r>
            <w:r>
              <w:rPr>
                <w:rFonts w:ascii="Arial" w:hAnsi="Arial" w:cs="Arial"/>
                <w:szCs w:val="24"/>
              </w:rPr>
              <w:t>3 months</w:t>
            </w:r>
          </w:p>
          <w:p w14:paraId="0CB2D6B2" w14:textId="08979A3F" w:rsidR="00441FB2" w:rsidRPr="00101437" w:rsidRDefault="00441FB2" w:rsidP="00441FB2">
            <w:pPr>
              <w:rPr>
                <w:rFonts w:ascii="Arial" w:hAnsi="Arial" w:cs="Arial"/>
                <w:szCs w:val="24"/>
              </w:rPr>
            </w:pPr>
            <w:r w:rsidRPr="00441FB2">
              <w:rPr>
                <w:rFonts w:ascii="Arial" w:hAnsi="Arial" w:cs="Arial"/>
                <w:sz w:val="16"/>
                <w:szCs w:val="16"/>
              </w:rPr>
              <w:t>Required for service delivery</w:t>
            </w:r>
          </w:p>
        </w:tc>
      </w:tr>
      <w:tr w:rsidR="00441FB2" w:rsidRPr="00101437" w14:paraId="558EB472" w14:textId="77777777" w:rsidTr="00441FB2">
        <w:trPr>
          <w:trHeight w:val="300"/>
        </w:trPr>
        <w:tc>
          <w:tcPr>
            <w:tcW w:w="3823" w:type="dxa"/>
            <w:noWrap/>
            <w:hideMark/>
          </w:tcPr>
          <w:p w14:paraId="57614416" w14:textId="673AAE77" w:rsidR="00441FB2" w:rsidRPr="00101437" w:rsidRDefault="00441FB2" w:rsidP="00441FB2">
            <w:pPr>
              <w:rPr>
                <w:rFonts w:ascii="Arial" w:hAnsi="Arial" w:cs="Arial"/>
                <w:szCs w:val="24"/>
              </w:rPr>
            </w:pPr>
            <w:r>
              <w:rPr>
                <w:rFonts w:ascii="Arial" w:hAnsi="Arial" w:cs="Arial"/>
                <w:szCs w:val="24"/>
              </w:rPr>
              <w:t>Assistant Youth Worker x 2</w:t>
            </w:r>
          </w:p>
        </w:tc>
        <w:tc>
          <w:tcPr>
            <w:tcW w:w="1897" w:type="dxa"/>
            <w:noWrap/>
            <w:hideMark/>
          </w:tcPr>
          <w:p w14:paraId="497DEBF7" w14:textId="173811B3" w:rsidR="00441FB2" w:rsidRPr="00101437" w:rsidRDefault="00441FB2" w:rsidP="00441FB2">
            <w:pPr>
              <w:rPr>
                <w:rFonts w:ascii="Arial" w:hAnsi="Arial" w:cs="Arial"/>
                <w:szCs w:val="24"/>
              </w:rPr>
            </w:pPr>
            <w:proofErr w:type="spellStart"/>
            <w:r>
              <w:rPr>
                <w:rFonts w:ascii="Arial" w:hAnsi="Arial" w:cs="Arial"/>
                <w:szCs w:val="24"/>
              </w:rPr>
              <w:t>B</w:t>
            </w:r>
            <w:r w:rsidRPr="00101437">
              <w:rPr>
                <w:rFonts w:ascii="Arial" w:hAnsi="Arial" w:cs="Arial"/>
                <w:szCs w:val="24"/>
              </w:rPr>
              <w:t>alintore</w:t>
            </w:r>
            <w:proofErr w:type="spellEnd"/>
          </w:p>
        </w:tc>
        <w:tc>
          <w:tcPr>
            <w:tcW w:w="938" w:type="dxa"/>
            <w:noWrap/>
            <w:hideMark/>
          </w:tcPr>
          <w:p w14:paraId="3C83B5E8" w14:textId="6AF73326" w:rsidR="00441FB2" w:rsidRPr="00101437" w:rsidRDefault="00441FB2" w:rsidP="00441FB2">
            <w:pPr>
              <w:rPr>
                <w:rFonts w:ascii="Arial" w:hAnsi="Arial" w:cs="Arial"/>
                <w:szCs w:val="24"/>
              </w:rPr>
            </w:pPr>
            <w:r w:rsidRPr="00101437">
              <w:rPr>
                <w:rFonts w:ascii="Arial" w:hAnsi="Arial" w:cs="Arial"/>
                <w:szCs w:val="24"/>
              </w:rPr>
              <w:t>0.</w:t>
            </w:r>
            <w:r>
              <w:rPr>
                <w:rFonts w:ascii="Arial" w:hAnsi="Arial" w:cs="Arial"/>
                <w:szCs w:val="24"/>
              </w:rPr>
              <w:t>22</w:t>
            </w:r>
          </w:p>
        </w:tc>
        <w:tc>
          <w:tcPr>
            <w:tcW w:w="2889" w:type="dxa"/>
            <w:noWrap/>
            <w:hideMark/>
          </w:tcPr>
          <w:p w14:paraId="4D5A3DE8" w14:textId="77777777" w:rsidR="00441FB2" w:rsidRDefault="00441FB2" w:rsidP="00441FB2">
            <w:pPr>
              <w:rPr>
                <w:rFonts w:ascii="Arial" w:hAnsi="Arial" w:cs="Arial"/>
                <w:szCs w:val="24"/>
              </w:rPr>
            </w:pPr>
            <w:r w:rsidRPr="00101437">
              <w:rPr>
                <w:rFonts w:ascii="Arial" w:hAnsi="Arial" w:cs="Arial"/>
                <w:szCs w:val="24"/>
              </w:rPr>
              <w:t xml:space="preserve">Temporary </w:t>
            </w:r>
            <w:r>
              <w:rPr>
                <w:rFonts w:ascii="Arial" w:hAnsi="Arial" w:cs="Arial"/>
                <w:szCs w:val="24"/>
              </w:rPr>
              <w:t>3 months</w:t>
            </w:r>
          </w:p>
          <w:p w14:paraId="23E64FC3" w14:textId="1A05BB95" w:rsidR="00441FB2" w:rsidRPr="00101437" w:rsidRDefault="00441FB2" w:rsidP="00441FB2">
            <w:pPr>
              <w:rPr>
                <w:rFonts w:ascii="Arial" w:hAnsi="Arial" w:cs="Arial"/>
                <w:szCs w:val="24"/>
              </w:rPr>
            </w:pPr>
            <w:r w:rsidRPr="00441FB2">
              <w:rPr>
                <w:rFonts w:ascii="Arial" w:hAnsi="Arial" w:cs="Arial"/>
                <w:sz w:val="16"/>
                <w:szCs w:val="16"/>
              </w:rPr>
              <w:t>Required for service delivery</w:t>
            </w:r>
          </w:p>
        </w:tc>
      </w:tr>
      <w:tr w:rsidR="00441FB2" w:rsidRPr="00101437" w14:paraId="65509F33" w14:textId="77777777" w:rsidTr="00441FB2">
        <w:trPr>
          <w:trHeight w:val="300"/>
        </w:trPr>
        <w:tc>
          <w:tcPr>
            <w:tcW w:w="3823" w:type="dxa"/>
            <w:noWrap/>
            <w:hideMark/>
          </w:tcPr>
          <w:p w14:paraId="030491CC" w14:textId="77777777" w:rsidR="00441FB2" w:rsidRPr="00101437" w:rsidRDefault="00441FB2" w:rsidP="00441FB2">
            <w:pPr>
              <w:rPr>
                <w:rFonts w:ascii="Arial" w:hAnsi="Arial" w:cs="Arial"/>
                <w:szCs w:val="24"/>
              </w:rPr>
            </w:pPr>
            <w:r w:rsidRPr="00101437">
              <w:rPr>
                <w:rFonts w:ascii="Arial" w:hAnsi="Arial" w:cs="Arial"/>
                <w:szCs w:val="24"/>
              </w:rPr>
              <w:t>Tutor Coach (Zumba)</w:t>
            </w:r>
          </w:p>
        </w:tc>
        <w:tc>
          <w:tcPr>
            <w:tcW w:w="1897" w:type="dxa"/>
            <w:noWrap/>
            <w:hideMark/>
          </w:tcPr>
          <w:p w14:paraId="6159E087" w14:textId="77777777" w:rsidR="00441FB2" w:rsidRPr="00101437" w:rsidRDefault="00441FB2" w:rsidP="00441FB2">
            <w:pPr>
              <w:rPr>
                <w:rFonts w:ascii="Arial" w:hAnsi="Arial" w:cs="Arial"/>
                <w:szCs w:val="24"/>
              </w:rPr>
            </w:pPr>
            <w:r w:rsidRPr="00101437">
              <w:rPr>
                <w:rFonts w:ascii="Arial" w:hAnsi="Arial" w:cs="Arial"/>
                <w:szCs w:val="24"/>
              </w:rPr>
              <w:t>Badenoch Centre</w:t>
            </w:r>
          </w:p>
        </w:tc>
        <w:tc>
          <w:tcPr>
            <w:tcW w:w="938" w:type="dxa"/>
            <w:noWrap/>
            <w:hideMark/>
          </w:tcPr>
          <w:p w14:paraId="18CAB381" w14:textId="77777777" w:rsidR="00441FB2" w:rsidRPr="00101437" w:rsidRDefault="00441FB2" w:rsidP="00441FB2">
            <w:pPr>
              <w:rPr>
                <w:rFonts w:ascii="Arial" w:hAnsi="Arial" w:cs="Arial"/>
                <w:szCs w:val="24"/>
              </w:rPr>
            </w:pPr>
            <w:r w:rsidRPr="00101437">
              <w:rPr>
                <w:rFonts w:ascii="Arial" w:hAnsi="Arial" w:cs="Arial"/>
                <w:szCs w:val="24"/>
              </w:rPr>
              <w:t>0.14</w:t>
            </w:r>
          </w:p>
        </w:tc>
        <w:tc>
          <w:tcPr>
            <w:tcW w:w="2889" w:type="dxa"/>
            <w:noWrap/>
            <w:hideMark/>
          </w:tcPr>
          <w:p w14:paraId="10C7C92F" w14:textId="77777777" w:rsidR="00441FB2" w:rsidRDefault="00441FB2" w:rsidP="00441FB2">
            <w:pPr>
              <w:rPr>
                <w:rFonts w:ascii="Arial" w:hAnsi="Arial" w:cs="Arial"/>
                <w:szCs w:val="24"/>
              </w:rPr>
            </w:pPr>
            <w:r w:rsidRPr="00101437">
              <w:rPr>
                <w:rFonts w:ascii="Arial" w:hAnsi="Arial" w:cs="Arial"/>
                <w:szCs w:val="24"/>
              </w:rPr>
              <w:t xml:space="preserve">Temporary </w:t>
            </w:r>
            <w:r>
              <w:rPr>
                <w:rFonts w:ascii="Arial" w:hAnsi="Arial" w:cs="Arial"/>
                <w:szCs w:val="24"/>
              </w:rPr>
              <w:t>6 months</w:t>
            </w:r>
          </w:p>
          <w:p w14:paraId="33552A9D" w14:textId="123477AF" w:rsidR="00441FB2" w:rsidRPr="00101437" w:rsidRDefault="00441FB2" w:rsidP="00441FB2">
            <w:pPr>
              <w:rPr>
                <w:rFonts w:ascii="Arial" w:hAnsi="Arial" w:cs="Arial"/>
                <w:szCs w:val="24"/>
              </w:rPr>
            </w:pPr>
            <w:r w:rsidRPr="00441FB2">
              <w:rPr>
                <w:rFonts w:ascii="Arial" w:hAnsi="Arial" w:cs="Arial"/>
                <w:sz w:val="16"/>
                <w:szCs w:val="16"/>
              </w:rPr>
              <w:t>Previously relief working regular hours</w:t>
            </w:r>
            <w:r>
              <w:rPr>
                <w:rFonts w:ascii="Arial" w:hAnsi="Arial" w:cs="Arial"/>
                <w:sz w:val="16"/>
                <w:szCs w:val="16"/>
              </w:rPr>
              <w:t xml:space="preserve"> over extended period</w:t>
            </w:r>
          </w:p>
        </w:tc>
      </w:tr>
      <w:tr w:rsidR="00441FB2" w:rsidRPr="00101437" w14:paraId="4BDED79C" w14:textId="77777777" w:rsidTr="00441FB2">
        <w:trPr>
          <w:trHeight w:val="300"/>
        </w:trPr>
        <w:tc>
          <w:tcPr>
            <w:tcW w:w="3823" w:type="dxa"/>
            <w:noWrap/>
            <w:hideMark/>
          </w:tcPr>
          <w:p w14:paraId="34098A1B" w14:textId="77777777" w:rsidR="00441FB2" w:rsidRPr="00101437" w:rsidRDefault="00441FB2" w:rsidP="00441FB2">
            <w:pPr>
              <w:rPr>
                <w:rFonts w:ascii="Arial" w:hAnsi="Arial" w:cs="Arial"/>
                <w:szCs w:val="24"/>
              </w:rPr>
            </w:pPr>
            <w:r w:rsidRPr="00101437">
              <w:rPr>
                <w:rFonts w:ascii="Arial" w:hAnsi="Arial" w:cs="Arial"/>
                <w:szCs w:val="24"/>
              </w:rPr>
              <w:t>Estates Admin Assistant</w:t>
            </w:r>
          </w:p>
        </w:tc>
        <w:tc>
          <w:tcPr>
            <w:tcW w:w="1897" w:type="dxa"/>
            <w:noWrap/>
            <w:hideMark/>
          </w:tcPr>
          <w:p w14:paraId="6D04100A" w14:textId="77777777" w:rsidR="00441FB2" w:rsidRPr="00101437" w:rsidRDefault="00441FB2" w:rsidP="00441FB2">
            <w:pPr>
              <w:rPr>
                <w:rFonts w:ascii="Arial" w:hAnsi="Arial" w:cs="Arial"/>
                <w:szCs w:val="24"/>
              </w:rPr>
            </w:pPr>
            <w:r w:rsidRPr="00101437">
              <w:rPr>
                <w:rFonts w:ascii="Arial" w:hAnsi="Arial" w:cs="Arial"/>
                <w:szCs w:val="24"/>
              </w:rPr>
              <w:t>Inverness</w:t>
            </w:r>
          </w:p>
        </w:tc>
        <w:tc>
          <w:tcPr>
            <w:tcW w:w="938" w:type="dxa"/>
            <w:noWrap/>
            <w:hideMark/>
          </w:tcPr>
          <w:p w14:paraId="2475E84C" w14:textId="77777777" w:rsidR="00441FB2" w:rsidRPr="00101437" w:rsidRDefault="00441FB2" w:rsidP="00441FB2">
            <w:pPr>
              <w:rPr>
                <w:rFonts w:ascii="Arial" w:hAnsi="Arial" w:cs="Arial"/>
                <w:szCs w:val="24"/>
              </w:rPr>
            </w:pPr>
            <w:r w:rsidRPr="00101437">
              <w:rPr>
                <w:rFonts w:ascii="Arial" w:hAnsi="Arial" w:cs="Arial"/>
                <w:szCs w:val="24"/>
              </w:rPr>
              <w:t>1</w:t>
            </w:r>
          </w:p>
        </w:tc>
        <w:tc>
          <w:tcPr>
            <w:tcW w:w="2889" w:type="dxa"/>
            <w:noWrap/>
            <w:hideMark/>
          </w:tcPr>
          <w:p w14:paraId="5A5D6454" w14:textId="77777777" w:rsidR="00441FB2" w:rsidRPr="00101437" w:rsidRDefault="00441FB2" w:rsidP="00441FB2">
            <w:pPr>
              <w:rPr>
                <w:rFonts w:ascii="Arial" w:hAnsi="Arial" w:cs="Arial"/>
                <w:szCs w:val="24"/>
              </w:rPr>
            </w:pPr>
            <w:r w:rsidRPr="00101437">
              <w:rPr>
                <w:rFonts w:ascii="Arial" w:hAnsi="Arial" w:cs="Arial"/>
                <w:szCs w:val="24"/>
              </w:rPr>
              <w:t xml:space="preserve">Temporary </w:t>
            </w:r>
            <w:proofErr w:type="gramStart"/>
            <w:r w:rsidRPr="00101437">
              <w:rPr>
                <w:rFonts w:ascii="Arial" w:hAnsi="Arial" w:cs="Arial"/>
                <w:szCs w:val="24"/>
              </w:rPr>
              <w:t>18 month</w:t>
            </w:r>
            <w:proofErr w:type="gramEnd"/>
            <w:r w:rsidRPr="00101437">
              <w:rPr>
                <w:rFonts w:ascii="Arial" w:hAnsi="Arial" w:cs="Arial"/>
                <w:szCs w:val="24"/>
              </w:rPr>
              <w:t xml:space="preserve"> post</w:t>
            </w:r>
          </w:p>
        </w:tc>
      </w:tr>
      <w:tr w:rsidR="00441FB2" w:rsidRPr="00101437" w14:paraId="58BC7B70" w14:textId="77777777" w:rsidTr="00441FB2">
        <w:trPr>
          <w:trHeight w:val="300"/>
        </w:trPr>
        <w:tc>
          <w:tcPr>
            <w:tcW w:w="3823" w:type="dxa"/>
            <w:noWrap/>
            <w:hideMark/>
          </w:tcPr>
          <w:p w14:paraId="5A493539" w14:textId="77777777" w:rsidR="00441FB2" w:rsidRPr="00101437" w:rsidRDefault="00441FB2" w:rsidP="00441FB2">
            <w:pPr>
              <w:rPr>
                <w:rFonts w:ascii="Arial" w:hAnsi="Arial" w:cs="Arial"/>
                <w:szCs w:val="24"/>
              </w:rPr>
            </w:pPr>
            <w:r w:rsidRPr="00101437">
              <w:rPr>
                <w:rFonts w:ascii="Arial" w:hAnsi="Arial" w:cs="Arial"/>
                <w:szCs w:val="24"/>
              </w:rPr>
              <w:t>Gardener</w:t>
            </w:r>
          </w:p>
        </w:tc>
        <w:tc>
          <w:tcPr>
            <w:tcW w:w="1897" w:type="dxa"/>
            <w:noWrap/>
            <w:hideMark/>
          </w:tcPr>
          <w:p w14:paraId="458BAD7D" w14:textId="77777777" w:rsidR="00441FB2" w:rsidRPr="00101437" w:rsidRDefault="00441FB2" w:rsidP="00441FB2">
            <w:pPr>
              <w:rPr>
                <w:rFonts w:ascii="Arial" w:hAnsi="Arial" w:cs="Arial"/>
                <w:szCs w:val="24"/>
              </w:rPr>
            </w:pPr>
            <w:r w:rsidRPr="00101437">
              <w:rPr>
                <w:rFonts w:ascii="Arial" w:hAnsi="Arial" w:cs="Arial"/>
                <w:szCs w:val="24"/>
              </w:rPr>
              <w:t>IBG</w:t>
            </w:r>
          </w:p>
        </w:tc>
        <w:tc>
          <w:tcPr>
            <w:tcW w:w="938" w:type="dxa"/>
            <w:noWrap/>
            <w:hideMark/>
          </w:tcPr>
          <w:p w14:paraId="2B3A0CD4" w14:textId="77777777" w:rsidR="00441FB2" w:rsidRPr="00101437" w:rsidRDefault="00441FB2" w:rsidP="00441FB2">
            <w:pPr>
              <w:rPr>
                <w:rFonts w:ascii="Arial" w:hAnsi="Arial" w:cs="Arial"/>
                <w:szCs w:val="24"/>
              </w:rPr>
            </w:pPr>
            <w:r w:rsidRPr="00101437">
              <w:rPr>
                <w:rFonts w:ascii="Arial" w:hAnsi="Arial" w:cs="Arial"/>
                <w:szCs w:val="24"/>
              </w:rPr>
              <w:t>-0.19</w:t>
            </w:r>
          </w:p>
        </w:tc>
        <w:tc>
          <w:tcPr>
            <w:tcW w:w="2889" w:type="dxa"/>
            <w:noWrap/>
            <w:hideMark/>
          </w:tcPr>
          <w:p w14:paraId="6D0AF741" w14:textId="2A5AF093" w:rsidR="00441FB2" w:rsidRPr="00101437" w:rsidRDefault="00441FB2" w:rsidP="00441FB2">
            <w:pPr>
              <w:rPr>
                <w:rFonts w:ascii="Arial" w:hAnsi="Arial" w:cs="Arial"/>
                <w:szCs w:val="24"/>
              </w:rPr>
            </w:pPr>
            <w:r>
              <w:rPr>
                <w:rFonts w:ascii="Arial" w:hAnsi="Arial" w:cs="Arial"/>
                <w:sz w:val="16"/>
                <w:szCs w:val="16"/>
              </w:rPr>
              <w:t>Required for service delivery</w:t>
            </w:r>
          </w:p>
        </w:tc>
      </w:tr>
      <w:tr w:rsidR="00441FB2" w:rsidRPr="00101437" w14:paraId="59FB672A" w14:textId="77777777" w:rsidTr="00441FB2">
        <w:trPr>
          <w:trHeight w:val="300"/>
        </w:trPr>
        <w:tc>
          <w:tcPr>
            <w:tcW w:w="3823" w:type="dxa"/>
            <w:noWrap/>
            <w:hideMark/>
          </w:tcPr>
          <w:p w14:paraId="7396EFE2" w14:textId="7485939E" w:rsidR="00441FB2" w:rsidRPr="00101437" w:rsidRDefault="00441FB2" w:rsidP="00441FB2">
            <w:pPr>
              <w:rPr>
                <w:rFonts w:ascii="Arial" w:hAnsi="Arial" w:cs="Arial"/>
                <w:szCs w:val="24"/>
              </w:rPr>
            </w:pPr>
            <w:r w:rsidRPr="00101437">
              <w:rPr>
                <w:rFonts w:ascii="Arial" w:hAnsi="Arial" w:cs="Arial"/>
                <w:szCs w:val="24"/>
              </w:rPr>
              <w:t>Seasonal Gardener</w:t>
            </w:r>
            <w:r>
              <w:rPr>
                <w:rFonts w:ascii="Arial" w:hAnsi="Arial" w:cs="Arial"/>
                <w:szCs w:val="24"/>
              </w:rPr>
              <w:t xml:space="preserve"> x 2</w:t>
            </w:r>
          </w:p>
        </w:tc>
        <w:tc>
          <w:tcPr>
            <w:tcW w:w="1897" w:type="dxa"/>
            <w:noWrap/>
            <w:hideMark/>
          </w:tcPr>
          <w:p w14:paraId="007DAA91" w14:textId="77777777" w:rsidR="00441FB2" w:rsidRPr="00101437" w:rsidRDefault="00441FB2" w:rsidP="00441FB2">
            <w:pPr>
              <w:rPr>
                <w:rFonts w:ascii="Arial" w:hAnsi="Arial" w:cs="Arial"/>
                <w:szCs w:val="24"/>
              </w:rPr>
            </w:pPr>
            <w:r w:rsidRPr="00101437">
              <w:rPr>
                <w:rFonts w:ascii="Arial" w:hAnsi="Arial" w:cs="Arial"/>
                <w:szCs w:val="24"/>
              </w:rPr>
              <w:t>IBG</w:t>
            </w:r>
          </w:p>
        </w:tc>
        <w:tc>
          <w:tcPr>
            <w:tcW w:w="938" w:type="dxa"/>
            <w:noWrap/>
            <w:hideMark/>
          </w:tcPr>
          <w:p w14:paraId="1BE2E54F" w14:textId="220A49F7" w:rsidR="00441FB2" w:rsidRPr="00101437" w:rsidRDefault="00441FB2" w:rsidP="00441FB2">
            <w:pPr>
              <w:rPr>
                <w:rFonts w:ascii="Arial" w:hAnsi="Arial" w:cs="Arial"/>
                <w:szCs w:val="24"/>
              </w:rPr>
            </w:pPr>
            <w:r w:rsidRPr="00101437">
              <w:rPr>
                <w:rFonts w:ascii="Arial" w:hAnsi="Arial" w:cs="Arial"/>
                <w:szCs w:val="24"/>
              </w:rPr>
              <w:t>-0.</w:t>
            </w:r>
            <w:r>
              <w:rPr>
                <w:rFonts w:ascii="Arial" w:hAnsi="Arial" w:cs="Arial"/>
                <w:szCs w:val="24"/>
              </w:rPr>
              <w:t>76</w:t>
            </w:r>
          </w:p>
        </w:tc>
        <w:tc>
          <w:tcPr>
            <w:tcW w:w="2889" w:type="dxa"/>
            <w:noWrap/>
            <w:hideMark/>
          </w:tcPr>
          <w:p w14:paraId="6A83B674" w14:textId="3B9097FD" w:rsidR="00441FB2" w:rsidRPr="00101437" w:rsidRDefault="00441FB2" w:rsidP="00441FB2">
            <w:pPr>
              <w:rPr>
                <w:rFonts w:ascii="Arial" w:hAnsi="Arial" w:cs="Arial"/>
                <w:szCs w:val="24"/>
              </w:rPr>
            </w:pPr>
            <w:r>
              <w:rPr>
                <w:rFonts w:ascii="Arial" w:hAnsi="Arial" w:cs="Arial"/>
                <w:sz w:val="16"/>
                <w:szCs w:val="16"/>
              </w:rPr>
              <w:t>Required for service delivery</w:t>
            </w:r>
          </w:p>
        </w:tc>
      </w:tr>
      <w:tr w:rsidR="00441FB2" w:rsidRPr="00101437" w14:paraId="09A1487A" w14:textId="77777777" w:rsidTr="00441FB2">
        <w:trPr>
          <w:trHeight w:val="300"/>
        </w:trPr>
        <w:tc>
          <w:tcPr>
            <w:tcW w:w="3823" w:type="dxa"/>
            <w:noWrap/>
            <w:hideMark/>
          </w:tcPr>
          <w:p w14:paraId="2BC5F512" w14:textId="0A40FF76" w:rsidR="00441FB2" w:rsidRPr="00101437" w:rsidRDefault="00441FB2" w:rsidP="00441FB2">
            <w:pPr>
              <w:rPr>
                <w:rFonts w:ascii="Arial" w:hAnsi="Arial" w:cs="Arial"/>
                <w:szCs w:val="24"/>
              </w:rPr>
            </w:pPr>
            <w:r w:rsidRPr="00101437">
              <w:rPr>
                <w:rFonts w:ascii="Arial" w:hAnsi="Arial" w:cs="Arial"/>
                <w:szCs w:val="24"/>
              </w:rPr>
              <w:t>Community Works Operative</w:t>
            </w:r>
            <w:r>
              <w:rPr>
                <w:rFonts w:ascii="Arial" w:hAnsi="Arial" w:cs="Arial"/>
                <w:szCs w:val="24"/>
              </w:rPr>
              <w:t xml:space="preserve"> x 3</w:t>
            </w:r>
          </w:p>
        </w:tc>
        <w:tc>
          <w:tcPr>
            <w:tcW w:w="1897" w:type="dxa"/>
            <w:noWrap/>
            <w:hideMark/>
          </w:tcPr>
          <w:p w14:paraId="645784D6" w14:textId="77777777" w:rsidR="00441FB2" w:rsidRPr="00101437" w:rsidRDefault="00441FB2" w:rsidP="00441FB2">
            <w:pPr>
              <w:rPr>
                <w:rFonts w:ascii="Arial" w:hAnsi="Arial" w:cs="Arial"/>
                <w:szCs w:val="24"/>
              </w:rPr>
            </w:pPr>
            <w:r w:rsidRPr="00101437">
              <w:rPr>
                <w:rFonts w:ascii="Arial" w:hAnsi="Arial" w:cs="Arial"/>
                <w:szCs w:val="24"/>
              </w:rPr>
              <w:t>IBG</w:t>
            </w:r>
          </w:p>
        </w:tc>
        <w:tc>
          <w:tcPr>
            <w:tcW w:w="938" w:type="dxa"/>
            <w:noWrap/>
            <w:hideMark/>
          </w:tcPr>
          <w:p w14:paraId="4D4E0F61" w14:textId="33F28709" w:rsidR="00441FB2" w:rsidRPr="00101437" w:rsidRDefault="00441FB2" w:rsidP="00441FB2">
            <w:pPr>
              <w:rPr>
                <w:rFonts w:ascii="Arial" w:hAnsi="Arial" w:cs="Arial"/>
                <w:szCs w:val="24"/>
              </w:rPr>
            </w:pPr>
            <w:r w:rsidRPr="00101437">
              <w:rPr>
                <w:rFonts w:ascii="Arial" w:hAnsi="Arial" w:cs="Arial"/>
                <w:szCs w:val="24"/>
              </w:rPr>
              <w:t>-</w:t>
            </w:r>
            <w:r>
              <w:rPr>
                <w:rFonts w:ascii="Arial" w:hAnsi="Arial" w:cs="Arial"/>
                <w:szCs w:val="24"/>
              </w:rPr>
              <w:t>1.12</w:t>
            </w:r>
          </w:p>
        </w:tc>
        <w:tc>
          <w:tcPr>
            <w:tcW w:w="2889" w:type="dxa"/>
            <w:noWrap/>
            <w:hideMark/>
          </w:tcPr>
          <w:p w14:paraId="46B0D9D3" w14:textId="352387BF" w:rsidR="00441FB2" w:rsidRPr="00101437" w:rsidRDefault="00441FB2" w:rsidP="00441FB2">
            <w:pPr>
              <w:rPr>
                <w:rFonts w:ascii="Arial" w:hAnsi="Arial" w:cs="Arial"/>
                <w:szCs w:val="24"/>
              </w:rPr>
            </w:pPr>
            <w:r>
              <w:rPr>
                <w:rFonts w:ascii="Arial" w:hAnsi="Arial" w:cs="Arial"/>
                <w:sz w:val="16"/>
                <w:szCs w:val="16"/>
              </w:rPr>
              <w:t>Required for service delivery</w:t>
            </w:r>
          </w:p>
        </w:tc>
      </w:tr>
      <w:tr w:rsidR="00441FB2" w:rsidRPr="00101437" w14:paraId="7B7E82AC" w14:textId="77777777" w:rsidTr="00441FB2">
        <w:trPr>
          <w:trHeight w:val="300"/>
        </w:trPr>
        <w:tc>
          <w:tcPr>
            <w:tcW w:w="3823" w:type="dxa"/>
            <w:noWrap/>
            <w:hideMark/>
          </w:tcPr>
          <w:p w14:paraId="01C0F7C5" w14:textId="6B81983C" w:rsidR="00441FB2" w:rsidRPr="00101437" w:rsidRDefault="00441FB2" w:rsidP="00441FB2">
            <w:pPr>
              <w:rPr>
                <w:rFonts w:ascii="Arial" w:hAnsi="Arial" w:cs="Arial"/>
                <w:szCs w:val="24"/>
              </w:rPr>
            </w:pPr>
            <w:r w:rsidRPr="00101437">
              <w:rPr>
                <w:rFonts w:ascii="Arial" w:hAnsi="Arial" w:cs="Arial"/>
                <w:szCs w:val="24"/>
              </w:rPr>
              <w:t>Gardener</w:t>
            </w:r>
            <w:r>
              <w:rPr>
                <w:rFonts w:ascii="Arial" w:hAnsi="Arial" w:cs="Arial"/>
                <w:szCs w:val="24"/>
              </w:rPr>
              <w:t xml:space="preserve"> x 4</w:t>
            </w:r>
          </w:p>
        </w:tc>
        <w:tc>
          <w:tcPr>
            <w:tcW w:w="1897" w:type="dxa"/>
            <w:noWrap/>
            <w:hideMark/>
          </w:tcPr>
          <w:p w14:paraId="62EDEFD8" w14:textId="77777777" w:rsidR="00441FB2" w:rsidRPr="00101437" w:rsidRDefault="00441FB2" w:rsidP="00441FB2">
            <w:pPr>
              <w:rPr>
                <w:rFonts w:ascii="Arial" w:hAnsi="Arial" w:cs="Arial"/>
                <w:szCs w:val="24"/>
              </w:rPr>
            </w:pPr>
            <w:r w:rsidRPr="00101437">
              <w:rPr>
                <w:rFonts w:ascii="Arial" w:hAnsi="Arial" w:cs="Arial"/>
                <w:szCs w:val="24"/>
              </w:rPr>
              <w:t>IBG</w:t>
            </w:r>
          </w:p>
        </w:tc>
        <w:tc>
          <w:tcPr>
            <w:tcW w:w="938" w:type="dxa"/>
            <w:noWrap/>
            <w:hideMark/>
          </w:tcPr>
          <w:p w14:paraId="1F4D84C2" w14:textId="35B00A94" w:rsidR="00441FB2" w:rsidRPr="00101437" w:rsidRDefault="00441FB2" w:rsidP="00441FB2">
            <w:pPr>
              <w:rPr>
                <w:rFonts w:ascii="Arial" w:hAnsi="Arial" w:cs="Arial"/>
                <w:szCs w:val="24"/>
              </w:rPr>
            </w:pPr>
            <w:r>
              <w:rPr>
                <w:rFonts w:ascii="Arial" w:hAnsi="Arial" w:cs="Arial"/>
                <w:szCs w:val="24"/>
              </w:rPr>
              <w:t>1.21</w:t>
            </w:r>
          </w:p>
        </w:tc>
        <w:tc>
          <w:tcPr>
            <w:tcW w:w="2889" w:type="dxa"/>
            <w:noWrap/>
            <w:hideMark/>
          </w:tcPr>
          <w:p w14:paraId="7BEAD872" w14:textId="2F1B8520" w:rsidR="00441FB2" w:rsidRPr="00101437" w:rsidRDefault="00441FB2" w:rsidP="00441FB2">
            <w:pPr>
              <w:rPr>
                <w:rFonts w:ascii="Arial" w:hAnsi="Arial" w:cs="Arial"/>
                <w:szCs w:val="24"/>
              </w:rPr>
            </w:pPr>
            <w:r>
              <w:rPr>
                <w:rFonts w:ascii="Arial" w:hAnsi="Arial" w:cs="Arial"/>
                <w:sz w:val="16"/>
                <w:szCs w:val="16"/>
              </w:rPr>
              <w:t>Required for service delivery</w:t>
            </w:r>
          </w:p>
        </w:tc>
      </w:tr>
      <w:tr w:rsidR="00441FB2" w:rsidRPr="00101437" w14:paraId="023833D1" w14:textId="77777777" w:rsidTr="00441FB2">
        <w:trPr>
          <w:trHeight w:val="300"/>
        </w:trPr>
        <w:tc>
          <w:tcPr>
            <w:tcW w:w="3823" w:type="dxa"/>
            <w:noWrap/>
            <w:hideMark/>
          </w:tcPr>
          <w:p w14:paraId="6B8EB38B" w14:textId="77777777" w:rsidR="00441FB2" w:rsidRPr="00101437" w:rsidRDefault="00441FB2" w:rsidP="00441FB2">
            <w:pPr>
              <w:rPr>
                <w:rFonts w:ascii="Arial" w:hAnsi="Arial" w:cs="Arial"/>
                <w:szCs w:val="24"/>
              </w:rPr>
            </w:pPr>
            <w:r w:rsidRPr="00101437">
              <w:rPr>
                <w:rFonts w:ascii="Arial" w:hAnsi="Arial" w:cs="Arial"/>
                <w:szCs w:val="24"/>
              </w:rPr>
              <w:t>Data Curation Graduate</w:t>
            </w:r>
          </w:p>
        </w:tc>
        <w:tc>
          <w:tcPr>
            <w:tcW w:w="1897" w:type="dxa"/>
            <w:noWrap/>
            <w:hideMark/>
          </w:tcPr>
          <w:p w14:paraId="5C8AD301" w14:textId="77777777" w:rsidR="00441FB2" w:rsidRPr="00101437" w:rsidRDefault="00441FB2" w:rsidP="00441FB2">
            <w:pPr>
              <w:rPr>
                <w:rFonts w:ascii="Arial" w:hAnsi="Arial" w:cs="Arial"/>
                <w:szCs w:val="24"/>
              </w:rPr>
            </w:pPr>
            <w:r w:rsidRPr="00101437">
              <w:rPr>
                <w:rFonts w:ascii="Arial" w:hAnsi="Arial" w:cs="Arial"/>
                <w:szCs w:val="24"/>
              </w:rPr>
              <w:t>Inverness</w:t>
            </w:r>
          </w:p>
        </w:tc>
        <w:tc>
          <w:tcPr>
            <w:tcW w:w="938" w:type="dxa"/>
            <w:noWrap/>
            <w:hideMark/>
          </w:tcPr>
          <w:p w14:paraId="08C27078" w14:textId="77777777" w:rsidR="00441FB2" w:rsidRPr="00101437" w:rsidRDefault="00441FB2" w:rsidP="00441FB2">
            <w:pPr>
              <w:rPr>
                <w:rFonts w:ascii="Arial" w:hAnsi="Arial" w:cs="Arial"/>
                <w:szCs w:val="24"/>
              </w:rPr>
            </w:pPr>
            <w:r w:rsidRPr="00101437">
              <w:rPr>
                <w:rFonts w:ascii="Arial" w:hAnsi="Arial" w:cs="Arial"/>
                <w:szCs w:val="24"/>
              </w:rPr>
              <w:t>1</w:t>
            </w:r>
          </w:p>
        </w:tc>
        <w:tc>
          <w:tcPr>
            <w:tcW w:w="2889" w:type="dxa"/>
            <w:noWrap/>
            <w:hideMark/>
          </w:tcPr>
          <w:p w14:paraId="26616A50" w14:textId="49521107" w:rsidR="00441FB2" w:rsidRPr="00101437" w:rsidRDefault="00441FB2" w:rsidP="00441FB2">
            <w:pPr>
              <w:rPr>
                <w:rFonts w:ascii="Arial" w:hAnsi="Arial" w:cs="Arial"/>
                <w:szCs w:val="24"/>
              </w:rPr>
            </w:pPr>
            <w:r>
              <w:rPr>
                <w:rFonts w:ascii="Arial" w:hAnsi="Arial" w:cs="Arial"/>
                <w:szCs w:val="24"/>
              </w:rPr>
              <w:t>Fully funded</w:t>
            </w:r>
          </w:p>
        </w:tc>
      </w:tr>
      <w:tr w:rsidR="00441FB2" w:rsidRPr="00101437" w14:paraId="76CE7C0D" w14:textId="77777777" w:rsidTr="00441FB2">
        <w:trPr>
          <w:trHeight w:val="300"/>
        </w:trPr>
        <w:tc>
          <w:tcPr>
            <w:tcW w:w="3823" w:type="dxa"/>
            <w:noWrap/>
            <w:hideMark/>
          </w:tcPr>
          <w:p w14:paraId="4AE7255E" w14:textId="03DA41CC" w:rsidR="00441FB2" w:rsidRPr="00101437" w:rsidRDefault="00441FB2" w:rsidP="00441FB2">
            <w:pPr>
              <w:rPr>
                <w:rFonts w:ascii="Arial" w:hAnsi="Arial" w:cs="Arial"/>
                <w:szCs w:val="24"/>
              </w:rPr>
            </w:pPr>
            <w:r w:rsidRPr="00101437">
              <w:rPr>
                <w:rFonts w:ascii="Arial" w:hAnsi="Arial" w:cs="Arial"/>
                <w:szCs w:val="24"/>
              </w:rPr>
              <w:t>Visitor Services Assistant</w:t>
            </w:r>
            <w:r>
              <w:rPr>
                <w:rFonts w:ascii="Arial" w:hAnsi="Arial" w:cs="Arial"/>
                <w:szCs w:val="24"/>
              </w:rPr>
              <w:t xml:space="preserve"> x 3</w:t>
            </w:r>
          </w:p>
        </w:tc>
        <w:tc>
          <w:tcPr>
            <w:tcW w:w="1897" w:type="dxa"/>
            <w:noWrap/>
            <w:hideMark/>
          </w:tcPr>
          <w:p w14:paraId="209172BF" w14:textId="77777777" w:rsidR="00441FB2" w:rsidRPr="00101437" w:rsidRDefault="00441FB2" w:rsidP="00441FB2">
            <w:pPr>
              <w:rPr>
                <w:rFonts w:ascii="Arial" w:hAnsi="Arial" w:cs="Arial"/>
                <w:szCs w:val="24"/>
              </w:rPr>
            </w:pPr>
            <w:r w:rsidRPr="00101437">
              <w:rPr>
                <w:rFonts w:ascii="Arial" w:hAnsi="Arial" w:cs="Arial"/>
                <w:szCs w:val="24"/>
              </w:rPr>
              <w:t>Inverness Castle</w:t>
            </w:r>
          </w:p>
        </w:tc>
        <w:tc>
          <w:tcPr>
            <w:tcW w:w="938" w:type="dxa"/>
            <w:noWrap/>
            <w:hideMark/>
          </w:tcPr>
          <w:p w14:paraId="66F70898" w14:textId="78FAC877" w:rsidR="00441FB2" w:rsidRPr="00101437" w:rsidRDefault="00441FB2" w:rsidP="00441FB2">
            <w:pPr>
              <w:rPr>
                <w:rFonts w:ascii="Arial" w:hAnsi="Arial" w:cs="Arial"/>
                <w:szCs w:val="24"/>
              </w:rPr>
            </w:pPr>
            <w:r>
              <w:rPr>
                <w:rFonts w:ascii="Arial" w:hAnsi="Arial" w:cs="Arial"/>
                <w:szCs w:val="24"/>
              </w:rPr>
              <w:t>1.1</w:t>
            </w:r>
          </w:p>
        </w:tc>
        <w:tc>
          <w:tcPr>
            <w:tcW w:w="2889" w:type="dxa"/>
            <w:noWrap/>
            <w:hideMark/>
          </w:tcPr>
          <w:p w14:paraId="2E11AAB4" w14:textId="67FC5F40" w:rsidR="00441FB2" w:rsidRPr="00101437" w:rsidRDefault="00441FB2" w:rsidP="00441FB2">
            <w:pPr>
              <w:rPr>
                <w:rFonts w:ascii="Arial" w:hAnsi="Arial" w:cs="Arial"/>
                <w:szCs w:val="24"/>
              </w:rPr>
            </w:pPr>
            <w:r w:rsidRPr="00441FB2">
              <w:rPr>
                <w:rFonts w:ascii="Arial" w:hAnsi="Arial" w:cs="Arial"/>
                <w:sz w:val="16"/>
                <w:szCs w:val="16"/>
              </w:rPr>
              <w:t>Previously relief working regular hours</w:t>
            </w:r>
            <w:r>
              <w:rPr>
                <w:rFonts w:ascii="Arial" w:hAnsi="Arial" w:cs="Arial"/>
                <w:sz w:val="16"/>
                <w:szCs w:val="16"/>
              </w:rPr>
              <w:t xml:space="preserve"> over extended period</w:t>
            </w:r>
          </w:p>
        </w:tc>
      </w:tr>
      <w:tr w:rsidR="00441FB2" w:rsidRPr="00101437" w14:paraId="057BB425" w14:textId="77777777" w:rsidTr="00441FB2">
        <w:trPr>
          <w:trHeight w:val="300"/>
        </w:trPr>
        <w:tc>
          <w:tcPr>
            <w:tcW w:w="3823" w:type="dxa"/>
            <w:noWrap/>
            <w:hideMark/>
          </w:tcPr>
          <w:p w14:paraId="7838FA3E" w14:textId="3F0D3AF9" w:rsidR="00441FB2" w:rsidRPr="00101437" w:rsidRDefault="00441FB2" w:rsidP="00441FB2">
            <w:pPr>
              <w:rPr>
                <w:rFonts w:ascii="Arial" w:hAnsi="Arial" w:cs="Arial"/>
                <w:szCs w:val="24"/>
              </w:rPr>
            </w:pPr>
            <w:r w:rsidRPr="00101437">
              <w:rPr>
                <w:rFonts w:ascii="Arial" w:hAnsi="Arial" w:cs="Arial"/>
                <w:szCs w:val="24"/>
              </w:rPr>
              <w:t>Visitor Services Assistant</w:t>
            </w:r>
            <w:r>
              <w:rPr>
                <w:rFonts w:ascii="Arial" w:hAnsi="Arial" w:cs="Arial"/>
                <w:szCs w:val="24"/>
              </w:rPr>
              <w:t xml:space="preserve"> x 2</w:t>
            </w:r>
          </w:p>
        </w:tc>
        <w:tc>
          <w:tcPr>
            <w:tcW w:w="1897" w:type="dxa"/>
            <w:noWrap/>
            <w:hideMark/>
          </w:tcPr>
          <w:p w14:paraId="3CE516F5" w14:textId="77777777" w:rsidR="00441FB2" w:rsidRPr="00101437" w:rsidRDefault="00441FB2" w:rsidP="00441FB2">
            <w:pPr>
              <w:rPr>
                <w:rFonts w:ascii="Arial" w:hAnsi="Arial" w:cs="Arial"/>
                <w:szCs w:val="24"/>
              </w:rPr>
            </w:pPr>
            <w:r w:rsidRPr="00101437">
              <w:rPr>
                <w:rFonts w:ascii="Arial" w:hAnsi="Arial" w:cs="Arial"/>
                <w:szCs w:val="24"/>
              </w:rPr>
              <w:t>Inverness Castle</w:t>
            </w:r>
          </w:p>
        </w:tc>
        <w:tc>
          <w:tcPr>
            <w:tcW w:w="938" w:type="dxa"/>
            <w:noWrap/>
            <w:hideMark/>
          </w:tcPr>
          <w:p w14:paraId="48FECF67" w14:textId="73B71ED9" w:rsidR="00441FB2" w:rsidRPr="00101437" w:rsidRDefault="00441FB2" w:rsidP="00441FB2">
            <w:pPr>
              <w:rPr>
                <w:rFonts w:ascii="Arial" w:hAnsi="Arial" w:cs="Arial"/>
                <w:szCs w:val="24"/>
              </w:rPr>
            </w:pPr>
            <w:r w:rsidRPr="00101437">
              <w:rPr>
                <w:rFonts w:ascii="Arial" w:hAnsi="Arial" w:cs="Arial"/>
                <w:szCs w:val="24"/>
              </w:rPr>
              <w:t>0.</w:t>
            </w:r>
            <w:r>
              <w:rPr>
                <w:rFonts w:ascii="Arial" w:hAnsi="Arial" w:cs="Arial"/>
                <w:szCs w:val="24"/>
              </w:rPr>
              <w:t>81</w:t>
            </w:r>
          </w:p>
        </w:tc>
        <w:tc>
          <w:tcPr>
            <w:tcW w:w="2889" w:type="dxa"/>
            <w:noWrap/>
            <w:hideMark/>
          </w:tcPr>
          <w:p w14:paraId="7267718A" w14:textId="6E547CE9" w:rsidR="00441FB2" w:rsidRPr="00101437" w:rsidRDefault="00441FB2" w:rsidP="00441FB2">
            <w:pPr>
              <w:rPr>
                <w:rFonts w:ascii="Arial" w:hAnsi="Arial" w:cs="Arial"/>
                <w:szCs w:val="24"/>
              </w:rPr>
            </w:pPr>
            <w:r w:rsidRPr="00101437">
              <w:rPr>
                <w:rFonts w:ascii="Arial" w:hAnsi="Arial" w:cs="Arial"/>
                <w:szCs w:val="24"/>
              </w:rPr>
              <w:t xml:space="preserve">Temporary </w:t>
            </w:r>
            <w:r>
              <w:rPr>
                <w:rFonts w:ascii="Arial" w:hAnsi="Arial" w:cs="Arial"/>
                <w:szCs w:val="24"/>
              </w:rPr>
              <w:t>3 months</w:t>
            </w:r>
          </w:p>
        </w:tc>
      </w:tr>
      <w:tr w:rsidR="00441FB2" w:rsidRPr="00101437" w14:paraId="0D0CBFDA" w14:textId="77777777" w:rsidTr="00441FB2">
        <w:trPr>
          <w:trHeight w:val="300"/>
        </w:trPr>
        <w:tc>
          <w:tcPr>
            <w:tcW w:w="3823" w:type="dxa"/>
            <w:noWrap/>
            <w:hideMark/>
          </w:tcPr>
          <w:p w14:paraId="4AFF88D7" w14:textId="77777777" w:rsidR="00441FB2" w:rsidRPr="00101437" w:rsidRDefault="00441FB2" w:rsidP="00441FB2">
            <w:pPr>
              <w:rPr>
                <w:rFonts w:ascii="Arial" w:hAnsi="Arial" w:cs="Arial"/>
                <w:szCs w:val="24"/>
              </w:rPr>
            </w:pPr>
            <w:r w:rsidRPr="00101437">
              <w:rPr>
                <w:rFonts w:ascii="Arial" w:hAnsi="Arial" w:cs="Arial"/>
                <w:szCs w:val="24"/>
              </w:rPr>
              <w:t>Archive Assistant</w:t>
            </w:r>
          </w:p>
        </w:tc>
        <w:tc>
          <w:tcPr>
            <w:tcW w:w="1897" w:type="dxa"/>
            <w:noWrap/>
            <w:hideMark/>
          </w:tcPr>
          <w:p w14:paraId="48318EED" w14:textId="77777777" w:rsidR="00441FB2" w:rsidRPr="00101437" w:rsidRDefault="00441FB2" w:rsidP="00441FB2">
            <w:pPr>
              <w:rPr>
                <w:rFonts w:ascii="Arial" w:hAnsi="Arial" w:cs="Arial"/>
                <w:szCs w:val="24"/>
              </w:rPr>
            </w:pPr>
            <w:r w:rsidRPr="00101437">
              <w:rPr>
                <w:rFonts w:ascii="Arial" w:hAnsi="Arial" w:cs="Arial"/>
                <w:szCs w:val="24"/>
              </w:rPr>
              <w:t>Nucleus</w:t>
            </w:r>
          </w:p>
        </w:tc>
        <w:tc>
          <w:tcPr>
            <w:tcW w:w="938" w:type="dxa"/>
            <w:noWrap/>
            <w:hideMark/>
          </w:tcPr>
          <w:p w14:paraId="5C57661A" w14:textId="77777777" w:rsidR="00441FB2" w:rsidRPr="00101437" w:rsidRDefault="00441FB2" w:rsidP="00441FB2">
            <w:pPr>
              <w:rPr>
                <w:rFonts w:ascii="Arial" w:hAnsi="Arial" w:cs="Arial"/>
                <w:szCs w:val="24"/>
              </w:rPr>
            </w:pPr>
            <w:r w:rsidRPr="00101437">
              <w:rPr>
                <w:rFonts w:ascii="Arial" w:hAnsi="Arial" w:cs="Arial"/>
                <w:szCs w:val="24"/>
              </w:rPr>
              <w:t>0.6</w:t>
            </w:r>
          </w:p>
        </w:tc>
        <w:tc>
          <w:tcPr>
            <w:tcW w:w="2889" w:type="dxa"/>
            <w:noWrap/>
            <w:hideMark/>
          </w:tcPr>
          <w:p w14:paraId="1FF4CA97" w14:textId="1B922098" w:rsidR="00441FB2" w:rsidRPr="00101437" w:rsidRDefault="00441FB2" w:rsidP="00441FB2">
            <w:pPr>
              <w:rPr>
                <w:rFonts w:ascii="Arial" w:hAnsi="Arial" w:cs="Arial"/>
                <w:szCs w:val="24"/>
              </w:rPr>
            </w:pPr>
            <w:r>
              <w:rPr>
                <w:rFonts w:ascii="Arial" w:hAnsi="Arial" w:cs="Arial"/>
                <w:szCs w:val="24"/>
              </w:rPr>
              <w:t>Fully funded</w:t>
            </w:r>
          </w:p>
        </w:tc>
      </w:tr>
      <w:tr w:rsidR="00441FB2" w:rsidRPr="00101437" w14:paraId="281CC89D" w14:textId="77777777" w:rsidTr="00441FB2">
        <w:trPr>
          <w:trHeight w:val="300"/>
        </w:trPr>
        <w:tc>
          <w:tcPr>
            <w:tcW w:w="3823" w:type="dxa"/>
            <w:noWrap/>
            <w:hideMark/>
          </w:tcPr>
          <w:p w14:paraId="5EC5FEBA" w14:textId="7A80CBB7" w:rsidR="00441FB2" w:rsidRPr="00101437" w:rsidRDefault="00441FB2" w:rsidP="00441FB2">
            <w:pPr>
              <w:rPr>
                <w:rFonts w:ascii="Arial" w:hAnsi="Arial" w:cs="Arial"/>
                <w:szCs w:val="24"/>
              </w:rPr>
            </w:pPr>
            <w:r>
              <w:rPr>
                <w:rFonts w:ascii="Arial" w:hAnsi="Arial" w:cs="Arial"/>
                <w:szCs w:val="24"/>
              </w:rPr>
              <w:t>Adult Learning Tutor x 3</w:t>
            </w:r>
          </w:p>
        </w:tc>
        <w:tc>
          <w:tcPr>
            <w:tcW w:w="1897" w:type="dxa"/>
            <w:noWrap/>
            <w:hideMark/>
          </w:tcPr>
          <w:p w14:paraId="6CC9FD02" w14:textId="77777777" w:rsidR="00441FB2" w:rsidRPr="00101437" w:rsidRDefault="00441FB2" w:rsidP="00441FB2">
            <w:pPr>
              <w:rPr>
                <w:rFonts w:ascii="Arial" w:hAnsi="Arial" w:cs="Arial"/>
                <w:szCs w:val="24"/>
              </w:rPr>
            </w:pPr>
            <w:r w:rsidRPr="00101437">
              <w:rPr>
                <w:rFonts w:ascii="Arial" w:hAnsi="Arial" w:cs="Arial"/>
                <w:szCs w:val="24"/>
              </w:rPr>
              <w:t>Ross &amp; Cromarty</w:t>
            </w:r>
          </w:p>
        </w:tc>
        <w:tc>
          <w:tcPr>
            <w:tcW w:w="938" w:type="dxa"/>
            <w:noWrap/>
            <w:hideMark/>
          </w:tcPr>
          <w:p w14:paraId="4BAFF9E7" w14:textId="1DCB9B4A" w:rsidR="00441FB2" w:rsidRPr="00101437" w:rsidRDefault="00441FB2" w:rsidP="00441FB2">
            <w:pPr>
              <w:rPr>
                <w:rFonts w:ascii="Arial" w:hAnsi="Arial" w:cs="Arial"/>
                <w:szCs w:val="24"/>
              </w:rPr>
            </w:pPr>
            <w:r>
              <w:rPr>
                <w:rFonts w:ascii="Arial" w:hAnsi="Arial" w:cs="Arial"/>
                <w:szCs w:val="24"/>
              </w:rPr>
              <w:t>0.48</w:t>
            </w:r>
          </w:p>
        </w:tc>
        <w:tc>
          <w:tcPr>
            <w:tcW w:w="2889" w:type="dxa"/>
            <w:noWrap/>
            <w:hideMark/>
          </w:tcPr>
          <w:p w14:paraId="20F334C3" w14:textId="77777777" w:rsidR="00441FB2" w:rsidRDefault="00441FB2" w:rsidP="00441FB2">
            <w:pPr>
              <w:rPr>
                <w:rFonts w:ascii="Arial" w:hAnsi="Arial" w:cs="Arial"/>
                <w:szCs w:val="24"/>
              </w:rPr>
            </w:pPr>
            <w:r w:rsidRPr="00101437">
              <w:rPr>
                <w:rFonts w:ascii="Arial" w:hAnsi="Arial" w:cs="Arial"/>
                <w:szCs w:val="24"/>
              </w:rPr>
              <w:t>Temp</w:t>
            </w:r>
            <w:r>
              <w:rPr>
                <w:rFonts w:ascii="Arial" w:hAnsi="Arial" w:cs="Arial"/>
                <w:szCs w:val="24"/>
              </w:rPr>
              <w:t>orary 3 months</w:t>
            </w:r>
            <w:r w:rsidRPr="00101437">
              <w:rPr>
                <w:rFonts w:ascii="Arial" w:hAnsi="Arial" w:cs="Arial"/>
                <w:szCs w:val="24"/>
              </w:rPr>
              <w:t xml:space="preserve"> </w:t>
            </w:r>
          </w:p>
          <w:p w14:paraId="3912FA65" w14:textId="140CA36D" w:rsidR="00441FB2" w:rsidRPr="00441FB2" w:rsidRDefault="00441FB2" w:rsidP="00441FB2">
            <w:pPr>
              <w:rPr>
                <w:rFonts w:ascii="Arial" w:hAnsi="Arial" w:cs="Arial"/>
                <w:sz w:val="16"/>
                <w:szCs w:val="16"/>
              </w:rPr>
            </w:pPr>
            <w:r w:rsidRPr="00441FB2">
              <w:rPr>
                <w:rFonts w:ascii="Arial" w:hAnsi="Arial" w:cs="Arial"/>
                <w:sz w:val="16"/>
                <w:szCs w:val="16"/>
              </w:rPr>
              <w:t>Required for service delivery</w:t>
            </w:r>
          </w:p>
        </w:tc>
      </w:tr>
    </w:tbl>
    <w:p w14:paraId="58C3FED9" w14:textId="7214C171" w:rsidR="00101437" w:rsidRDefault="00101437" w:rsidP="00380CDF">
      <w:pPr>
        <w:rPr>
          <w:rFonts w:ascii="Arial" w:hAnsi="Arial" w:cs="Arial"/>
          <w:szCs w:val="24"/>
        </w:rPr>
      </w:pPr>
    </w:p>
    <w:p w14:paraId="2F314CF7" w14:textId="73C7F8A0" w:rsidR="00090240" w:rsidRDefault="00090240">
      <w:pPr>
        <w:rPr>
          <w:rFonts w:ascii="Arial" w:hAnsi="Arial" w:cs="Arial"/>
          <w:szCs w:val="24"/>
        </w:rPr>
      </w:pPr>
      <w:r>
        <w:rPr>
          <w:rFonts w:ascii="Arial" w:hAnsi="Arial" w:cs="Arial"/>
          <w:szCs w:val="24"/>
        </w:rPr>
        <w:br w:type="page"/>
      </w:r>
    </w:p>
    <w:p w14:paraId="599A0942" w14:textId="18624170" w:rsidR="00101437" w:rsidRDefault="00090240" w:rsidP="00090240">
      <w:pPr>
        <w:jc w:val="right"/>
        <w:rPr>
          <w:rFonts w:ascii="Arial" w:hAnsi="Arial" w:cs="Arial"/>
          <w:szCs w:val="24"/>
        </w:rPr>
      </w:pPr>
      <w:r w:rsidRPr="00090240">
        <w:rPr>
          <w:rFonts w:ascii="Arial" w:hAnsi="Arial" w:cs="Arial"/>
          <w:b/>
          <w:bCs/>
          <w:szCs w:val="24"/>
        </w:rPr>
        <w:lastRenderedPageBreak/>
        <w:t>Appendix B1</w:t>
      </w:r>
    </w:p>
    <w:tbl>
      <w:tblPr>
        <w:tblStyle w:val="TableGrid1"/>
        <w:tblW w:w="9276" w:type="dxa"/>
        <w:tblLook w:val="04A0" w:firstRow="1" w:lastRow="0" w:firstColumn="1" w:lastColumn="0" w:noHBand="0" w:noVBand="1"/>
      </w:tblPr>
      <w:tblGrid>
        <w:gridCol w:w="3256"/>
        <w:gridCol w:w="6020"/>
      </w:tblGrid>
      <w:tr w:rsidR="00245458" w:rsidRPr="00932FA9" w14:paraId="64429C0C" w14:textId="77777777" w:rsidTr="00245458">
        <w:trPr>
          <w:trHeight w:val="1729"/>
        </w:trPr>
        <w:tc>
          <w:tcPr>
            <w:tcW w:w="3256" w:type="dxa"/>
          </w:tcPr>
          <w:p w14:paraId="2341E8EC" w14:textId="77777777" w:rsidR="00245458" w:rsidRPr="00932FA9" w:rsidRDefault="00245458" w:rsidP="002709B7">
            <w:pPr>
              <w:spacing w:after="200" w:line="276" w:lineRule="auto"/>
              <w:rPr>
                <w:rFonts w:ascii="Arial" w:hAnsi="Arial" w:cs="Arial"/>
              </w:rPr>
            </w:pPr>
            <w:r w:rsidRPr="00932FA9">
              <w:rPr>
                <w:noProof/>
              </w:rPr>
              <w:drawing>
                <wp:inline distT="0" distB="0" distL="0" distR="0" wp14:anchorId="674E6FCC" wp14:editId="4F3210AC">
                  <wp:extent cx="1781175" cy="905256"/>
                  <wp:effectExtent l="0" t="0" r="0" b="9525"/>
                  <wp:docPr id="1" name="Picture 1" descr="C:\Users\lorrhour\AppData\Local\Microsoft\Windows\Temporary Internet Files\Content.Outlook\FU2TPUMV\high_life_blac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rhour\AppData\Local\Microsoft\Windows\Temporary Internet Files\Content.Outlook\FU2TPUMV\high_life_black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4695" cy="922292"/>
                          </a:xfrm>
                          <a:prstGeom prst="rect">
                            <a:avLst/>
                          </a:prstGeom>
                          <a:noFill/>
                          <a:ln>
                            <a:noFill/>
                          </a:ln>
                        </pic:spPr>
                      </pic:pic>
                    </a:graphicData>
                  </a:graphic>
                </wp:inline>
              </w:drawing>
            </w:r>
          </w:p>
        </w:tc>
        <w:tc>
          <w:tcPr>
            <w:tcW w:w="6020" w:type="dxa"/>
          </w:tcPr>
          <w:p w14:paraId="32915803" w14:textId="77777777" w:rsidR="00245458" w:rsidRPr="00932FA9" w:rsidRDefault="00245458" w:rsidP="002709B7">
            <w:pPr>
              <w:rPr>
                <w:rFonts w:cstheme="minorHAnsi"/>
                <w:b/>
                <w:bCs/>
                <w:i/>
                <w:sz w:val="12"/>
                <w:szCs w:val="12"/>
              </w:rPr>
            </w:pPr>
          </w:p>
          <w:p w14:paraId="0CEA405D" w14:textId="77777777" w:rsidR="00245458" w:rsidRPr="00932FA9" w:rsidRDefault="00245458" w:rsidP="002709B7">
            <w:pPr>
              <w:rPr>
                <w:rFonts w:cstheme="minorHAnsi"/>
                <w:b/>
                <w:bCs/>
                <w:i/>
                <w:sz w:val="48"/>
                <w:szCs w:val="48"/>
              </w:rPr>
            </w:pPr>
            <w:r>
              <w:rPr>
                <w:rFonts w:cstheme="minorHAnsi"/>
                <w:b/>
                <w:bCs/>
                <w:i/>
                <w:sz w:val="48"/>
                <w:szCs w:val="48"/>
              </w:rPr>
              <w:t>Protection and Safeguarding</w:t>
            </w:r>
            <w:r w:rsidRPr="00932FA9">
              <w:rPr>
                <w:rFonts w:cstheme="minorHAnsi"/>
                <w:b/>
                <w:bCs/>
                <w:i/>
                <w:sz w:val="48"/>
                <w:szCs w:val="48"/>
              </w:rPr>
              <w:t xml:space="preserve"> Policy</w:t>
            </w:r>
          </w:p>
          <w:p w14:paraId="11B3D806" w14:textId="77777777" w:rsidR="00245458" w:rsidRDefault="00245458" w:rsidP="002709B7">
            <w:pPr>
              <w:rPr>
                <w:rFonts w:ascii="Arial" w:hAnsi="Arial" w:cs="Arial"/>
              </w:rPr>
            </w:pPr>
            <w:r>
              <w:rPr>
                <w:rFonts w:ascii="Arial" w:hAnsi="Arial" w:cs="Arial"/>
              </w:rPr>
              <w:t>(this policy supersedes all previous versions of the Child and Vulnerable Adult Protection Policy)</w:t>
            </w:r>
          </w:p>
          <w:p w14:paraId="3B732669" w14:textId="77777777" w:rsidR="00245458" w:rsidRDefault="00245458" w:rsidP="002709B7">
            <w:pPr>
              <w:rPr>
                <w:rFonts w:ascii="Arial" w:hAnsi="Arial" w:cs="Arial"/>
              </w:rPr>
            </w:pPr>
          </w:p>
          <w:p w14:paraId="4B9567E1" w14:textId="77777777" w:rsidR="00245458" w:rsidRDefault="00245458" w:rsidP="002709B7">
            <w:pPr>
              <w:rPr>
                <w:rFonts w:ascii="Arial" w:hAnsi="Arial" w:cs="Arial"/>
              </w:rPr>
            </w:pPr>
            <w:r>
              <w:rPr>
                <w:rFonts w:ascii="Arial" w:hAnsi="Arial" w:cs="Arial"/>
              </w:rPr>
              <w:t>Draft for approval by HLH Board 10 December 2020</w:t>
            </w:r>
          </w:p>
          <w:p w14:paraId="3DBF057F" w14:textId="77777777" w:rsidR="00245458" w:rsidRPr="00932FA9" w:rsidRDefault="00245458" w:rsidP="002709B7">
            <w:pPr>
              <w:rPr>
                <w:rFonts w:ascii="Arial" w:hAnsi="Arial" w:cs="Arial"/>
              </w:rPr>
            </w:pPr>
            <w:r>
              <w:rPr>
                <w:rFonts w:ascii="Arial" w:hAnsi="Arial" w:cs="Arial"/>
              </w:rPr>
              <w:t>Review Date: December 2022</w:t>
            </w:r>
          </w:p>
        </w:tc>
      </w:tr>
    </w:tbl>
    <w:p w14:paraId="6A695A10" w14:textId="77777777" w:rsidR="00245458" w:rsidRDefault="00245458" w:rsidP="00245458">
      <w:pPr>
        <w:pStyle w:val="NoSpacing"/>
        <w:rPr>
          <w:rFonts w:ascii="Arial" w:hAnsi="Arial" w:cs="Arial"/>
        </w:rPr>
      </w:pPr>
    </w:p>
    <w:p w14:paraId="66B1129E" w14:textId="77777777" w:rsidR="00245458" w:rsidRDefault="00245458" w:rsidP="00245458">
      <w:pPr>
        <w:pStyle w:val="NoSpacing"/>
        <w:jc w:val="both"/>
        <w:rPr>
          <w:rFonts w:ascii="Arial" w:hAnsi="Arial" w:cs="Arial"/>
        </w:rPr>
      </w:pPr>
      <w:r>
        <w:rPr>
          <w:rFonts w:ascii="Arial" w:hAnsi="Arial" w:cs="Arial"/>
        </w:rPr>
        <w:t xml:space="preserve">High Life Highland believes that every individual, regardless of age, has at all times and in all circumstances, a right to feel safe and protected from any situation or practice that results in the individual being physically or psychologically damaged. In all cases, HLH will </w:t>
      </w:r>
      <w:proofErr w:type="gramStart"/>
      <w:r>
        <w:rPr>
          <w:rFonts w:ascii="Arial" w:hAnsi="Arial" w:cs="Arial"/>
        </w:rPr>
        <w:t>take action</w:t>
      </w:r>
      <w:proofErr w:type="gramEnd"/>
      <w:r>
        <w:rPr>
          <w:rFonts w:ascii="Arial" w:hAnsi="Arial" w:cs="Arial"/>
        </w:rPr>
        <w:t xml:space="preserve"> where any member of staff or volunteer has suspicions about an individual’s physical, sexual or emotional wellbeing. </w:t>
      </w:r>
    </w:p>
    <w:p w14:paraId="32242C70" w14:textId="77777777" w:rsidR="00245458" w:rsidRPr="00635F8D" w:rsidRDefault="00245458" w:rsidP="00245458">
      <w:pPr>
        <w:pStyle w:val="NoSpacing"/>
        <w:jc w:val="both"/>
        <w:rPr>
          <w:rFonts w:ascii="Arial" w:hAnsi="Arial" w:cs="Arial"/>
        </w:rPr>
      </w:pPr>
    </w:p>
    <w:p w14:paraId="30C993E3" w14:textId="77777777" w:rsidR="00245458" w:rsidRDefault="00245458" w:rsidP="00245458">
      <w:pPr>
        <w:pStyle w:val="NoSpacing"/>
        <w:jc w:val="both"/>
        <w:rPr>
          <w:rFonts w:ascii="Arial" w:hAnsi="Arial" w:cs="Arial"/>
        </w:rPr>
      </w:pPr>
      <w:r>
        <w:rPr>
          <w:rFonts w:ascii="Arial" w:hAnsi="Arial" w:cs="Arial"/>
        </w:rPr>
        <w:t>High Life Highland (HLH) recognises that protection and safeguarding should not be treated in isolation and this policy has therefore been compiled utilising the guidance from the Highland Child Protection Committee (</w:t>
      </w:r>
      <w:hyperlink r:id="rId9" w:history="1">
        <w:r w:rsidRPr="00054BAA">
          <w:rPr>
            <w:rStyle w:val="Hyperlink"/>
            <w:rFonts w:ascii="Arial" w:hAnsi="Arial" w:cs="Arial"/>
          </w:rPr>
          <w:t>HCPC</w:t>
        </w:r>
      </w:hyperlink>
      <w:r>
        <w:rPr>
          <w:rFonts w:ascii="Arial" w:hAnsi="Arial" w:cs="Arial"/>
        </w:rPr>
        <w:t>) and the Highland Adult Support and Protection Committee (</w:t>
      </w:r>
      <w:hyperlink r:id="rId10" w:history="1">
        <w:r w:rsidRPr="00054BAA">
          <w:rPr>
            <w:rStyle w:val="Hyperlink"/>
            <w:rFonts w:ascii="Arial" w:hAnsi="Arial" w:cs="Arial"/>
          </w:rPr>
          <w:t>HASPC</w:t>
        </w:r>
      </w:hyperlink>
      <w:r>
        <w:rPr>
          <w:rFonts w:ascii="Arial" w:hAnsi="Arial" w:cs="Arial"/>
        </w:rPr>
        <w:t>).</w:t>
      </w:r>
    </w:p>
    <w:p w14:paraId="403B4514" w14:textId="77777777" w:rsidR="00245458" w:rsidRDefault="00245458" w:rsidP="00245458">
      <w:pPr>
        <w:pStyle w:val="NoSpacing"/>
        <w:rPr>
          <w:rFonts w:ascii="Arial" w:hAnsi="Arial" w:cs="Arial"/>
        </w:rPr>
      </w:pPr>
    </w:p>
    <w:p w14:paraId="3CD5F365" w14:textId="77777777" w:rsidR="00245458" w:rsidRDefault="00245458" w:rsidP="00245458">
      <w:pPr>
        <w:pStyle w:val="NoSpacing"/>
        <w:numPr>
          <w:ilvl w:val="0"/>
          <w:numId w:val="11"/>
        </w:numPr>
        <w:rPr>
          <w:rFonts w:ascii="Arial" w:hAnsi="Arial" w:cs="Arial"/>
        </w:rPr>
      </w:pPr>
      <w:r>
        <w:rPr>
          <w:rFonts w:ascii="Arial" w:hAnsi="Arial" w:cs="Arial"/>
        </w:rPr>
        <w:t>HLH accepts its responsibility as an organisation to check that all adults in positions requiring Disclosure Scotland checks are members of the appropriate Protection of Vulnerable Groups scheme and appropriately vetted.</w:t>
      </w:r>
      <w:r>
        <w:rPr>
          <w:rFonts w:ascii="Arial" w:hAnsi="Arial" w:cs="Arial"/>
        </w:rPr>
        <w:br/>
      </w:r>
    </w:p>
    <w:p w14:paraId="76E74F71" w14:textId="77777777" w:rsidR="00245458" w:rsidRDefault="00245458" w:rsidP="00245458">
      <w:pPr>
        <w:pStyle w:val="NoSpacing"/>
        <w:numPr>
          <w:ilvl w:val="0"/>
          <w:numId w:val="11"/>
        </w:numPr>
        <w:rPr>
          <w:rFonts w:ascii="Arial" w:hAnsi="Arial" w:cs="Arial"/>
        </w:rPr>
      </w:pPr>
      <w:r>
        <w:rPr>
          <w:rFonts w:ascii="Arial" w:hAnsi="Arial" w:cs="Arial"/>
        </w:rPr>
        <w:t>HLH will undertake a formal interview with prospective staff/volunteers prior to any offer of appointment being made.</w:t>
      </w:r>
      <w:r>
        <w:rPr>
          <w:rFonts w:ascii="Arial" w:hAnsi="Arial" w:cs="Arial"/>
        </w:rPr>
        <w:br/>
      </w:r>
    </w:p>
    <w:p w14:paraId="22DF9584" w14:textId="77777777" w:rsidR="00245458" w:rsidRDefault="00245458" w:rsidP="00245458">
      <w:pPr>
        <w:pStyle w:val="NoSpacing"/>
        <w:numPr>
          <w:ilvl w:val="0"/>
          <w:numId w:val="11"/>
        </w:numPr>
        <w:rPr>
          <w:rFonts w:ascii="Arial" w:hAnsi="Arial" w:cs="Arial"/>
        </w:rPr>
      </w:pPr>
      <w:r>
        <w:rPr>
          <w:rFonts w:ascii="Arial" w:hAnsi="Arial" w:cs="Arial"/>
        </w:rPr>
        <w:t>HLH will ensure it has carried out the necessary checks in relation to any person working with children, young people or vulnerable adults, including requesting references where appropriate.</w:t>
      </w:r>
      <w:r>
        <w:rPr>
          <w:rFonts w:ascii="Arial" w:hAnsi="Arial" w:cs="Arial"/>
        </w:rPr>
        <w:br/>
      </w:r>
    </w:p>
    <w:p w14:paraId="7677BF58" w14:textId="77777777" w:rsidR="00245458" w:rsidRDefault="00245458" w:rsidP="00245458">
      <w:pPr>
        <w:pStyle w:val="NoSpacing"/>
        <w:numPr>
          <w:ilvl w:val="0"/>
          <w:numId w:val="11"/>
        </w:numPr>
        <w:rPr>
          <w:rFonts w:ascii="Arial" w:hAnsi="Arial" w:cs="Arial"/>
        </w:rPr>
      </w:pPr>
      <w:r>
        <w:rPr>
          <w:rFonts w:ascii="Arial" w:hAnsi="Arial" w:cs="Arial"/>
        </w:rPr>
        <w:t>HLH will keep a record of personal details for each member of staff/volunteer.</w:t>
      </w:r>
      <w:r>
        <w:rPr>
          <w:rFonts w:ascii="Arial" w:hAnsi="Arial" w:cs="Arial"/>
        </w:rPr>
        <w:br/>
      </w:r>
    </w:p>
    <w:p w14:paraId="6AF47D5D" w14:textId="77777777" w:rsidR="00245458" w:rsidRDefault="00245458" w:rsidP="00245458">
      <w:pPr>
        <w:pStyle w:val="NoSpacing"/>
        <w:numPr>
          <w:ilvl w:val="0"/>
          <w:numId w:val="11"/>
        </w:numPr>
        <w:rPr>
          <w:rFonts w:ascii="Arial" w:hAnsi="Arial" w:cs="Arial"/>
        </w:rPr>
      </w:pPr>
      <w:r>
        <w:rPr>
          <w:rFonts w:ascii="Arial" w:hAnsi="Arial" w:cs="Arial"/>
        </w:rPr>
        <w:t>HLH will notify Disclosure Scotland if any person on the Disqualified from Working with Children List applies to work/volunteer with the Charity.</w:t>
      </w:r>
      <w:r>
        <w:rPr>
          <w:rFonts w:ascii="Arial" w:hAnsi="Arial" w:cs="Arial"/>
        </w:rPr>
        <w:br/>
      </w:r>
    </w:p>
    <w:p w14:paraId="407A564A" w14:textId="77777777" w:rsidR="00245458" w:rsidRDefault="00245458" w:rsidP="00245458">
      <w:pPr>
        <w:pStyle w:val="NoSpacing"/>
        <w:numPr>
          <w:ilvl w:val="0"/>
          <w:numId w:val="11"/>
        </w:numPr>
        <w:rPr>
          <w:rFonts w:ascii="Arial" w:hAnsi="Arial" w:cs="Arial"/>
        </w:rPr>
      </w:pPr>
      <w:r>
        <w:rPr>
          <w:rFonts w:ascii="Arial" w:hAnsi="Arial" w:cs="Arial"/>
        </w:rPr>
        <w:t>All staff/volunteers will be given Codes of Practice to which they should work.</w:t>
      </w:r>
      <w:r>
        <w:rPr>
          <w:rFonts w:ascii="Arial" w:hAnsi="Arial" w:cs="Arial"/>
        </w:rPr>
        <w:br/>
      </w:r>
    </w:p>
    <w:p w14:paraId="304D3850" w14:textId="77777777" w:rsidR="00245458" w:rsidRDefault="00245458" w:rsidP="00245458">
      <w:pPr>
        <w:pStyle w:val="NoSpacing"/>
        <w:numPr>
          <w:ilvl w:val="0"/>
          <w:numId w:val="11"/>
        </w:numPr>
        <w:rPr>
          <w:rFonts w:ascii="Arial" w:hAnsi="Arial" w:cs="Arial"/>
        </w:rPr>
      </w:pPr>
      <w:r>
        <w:rPr>
          <w:rFonts w:ascii="Arial" w:hAnsi="Arial" w:cs="Arial"/>
        </w:rPr>
        <w:t>HLH will remove any member of staff/volunteer known or suspected to have caused harm to an individual or placed the individual at risk of harm. HLH will notify Disclosure Scotland of its actions and reasoning, even if that person has left the Charity.</w:t>
      </w:r>
    </w:p>
    <w:p w14:paraId="1D763054" w14:textId="77777777" w:rsidR="00245458" w:rsidRDefault="00245458" w:rsidP="00245458">
      <w:pPr>
        <w:pStyle w:val="NoSpacing"/>
        <w:rPr>
          <w:rFonts w:ascii="Arial" w:hAnsi="Arial" w:cs="Arial"/>
        </w:rPr>
      </w:pPr>
    </w:p>
    <w:p w14:paraId="5A28C322" w14:textId="77777777" w:rsidR="00245458" w:rsidRDefault="00245458" w:rsidP="00245458">
      <w:pPr>
        <w:pStyle w:val="NoSpacing"/>
        <w:jc w:val="both"/>
        <w:rPr>
          <w:rFonts w:ascii="Arial" w:hAnsi="Arial" w:cs="Arial"/>
        </w:rPr>
      </w:pPr>
      <w:r>
        <w:rPr>
          <w:rFonts w:ascii="Arial" w:hAnsi="Arial" w:cs="Arial"/>
        </w:rPr>
        <w:t xml:space="preserve">All HLH staff/volunteers are encouraged to share concerns with Charity’s Protection and Safeguarding Lead (Director of Corporate Services). Where a member of staff/volunteer has concerns about the protection of safety of an individual they should follow HLH’s </w:t>
      </w:r>
      <w:r w:rsidRPr="001C2213">
        <w:rPr>
          <w:rFonts w:ascii="Arial" w:hAnsi="Arial" w:cs="Arial"/>
        </w:rPr>
        <w:t>Dealing with a Protection or Safeguarding Issue</w:t>
      </w:r>
      <w:r>
        <w:rPr>
          <w:rFonts w:ascii="Arial" w:hAnsi="Arial" w:cs="Arial"/>
        </w:rPr>
        <w:t xml:space="preserve"> flowchart.</w:t>
      </w:r>
    </w:p>
    <w:p w14:paraId="68D2C72A" w14:textId="77777777" w:rsidR="00245458" w:rsidRDefault="00245458" w:rsidP="00245458">
      <w:pPr>
        <w:pStyle w:val="NoSpacing"/>
        <w:rPr>
          <w:rFonts w:ascii="Arial" w:hAnsi="Arial" w:cs="Arial"/>
        </w:rPr>
      </w:pPr>
    </w:p>
    <w:p w14:paraId="792F91F6" w14:textId="77777777" w:rsidR="00245458" w:rsidRDefault="00245458" w:rsidP="00245458">
      <w:pPr>
        <w:pStyle w:val="NoSpacing"/>
        <w:rPr>
          <w:rFonts w:ascii="Arial" w:hAnsi="Arial" w:cs="Arial"/>
          <w:b/>
        </w:rPr>
      </w:pPr>
    </w:p>
    <w:p w14:paraId="30FF864D" w14:textId="77777777" w:rsidR="00245458" w:rsidRDefault="00245458" w:rsidP="00245458">
      <w:pPr>
        <w:pStyle w:val="NoSpacing"/>
        <w:rPr>
          <w:rFonts w:ascii="Arial" w:hAnsi="Arial" w:cs="Arial"/>
          <w:b/>
        </w:rPr>
      </w:pPr>
    </w:p>
    <w:p w14:paraId="55CFFC3B" w14:textId="77777777" w:rsidR="00245458" w:rsidRDefault="00245458" w:rsidP="00245458">
      <w:pPr>
        <w:pStyle w:val="NoSpacing"/>
        <w:rPr>
          <w:rFonts w:ascii="Arial" w:hAnsi="Arial" w:cs="Arial"/>
          <w:b/>
        </w:rPr>
      </w:pPr>
    </w:p>
    <w:p w14:paraId="270C4F7B" w14:textId="77777777" w:rsidR="00245458" w:rsidRPr="009B5970" w:rsidRDefault="00245458" w:rsidP="00245458">
      <w:pPr>
        <w:pStyle w:val="NoSpacing"/>
        <w:rPr>
          <w:rFonts w:ascii="Arial" w:hAnsi="Arial" w:cs="Arial"/>
          <w:b/>
        </w:rPr>
      </w:pPr>
      <w:r>
        <w:rPr>
          <w:rFonts w:ascii="Arial" w:hAnsi="Arial" w:cs="Arial"/>
          <w:b/>
        </w:rPr>
        <w:lastRenderedPageBreak/>
        <w:t>General concerns</w:t>
      </w:r>
    </w:p>
    <w:p w14:paraId="1E51F8AD" w14:textId="77777777" w:rsidR="00245458" w:rsidRDefault="00245458" w:rsidP="00245458">
      <w:pPr>
        <w:pStyle w:val="NoSpacing"/>
        <w:rPr>
          <w:rFonts w:ascii="Arial" w:hAnsi="Arial" w:cs="Arial"/>
        </w:rPr>
      </w:pPr>
    </w:p>
    <w:p w14:paraId="49BDDA44" w14:textId="77777777" w:rsidR="00245458" w:rsidRDefault="00245458" w:rsidP="00245458">
      <w:pPr>
        <w:pStyle w:val="NoSpacing"/>
        <w:jc w:val="both"/>
        <w:rPr>
          <w:rFonts w:ascii="Arial" w:hAnsi="Arial" w:cs="Arial"/>
        </w:rPr>
      </w:pPr>
      <w:r>
        <w:rPr>
          <w:rFonts w:ascii="Arial" w:hAnsi="Arial" w:cs="Arial"/>
        </w:rPr>
        <w:t>Where a member of staff/volunteer has more general concerns about an individual’s welfare, then these should be discussed with the Charity’s Protection and Safeguarding Lead. Following these discussions, a decision will be made as to whether the matter should be referred to an appropriate professional for assessment.</w:t>
      </w:r>
    </w:p>
    <w:p w14:paraId="136B3F3E" w14:textId="77777777" w:rsidR="00245458" w:rsidRDefault="00245458" w:rsidP="00245458">
      <w:pPr>
        <w:pStyle w:val="NoSpacing"/>
        <w:rPr>
          <w:rFonts w:ascii="Arial" w:hAnsi="Arial" w:cs="Arial"/>
        </w:rPr>
      </w:pPr>
    </w:p>
    <w:p w14:paraId="1465ED84" w14:textId="77777777" w:rsidR="00245458" w:rsidRDefault="00245458" w:rsidP="00245458">
      <w:pPr>
        <w:pStyle w:val="NoSpacing"/>
        <w:rPr>
          <w:rFonts w:ascii="Arial" w:hAnsi="Arial" w:cs="Arial"/>
        </w:rPr>
      </w:pPr>
      <w:r>
        <w:rPr>
          <w:rFonts w:ascii="Arial" w:hAnsi="Arial" w:cs="Arial"/>
          <w:b/>
        </w:rPr>
        <w:t>More serious/urgent concerns</w:t>
      </w:r>
    </w:p>
    <w:p w14:paraId="25559914" w14:textId="77777777" w:rsidR="00245458" w:rsidRDefault="00245458" w:rsidP="00245458">
      <w:pPr>
        <w:pStyle w:val="NoSpacing"/>
        <w:rPr>
          <w:rFonts w:ascii="Arial" w:hAnsi="Arial" w:cs="Arial"/>
        </w:rPr>
      </w:pPr>
    </w:p>
    <w:p w14:paraId="5FDE499D" w14:textId="77777777" w:rsidR="00245458" w:rsidRDefault="00245458" w:rsidP="00245458">
      <w:pPr>
        <w:pStyle w:val="NoSpacing"/>
        <w:jc w:val="both"/>
        <w:rPr>
          <w:rFonts w:ascii="Arial" w:hAnsi="Arial" w:cs="Arial"/>
        </w:rPr>
      </w:pPr>
      <w:r>
        <w:rPr>
          <w:rFonts w:ascii="Arial" w:hAnsi="Arial" w:cs="Arial"/>
        </w:rPr>
        <w:t>HLH’s Dealing with a Protection or Safeguarding Issue flowchart clearly outlines the process to be followed by any member of staff/volunteer.</w:t>
      </w:r>
    </w:p>
    <w:p w14:paraId="6DBAF276" w14:textId="77777777" w:rsidR="00245458" w:rsidRDefault="00245458" w:rsidP="00245458">
      <w:pPr>
        <w:pStyle w:val="NoSpacing"/>
        <w:jc w:val="both"/>
        <w:rPr>
          <w:rFonts w:ascii="Arial" w:hAnsi="Arial" w:cs="Arial"/>
        </w:rPr>
      </w:pPr>
    </w:p>
    <w:p w14:paraId="37F47E52" w14:textId="77777777" w:rsidR="00245458" w:rsidRDefault="00245458" w:rsidP="00245458">
      <w:pPr>
        <w:pStyle w:val="NoSpacing"/>
        <w:jc w:val="both"/>
        <w:rPr>
          <w:rFonts w:ascii="Arial" w:hAnsi="Arial" w:cs="Arial"/>
        </w:rPr>
      </w:pPr>
      <w:r>
        <w:rPr>
          <w:rFonts w:ascii="Arial" w:hAnsi="Arial" w:cs="Arial"/>
        </w:rPr>
        <w:t>Where there is a serious or urgent case, in conjunction with the flowchart, staff/volunteers should follow this process:</w:t>
      </w:r>
    </w:p>
    <w:p w14:paraId="399EE788" w14:textId="77777777" w:rsidR="00245458" w:rsidRDefault="00245458" w:rsidP="00245458">
      <w:pPr>
        <w:pStyle w:val="NoSpacing"/>
        <w:rPr>
          <w:rFonts w:ascii="Arial" w:hAnsi="Arial" w:cs="Arial"/>
        </w:rPr>
      </w:pPr>
    </w:p>
    <w:p w14:paraId="20251AC9" w14:textId="77777777" w:rsidR="00245458" w:rsidRDefault="00245458" w:rsidP="00245458">
      <w:pPr>
        <w:pStyle w:val="NoSpacing"/>
        <w:numPr>
          <w:ilvl w:val="0"/>
          <w:numId w:val="12"/>
        </w:numPr>
        <w:rPr>
          <w:rFonts w:ascii="Arial" w:hAnsi="Arial" w:cs="Arial"/>
        </w:rPr>
      </w:pPr>
      <w:r>
        <w:rPr>
          <w:rFonts w:ascii="Arial" w:hAnsi="Arial" w:cs="Arial"/>
        </w:rPr>
        <w:t xml:space="preserve">Upon receipt of any information/suspicions from an individual, it is necessary to make an accurate and detailed record of what the members of staff/volunteer has seen; heard or know. Ideally this information should be taken at the time the event occurs – but if </w:t>
      </w:r>
      <w:proofErr w:type="gramStart"/>
      <w:r>
        <w:rPr>
          <w:rFonts w:ascii="Arial" w:hAnsi="Arial" w:cs="Arial"/>
        </w:rPr>
        <w:t>necessary</w:t>
      </w:r>
      <w:proofErr w:type="gramEnd"/>
      <w:r>
        <w:rPr>
          <w:rFonts w:ascii="Arial" w:hAnsi="Arial" w:cs="Arial"/>
        </w:rPr>
        <w:t xml:space="preserve"> can be undertaken later;</w:t>
      </w:r>
      <w:r>
        <w:rPr>
          <w:rFonts w:ascii="Arial" w:hAnsi="Arial" w:cs="Arial"/>
        </w:rPr>
        <w:br/>
      </w:r>
    </w:p>
    <w:p w14:paraId="4A814458" w14:textId="77777777" w:rsidR="00245458" w:rsidRDefault="00245458" w:rsidP="00245458">
      <w:pPr>
        <w:pStyle w:val="NoSpacing"/>
        <w:numPr>
          <w:ilvl w:val="0"/>
          <w:numId w:val="12"/>
        </w:numPr>
        <w:rPr>
          <w:rFonts w:ascii="Arial" w:hAnsi="Arial" w:cs="Arial"/>
        </w:rPr>
      </w:pPr>
      <w:r>
        <w:rPr>
          <w:rFonts w:ascii="Arial" w:hAnsi="Arial" w:cs="Arial"/>
        </w:rPr>
        <w:t>The member of staff/volunteer should share their concerns with the Charity’s Protection and Safeguarding Lead and agree what action to take;</w:t>
      </w:r>
      <w:r>
        <w:rPr>
          <w:rFonts w:ascii="Arial" w:hAnsi="Arial" w:cs="Arial"/>
        </w:rPr>
        <w:br/>
      </w:r>
    </w:p>
    <w:p w14:paraId="5C27CE11" w14:textId="4F6254C3" w:rsidR="00245458" w:rsidRDefault="00245458" w:rsidP="00245458">
      <w:pPr>
        <w:pStyle w:val="NoSpacing"/>
        <w:numPr>
          <w:ilvl w:val="0"/>
          <w:numId w:val="12"/>
        </w:numPr>
        <w:rPr>
          <w:rFonts w:ascii="Arial" w:hAnsi="Arial" w:cs="Arial"/>
        </w:rPr>
      </w:pPr>
      <w:r>
        <w:rPr>
          <w:rFonts w:ascii="Arial" w:hAnsi="Arial" w:cs="Arial"/>
        </w:rPr>
        <w:t>Avoid asking any more questions than are necessary to clarify whether a concern exists. Always refer to statutory partner organisations/services to undertake in depth investigations of any suspicions or allegations about abuse.</w:t>
      </w:r>
    </w:p>
    <w:p w14:paraId="7E1943CE" w14:textId="77777777" w:rsidR="00245458" w:rsidRDefault="00245458" w:rsidP="00245458">
      <w:pPr>
        <w:pStyle w:val="NoSpacing"/>
        <w:rPr>
          <w:rFonts w:ascii="Arial" w:hAnsi="Arial" w:cs="Arial"/>
        </w:rPr>
      </w:pPr>
    </w:p>
    <w:p w14:paraId="2A4B29AD" w14:textId="77777777" w:rsidR="00245458" w:rsidRDefault="00245458" w:rsidP="00245458">
      <w:pPr>
        <w:pStyle w:val="NoSpacing"/>
        <w:rPr>
          <w:rFonts w:ascii="Arial" w:hAnsi="Arial" w:cs="Arial"/>
        </w:rPr>
      </w:pPr>
      <w:r>
        <w:rPr>
          <w:rFonts w:ascii="Arial" w:hAnsi="Arial" w:cs="Arial"/>
          <w:b/>
        </w:rPr>
        <w:t>Contact details</w:t>
      </w:r>
    </w:p>
    <w:p w14:paraId="208AA4CC" w14:textId="77777777" w:rsidR="00245458" w:rsidRDefault="00245458" w:rsidP="00245458">
      <w:pPr>
        <w:pStyle w:val="NoSpacing"/>
        <w:rPr>
          <w:rFonts w:ascii="Arial" w:hAnsi="Arial" w:cs="Arial"/>
        </w:rPr>
      </w:pPr>
    </w:p>
    <w:p w14:paraId="01E0DC83" w14:textId="77777777" w:rsidR="00245458" w:rsidRDefault="00245458" w:rsidP="00245458">
      <w:pPr>
        <w:pStyle w:val="NoSpacing"/>
        <w:rPr>
          <w:rFonts w:ascii="Arial" w:hAnsi="Arial" w:cs="Arial"/>
        </w:rPr>
      </w:pPr>
      <w:r>
        <w:rPr>
          <w:rFonts w:ascii="Arial" w:hAnsi="Arial" w:cs="Arial"/>
        </w:rPr>
        <w:t xml:space="preserve">Contact details are available through the HCPC </w:t>
      </w:r>
      <w:hyperlink r:id="rId11" w:history="1">
        <w:r w:rsidRPr="00C444E4">
          <w:rPr>
            <w:rStyle w:val="Hyperlink"/>
            <w:rFonts w:ascii="Arial" w:hAnsi="Arial" w:cs="Arial"/>
          </w:rPr>
          <w:t>Help and Advice</w:t>
        </w:r>
      </w:hyperlink>
      <w:r>
        <w:rPr>
          <w:rFonts w:ascii="Arial" w:hAnsi="Arial" w:cs="Arial"/>
        </w:rPr>
        <w:t xml:space="preserve"> section of the website for Local Family Teams and Police Scotland. </w:t>
      </w:r>
    </w:p>
    <w:p w14:paraId="2A783C1F" w14:textId="77777777" w:rsidR="00245458" w:rsidRDefault="00245458" w:rsidP="00245458">
      <w:pPr>
        <w:pStyle w:val="NoSpacing"/>
        <w:rPr>
          <w:rFonts w:ascii="Arial" w:hAnsi="Arial" w:cs="Arial"/>
        </w:rPr>
      </w:pPr>
    </w:p>
    <w:p w14:paraId="61A74362" w14:textId="77777777" w:rsidR="00245458" w:rsidRDefault="00245458" w:rsidP="00245458">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HLH Protection and Safeguarding Lead</w:t>
      </w:r>
      <w:r>
        <w:rPr>
          <w:rFonts w:ascii="Arial" w:hAnsi="Arial" w:cs="Arial"/>
        </w:rPr>
        <w:tab/>
      </w:r>
      <w:r>
        <w:rPr>
          <w:rFonts w:ascii="Arial" w:hAnsi="Arial" w:cs="Arial"/>
        </w:rPr>
        <w:tab/>
      </w:r>
      <w:r>
        <w:rPr>
          <w:rFonts w:ascii="Arial" w:hAnsi="Arial" w:cs="Arial"/>
        </w:rPr>
        <w:tab/>
      </w:r>
      <w:r w:rsidRPr="00E34F3E">
        <w:rPr>
          <w:rFonts w:ascii="Arial" w:hAnsi="Arial" w:cs="Arial"/>
          <w:b/>
        </w:rPr>
        <w:t>01349 781002</w:t>
      </w:r>
      <w:r>
        <w:rPr>
          <w:rFonts w:ascii="Arial" w:hAnsi="Arial" w:cs="Arial"/>
          <w:b/>
        </w:rPr>
        <w:t xml:space="preserve"> (office) and</w:t>
      </w:r>
    </w:p>
    <w:p w14:paraId="68D0FA70" w14:textId="77777777" w:rsidR="00245458" w:rsidRPr="00E34F3E" w:rsidRDefault="00245458" w:rsidP="00245458">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(James Martin – Director of Corporate Services)</w:t>
      </w:r>
      <w:r>
        <w:rPr>
          <w:rFonts w:ascii="Arial" w:hAnsi="Arial" w:cs="Arial"/>
        </w:rPr>
        <w:tab/>
      </w:r>
      <w:r w:rsidRPr="00E34F3E">
        <w:rPr>
          <w:rFonts w:ascii="Arial" w:hAnsi="Arial" w:cs="Arial"/>
          <w:b/>
        </w:rPr>
        <w:t>07774 225976</w:t>
      </w:r>
      <w:r>
        <w:rPr>
          <w:rFonts w:ascii="Arial" w:hAnsi="Arial" w:cs="Arial"/>
          <w:b/>
        </w:rPr>
        <w:t xml:space="preserve"> (mobile)</w:t>
      </w:r>
    </w:p>
    <w:p w14:paraId="342493D9" w14:textId="77777777" w:rsidR="00245458" w:rsidRDefault="00245458" w:rsidP="00245458">
      <w:pPr>
        <w:pStyle w:val="NoSpacing"/>
        <w:pBdr>
          <w:top w:val="single" w:sz="4" w:space="1" w:color="auto"/>
          <w:left w:val="single" w:sz="4" w:space="4" w:color="auto"/>
          <w:bottom w:val="single" w:sz="4" w:space="1" w:color="auto"/>
          <w:right w:val="single" w:sz="4" w:space="4" w:color="auto"/>
        </w:pBdr>
        <w:rPr>
          <w:rFonts w:ascii="Arial" w:hAnsi="Arial" w:cs="Arial"/>
        </w:rPr>
      </w:pPr>
    </w:p>
    <w:p w14:paraId="7A48BAA7" w14:textId="77777777" w:rsidR="00245458" w:rsidRDefault="00245458" w:rsidP="00245458">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Police</w:t>
      </w:r>
      <w:r>
        <w:rPr>
          <w:rFonts w:ascii="Arial" w:hAnsi="Arial" w:cs="Arial"/>
        </w:rPr>
        <w:tab/>
        <w:t>Scotland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0FB5">
        <w:rPr>
          <w:rFonts w:ascii="Arial" w:hAnsi="Arial" w:cs="Arial"/>
          <w:b/>
        </w:rPr>
        <w:t>101</w:t>
      </w:r>
      <w:r>
        <w:rPr>
          <w:rFonts w:ascii="Arial" w:hAnsi="Arial" w:cs="Arial"/>
        </w:rPr>
        <w:t xml:space="preserve"> (non-urgent)</w:t>
      </w:r>
    </w:p>
    <w:p w14:paraId="532D9C2B" w14:textId="77777777" w:rsidR="00245458" w:rsidRDefault="00245458" w:rsidP="00245458">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30FB5">
        <w:rPr>
          <w:rFonts w:ascii="Arial" w:hAnsi="Arial" w:cs="Arial"/>
          <w:b/>
        </w:rPr>
        <w:t>999</w:t>
      </w:r>
      <w:r>
        <w:rPr>
          <w:rFonts w:ascii="Arial" w:hAnsi="Arial" w:cs="Arial"/>
        </w:rPr>
        <w:t xml:space="preserve"> (urgent/serious)</w:t>
      </w:r>
    </w:p>
    <w:p w14:paraId="17CCEF12" w14:textId="77777777" w:rsidR="00245458" w:rsidRDefault="00245458" w:rsidP="00245458">
      <w:pPr>
        <w:pStyle w:val="NoSpacing"/>
        <w:pBdr>
          <w:top w:val="single" w:sz="4" w:space="1" w:color="auto"/>
          <w:left w:val="single" w:sz="4" w:space="4" w:color="auto"/>
          <w:bottom w:val="single" w:sz="4" w:space="1" w:color="auto"/>
          <w:right w:val="single" w:sz="4" w:space="4" w:color="auto"/>
        </w:pBdr>
        <w:rPr>
          <w:rFonts w:ascii="Arial" w:hAnsi="Arial" w:cs="Arial"/>
        </w:rPr>
      </w:pPr>
    </w:p>
    <w:p w14:paraId="2BFC4A06" w14:textId="77777777" w:rsidR="00245458" w:rsidRDefault="00245458" w:rsidP="00245458">
      <w:pPr>
        <w:pStyle w:val="NoSpacing"/>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Out of hours Social Work Emergency Services</w:t>
      </w:r>
      <w:r>
        <w:rPr>
          <w:rFonts w:ascii="Arial" w:hAnsi="Arial" w:cs="Arial"/>
        </w:rPr>
        <w:tab/>
      </w:r>
      <w:r>
        <w:rPr>
          <w:rFonts w:ascii="Arial" w:hAnsi="Arial" w:cs="Arial"/>
        </w:rPr>
        <w:tab/>
      </w:r>
      <w:r w:rsidRPr="00D30FB5">
        <w:rPr>
          <w:rFonts w:ascii="Arial" w:hAnsi="Arial" w:cs="Arial"/>
          <w:b/>
        </w:rPr>
        <w:t>08457 697284</w:t>
      </w:r>
    </w:p>
    <w:p w14:paraId="08B0A2C6" w14:textId="77777777" w:rsidR="00245458" w:rsidRDefault="00245458" w:rsidP="00245458">
      <w:pPr>
        <w:pStyle w:val="NoSpacing"/>
        <w:rPr>
          <w:rFonts w:ascii="Arial" w:hAnsi="Arial" w:cs="Arial"/>
        </w:rPr>
      </w:pPr>
    </w:p>
    <w:p w14:paraId="7B612A31" w14:textId="77777777" w:rsidR="00245458" w:rsidRDefault="00245458" w:rsidP="00245458">
      <w:pPr>
        <w:pStyle w:val="NoSpacing"/>
        <w:rPr>
          <w:rFonts w:ascii="Arial" w:hAnsi="Arial" w:cs="Arial"/>
        </w:rPr>
      </w:pPr>
    </w:p>
    <w:p w14:paraId="599C96B4" w14:textId="77777777" w:rsidR="00245458" w:rsidRPr="0021067C" w:rsidRDefault="00245458" w:rsidP="00245458">
      <w:pPr>
        <w:pStyle w:val="NoSpacing"/>
        <w:rPr>
          <w:rFonts w:ascii="Arial" w:hAnsi="Arial" w:cs="Arial"/>
        </w:rPr>
      </w:pPr>
      <w:r>
        <w:rPr>
          <w:rFonts w:ascii="Arial" w:hAnsi="Arial" w:cs="Arial"/>
        </w:rPr>
        <w:t>It may be worth referring to the “Help and Advice” link above to identify Local Family Team details and keeping these to hand.</w:t>
      </w:r>
    </w:p>
    <w:p w14:paraId="0C751B31" w14:textId="077163F8" w:rsidR="00090240" w:rsidRDefault="00090240" w:rsidP="00245458">
      <w:pPr>
        <w:rPr>
          <w:rFonts w:ascii="Arial" w:hAnsi="Arial" w:cs="Arial"/>
          <w:szCs w:val="24"/>
        </w:rPr>
      </w:pPr>
    </w:p>
    <w:p w14:paraId="2414CB48" w14:textId="4CC746BF" w:rsidR="00245458" w:rsidRDefault="00245458" w:rsidP="00245458">
      <w:pPr>
        <w:rPr>
          <w:rFonts w:ascii="Arial" w:hAnsi="Arial" w:cs="Arial"/>
          <w:szCs w:val="24"/>
        </w:rPr>
      </w:pPr>
    </w:p>
    <w:p w14:paraId="13F1F311" w14:textId="4406994F" w:rsidR="00245458" w:rsidRDefault="00245458" w:rsidP="00245458">
      <w:pPr>
        <w:rPr>
          <w:rFonts w:ascii="Arial" w:hAnsi="Arial" w:cs="Arial"/>
          <w:szCs w:val="24"/>
        </w:rPr>
      </w:pPr>
    </w:p>
    <w:p w14:paraId="4C344623" w14:textId="0C738FC6" w:rsidR="00245458" w:rsidRDefault="00245458">
      <w:pPr>
        <w:rPr>
          <w:rFonts w:ascii="Arial" w:hAnsi="Arial" w:cs="Arial"/>
          <w:szCs w:val="24"/>
        </w:rPr>
      </w:pPr>
      <w:r>
        <w:rPr>
          <w:rFonts w:ascii="Arial" w:hAnsi="Arial" w:cs="Arial"/>
          <w:szCs w:val="24"/>
        </w:rPr>
        <w:br w:type="page"/>
      </w:r>
    </w:p>
    <w:p w14:paraId="485F575A" w14:textId="097DAFA2" w:rsidR="00245458" w:rsidRDefault="00245458" w:rsidP="00245458">
      <w:pPr>
        <w:jc w:val="right"/>
        <w:rPr>
          <w:rFonts w:ascii="Arial" w:hAnsi="Arial" w:cs="Arial"/>
          <w:b/>
          <w:bCs/>
          <w:szCs w:val="24"/>
        </w:rPr>
      </w:pPr>
      <w:r w:rsidRPr="00245458">
        <w:rPr>
          <w:rFonts w:ascii="Arial" w:hAnsi="Arial" w:cs="Arial"/>
          <w:b/>
          <w:bCs/>
          <w:szCs w:val="24"/>
        </w:rPr>
        <w:lastRenderedPageBreak/>
        <w:t>Appendix B2</w:t>
      </w:r>
    </w:p>
    <w:p w14:paraId="6C266803" w14:textId="77777777" w:rsidR="00245458" w:rsidRDefault="00245458" w:rsidP="00245458">
      <w:pPr>
        <w:pStyle w:val="NoSpacing"/>
        <w:rPr>
          <w:rFonts w:ascii="Arial" w:hAnsi="Arial" w:cs="Arial"/>
          <w:b/>
        </w:rPr>
      </w:pPr>
    </w:p>
    <w:tbl>
      <w:tblPr>
        <w:tblStyle w:val="TableGrid1"/>
        <w:tblW w:w="9606" w:type="dxa"/>
        <w:tblLook w:val="04A0" w:firstRow="1" w:lastRow="0" w:firstColumn="1" w:lastColumn="0" w:noHBand="0" w:noVBand="1"/>
      </w:tblPr>
      <w:tblGrid>
        <w:gridCol w:w="3576"/>
        <w:gridCol w:w="6030"/>
      </w:tblGrid>
      <w:tr w:rsidR="00245458" w:rsidRPr="00932FA9" w14:paraId="69E6398D" w14:textId="77777777" w:rsidTr="002709B7">
        <w:trPr>
          <w:trHeight w:val="1692"/>
        </w:trPr>
        <w:tc>
          <w:tcPr>
            <w:tcW w:w="3510" w:type="dxa"/>
          </w:tcPr>
          <w:p w14:paraId="187129E9" w14:textId="77777777" w:rsidR="00245458" w:rsidRPr="00932FA9" w:rsidRDefault="00245458" w:rsidP="002709B7">
            <w:pPr>
              <w:spacing w:after="200" w:line="276" w:lineRule="auto"/>
              <w:rPr>
                <w:rFonts w:ascii="Arial" w:hAnsi="Arial" w:cs="Arial"/>
              </w:rPr>
            </w:pPr>
            <w:r w:rsidRPr="00932FA9">
              <w:rPr>
                <w:noProof/>
              </w:rPr>
              <w:drawing>
                <wp:inline distT="0" distB="0" distL="0" distR="0" wp14:anchorId="13198843" wp14:editId="558D2EF5">
                  <wp:extent cx="2125683" cy="1080347"/>
                  <wp:effectExtent l="0" t="0" r="8255" b="5715"/>
                  <wp:docPr id="2" name="Picture 2" descr="C:\Users\lorrhour\AppData\Local\Microsoft\Windows\Temporary Internet Files\Content.Outlook\FU2TPUMV\high_life_blac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rhour\AppData\Local\Microsoft\Windows\Temporary Internet Files\Content.Outlook\FU2TPUMV\high_life_black (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1471" cy="1098536"/>
                          </a:xfrm>
                          <a:prstGeom prst="rect">
                            <a:avLst/>
                          </a:prstGeom>
                          <a:noFill/>
                          <a:ln>
                            <a:noFill/>
                          </a:ln>
                        </pic:spPr>
                      </pic:pic>
                    </a:graphicData>
                  </a:graphic>
                </wp:inline>
              </w:drawing>
            </w:r>
          </w:p>
        </w:tc>
        <w:tc>
          <w:tcPr>
            <w:tcW w:w="6096" w:type="dxa"/>
          </w:tcPr>
          <w:p w14:paraId="48619BFF" w14:textId="77777777" w:rsidR="00245458" w:rsidRPr="00932FA9" w:rsidRDefault="00245458" w:rsidP="002709B7">
            <w:pPr>
              <w:rPr>
                <w:rFonts w:cstheme="minorHAnsi"/>
                <w:b/>
                <w:bCs/>
                <w:i/>
                <w:sz w:val="12"/>
                <w:szCs w:val="12"/>
              </w:rPr>
            </w:pPr>
          </w:p>
          <w:p w14:paraId="63AA62FF" w14:textId="77777777" w:rsidR="00245458" w:rsidRPr="00932FA9" w:rsidRDefault="00245458" w:rsidP="002709B7">
            <w:pPr>
              <w:rPr>
                <w:rFonts w:cstheme="minorHAnsi"/>
                <w:b/>
                <w:bCs/>
                <w:i/>
                <w:sz w:val="48"/>
                <w:szCs w:val="48"/>
              </w:rPr>
            </w:pPr>
            <w:r>
              <w:rPr>
                <w:rFonts w:cstheme="minorHAnsi"/>
                <w:b/>
                <w:bCs/>
                <w:i/>
                <w:sz w:val="48"/>
                <w:szCs w:val="48"/>
              </w:rPr>
              <w:t xml:space="preserve">Protecting Vulnerable Groups Policy </w:t>
            </w:r>
          </w:p>
          <w:p w14:paraId="1AA4B6EB" w14:textId="77777777" w:rsidR="00245458" w:rsidRDefault="00245458" w:rsidP="002709B7">
            <w:pPr>
              <w:rPr>
                <w:rFonts w:ascii="Arial" w:hAnsi="Arial" w:cs="Arial"/>
              </w:rPr>
            </w:pPr>
            <w:r>
              <w:rPr>
                <w:rFonts w:ascii="Arial" w:hAnsi="Arial" w:cs="Arial"/>
              </w:rPr>
              <w:t>(this policy supersedes all previous versions of the Vetting Policy)</w:t>
            </w:r>
          </w:p>
          <w:p w14:paraId="3C0A0686" w14:textId="77777777" w:rsidR="00245458" w:rsidRDefault="00245458" w:rsidP="002709B7">
            <w:pPr>
              <w:rPr>
                <w:rFonts w:ascii="Arial" w:hAnsi="Arial" w:cs="Arial"/>
              </w:rPr>
            </w:pPr>
          </w:p>
          <w:p w14:paraId="67A92283" w14:textId="77777777" w:rsidR="00245458" w:rsidRDefault="00245458" w:rsidP="002709B7">
            <w:pPr>
              <w:rPr>
                <w:rFonts w:ascii="Arial" w:hAnsi="Arial" w:cs="Arial"/>
              </w:rPr>
            </w:pPr>
            <w:r>
              <w:rPr>
                <w:rFonts w:ascii="Arial" w:hAnsi="Arial" w:cs="Arial"/>
              </w:rPr>
              <w:t>Draft for approval by HLH Board 10 December 2020</w:t>
            </w:r>
          </w:p>
          <w:p w14:paraId="5E9DE1A4" w14:textId="77777777" w:rsidR="00245458" w:rsidRPr="00932FA9" w:rsidRDefault="00245458" w:rsidP="002709B7">
            <w:pPr>
              <w:rPr>
                <w:rFonts w:ascii="Arial" w:hAnsi="Arial" w:cs="Arial"/>
              </w:rPr>
            </w:pPr>
            <w:r>
              <w:rPr>
                <w:rFonts w:ascii="Arial" w:hAnsi="Arial" w:cs="Arial"/>
              </w:rPr>
              <w:t>Review Date: December 2022</w:t>
            </w:r>
          </w:p>
        </w:tc>
      </w:tr>
    </w:tbl>
    <w:p w14:paraId="403AC26B" w14:textId="77777777" w:rsidR="00245458" w:rsidRPr="002A549B" w:rsidRDefault="00245458" w:rsidP="00245458">
      <w:pPr>
        <w:pStyle w:val="NoSpacing"/>
        <w:rPr>
          <w:rFonts w:ascii="Arial" w:hAnsi="Arial" w:cs="Arial"/>
        </w:rPr>
      </w:pPr>
    </w:p>
    <w:p w14:paraId="294167CD" w14:textId="77777777" w:rsidR="00245458" w:rsidRPr="002A549B" w:rsidRDefault="00245458" w:rsidP="00245458">
      <w:pPr>
        <w:pStyle w:val="NoSpacing"/>
        <w:jc w:val="both"/>
        <w:rPr>
          <w:rFonts w:ascii="Arial" w:hAnsi="Arial" w:cs="Arial"/>
        </w:rPr>
      </w:pPr>
      <w:r w:rsidRPr="002A549B">
        <w:rPr>
          <w:rFonts w:ascii="Arial" w:hAnsi="Arial" w:cs="Arial"/>
        </w:rPr>
        <w:t xml:space="preserve">The </w:t>
      </w:r>
      <w:hyperlink r:id="rId13" w:history="1">
        <w:r w:rsidRPr="002A549B">
          <w:rPr>
            <w:rStyle w:val="Hyperlink"/>
            <w:rFonts w:ascii="Arial" w:hAnsi="Arial" w:cs="Arial"/>
          </w:rPr>
          <w:t>Protecting Vulnerable Groups (PVG) membership scheme</w:t>
        </w:r>
      </w:hyperlink>
      <w:r w:rsidRPr="002A549B">
        <w:rPr>
          <w:rFonts w:ascii="Arial" w:hAnsi="Arial" w:cs="Arial"/>
        </w:rPr>
        <w:t xml:space="preserve"> is managed and delivered by Disclosure Scotland. The scheme helps to ensure people whose behaviour makes them unsuitable to work with children and protected adults cannot do ‘regulated work’ with these vulnerable groups.</w:t>
      </w:r>
    </w:p>
    <w:p w14:paraId="4D37F0A6" w14:textId="77777777" w:rsidR="00245458" w:rsidRPr="002A549B" w:rsidRDefault="00245458" w:rsidP="00245458">
      <w:pPr>
        <w:pStyle w:val="NoSpacing"/>
        <w:jc w:val="both"/>
        <w:rPr>
          <w:rFonts w:ascii="Arial" w:hAnsi="Arial" w:cs="Arial"/>
        </w:rPr>
      </w:pPr>
    </w:p>
    <w:p w14:paraId="7617ED96" w14:textId="77777777" w:rsidR="00245458" w:rsidRPr="002A549B" w:rsidRDefault="00245458" w:rsidP="00245458">
      <w:pPr>
        <w:pStyle w:val="NoSpacing"/>
        <w:jc w:val="both"/>
        <w:rPr>
          <w:rFonts w:ascii="Arial" w:hAnsi="Arial" w:cs="Arial"/>
        </w:rPr>
      </w:pPr>
      <w:r w:rsidRPr="002A549B">
        <w:rPr>
          <w:rFonts w:ascii="Arial" w:hAnsi="Arial" w:cs="Arial"/>
        </w:rPr>
        <w:t xml:space="preserve">High Life Highland (HLH) will comply with all legislation and requirements relating to the PVG scheme. </w:t>
      </w:r>
    </w:p>
    <w:p w14:paraId="0F02992B" w14:textId="77777777" w:rsidR="00245458" w:rsidRPr="002A549B" w:rsidRDefault="00245458" w:rsidP="00245458">
      <w:pPr>
        <w:pStyle w:val="NoSpacing"/>
        <w:jc w:val="both"/>
        <w:rPr>
          <w:rFonts w:ascii="Arial" w:hAnsi="Arial" w:cs="Arial"/>
        </w:rPr>
      </w:pPr>
    </w:p>
    <w:p w14:paraId="71BABBE4" w14:textId="77777777" w:rsidR="00245458" w:rsidRPr="002A549B" w:rsidRDefault="00245458" w:rsidP="00245458">
      <w:pPr>
        <w:pStyle w:val="NoSpacing"/>
        <w:jc w:val="both"/>
        <w:rPr>
          <w:rFonts w:ascii="Arial" w:hAnsi="Arial" w:cs="Arial"/>
        </w:rPr>
      </w:pPr>
      <w:r w:rsidRPr="002A549B">
        <w:rPr>
          <w:rFonts w:ascii="Arial" w:hAnsi="Arial" w:cs="Arial"/>
        </w:rPr>
        <w:t>When an individual employee/volunteer applies to the PVG scheme through HLH; the process will involve gathering criminal record and other relevant information on the individual. The results from the criminal record checks will be shared with the individual and HLH.</w:t>
      </w:r>
    </w:p>
    <w:p w14:paraId="23C71FA7" w14:textId="77777777" w:rsidR="00245458" w:rsidRPr="002A549B" w:rsidRDefault="00245458" w:rsidP="00245458">
      <w:pPr>
        <w:pStyle w:val="NoSpacing"/>
        <w:jc w:val="both"/>
        <w:rPr>
          <w:rFonts w:ascii="Arial" w:hAnsi="Arial" w:cs="Arial"/>
        </w:rPr>
      </w:pPr>
    </w:p>
    <w:p w14:paraId="29160D08" w14:textId="77777777" w:rsidR="00245458" w:rsidRPr="002A549B" w:rsidRDefault="00245458" w:rsidP="00245458">
      <w:pPr>
        <w:pStyle w:val="NoSpacing"/>
        <w:jc w:val="both"/>
        <w:rPr>
          <w:rFonts w:ascii="Arial" w:hAnsi="Arial" w:cs="Arial"/>
        </w:rPr>
      </w:pPr>
      <w:r w:rsidRPr="002A549B">
        <w:rPr>
          <w:rFonts w:ascii="Arial" w:hAnsi="Arial" w:cs="Arial"/>
        </w:rPr>
        <w:t>The Protection of Vulnerable Groups (Scotland) Act 2007 defines regulated work by reference to:</w:t>
      </w:r>
    </w:p>
    <w:p w14:paraId="4DFEAAB2" w14:textId="77777777" w:rsidR="00245458" w:rsidRPr="002A549B" w:rsidRDefault="00245458" w:rsidP="00245458">
      <w:pPr>
        <w:pStyle w:val="NoSpacing"/>
        <w:jc w:val="both"/>
        <w:rPr>
          <w:rFonts w:ascii="Arial" w:hAnsi="Arial" w:cs="Arial"/>
        </w:rPr>
      </w:pPr>
    </w:p>
    <w:p w14:paraId="3DE750BF" w14:textId="77777777" w:rsidR="00245458" w:rsidRPr="002A549B" w:rsidRDefault="00245458" w:rsidP="00245458">
      <w:pPr>
        <w:pStyle w:val="NoSpacing"/>
        <w:numPr>
          <w:ilvl w:val="0"/>
          <w:numId w:val="13"/>
        </w:numPr>
        <w:jc w:val="both"/>
        <w:rPr>
          <w:rFonts w:ascii="Arial" w:hAnsi="Arial" w:cs="Arial"/>
        </w:rPr>
      </w:pPr>
      <w:r w:rsidRPr="002A549B">
        <w:rPr>
          <w:rFonts w:ascii="Arial" w:hAnsi="Arial" w:cs="Arial"/>
        </w:rPr>
        <w:t>the activities an individual does;</w:t>
      </w:r>
    </w:p>
    <w:p w14:paraId="6E11804F" w14:textId="77777777" w:rsidR="00245458" w:rsidRPr="002A549B" w:rsidRDefault="00245458" w:rsidP="00245458">
      <w:pPr>
        <w:pStyle w:val="NoSpacing"/>
        <w:numPr>
          <w:ilvl w:val="0"/>
          <w:numId w:val="13"/>
        </w:numPr>
        <w:jc w:val="both"/>
        <w:rPr>
          <w:rFonts w:ascii="Arial" w:hAnsi="Arial" w:cs="Arial"/>
        </w:rPr>
      </w:pPr>
      <w:r w:rsidRPr="002A549B">
        <w:rPr>
          <w:rFonts w:ascii="Arial" w:hAnsi="Arial" w:cs="Arial"/>
        </w:rPr>
        <w:t>the establishments in which an individual works;</w:t>
      </w:r>
    </w:p>
    <w:p w14:paraId="30743722" w14:textId="77777777" w:rsidR="00245458" w:rsidRPr="002A549B" w:rsidRDefault="00245458" w:rsidP="00245458">
      <w:pPr>
        <w:pStyle w:val="NoSpacing"/>
        <w:numPr>
          <w:ilvl w:val="0"/>
          <w:numId w:val="13"/>
        </w:numPr>
        <w:jc w:val="both"/>
        <w:rPr>
          <w:rFonts w:ascii="Arial" w:hAnsi="Arial" w:cs="Arial"/>
        </w:rPr>
      </w:pPr>
      <w:r w:rsidRPr="002A549B">
        <w:rPr>
          <w:rFonts w:ascii="Arial" w:hAnsi="Arial" w:cs="Arial"/>
        </w:rPr>
        <w:t xml:space="preserve">the position the individual holds; or </w:t>
      </w:r>
    </w:p>
    <w:p w14:paraId="7573E47F" w14:textId="77777777" w:rsidR="00245458" w:rsidRPr="002A549B" w:rsidRDefault="00245458" w:rsidP="00245458">
      <w:pPr>
        <w:pStyle w:val="NoSpacing"/>
        <w:numPr>
          <w:ilvl w:val="0"/>
          <w:numId w:val="13"/>
        </w:numPr>
        <w:jc w:val="both"/>
        <w:rPr>
          <w:rFonts w:ascii="Arial" w:hAnsi="Arial" w:cs="Arial"/>
        </w:rPr>
      </w:pPr>
      <w:r w:rsidRPr="002A549B">
        <w:rPr>
          <w:rFonts w:ascii="Arial" w:hAnsi="Arial" w:cs="Arial"/>
        </w:rPr>
        <w:t>the people for whom they have day-to-day supervision or management responsibilities.</w:t>
      </w:r>
    </w:p>
    <w:p w14:paraId="7A11D179" w14:textId="77777777" w:rsidR="00245458" w:rsidRPr="002A549B" w:rsidRDefault="00245458" w:rsidP="00245458">
      <w:pPr>
        <w:pStyle w:val="NoSpacing"/>
        <w:jc w:val="both"/>
        <w:rPr>
          <w:rFonts w:ascii="Arial" w:hAnsi="Arial" w:cs="Arial"/>
        </w:rPr>
      </w:pPr>
    </w:p>
    <w:p w14:paraId="189DFA2F" w14:textId="77777777" w:rsidR="00245458" w:rsidRPr="002A549B" w:rsidRDefault="00245458" w:rsidP="00245458">
      <w:pPr>
        <w:pStyle w:val="NoSpacing"/>
        <w:jc w:val="both"/>
        <w:rPr>
          <w:rFonts w:ascii="Arial" w:hAnsi="Arial" w:cs="Arial"/>
        </w:rPr>
      </w:pPr>
      <w:r w:rsidRPr="002A549B">
        <w:rPr>
          <w:rFonts w:ascii="Arial" w:hAnsi="Arial" w:cs="Arial"/>
        </w:rPr>
        <w:t>High Life Highland is covered by the Act and will apply all sections appropriate across all services of the Charity at any time. Any such application(s) would run in tandem with the guidance from the Highland Child Protection Committee and the Highland Adult Protection Committee.</w:t>
      </w:r>
    </w:p>
    <w:p w14:paraId="7F938DD9" w14:textId="77777777" w:rsidR="00245458" w:rsidRPr="002A549B" w:rsidRDefault="00245458" w:rsidP="00245458">
      <w:pPr>
        <w:pStyle w:val="NoSpacing"/>
        <w:jc w:val="both"/>
        <w:rPr>
          <w:rFonts w:ascii="Arial" w:hAnsi="Arial" w:cs="Arial"/>
        </w:rPr>
      </w:pPr>
    </w:p>
    <w:p w14:paraId="5AB5C78D" w14:textId="77777777" w:rsidR="00245458" w:rsidRPr="002A549B" w:rsidRDefault="00245458" w:rsidP="00245458">
      <w:pPr>
        <w:pStyle w:val="NoSpacing"/>
        <w:jc w:val="both"/>
        <w:rPr>
          <w:rFonts w:ascii="Arial" w:hAnsi="Arial" w:cs="Arial"/>
        </w:rPr>
      </w:pPr>
      <w:r w:rsidRPr="002A549B">
        <w:rPr>
          <w:rFonts w:ascii="Arial" w:hAnsi="Arial" w:cs="Arial"/>
          <w:b/>
        </w:rPr>
        <w:t>Regulated work</w:t>
      </w:r>
    </w:p>
    <w:p w14:paraId="0AB540AC" w14:textId="77777777" w:rsidR="00245458" w:rsidRPr="002A549B" w:rsidRDefault="00245458" w:rsidP="00245458">
      <w:pPr>
        <w:pStyle w:val="NoSpacing"/>
        <w:jc w:val="both"/>
        <w:rPr>
          <w:rFonts w:ascii="Arial" w:hAnsi="Arial" w:cs="Arial"/>
        </w:rPr>
      </w:pPr>
    </w:p>
    <w:p w14:paraId="667EAECB" w14:textId="77777777" w:rsidR="00245458" w:rsidRPr="002A549B" w:rsidRDefault="00245458" w:rsidP="00245458">
      <w:pPr>
        <w:pStyle w:val="NoSpacing"/>
        <w:jc w:val="both"/>
        <w:rPr>
          <w:rFonts w:ascii="Arial" w:hAnsi="Arial" w:cs="Arial"/>
        </w:rPr>
      </w:pPr>
      <w:r w:rsidRPr="002A549B">
        <w:rPr>
          <w:rFonts w:ascii="Arial" w:hAnsi="Arial" w:cs="Arial"/>
        </w:rPr>
        <w:t>In terms of the Act, HLH has the potential to have staff working in both types of regulated work, namely:</w:t>
      </w:r>
    </w:p>
    <w:p w14:paraId="25049750" w14:textId="77777777" w:rsidR="00245458" w:rsidRPr="002A549B" w:rsidRDefault="00245458" w:rsidP="00245458">
      <w:pPr>
        <w:pStyle w:val="NoSpacing"/>
        <w:jc w:val="both"/>
        <w:rPr>
          <w:rFonts w:ascii="Arial" w:hAnsi="Arial" w:cs="Arial"/>
        </w:rPr>
      </w:pPr>
    </w:p>
    <w:p w14:paraId="3C2D8B50" w14:textId="77777777" w:rsidR="00245458" w:rsidRPr="002A549B" w:rsidRDefault="00245458" w:rsidP="00245458">
      <w:pPr>
        <w:pStyle w:val="NoSpacing"/>
        <w:numPr>
          <w:ilvl w:val="0"/>
          <w:numId w:val="14"/>
        </w:numPr>
        <w:jc w:val="both"/>
        <w:rPr>
          <w:rFonts w:ascii="Arial" w:hAnsi="Arial" w:cs="Arial"/>
        </w:rPr>
      </w:pPr>
      <w:r w:rsidRPr="002A549B">
        <w:rPr>
          <w:rFonts w:ascii="Arial" w:hAnsi="Arial" w:cs="Arial"/>
        </w:rPr>
        <w:t>regulated work with children; and</w:t>
      </w:r>
    </w:p>
    <w:p w14:paraId="3A465F31" w14:textId="77777777" w:rsidR="00245458" w:rsidRPr="002A549B" w:rsidRDefault="00245458" w:rsidP="00245458">
      <w:pPr>
        <w:pStyle w:val="NoSpacing"/>
        <w:numPr>
          <w:ilvl w:val="0"/>
          <w:numId w:val="14"/>
        </w:numPr>
        <w:jc w:val="both"/>
        <w:rPr>
          <w:rFonts w:ascii="Arial" w:hAnsi="Arial" w:cs="Arial"/>
        </w:rPr>
      </w:pPr>
      <w:r w:rsidRPr="002A549B">
        <w:rPr>
          <w:rFonts w:ascii="Arial" w:hAnsi="Arial" w:cs="Arial"/>
        </w:rPr>
        <w:t>regulated work with adults.</w:t>
      </w:r>
    </w:p>
    <w:p w14:paraId="38BEC08E" w14:textId="77777777" w:rsidR="00245458" w:rsidRPr="002A549B" w:rsidRDefault="00245458" w:rsidP="00245458">
      <w:pPr>
        <w:pStyle w:val="NoSpacing"/>
        <w:jc w:val="both"/>
        <w:rPr>
          <w:rFonts w:ascii="Arial" w:hAnsi="Arial" w:cs="Arial"/>
        </w:rPr>
      </w:pPr>
    </w:p>
    <w:p w14:paraId="08EDD4B1" w14:textId="77777777" w:rsidR="00245458" w:rsidRPr="002A549B" w:rsidRDefault="00245458" w:rsidP="00245458">
      <w:pPr>
        <w:pStyle w:val="NoSpacing"/>
        <w:jc w:val="both"/>
        <w:rPr>
          <w:rFonts w:ascii="Arial" w:hAnsi="Arial" w:cs="Arial"/>
        </w:rPr>
      </w:pPr>
      <w:r w:rsidRPr="002A549B">
        <w:rPr>
          <w:rFonts w:ascii="Arial" w:hAnsi="Arial" w:cs="Arial"/>
        </w:rPr>
        <w:t>The two types of regulated work, and by default two corresponding lists of individuals who are unsuitable to do such work, is to allow for the fact that unsuitability to work with one group does not always go hand-in-hand with the unsuitability to work with the other.</w:t>
      </w:r>
    </w:p>
    <w:p w14:paraId="27053A42" w14:textId="77777777" w:rsidR="00245458" w:rsidRPr="002A549B" w:rsidRDefault="00245458" w:rsidP="00245458">
      <w:pPr>
        <w:pStyle w:val="NoSpacing"/>
        <w:jc w:val="both"/>
        <w:rPr>
          <w:rFonts w:ascii="Arial" w:hAnsi="Arial" w:cs="Arial"/>
        </w:rPr>
      </w:pPr>
    </w:p>
    <w:p w14:paraId="0E98B30C" w14:textId="77777777" w:rsidR="00245458" w:rsidRPr="002A549B" w:rsidRDefault="00245458" w:rsidP="00245458">
      <w:pPr>
        <w:pStyle w:val="NoSpacing"/>
        <w:jc w:val="both"/>
        <w:rPr>
          <w:rFonts w:ascii="Arial" w:hAnsi="Arial" w:cs="Arial"/>
        </w:rPr>
      </w:pPr>
    </w:p>
    <w:p w14:paraId="35C7993E" w14:textId="511B796B" w:rsidR="00245458" w:rsidRDefault="00245458">
      <w:pPr>
        <w:rPr>
          <w:rFonts w:ascii="Arial" w:hAnsi="Arial" w:cs="Arial"/>
          <w:b/>
          <w:bCs/>
          <w:szCs w:val="24"/>
        </w:rPr>
      </w:pPr>
      <w:r>
        <w:rPr>
          <w:rFonts w:ascii="Arial" w:hAnsi="Arial" w:cs="Arial"/>
          <w:b/>
          <w:bCs/>
          <w:szCs w:val="24"/>
        </w:rPr>
        <w:br w:type="page"/>
      </w:r>
    </w:p>
    <w:p w14:paraId="260DE859" w14:textId="4B6C26C5" w:rsidR="00245458" w:rsidRDefault="00245458" w:rsidP="00245458">
      <w:pPr>
        <w:jc w:val="right"/>
        <w:rPr>
          <w:rFonts w:ascii="Arial" w:hAnsi="Arial" w:cs="Arial"/>
          <w:b/>
          <w:bCs/>
          <w:szCs w:val="24"/>
        </w:rPr>
      </w:pPr>
      <w:r>
        <w:rPr>
          <w:rFonts w:ascii="Arial" w:hAnsi="Arial" w:cs="Arial"/>
          <w:b/>
          <w:bCs/>
          <w:szCs w:val="24"/>
        </w:rPr>
        <w:lastRenderedPageBreak/>
        <w:t>Appendix B3</w:t>
      </w:r>
    </w:p>
    <w:p w14:paraId="0F183534" w14:textId="2EBDB301" w:rsidR="00245458" w:rsidRDefault="00245458" w:rsidP="00245458">
      <w:pPr>
        <w:jc w:val="right"/>
        <w:rPr>
          <w:rFonts w:ascii="Arial" w:hAnsi="Arial" w:cs="Arial"/>
          <w:b/>
          <w:bCs/>
          <w:szCs w:val="24"/>
        </w:rPr>
      </w:pPr>
    </w:p>
    <w:p w14:paraId="3E890029" w14:textId="77777777" w:rsidR="00245458" w:rsidRDefault="00245458" w:rsidP="00245458">
      <w:pPr>
        <w:jc w:val="right"/>
        <w:rPr>
          <w:rFonts w:ascii="Arial" w:hAnsi="Arial" w:cs="Arial"/>
          <w:szCs w:val="24"/>
        </w:rPr>
      </w:pPr>
    </w:p>
    <w:tbl>
      <w:tblPr>
        <w:tblStyle w:val="TableGrid1"/>
        <w:tblW w:w="9395" w:type="dxa"/>
        <w:tblLook w:val="04A0" w:firstRow="1" w:lastRow="0" w:firstColumn="1" w:lastColumn="0" w:noHBand="0" w:noVBand="1"/>
      </w:tblPr>
      <w:tblGrid>
        <w:gridCol w:w="3256"/>
        <w:gridCol w:w="6139"/>
      </w:tblGrid>
      <w:tr w:rsidR="00245458" w:rsidRPr="002E41BF" w14:paraId="52740336" w14:textId="77777777" w:rsidTr="00245458">
        <w:trPr>
          <w:trHeight w:val="1602"/>
        </w:trPr>
        <w:tc>
          <w:tcPr>
            <w:tcW w:w="3256" w:type="dxa"/>
          </w:tcPr>
          <w:p w14:paraId="6D4F92EA" w14:textId="77777777" w:rsidR="00245458" w:rsidRPr="002E41BF" w:rsidRDefault="00245458" w:rsidP="002709B7">
            <w:pPr>
              <w:rPr>
                <w:rFonts w:ascii="Arial" w:hAnsi="Arial" w:cs="Arial"/>
                <w:szCs w:val="24"/>
              </w:rPr>
            </w:pPr>
            <w:r w:rsidRPr="002E41BF">
              <w:rPr>
                <w:noProof/>
              </w:rPr>
              <w:drawing>
                <wp:inline distT="0" distB="0" distL="0" distR="0" wp14:anchorId="62366CC5" wp14:editId="38197699">
                  <wp:extent cx="1838325" cy="934302"/>
                  <wp:effectExtent l="0" t="0" r="0" b="0"/>
                  <wp:docPr id="3" name="Picture 3" descr="C:\Users\lorrhour\AppData\Local\Microsoft\Windows\Temporary Internet Files\Content.Outlook\FU2TPUMV\high_life_blac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rhour\AppData\Local\Microsoft\Windows\Temporary Internet Files\Content.Outlook\FU2TPUMV\high_life_black (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2380" cy="956692"/>
                          </a:xfrm>
                          <a:prstGeom prst="rect">
                            <a:avLst/>
                          </a:prstGeom>
                          <a:noFill/>
                          <a:ln>
                            <a:noFill/>
                          </a:ln>
                        </pic:spPr>
                      </pic:pic>
                    </a:graphicData>
                  </a:graphic>
                </wp:inline>
              </w:drawing>
            </w:r>
          </w:p>
        </w:tc>
        <w:tc>
          <w:tcPr>
            <w:tcW w:w="6139" w:type="dxa"/>
          </w:tcPr>
          <w:p w14:paraId="20C40111" w14:textId="77777777" w:rsidR="00245458" w:rsidRPr="002E41BF" w:rsidRDefault="00245458" w:rsidP="002709B7">
            <w:pPr>
              <w:spacing w:after="160" w:line="259" w:lineRule="auto"/>
              <w:rPr>
                <w:rFonts w:cstheme="minorHAnsi"/>
                <w:b/>
                <w:bCs/>
                <w:i/>
                <w:sz w:val="44"/>
                <w:szCs w:val="44"/>
              </w:rPr>
            </w:pPr>
            <w:r w:rsidRPr="002E41BF">
              <w:rPr>
                <w:rFonts w:cstheme="minorHAnsi"/>
                <w:b/>
                <w:bCs/>
                <w:i/>
                <w:sz w:val="44"/>
                <w:szCs w:val="44"/>
              </w:rPr>
              <w:t>Recruitment and Engagement of Ex-offen</w:t>
            </w:r>
            <w:r>
              <w:rPr>
                <w:rFonts w:cstheme="minorHAnsi"/>
                <w:b/>
                <w:bCs/>
                <w:i/>
                <w:sz w:val="44"/>
                <w:szCs w:val="44"/>
              </w:rPr>
              <w:t>d</w:t>
            </w:r>
            <w:r w:rsidRPr="002E41BF">
              <w:rPr>
                <w:rFonts w:cstheme="minorHAnsi"/>
                <w:b/>
                <w:bCs/>
                <w:i/>
                <w:sz w:val="44"/>
                <w:szCs w:val="44"/>
              </w:rPr>
              <w:t>ers Policy</w:t>
            </w:r>
          </w:p>
          <w:p w14:paraId="1A699C81" w14:textId="77777777" w:rsidR="00245458" w:rsidRPr="002E41BF" w:rsidRDefault="00245458" w:rsidP="002709B7">
            <w:pPr>
              <w:spacing w:after="160" w:line="259" w:lineRule="auto"/>
              <w:rPr>
                <w:rFonts w:ascii="Arial" w:hAnsi="Arial" w:cs="Arial"/>
                <w:szCs w:val="24"/>
              </w:rPr>
            </w:pPr>
            <w:r w:rsidRPr="002E41BF">
              <w:rPr>
                <w:rFonts w:ascii="Arial" w:hAnsi="Arial" w:cs="Arial"/>
                <w:szCs w:val="24"/>
              </w:rPr>
              <w:t xml:space="preserve">(this policy supersedes all previous versions of the </w:t>
            </w:r>
            <w:r>
              <w:rPr>
                <w:rFonts w:ascii="Arial" w:hAnsi="Arial" w:cs="Arial"/>
                <w:szCs w:val="24"/>
              </w:rPr>
              <w:t xml:space="preserve">Recruitment of </w:t>
            </w:r>
            <w:proofErr w:type="spellStart"/>
            <w:r>
              <w:rPr>
                <w:rFonts w:ascii="Arial" w:hAnsi="Arial" w:cs="Arial"/>
                <w:szCs w:val="24"/>
              </w:rPr>
              <w:t>Ex Offenders</w:t>
            </w:r>
            <w:proofErr w:type="spellEnd"/>
            <w:r w:rsidRPr="002E41BF">
              <w:rPr>
                <w:rFonts w:ascii="Arial" w:hAnsi="Arial" w:cs="Arial"/>
                <w:szCs w:val="24"/>
              </w:rPr>
              <w:t xml:space="preserve"> Policy)</w:t>
            </w:r>
          </w:p>
          <w:p w14:paraId="60A5C499" w14:textId="6810444B" w:rsidR="00245458" w:rsidRPr="002E41BF" w:rsidRDefault="00245458" w:rsidP="002709B7">
            <w:pPr>
              <w:spacing w:after="160" w:line="259" w:lineRule="auto"/>
              <w:rPr>
                <w:rFonts w:ascii="Arial" w:hAnsi="Arial" w:cs="Arial"/>
                <w:szCs w:val="24"/>
              </w:rPr>
            </w:pPr>
            <w:r w:rsidRPr="002E41BF">
              <w:rPr>
                <w:rFonts w:ascii="Arial" w:hAnsi="Arial" w:cs="Arial"/>
                <w:szCs w:val="24"/>
              </w:rPr>
              <w:t>Draft for approval by HLH Board 10 December 2020</w:t>
            </w:r>
            <w:r>
              <w:rPr>
                <w:rFonts w:ascii="Arial" w:hAnsi="Arial" w:cs="Arial"/>
                <w:szCs w:val="24"/>
              </w:rPr>
              <w:t xml:space="preserve"> </w:t>
            </w:r>
            <w:r w:rsidRPr="002E41BF">
              <w:rPr>
                <w:rFonts w:ascii="Arial" w:hAnsi="Arial" w:cs="Arial"/>
                <w:szCs w:val="24"/>
              </w:rPr>
              <w:t>Review Date: December 2022</w:t>
            </w:r>
          </w:p>
        </w:tc>
      </w:tr>
    </w:tbl>
    <w:p w14:paraId="47AC2275" w14:textId="77777777" w:rsidR="00245458" w:rsidRDefault="00245458" w:rsidP="00245458">
      <w:pPr>
        <w:pStyle w:val="NoSpacing"/>
        <w:rPr>
          <w:rFonts w:ascii="Arial" w:hAnsi="Arial" w:cs="Arial"/>
        </w:rPr>
      </w:pPr>
    </w:p>
    <w:p w14:paraId="31B2B54D" w14:textId="77777777" w:rsidR="00245458" w:rsidRPr="009C7F23" w:rsidRDefault="00245458" w:rsidP="00245458">
      <w:pPr>
        <w:pStyle w:val="NoSpacing"/>
        <w:jc w:val="both"/>
        <w:rPr>
          <w:rFonts w:ascii="Arial" w:hAnsi="Arial" w:cs="Arial"/>
        </w:rPr>
      </w:pPr>
      <w:r w:rsidRPr="009C7F23">
        <w:rPr>
          <w:rFonts w:ascii="Arial" w:hAnsi="Arial" w:cs="Arial"/>
        </w:rPr>
        <w:t xml:space="preserve">High Life Highland (HLH) will treat any applicant or appointment to any position (paid or unpaid) within the organisation fairly and not discriminate unfairly against the subject of a disclosure on the basis of conviction or other information revealed through the Safer Recruitment and Vetting process. </w:t>
      </w:r>
    </w:p>
    <w:p w14:paraId="2FE219CC" w14:textId="77777777" w:rsidR="00245458" w:rsidRPr="009C7F23" w:rsidRDefault="00245458" w:rsidP="00245458">
      <w:pPr>
        <w:pStyle w:val="NoSpacing"/>
        <w:jc w:val="both"/>
        <w:rPr>
          <w:rFonts w:ascii="Arial" w:hAnsi="Arial" w:cs="Arial"/>
        </w:rPr>
      </w:pPr>
    </w:p>
    <w:p w14:paraId="10048440" w14:textId="77777777" w:rsidR="00245458" w:rsidRPr="009C7F23" w:rsidRDefault="00245458" w:rsidP="00245458">
      <w:pPr>
        <w:pStyle w:val="NoSpacing"/>
        <w:jc w:val="both"/>
        <w:rPr>
          <w:rFonts w:ascii="Arial" w:hAnsi="Arial" w:cs="Arial"/>
        </w:rPr>
      </w:pPr>
      <w:r w:rsidRPr="009C7F23">
        <w:rPr>
          <w:rFonts w:ascii="Arial" w:hAnsi="Arial" w:cs="Arial"/>
        </w:rPr>
        <w:t xml:space="preserve">Where appropriate HLH will require membership of the Protection of Vulnerable Groups (PVG) Scheme and request appropriate PVG Scheme Record as necessary and relevant to the position sought. </w:t>
      </w:r>
    </w:p>
    <w:p w14:paraId="18523643" w14:textId="77777777" w:rsidR="00245458" w:rsidRPr="009C7F23" w:rsidRDefault="00245458" w:rsidP="00245458">
      <w:pPr>
        <w:pStyle w:val="NoSpacing"/>
        <w:jc w:val="both"/>
        <w:rPr>
          <w:rFonts w:ascii="Arial" w:hAnsi="Arial" w:cs="Arial"/>
        </w:rPr>
      </w:pPr>
    </w:p>
    <w:p w14:paraId="24F865DC" w14:textId="77777777" w:rsidR="00245458" w:rsidRPr="009C7F23" w:rsidRDefault="00245458" w:rsidP="00245458">
      <w:pPr>
        <w:pStyle w:val="NoSpacing"/>
        <w:jc w:val="both"/>
        <w:rPr>
          <w:rFonts w:ascii="Arial" w:hAnsi="Arial" w:cs="Arial"/>
        </w:rPr>
      </w:pPr>
      <w:r w:rsidRPr="009C7F23">
        <w:rPr>
          <w:rFonts w:ascii="Arial" w:hAnsi="Arial" w:cs="Arial"/>
        </w:rPr>
        <w:t>HLH will include its “</w:t>
      </w:r>
      <w:r w:rsidRPr="001D7A4A">
        <w:rPr>
          <w:rFonts w:ascii="Arial" w:hAnsi="Arial" w:cs="Arial"/>
          <w:b/>
          <w:bCs/>
        </w:rPr>
        <w:t>Protection and Safeguarding Statement</w:t>
      </w:r>
      <w:r w:rsidRPr="009C7F23">
        <w:rPr>
          <w:rFonts w:ascii="Arial" w:hAnsi="Arial" w:cs="Arial"/>
        </w:rPr>
        <w:t xml:space="preserve">” on all recruitment and induction information and any other information provided about posts. </w:t>
      </w:r>
    </w:p>
    <w:p w14:paraId="68686144" w14:textId="77777777" w:rsidR="00245458" w:rsidRPr="009C7F23" w:rsidRDefault="00245458" w:rsidP="00245458">
      <w:pPr>
        <w:pStyle w:val="NoSpacing"/>
        <w:jc w:val="both"/>
        <w:rPr>
          <w:rFonts w:ascii="Arial" w:hAnsi="Arial" w:cs="Arial"/>
        </w:rPr>
      </w:pPr>
    </w:p>
    <w:p w14:paraId="07685E53" w14:textId="77777777" w:rsidR="00245458" w:rsidRPr="009C7F23" w:rsidRDefault="00245458" w:rsidP="00245458">
      <w:pPr>
        <w:pStyle w:val="NoSpacing"/>
        <w:jc w:val="both"/>
        <w:rPr>
          <w:rFonts w:ascii="Arial" w:hAnsi="Arial" w:cs="Arial"/>
        </w:rPr>
      </w:pPr>
      <w:r w:rsidRPr="009C7F23">
        <w:rPr>
          <w:rFonts w:ascii="Arial" w:hAnsi="Arial" w:cs="Arial"/>
        </w:rPr>
        <w:t xml:space="preserve">At interview HLH will ensure that open and measured, but direct discussions can take place around the subject of offences. </w:t>
      </w:r>
    </w:p>
    <w:p w14:paraId="49F749DA" w14:textId="77777777" w:rsidR="00245458" w:rsidRPr="009C7F23" w:rsidRDefault="00245458" w:rsidP="00245458">
      <w:pPr>
        <w:pStyle w:val="NoSpacing"/>
        <w:jc w:val="both"/>
        <w:rPr>
          <w:rFonts w:ascii="Arial" w:hAnsi="Arial" w:cs="Arial"/>
        </w:rPr>
      </w:pPr>
    </w:p>
    <w:p w14:paraId="2ED916C6" w14:textId="77777777" w:rsidR="00245458" w:rsidRPr="009C7F23" w:rsidRDefault="00245458" w:rsidP="00245458">
      <w:pPr>
        <w:pStyle w:val="NoSpacing"/>
        <w:jc w:val="both"/>
        <w:rPr>
          <w:rFonts w:ascii="Arial" w:hAnsi="Arial" w:cs="Arial"/>
        </w:rPr>
      </w:pPr>
      <w:r w:rsidRPr="009C7F23">
        <w:rPr>
          <w:rFonts w:ascii="Arial" w:hAnsi="Arial" w:cs="Arial"/>
        </w:rPr>
        <w:t xml:space="preserve">Failure to reveal any information at interview, that is directly relevant to the position sought, could lead to withdrawal of an offer of employment or the termination of existing employment, where the information is subsequently revealed. </w:t>
      </w:r>
    </w:p>
    <w:p w14:paraId="594B76F4" w14:textId="77777777" w:rsidR="00245458" w:rsidRPr="009C7F23" w:rsidRDefault="00245458" w:rsidP="00245458">
      <w:pPr>
        <w:pStyle w:val="NoSpacing"/>
        <w:jc w:val="both"/>
        <w:rPr>
          <w:rFonts w:ascii="Arial" w:hAnsi="Arial" w:cs="Arial"/>
        </w:rPr>
      </w:pPr>
    </w:p>
    <w:p w14:paraId="3F1F645A" w14:textId="77777777" w:rsidR="00245458" w:rsidRPr="009C7F23" w:rsidRDefault="00245458" w:rsidP="00245458">
      <w:pPr>
        <w:pStyle w:val="NoSpacing"/>
        <w:jc w:val="both"/>
        <w:rPr>
          <w:rFonts w:ascii="Arial" w:hAnsi="Arial" w:cs="Arial"/>
        </w:rPr>
      </w:pPr>
      <w:r w:rsidRPr="009C7F23">
        <w:rPr>
          <w:rFonts w:ascii="Arial" w:hAnsi="Arial" w:cs="Arial"/>
        </w:rPr>
        <w:t>At interview or when receiving a disclosure which shows a conviction, or which contains intelligence of significance to working with children and families or protected adults; HLH will use the professional judgement of its Officers and take into consideration:</w:t>
      </w:r>
    </w:p>
    <w:p w14:paraId="3259B83F" w14:textId="77777777" w:rsidR="00245458" w:rsidRPr="009C7F23" w:rsidRDefault="00245458" w:rsidP="00245458">
      <w:pPr>
        <w:pStyle w:val="NoSpacing"/>
        <w:jc w:val="both"/>
        <w:rPr>
          <w:rFonts w:ascii="Arial" w:hAnsi="Arial" w:cs="Arial"/>
        </w:rPr>
      </w:pPr>
    </w:p>
    <w:p w14:paraId="36FE23C7" w14:textId="77777777" w:rsidR="00245458" w:rsidRPr="009C7F23" w:rsidRDefault="00245458" w:rsidP="00245458">
      <w:pPr>
        <w:pStyle w:val="NoSpacing"/>
        <w:numPr>
          <w:ilvl w:val="0"/>
          <w:numId w:val="15"/>
        </w:numPr>
        <w:jc w:val="both"/>
        <w:rPr>
          <w:rFonts w:ascii="Arial" w:hAnsi="Arial" w:cs="Arial"/>
        </w:rPr>
      </w:pPr>
      <w:r w:rsidRPr="009C7F23">
        <w:rPr>
          <w:rFonts w:ascii="Arial" w:hAnsi="Arial" w:cs="Arial"/>
        </w:rPr>
        <w:t>whether the applicant is banned from working with its client group;</w:t>
      </w:r>
    </w:p>
    <w:p w14:paraId="4EAF496E" w14:textId="77777777" w:rsidR="00245458" w:rsidRPr="009C7F23" w:rsidRDefault="00245458" w:rsidP="00245458">
      <w:pPr>
        <w:pStyle w:val="NoSpacing"/>
        <w:numPr>
          <w:ilvl w:val="0"/>
          <w:numId w:val="15"/>
        </w:numPr>
        <w:jc w:val="both"/>
        <w:rPr>
          <w:rFonts w:ascii="Arial" w:hAnsi="Arial" w:cs="Arial"/>
        </w:rPr>
      </w:pPr>
      <w:r w:rsidRPr="009C7F23">
        <w:rPr>
          <w:rFonts w:ascii="Arial" w:hAnsi="Arial" w:cs="Arial"/>
        </w:rPr>
        <w:t>whether the conviction/intelligence is relevant to the position being offered;</w:t>
      </w:r>
    </w:p>
    <w:p w14:paraId="35A0ED62" w14:textId="77777777" w:rsidR="00245458" w:rsidRPr="009C7F23" w:rsidRDefault="00245458" w:rsidP="00245458">
      <w:pPr>
        <w:pStyle w:val="NoSpacing"/>
        <w:numPr>
          <w:ilvl w:val="0"/>
          <w:numId w:val="15"/>
        </w:numPr>
        <w:jc w:val="both"/>
        <w:rPr>
          <w:rFonts w:ascii="Arial" w:hAnsi="Arial" w:cs="Arial"/>
        </w:rPr>
      </w:pPr>
      <w:r w:rsidRPr="009C7F23">
        <w:rPr>
          <w:rFonts w:ascii="Arial" w:hAnsi="Arial" w:cs="Arial"/>
        </w:rPr>
        <w:t>the seriousness of the offence revealed;</w:t>
      </w:r>
    </w:p>
    <w:p w14:paraId="79BF9C12" w14:textId="77777777" w:rsidR="00245458" w:rsidRPr="009C7F23" w:rsidRDefault="00245458" w:rsidP="00245458">
      <w:pPr>
        <w:pStyle w:val="NoSpacing"/>
        <w:numPr>
          <w:ilvl w:val="0"/>
          <w:numId w:val="15"/>
        </w:numPr>
        <w:jc w:val="both"/>
        <w:rPr>
          <w:rFonts w:ascii="Arial" w:hAnsi="Arial" w:cs="Arial"/>
        </w:rPr>
      </w:pPr>
      <w:r w:rsidRPr="009C7F23">
        <w:rPr>
          <w:rFonts w:ascii="Arial" w:hAnsi="Arial" w:cs="Arial"/>
        </w:rPr>
        <w:t>the length of time since the offence took place;</w:t>
      </w:r>
    </w:p>
    <w:p w14:paraId="46D345B7" w14:textId="77777777" w:rsidR="00245458" w:rsidRPr="009C7F23" w:rsidRDefault="00245458" w:rsidP="00245458">
      <w:pPr>
        <w:pStyle w:val="NoSpacing"/>
        <w:numPr>
          <w:ilvl w:val="0"/>
          <w:numId w:val="15"/>
        </w:numPr>
        <w:jc w:val="both"/>
        <w:rPr>
          <w:rFonts w:ascii="Arial" w:hAnsi="Arial" w:cs="Arial"/>
        </w:rPr>
      </w:pPr>
      <w:r w:rsidRPr="009C7F23">
        <w:rPr>
          <w:rFonts w:ascii="Arial" w:hAnsi="Arial" w:cs="Arial"/>
        </w:rPr>
        <w:t>whether the applicant has a pattern of offending behaviour; and</w:t>
      </w:r>
    </w:p>
    <w:p w14:paraId="32265BF7" w14:textId="77777777" w:rsidR="00245458" w:rsidRPr="009C7F23" w:rsidRDefault="00245458" w:rsidP="00245458">
      <w:pPr>
        <w:pStyle w:val="NoSpacing"/>
        <w:numPr>
          <w:ilvl w:val="0"/>
          <w:numId w:val="15"/>
        </w:numPr>
        <w:jc w:val="both"/>
        <w:rPr>
          <w:rFonts w:ascii="Arial" w:hAnsi="Arial" w:cs="Arial"/>
        </w:rPr>
      </w:pPr>
      <w:r w:rsidRPr="009C7F23">
        <w:rPr>
          <w:rFonts w:ascii="Arial" w:hAnsi="Arial" w:cs="Arial"/>
        </w:rPr>
        <w:t xml:space="preserve">whether the applicant’s circumstances have changed since offending took place. </w:t>
      </w:r>
    </w:p>
    <w:p w14:paraId="04A2EE72" w14:textId="77777777" w:rsidR="00245458" w:rsidRPr="009C7F23" w:rsidRDefault="00245458" w:rsidP="00245458">
      <w:pPr>
        <w:pStyle w:val="NoSpacing"/>
        <w:jc w:val="both"/>
        <w:rPr>
          <w:rFonts w:ascii="Arial" w:hAnsi="Arial" w:cs="Arial"/>
        </w:rPr>
      </w:pPr>
    </w:p>
    <w:p w14:paraId="79A24B79" w14:textId="77777777" w:rsidR="00245458" w:rsidRPr="009C7F23" w:rsidRDefault="00245458" w:rsidP="00245458">
      <w:pPr>
        <w:pStyle w:val="NoSpacing"/>
        <w:jc w:val="both"/>
        <w:rPr>
          <w:rFonts w:ascii="Arial" w:hAnsi="Arial" w:cs="Arial"/>
        </w:rPr>
      </w:pPr>
      <w:r w:rsidRPr="009C7F23">
        <w:rPr>
          <w:rFonts w:ascii="Arial" w:hAnsi="Arial" w:cs="Arial"/>
        </w:rPr>
        <w:t xml:space="preserve">HLH will ensure that all individuals (paid and unpaid) involved in the recruitment process are aware of this policy and have received relevant and appropriate training and support. </w:t>
      </w:r>
    </w:p>
    <w:p w14:paraId="74D2AD6A" w14:textId="5318CDDB" w:rsidR="00245458" w:rsidRDefault="00245458">
      <w:pPr>
        <w:rPr>
          <w:rFonts w:ascii="Arial" w:hAnsi="Arial" w:cs="Arial"/>
          <w:szCs w:val="24"/>
        </w:rPr>
      </w:pPr>
      <w:r>
        <w:rPr>
          <w:rFonts w:ascii="Arial" w:hAnsi="Arial" w:cs="Arial"/>
          <w:szCs w:val="24"/>
        </w:rPr>
        <w:br w:type="page"/>
      </w:r>
    </w:p>
    <w:p w14:paraId="799E37E0" w14:textId="3EC19147" w:rsidR="00245458" w:rsidRDefault="00245458" w:rsidP="00245458">
      <w:pPr>
        <w:jc w:val="right"/>
        <w:rPr>
          <w:rFonts w:ascii="Arial" w:hAnsi="Arial" w:cs="Arial"/>
          <w:b/>
          <w:bCs/>
          <w:szCs w:val="24"/>
        </w:rPr>
      </w:pPr>
      <w:r w:rsidRPr="00245458">
        <w:rPr>
          <w:rFonts w:ascii="Arial" w:hAnsi="Arial" w:cs="Arial"/>
          <w:b/>
          <w:bCs/>
          <w:szCs w:val="24"/>
        </w:rPr>
        <w:lastRenderedPageBreak/>
        <w:t>Appendix B4</w:t>
      </w:r>
    </w:p>
    <w:p w14:paraId="22EF36FF" w14:textId="77777777" w:rsidR="00245458" w:rsidRDefault="00245458" w:rsidP="00245458">
      <w:pPr>
        <w:jc w:val="right"/>
        <w:rPr>
          <w:rFonts w:ascii="Arial" w:hAnsi="Arial" w:cs="Arial"/>
          <w:szCs w:val="24"/>
        </w:rPr>
      </w:pPr>
    </w:p>
    <w:tbl>
      <w:tblPr>
        <w:tblStyle w:val="TableGrid1"/>
        <w:tblW w:w="9606" w:type="dxa"/>
        <w:tblLook w:val="04A0" w:firstRow="1" w:lastRow="0" w:firstColumn="1" w:lastColumn="0" w:noHBand="0" w:noVBand="1"/>
      </w:tblPr>
      <w:tblGrid>
        <w:gridCol w:w="3576"/>
        <w:gridCol w:w="6030"/>
      </w:tblGrid>
      <w:tr w:rsidR="00245458" w:rsidRPr="002E41BF" w14:paraId="03D3B1DF" w14:textId="77777777" w:rsidTr="002709B7">
        <w:trPr>
          <w:trHeight w:val="1692"/>
        </w:trPr>
        <w:tc>
          <w:tcPr>
            <w:tcW w:w="3510" w:type="dxa"/>
          </w:tcPr>
          <w:p w14:paraId="74241655" w14:textId="77777777" w:rsidR="00245458" w:rsidRPr="002E41BF" w:rsidRDefault="00245458" w:rsidP="002709B7">
            <w:pPr>
              <w:rPr>
                <w:rFonts w:ascii="Arial" w:hAnsi="Arial" w:cs="Arial"/>
                <w:szCs w:val="24"/>
              </w:rPr>
            </w:pPr>
            <w:r w:rsidRPr="002E41BF">
              <w:rPr>
                <w:noProof/>
              </w:rPr>
              <w:drawing>
                <wp:inline distT="0" distB="0" distL="0" distR="0" wp14:anchorId="753DE5E5" wp14:editId="62A967B8">
                  <wp:extent cx="2125683" cy="1080347"/>
                  <wp:effectExtent l="0" t="0" r="8255" b="5715"/>
                  <wp:docPr id="4" name="Picture 4" descr="C:\Users\lorrhour\AppData\Local\Microsoft\Windows\Temporary Internet Files\Content.Outlook\FU2TPUMV\high_life_blac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rhour\AppData\Local\Microsoft\Windows\Temporary Internet Files\Content.Outlook\FU2TPUMV\high_life_black (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1471" cy="1098536"/>
                          </a:xfrm>
                          <a:prstGeom prst="rect">
                            <a:avLst/>
                          </a:prstGeom>
                          <a:noFill/>
                          <a:ln>
                            <a:noFill/>
                          </a:ln>
                        </pic:spPr>
                      </pic:pic>
                    </a:graphicData>
                  </a:graphic>
                </wp:inline>
              </w:drawing>
            </w:r>
          </w:p>
        </w:tc>
        <w:tc>
          <w:tcPr>
            <w:tcW w:w="6096" w:type="dxa"/>
          </w:tcPr>
          <w:p w14:paraId="2779B435" w14:textId="77777777" w:rsidR="00245458" w:rsidRPr="002E41BF" w:rsidRDefault="00245458" w:rsidP="002709B7">
            <w:pPr>
              <w:spacing w:after="160" w:line="259" w:lineRule="auto"/>
              <w:rPr>
                <w:rFonts w:cstheme="minorHAnsi"/>
                <w:b/>
                <w:bCs/>
                <w:i/>
                <w:sz w:val="44"/>
                <w:szCs w:val="44"/>
              </w:rPr>
            </w:pPr>
            <w:r>
              <w:rPr>
                <w:rFonts w:cstheme="minorHAnsi"/>
                <w:b/>
                <w:bCs/>
                <w:i/>
                <w:sz w:val="44"/>
                <w:szCs w:val="44"/>
              </w:rPr>
              <w:t>Security of Disclosure Information</w:t>
            </w:r>
            <w:r w:rsidRPr="002E41BF">
              <w:rPr>
                <w:rFonts w:cstheme="minorHAnsi"/>
                <w:b/>
                <w:bCs/>
                <w:i/>
                <w:sz w:val="44"/>
                <w:szCs w:val="44"/>
              </w:rPr>
              <w:t xml:space="preserve"> Policy</w:t>
            </w:r>
          </w:p>
          <w:p w14:paraId="03031EC3" w14:textId="77777777" w:rsidR="00245458" w:rsidRPr="002E41BF" w:rsidRDefault="00245458" w:rsidP="002709B7">
            <w:pPr>
              <w:spacing w:after="160" w:line="259" w:lineRule="auto"/>
              <w:rPr>
                <w:rFonts w:ascii="Arial" w:hAnsi="Arial" w:cs="Arial"/>
                <w:szCs w:val="24"/>
              </w:rPr>
            </w:pPr>
            <w:r w:rsidRPr="002E41BF">
              <w:rPr>
                <w:rFonts w:ascii="Arial" w:hAnsi="Arial" w:cs="Arial"/>
                <w:szCs w:val="24"/>
              </w:rPr>
              <w:t xml:space="preserve">(this policy supersedes all previous versions of the </w:t>
            </w:r>
            <w:r>
              <w:rPr>
                <w:rFonts w:ascii="Arial" w:hAnsi="Arial" w:cs="Arial"/>
                <w:szCs w:val="24"/>
              </w:rPr>
              <w:t>Security and Safe Handling</w:t>
            </w:r>
            <w:r w:rsidRPr="002E41BF">
              <w:rPr>
                <w:rFonts w:ascii="Arial" w:hAnsi="Arial" w:cs="Arial"/>
                <w:szCs w:val="24"/>
              </w:rPr>
              <w:t xml:space="preserve"> Policy)</w:t>
            </w:r>
          </w:p>
          <w:p w14:paraId="400B128E" w14:textId="6256E007" w:rsidR="00245458" w:rsidRPr="002E41BF" w:rsidRDefault="00245458" w:rsidP="002709B7">
            <w:pPr>
              <w:spacing w:after="160" w:line="259" w:lineRule="auto"/>
              <w:rPr>
                <w:rFonts w:ascii="Arial" w:hAnsi="Arial" w:cs="Arial"/>
                <w:szCs w:val="24"/>
              </w:rPr>
            </w:pPr>
            <w:r w:rsidRPr="002E41BF">
              <w:rPr>
                <w:rFonts w:ascii="Arial" w:hAnsi="Arial" w:cs="Arial"/>
                <w:szCs w:val="24"/>
              </w:rPr>
              <w:t>Draft for approval by HLH Board 10 December 2020</w:t>
            </w:r>
            <w:r>
              <w:rPr>
                <w:rFonts w:ascii="Arial" w:hAnsi="Arial" w:cs="Arial"/>
                <w:szCs w:val="24"/>
              </w:rPr>
              <w:t xml:space="preserve"> </w:t>
            </w:r>
            <w:r w:rsidRPr="002E41BF">
              <w:rPr>
                <w:rFonts w:ascii="Arial" w:hAnsi="Arial" w:cs="Arial"/>
                <w:szCs w:val="24"/>
              </w:rPr>
              <w:t>Review Date: December 2022</w:t>
            </w:r>
          </w:p>
        </w:tc>
      </w:tr>
    </w:tbl>
    <w:p w14:paraId="6B5B7B25" w14:textId="77777777" w:rsidR="00245458" w:rsidRPr="008E42D3" w:rsidRDefault="00245458" w:rsidP="00245458">
      <w:pPr>
        <w:pStyle w:val="NoSpacing"/>
        <w:rPr>
          <w:rFonts w:ascii="Arial" w:hAnsi="Arial" w:cs="Arial"/>
        </w:rPr>
      </w:pPr>
    </w:p>
    <w:p w14:paraId="2F90310E" w14:textId="77777777" w:rsidR="00245458" w:rsidRPr="008E42D3" w:rsidRDefault="00245458" w:rsidP="00245458">
      <w:pPr>
        <w:pStyle w:val="NoSpacing"/>
        <w:rPr>
          <w:rFonts w:ascii="Arial" w:hAnsi="Arial" w:cs="Arial"/>
        </w:rPr>
      </w:pPr>
      <w:r w:rsidRPr="008E42D3">
        <w:rPr>
          <w:rFonts w:ascii="Arial" w:hAnsi="Arial" w:cs="Arial"/>
        </w:rPr>
        <w:t xml:space="preserve">In accordance with the Disclosure Scotland Code of Practice for registered persons and other recipients, HLH will ensure the following practices in terms of its handling, use, storage and retention of disclosure information. </w:t>
      </w:r>
    </w:p>
    <w:p w14:paraId="49B6AE3E" w14:textId="77777777" w:rsidR="00245458" w:rsidRPr="008E42D3" w:rsidRDefault="00245458" w:rsidP="00245458">
      <w:pPr>
        <w:pStyle w:val="NoSpacing"/>
        <w:rPr>
          <w:rFonts w:ascii="Arial" w:hAnsi="Arial" w:cs="Arial"/>
        </w:rPr>
      </w:pPr>
    </w:p>
    <w:p w14:paraId="0047574B" w14:textId="77777777" w:rsidR="00245458" w:rsidRPr="008E42D3" w:rsidRDefault="00245458" w:rsidP="00245458">
      <w:pPr>
        <w:pStyle w:val="NoSpacing"/>
        <w:numPr>
          <w:ilvl w:val="0"/>
          <w:numId w:val="16"/>
        </w:numPr>
        <w:rPr>
          <w:rFonts w:ascii="Arial" w:hAnsi="Arial" w:cs="Arial"/>
        </w:rPr>
      </w:pPr>
      <w:r w:rsidRPr="008E42D3">
        <w:rPr>
          <w:rFonts w:ascii="Arial" w:hAnsi="Arial" w:cs="Arial"/>
        </w:rPr>
        <w:t>Checks will only be requested when necessary and relevant to a particular post and the information provided on a disclosure certificate will only be used for recruitment purposes;</w:t>
      </w:r>
    </w:p>
    <w:p w14:paraId="4BEC98C2" w14:textId="77777777" w:rsidR="00245458" w:rsidRPr="008E42D3" w:rsidRDefault="00245458" w:rsidP="00245458">
      <w:pPr>
        <w:pStyle w:val="NoSpacing"/>
        <w:numPr>
          <w:ilvl w:val="0"/>
          <w:numId w:val="16"/>
        </w:numPr>
        <w:rPr>
          <w:rFonts w:ascii="Arial" w:hAnsi="Arial" w:cs="Arial"/>
        </w:rPr>
      </w:pPr>
      <w:r w:rsidRPr="008E42D3">
        <w:rPr>
          <w:rFonts w:ascii="Arial" w:hAnsi="Arial" w:cs="Arial"/>
        </w:rPr>
        <w:t>HLH will ensure that an individual’s written consent is given before seeking a disclosure and will seek their consent before using disclosure information for any purpose other than recruitment;</w:t>
      </w:r>
    </w:p>
    <w:p w14:paraId="4EAD3361" w14:textId="77777777" w:rsidR="00245458" w:rsidRPr="008E42D3" w:rsidRDefault="00245458" w:rsidP="00245458">
      <w:pPr>
        <w:pStyle w:val="NoSpacing"/>
        <w:numPr>
          <w:ilvl w:val="0"/>
          <w:numId w:val="16"/>
        </w:numPr>
        <w:rPr>
          <w:rFonts w:ascii="Arial" w:hAnsi="Arial" w:cs="Arial"/>
        </w:rPr>
      </w:pPr>
      <w:r w:rsidRPr="008E42D3">
        <w:rPr>
          <w:rFonts w:ascii="Arial" w:hAnsi="Arial" w:cs="Arial"/>
        </w:rPr>
        <w:t>Disclosure information will only be shared with those authorised to see it in the course of their duties;</w:t>
      </w:r>
    </w:p>
    <w:p w14:paraId="6598DD7D" w14:textId="77777777" w:rsidR="00245458" w:rsidRPr="008E42D3" w:rsidRDefault="00245458" w:rsidP="00245458">
      <w:pPr>
        <w:pStyle w:val="NoSpacing"/>
        <w:numPr>
          <w:ilvl w:val="0"/>
          <w:numId w:val="16"/>
        </w:numPr>
        <w:rPr>
          <w:rFonts w:ascii="Arial" w:hAnsi="Arial" w:cs="Arial"/>
        </w:rPr>
      </w:pPr>
      <w:r w:rsidRPr="008E42D3">
        <w:rPr>
          <w:rFonts w:ascii="Arial" w:hAnsi="Arial" w:cs="Arial"/>
        </w:rPr>
        <w:t>Where additional disclosure information is provided to HLH’s designated signatory and not to the disclosure applicant, HLH’s designated signatory will not disclose this information to the applicant, but will inform them of the fact that additional information has been provided, should this information affect the recruitment decision;</w:t>
      </w:r>
    </w:p>
    <w:p w14:paraId="3475E8AA" w14:textId="77777777" w:rsidR="00245458" w:rsidRPr="008E42D3" w:rsidRDefault="00245458" w:rsidP="00245458">
      <w:pPr>
        <w:pStyle w:val="NoSpacing"/>
        <w:numPr>
          <w:ilvl w:val="0"/>
          <w:numId w:val="16"/>
        </w:numPr>
        <w:rPr>
          <w:rFonts w:ascii="Arial" w:hAnsi="Arial" w:cs="Arial"/>
        </w:rPr>
      </w:pPr>
      <w:r w:rsidRPr="008E42D3">
        <w:rPr>
          <w:rFonts w:ascii="Arial" w:hAnsi="Arial" w:cs="Arial"/>
        </w:rPr>
        <w:t xml:space="preserve">Disclosure information will be stored in a locked non-portable location, for </w:t>
      </w:r>
      <w:r w:rsidRPr="008E42D3">
        <w:rPr>
          <w:rFonts w:ascii="Arial" w:hAnsi="Arial" w:cs="Arial"/>
          <w:bCs/>
        </w:rPr>
        <w:t>a maximum of 6 months</w:t>
      </w:r>
      <w:r w:rsidRPr="008E42D3">
        <w:rPr>
          <w:rFonts w:ascii="Arial" w:hAnsi="Arial" w:cs="Arial"/>
        </w:rPr>
        <w:t>.  Only those authorised to see this information in the course of their duties will have access to this location;</w:t>
      </w:r>
    </w:p>
    <w:p w14:paraId="2A6B9CF2" w14:textId="77777777" w:rsidR="00245458" w:rsidRPr="008E42D3" w:rsidRDefault="00245458" w:rsidP="00245458">
      <w:pPr>
        <w:pStyle w:val="NoSpacing"/>
        <w:numPr>
          <w:ilvl w:val="0"/>
          <w:numId w:val="16"/>
        </w:numPr>
        <w:rPr>
          <w:rFonts w:ascii="Arial" w:hAnsi="Arial" w:cs="Arial"/>
        </w:rPr>
      </w:pPr>
      <w:r w:rsidRPr="008E42D3">
        <w:rPr>
          <w:rFonts w:ascii="Arial" w:hAnsi="Arial" w:cs="Arial"/>
        </w:rPr>
        <w:t>Disclosure information will be destroyed by confidential shredding;</w:t>
      </w:r>
    </w:p>
    <w:p w14:paraId="7D70CBEC" w14:textId="77777777" w:rsidR="00245458" w:rsidRPr="008E42D3" w:rsidRDefault="00245458" w:rsidP="00245458">
      <w:pPr>
        <w:pStyle w:val="NoSpacing"/>
        <w:numPr>
          <w:ilvl w:val="0"/>
          <w:numId w:val="16"/>
        </w:numPr>
        <w:rPr>
          <w:rFonts w:ascii="Arial" w:hAnsi="Arial" w:cs="Arial"/>
        </w:rPr>
      </w:pPr>
      <w:r w:rsidRPr="008E42D3">
        <w:rPr>
          <w:rFonts w:ascii="Arial" w:hAnsi="Arial" w:cs="Arial"/>
        </w:rPr>
        <w:t>No image or photocopy of the disclosure information will be made; however</w:t>
      </w:r>
      <w:r>
        <w:rPr>
          <w:rFonts w:ascii="Arial" w:hAnsi="Arial" w:cs="Arial"/>
        </w:rPr>
        <w:t>,</w:t>
      </w:r>
      <w:r w:rsidRPr="008E42D3">
        <w:rPr>
          <w:rFonts w:ascii="Arial" w:hAnsi="Arial" w:cs="Arial"/>
        </w:rPr>
        <w:t xml:space="preserve"> the following details may be retained:</w:t>
      </w:r>
    </w:p>
    <w:p w14:paraId="6B4C1F08" w14:textId="77777777" w:rsidR="00245458" w:rsidRPr="008E42D3" w:rsidRDefault="00245458" w:rsidP="00245458">
      <w:pPr>
        <w:pStyle w:val="NoSpacing"/>
        <w:numPr>
          <w:ilvl w:val="1"/>
          <w:numId w:val="16"/>
        </w:numPr>
        <w:rPr>
          <w:rFonts w:ascii="Arial" w:hAnsi="Arial" w:cs="Arial"/>
        </w:rPr>
      </w:pPr>
      <w:r w:rsidRPr="008E42D3">
        <w:rPr>
          <w:rFonts w:ascii="Arial" w:hAnsi="Arial" w:cs="Arial"/>
        </w:rPr>
        <w:t xml:space="preserve">Date of issue of disclosure; </w:t>
      </w:r>
    </w:p>
    <w:p w14:paraId="624F7150" w14:textId="77777777" w:rsidR="00245458" w:rsidRPr="008E42D3" w:rsidRDefault="00245458" w:rsidP="00245458">
      <w:pPr>
        <w:pStyle w:val="NoSpacing"/>
        <w:numPr>
          <w:ilvl w:val="1"/>
          <w:numId w:val="16"/>
        </w:numPr>
        <w:rPr>
          <w:rFonts w:ascii="Arial" w:hAnsi="Arial" w:cs="Arial"/>
        </w:rPr>
      </w:pPr>
      <w:r w:rsidRPr="008E42D3">
        <w:rPr>
          <w:rFonts w:ascii="Arial" w:hAnsi="Arial" w:cs="Arial"/>
        </w:rPr>
        <w:t xml:space="preserve">Name of subject; </w:t>
      </w:r>
    </w:p>
    <w:p w14:paraId="1CBAEA33" w14:textId="77777777" w:rsidR="00245458" w:rsidRPr="008E42D3" w:rsidRDefault="00245458" w:rsidP="00245458">
      <w:pPr>
        <w:pStyle w:val="NoSpacing"/>
        <w:numPr>
          <w:ilvl w:val="1"/>
          <w:numId w:val="16"/>
        </w:numPr>
        <w:rPr>
          <w:rFonts w:ascii="Arial" w:hAnsi="Arial" w:cs="Arial"/>
        </w:rPr>
      </w:pPr>
      <w:r w:rsidRPr="008E42D3">
        <w:rPr>
          <w:rFonts w:ascii="Arial" w:hAnsi="Arial" w:cs="Arial"/>
        </w:rPr>
        <w:t xml:space="preserve">Disclosure type; </w:t>
      </w:r>
    </w:p>
    <w:p w14:paraId="49B75BBA" w14:textId="77777777" w:rsidR="00245458" w:rsidRPr="008E42D3" w:rsidRDefault="00245458" w:rsidP="00245458">
      <w:pPr>
        <w:pStyle w:val="NoSpacing"/>
        <w:numPr>
          <w:ilvl w:val="1"/>
          <w:numId w:val="16"/>
        </w:numPr>
        <w:rPr>
          <w:rFonts w:ascii="Arial" w:hAnsi="Arial" w:cs="Arial"/>
        </w:rPr>
      </w:pPr>
      <w:r w:rsidRPr="008E42D3">
        <w:rPr>
          <w:rFonts w:ascii="Arial" w:hAnsi="Arial" w:cs="Arial"/>
        </w:rPr>
        <w:t>Position for which disclosure was requested;</w:t>
      </w:r>
    </w:p>
    <w:p w14:paraId="1A46C710" w14:textId="77777777" w:rsidR="00245458" w:rsidRPr="008E42D3" w:rsidRDefault="00245458" w:rsidP="00245458">
      <w:pPr>
        <w:pStyle w:val="NoSpacing"/>
        <w:numPr>
          <w:ilvl w:val="1"/>
          <w:numId w:val="16"/>
        </w:numPr>
        <w:rPr>
          <w:rFonts w:ascii="Arial" w:hAnsi="Arial" w:cs="Arial"/>
        </w:rPr>
      </w:pPr>
      <w:r w:rsidRPr="008E42D3">
        <w:rPr>
          <w:rFonts w:ascii="Arial" w:hAnsi="Arial" w:cs="Arial"/>
        </w:rPr>
        <w:t xml:space="preserve">Unique reference number of </w:t>
      </w:r>
      <w:r>
        <w:rPr>
          <w:rFonts w:ascii="Arial" w:hAnsi="Arial" w:cs="Arial"/>
        </w:rPr>
        <w:t>D</w:t>
      </w:r>
      <w:r w:rsidRPr="008E42D3">
        <w:rPr>
          <w:rFonts w:ascii="Arial" w:hAnsi="Arial" w:cs="Arial"/>
        </w:rPr>
        <w:t>isclosure; and</w:t>
      </w:r>
    </w:p>
    <w:p w14:paraId="284F7825" w14:textId="77777777" w:rsidR="00245458" w:rsidRPr="008E42D3" w:rsidRDefault="00245458" w:rsidP="00245458">
      <w:pPr>
        <w:pStyle w:val="NoSpacing"/>
        <w:numPr>
          <w:ilvl w:val="1"/>
          <w:numId w:val="16"/>
        </w:numPr>
        <w:rPr>
          <w:rFonts w:ascii="Arial" w:hAnsi="Arial" w:cs="Arial"/>
        </w:rPr>
      </w:pPr>
      <w:r w:rsidRPr="008E42D3">
        <w:rPr>
          <w:rFonts w:ascii="Arial" w:hAnsi="Arial" w:cs="Arial"/>
        </w:rPr>
        <w:t>Recruitment decision taken;</w:t>
      </w:r>
    </w:p>
    <w:p w14:paraId="0BC0FA49" w14:textId="77777777" w:rsidR="00245458" w:rsidRPr="008E42D3" w:rsidRDefault="00245458" w:rsidP="00245458">
      <w:pPr>
        <w:pStyle w:val="NoSpacing"/>
        <w:numPr>
          <w:ilvl w:val="0"/>
          <w:numId w:val="16"/>
        </w:numPr>
        <w:rPr>
          <w:rFonts w:ascii="Arial" w:hAnsi="Arial" w:cs="Arial"/>
        </w:rPr>
      </w:pPr>
      <w:r w:rsidRPr="008E42D3">
        <w:rPr>
          <w:rFonts w:ascii="Arial" w:hAnsi="Arial" w:cs="Arial"/>
        </w:rPr>
        <w:t>If the subject of the Disclosure check is found to be on the ‘</w:t>
      </w:r>
      <w:r w:rsidRPr="008E42D3">
        <w:rPr>
          <w:rFonts w:ascii="Arial" w:hAnsi="Arial" w:cs="Arial"/>
          <w:bCs/>
        </w:rPr>
        <w:t>Disqualified from Working with (Children/Adults) List</w:t>
      </w:r>
      <w:r w:rsidRPr="008E42D3">
        <w:rPr>
          <w:rFonts w:ascii="Arial" w:hAnsi="Arial" w:cs="Arial"/>
        </w:rPr>
        <w:t>’ HLH’s Lead Officer for Protection and Safeguarding shall be notify, who in turn will formally advise Police Scotland that an attempt has been made to acquire work with children/adults;</w:t>
      </w:r>
    </w:p>
    <w:p w14:paraId="054E8A01" w14:textId="77777777" w:rsidR="00245458" w:rsidRPr="008E42D3" w:rsidRDefault="00245458" w:rsidP="00245458">
      <w:pPr>
        <w:pStyle w:val="NoSpacing"/>
        <w:numPr>
          <w:ilvl w:val="0"/>
          <w:numId w:val="16"/>
        </w:numPr>
        <w:rPr>
          <w:rFonts w:ascii="Arial" w:hAnsi="Arial" w:cs="Arial"/>
        </w:rPr>
      </w:pPr>
      <w:r w:rsidRPr="008E42D3">
        <w:rPr>
          <w:rFonts w:ascii="Arial" w:hAnsi="Arial" w:cs="Arial"/>
        </w:rPr>
        <w:t>HLH will ensure that all staff with access to disclosure information are aware of this policy and have received relevant training and support;</w:t>
      </w:r>
    </w:p>
    <w:p w14:paraId="311106C8" w14:textId="77777777" w:rsidR="00245458" w:rsidRPr="008E42D3" w:rsidRDefault="00245458" w:rsidP="00245458">
      <w:pPr>
        <w:pStyle w:val="NoSpacing"/>
        <w:numPr>
          <w:ilvl w:val="0"/>
          <w:numId w:val="16"/>
        </w:numPr>
        <w:rPr>
          <w:rFonts w:ascii="Arial" w:hAnsi="Arial" w:cs="Arial"/>
        </w:rPr>
      </w:pPr>
      <w:r w:rsidRPr="008E42D3">
        <w:rPr>
          <w:rFonts w:ascii="Arial" w:hAnsi="Arial" w:cs="Arial"/>
        </w:rPr>
        <w:t xml:space="preserve">This policy will be made available to any applicant for a post (paid or unpaid) with HLH that require a disclosure. </w:t>
      </w:r>
    </w:p>
    <w:p w14:paraId="1D63926D" w14:textId="77777777" w:rsidR="00245458" w:rsidRPr="00245458" w:rsidRDefault="00245458" w:rsidP="00245458">
      <w:pPr>
        <w:rPr>
          <w:rFonts w:ascii="Arial" w:hAnsi="Arial" w:cs="Arial"/>
          <w:szCs w:val="24"/>
        </w:rPr>
      </w:pPr>
    </w:p>
    <w:sectPr w:rsidR="00245458" w:rsidRPr="00245458" w:rsidSect="00245458">
      <w:pgSz w:w="11906" w:h="16838"/>
      <w:pgMar w:top="851" w:right="1133"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F98D" w14:textId="77777777" w:rsidR="002709B7" w:rsidRDefault="002709B7">
      <w:r>
        <w:separator/>
      </w:r>
    </w:p>
  </w:endnote>
  <w:endnote w:type="continuationSeparator" w:id="0">
    <w:p w14:paraId="2C401E7D" w14:textId="77777777" w:rsidR="002709B7" w:rsidRDefault="0027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FD65" w14:textId="77777777" w:rsidR="002709B7" w:rsidRDefault="002709B7">
      <w:r>
        <w:separator/>
      </w:r>
    </w:p>
  </w:footnote>
  <w:footnote w:type="continuationSeparator" w:id="0">
    <w:p w14:paraId="0A8CABC5" w14:textId="77777777" w:rsidR="002709B7" w:rsidRDefault="00270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87E"/>
    <w:multiLevelType w:val="hybridMultilevel"/>
    <w:tmpl w:val="32F4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B092E"/>
    <w:multiLevelType w:val="hybridMultilevel"/>
    <w:tmpl w:val="A7B8B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F0F0D"/>
    <w:multiLevelType w:val="hybridMultilevel"/>
    <w:tmpl w:val="54C6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11834"/>
    <w:multiLevelType w:val="hybridMultilevel"/>
    <w:tmpl w:val="8AE868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C7C59"/>
    <w:multiLevelType w:val="hybridMultilevel"/>
    <w:tmpl w:val="52169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54023"/>
    <w:multiLevelType w:val="hybridMultilevel"/>
    <w:tmpl w:val="AA8C415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F91610"/>
    <w:multiLevelType w:val="hybridMultilevel"/>
    <w:tmpl w:val="36107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D51F0"/>
    <w:multiLevelType w:val="hybridMultilevel"/>
    <w:tmpl w:val="494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B1B42"/>
    <w:multiLevelType w:val="hybridMultilevel"/>
    <w:tmpl w:val="DBAAAC7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57292"/>
    <w:multiLevelType w:val="hybridMultilevel"/>
    <w:tmpl w:val="4D62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B0DC2"/>
    <w:multiLevelType w:val="hybridMultilevel"/>
    <w:tmpl w:val="F828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000BA"/>
    <w:multiLevelType w:val="hybridMultilevel"/>
    <w:tmpl w:val="2B7C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4504C5"/>
    <w:multiLevelType w:val="hybridMultilevel"/>
    <w:tmpl w:val="D21889B4"/>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787736"/>
    <w:multiLevelType w:val="hybridMultilevel"/>
    <w:tmpl w:val="1846A1E4"/>
    <w:lvl w:ilvl="0" w:tplc="56660C6E">
      <w:start w:val="1"/>
      <w:numFmt w:val="decimal"/>
      <w:lvlText w:val="%1."/>
      <w:lvlJc w:val="left"/>
      <w:pPr>
        <w:ind w:left="819" w:hanging="360"/>
      </w:pPr>
    </w:lvl>
    <w:lvl w:ilvl="1" w:tplc="08090019">
      <w:start w:val="1"/>
      <w:numFmt w:val="lowerLetter"/>
      <w:lvlText w:val="%2."/>
      <w:lvlJc w:val="left"/>
      <w:pPr>
        <w:ind w:left="1539" w:hanging="360"/>
      </w:pPr>
    </w:lvl>
    <w:lvl w:ilvl="2" w:tplc="0809001B">
      <w:start w:val="1"/>
      <w:numFmt w:val="lowerRoman"/>
      <w:lvlText w:val="%3."/>
      <w:lvlJc w:val="right"/>
      <w:pPr>
        <w:ind w:left="2259" w:hanging="180"/>
      </w:pPr>
    </w:lvl>
    <w:lvl w:ilvl="3" w:tplc="0809000F">
      <w:start w:val="1"/>
      <w:numFmt w:val="decimal"/>
      <w:lvlText w:val="%4."/>
      <w:lvlJc w:val="left"/>
      <w:pPr>
        <w:ind w:left="2979" w:hanging="360"/>
      </w:pPr>
    </w:lvl>
    <w:lvl w:ilvl="4" w:tplc="08090019">
      <w:start w:val="1"/>
      <w:numFmt w:val="lowerLetter"/>
      <w:lvlText w:val="%5."/>
      <w:lvlJc w:val="left"/>
      <w:pPr>
        <w:ind w:left="3699" w:hanging="360"/>
      </w:pPr>
    </w:lvl>
    <w:lvl w:ilvl="5" w:tplc="0809001B">
      <w:start w:val="1"/>
      <w:numFmt w:val="lowerRoman"/>
      <w:lvlText w:val="%6."/>
      <w:lvlJc w:val="right"/>
      <w:pPr>
        <w:ind w:left="4419" w:hanging="180"/>
      </w:pPr>
    </w:lvl>
    <w:lvl w:ilvl="6" w:tplc="0809000F">
      <w:start w:val="1"/>
      <w:numFmt w:val="decimal"/>
      <w:lvlText w:val="%7."/>
      <w:lvlJc w:val="left"/>
      <w:pPr>
        <w:ind w:left="5139" w:hanging="360"/>
      </w:pPr>
    </w:lvl>
    <w:lvl w:ilvl="7" w:tplc="08090019">
      <w:start w:val="1"/>
      <w:numFmt w:val="lowerLetter"/>
      <w:lvlText w:val="%8."/>
      <w:lvlJc w:val="left"/>
      <w:pPr>
        <w:ind w:left="5859" w:hanging="360"/>
      </w:pPr>
    </w:lvl>
    <w:lvl w:ilvl="8" w:tplc="0809001B">
      <w:start w:val="1"/>
      <w:numFmt w:val="lowerRoman"/>
      <w:lvlText w:val="%9."/>
      <w:lvlJc w:val="right"/>
      <w:pPr>
        <w:ind w:left="6579" w:hanging="180"/>
      </w:pPr>
    </w:lvl>
  </w:abstractNum>
  <w:abstractNum w:abstractNumId="14" w15:restartNumberingAfterBreak="0">
    <w:nsid w:val="77803A21"/>
    <w:multiLevelType w:val="hybridMultilevel"/>
    <w:tmpl w:val="6D20E1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CF7347"/>
    <w:multiLevelType w:val="hybridMultilevel"/>
    <w:tmpl w:val="E91EB50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5"/>
  </w:num>
  <w:num w:numId="5">
    <w:abstractNumId w:val="12"/>
  </w:num>
  <w:num w:numId="6">
    <w:abstractNumId w:val="0"/>
  </w:num>
  <w:num w:numId="7">
    <w:abstractNumId w:val="9"/>
  </w:num>
  <w:num w:numId="8">
    <w:abstractNumId w:val="3"/>
  </w:num>
  <w:num w:numId="9">
    <w:abstractNumId w:val="7"/>
  </w:num>
  <w:num w:numId="10">
    <w:abstractNumId w:val="8"/>
  </w:num>
  <w:num w:numId="11">
    <w:abstractNumId w:val="6"/>
  </w:num>
  <w:num w:numId="12">
    <w:abstractNumId w:val="4"/>
  </w:num>
  <w:num w:numId="13">
    <w:abstractNumId w:val="10"/>
  </w:num>
  <w:num w:numId="14">
    <w:abstractNumId w:val="1"/>
  </w:num>
  <w:num w:numId="15">
    <w:abstractNumId w:val="14"/>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3FEE"/>
    <w:rsid w:val="00004850"/>
    <w:rsid w:val="00004D29"/>
    <w:rsid w:val="000125A3"/>
    <w:rsid w:val="00015F4F"/>
    <w:rsid w:val="00017D2E"/>
    <w:rsid w:val="00021173"/>
    <w:rsid w:val="0002128B"/>
    <w:rsid w:val="00026EA5"/>
    <w:rsid w:val="0003553F"/>
    <w:rsid w:val="00041C6B"/>
    <w:rsid w:val="00042D0F"/>
    <w:rsid w:val="0005088A"/>
    <w:rsid w:val="00050D79"/>
    <w:rsid w:val="00052C00"/>
    <w:rsid w:val="00053CD9"/>
    <w:rsid w:val="00053FE4"/>
    <w:rsid w:val="00054DE1"/>
    <w:rsid w:val="000620A6"/>
    <w:rsid w:val="000631BD"/>
    <w:rsid w:val="00066820"/>
    <w:rsid w:val="00067164"/>
    <w:rsid w:val="000764B4"/>
    <w:rsid w:val="00077197"/>
    <w:rsid w:val="000817F9"/>
    <w:rsid w:val="00082DE5"/>
    <w:rsid w:val="0008795E"/>
    <w:rsid w:val="00087CCD"/>
    <w:rsid w:val="00090240"/>
    <w:rsid w:val="00092305"/>
    <w:rsid w:val="000942D5"/>
    <w:rsid w:val="000953AF"/>
    <w:rsid w:val="00095BC4"/>
    <w:rsid w:val="00097529"/>
    <w:rsid w:val="000975F9"/>
    <w:rsid w:val="000A6A1A"/>
    <w:rsid w:val="000A7DD3"/>
    <w:rsid w:val="000B0D29"/>
    <w:rsid w:val="000B6190"/>
    <w:rsid w:val="000B744A"/>
    <w:rsid w:val="000C0C19"/>
    <w:rsid w:val="000C1BF4"/>
    <w:rsid w:val="000C4972"/>
    <w:rsid w:val="000C6FDE"/>
    <w:rsid w:val="000C71AB"/>
    <w:rsid w:val="000D0794"/>
    <w:rsid w:val="000D245B"/>
    <w:rsid w:val="000D5427"/>
    <w:rsid w:val="000D616A"/>
    <w:rsid w:val="000D620F"/>
    <w:rsid w:val="000D6CAA"/>
    <w:rsid w:val="000D7731"/>
    <w:rsid w:val="000E00E2"/>
    <w:rsid w:val="000E0C6D"/>
    <w:rsid w:val="000E16F2"/>
    <w:rsid w:val="000E37F0"/>
    <w:rsid w:val="000E5B8A"/>
    <w:rsid w:val="000E6453"/>
    <w:rsid w:val="000F03A5"/>
    <w:rsid w:val="000F0A78"/>
    <w:rsid w:val="000F274B"/>
    <w:rsid w:val="000F4575"/>
    <w:rsid w:val="000F534E"/>
    <w:rsid w:val="000F5A33"/>
    <w:rsid w:val="000F6071"/>
    <w:rsid w:val="000F6FD8"/>
    <w:rsid w:val="000F7512"/>
    <w:rsid w:val="000F78D3"/>
    <w:rsid w:val="00101437"/>
    <w:rsid w:val="001065FE"/>
    <w:rsid w:val="001072B4"/>
    <w:rsid w:val="0010757C"/>
    <w:rsid w:val="001077A9"/>
    <w:rsid w:val="001100A3"/>
    <w:rsid w:val="00116689"/>
    <w:rsid w:val="00120225"/>
    <w:rsid w:val="00121552"/>
    <w:rsid w:val="00124C17"/>
    <w:rsid w:val="0012567C"/>
    <w:rsid w:val="00132839"/>
    <w:rsid w:val="00141185"/>
    <w:rsid w:val="00141508"/>
    <w:rsid w:val="00142251"/>
    <w:rsid w:val="0014299F"/>
    <w:rsid w:val="00144164"/>
    <w:rsid w:val="001448BE"/>
    <w:rsid w:val="001500BA"/>
    <w:rsid w:val="00153171"/>
    <w:rsid w:val="0015326F"/>
    <w:rsid w:val="0017031E"/>
    <w:rsid w:val="00176013"/>
    <w:rsid w:val="00177A7B"/>
    <w:rsid w:val="0018152E"/>
    <w:rsid w:val="001866ED"/>
    <w:rsid w:val="00186DF3"/>
    <w:rsid w:val="00190BC9"/>
    <w:rsid w:val="0019125C"/>
    <w:rsid w:val="00192FBE"/>
    <w:rsid w:val="001A7AF1"/>
    <w:rsid w:val="001B1FC0"/>
    <w:rsid w:val="001B55F1"/>
    <w:rsid w:val="001C15DE"/>
    <w:rsid w:val="001C29E2"/>
    <w:rsid w:val="001C380A"/>
    <w:rsid w:val="001C41BF"/>
    <w:rsid w:val="001C52A6"/>
    <w:rsid w:val="001C7E6F"/>
    <w:rsid w:val="001D1D38"/>
    <w:rsid w:val="001D2FE9"/>
    <w:rsid w:val="001D541F"/>
    <w:rsid w:val="001E41AE"/>
    <w:rsid w:val="001F2FFC"/>
    <w:rsid w:val="001F7122"/>
    <w:rsid w:val="00200EE4"/>
    <w:rsid w:val="002029D7"/>
    <w:rsid w:val="00203FB1"/>
    <w:rsid w:val="0020611C"/>
    <w:rsid w:val="0021160B"/>
    <w:rsid w:val="00220164"/>
    <w:rsid w:val="00220978"/>
    <w:rsid w:val="00223DB5"/>
    <w:rsid w:val="002245D8"/>
    <w:rsid w:val="00227DC9"/>
    <w:rsid w:val="00232563"/>
    <w:rsid w:val="00240268"/>
    <w:rsid w:val="0024033E"/>
    <w:rsid w:val="00241F01"/>
    <w:rsid w:val="00244480"/>
    <w:rsid w:val="00245458"/>
    <w:rsid w:val="00247212"/>
    <w:rsid w:val="00255A31"/>
    <w:rsid w:val="00256CC8"/>
    <w:rsid w:val="002571E0"/>
    <w:rsid w:val="0026117D"/>
    <w:rsid w:val="00261D72"/>
    <w:rsid w:val="00261E11"/>
    <w:rsid w:val="00262480"/>
    <w:rsid w:val="00263F37"/>
    <w:rsid w:val="002654E9"/>
    <w:rsid w:val="00265F13"/>
    <w:rsid w:val="002709B7"/>
    <w:rsid w:val="002738D0"/>
    <w:rsid w:val="002746CB"/>
    <w:rsid w:val="00277B5F"/>
    <w:rsid w:val="00282805"/>
    <w:rsid w:val="002829AC"/>
    <w:rsid w:val="00284D5A"/>
    <w:rsid w:val="00286A03"/>
    <w:rsid w:val="00293E6F"/>
    <w:rsid w:val="00295EE6"/>
    <w:rsid w:val="002962A5"/>
    <w:rsid w:val="002967A3"/>
    <w:rsid w:val="002A1B27"/>
    <w:rsid w:val="002A5188"/>
    <w:rsid w:val="002A57F2"/>
    <w:rsid w:val="002B086D"/>
    <w:rsid w:val="002B0A2F"/>
    <w:rsid w:val="002B36C8"/>
    <w:rsid w:val="002B4037"/>
    <w:rsid w:val="002B7DC4"/>
    <w:rsid w:val="002C4B6B"/>
    <w:rsid w:val="002C5CBE"/>
    <w:rsid w:val="002C60C2"/>
    <w:rsid w:val="002C6BFA"/>
    <w:rsid w:val="002D009F"/>
    <w:rsid w:val="002D0DC9"/>
    <w:rsid w:val="002D1539"/>
    <w:rsid w:val="002D5EDE"/>
    <w:rsid w:val="002D70B5"/>
    <w:rsid w:val="002D7DD6"/>
    <w:rsid w:val="002E0015"/>
    <w:rsid w:val="002E6BF4"/>
    <w:rsid w:val="002E6C9F"/>
    <w:rsid w:val="002E7918"/>
    <w:rsid w:val="002F12AA"/>
    <w:rsid w:val="002F215D"/>
    <w:rsid w:val="002F40EE"/>
    <w:rsid w:val="002F4DC9"/>
    <w:rsid w:val="002F66DC"/>
    <w:rsid w:val="00303143"/>
    <w:rsid w:val="00304F4D"/>
    <w:rsid w:val="0030579B"/>
    <w:rsid w:val="00305BC2"/>
    <w:rsid w:val="003114C4"/>
    <w:rsid w:val="0031243E"/>
    <w:rsid w:val="00313EC9"/>
    <w:rsid w:val="00314658"/>
    <w:rsid w:val="00314D66"/>
    <w:rsid w:val="003251E1"/>
    <w:rsid w:val="00325295"/>
    <w:rsid w:val="0032786E"/>
    <w:rsid w:val="00331186"/>
    <w:rsid w:val="00334B2E"/>
    <w:rsid w:val="00344062"/>
    <w:rsid w:val="00344849"/>
    <w:rsid w:val="0034569A"/>
    <w:rsid w:val="00345B42"/>
    <w:rsid w:val="00347328"/>
    <w:rsid w:val="00347734"/>
    <w:rsid w:val="0035282E"/>
    <w:rsid w:val="00354C5E"/>
    <w:rsid w:val="003551D4"/>
    <w:rsid w:val="00355775"/>
    <w:rsid w:val="00356B53"/>
    <w:rsid w:val="00360402"/>
    <w:rsid w:val="00363435"/>
    <w:rsid w:val="003649D9"/>
    <w:rsid w:val="003702A5"/>
    <w:rsid w:val="00371EFA"/>
    <w:rsid w:val="00372702"/>
    <w:rsid w:val="00373E7E"/>
    <w:rsid w:val="00380A34"/>
    <w:rsid w:val="00380CDF"/>
    <w:rsid w:val="00381B81"/>
    <w:rsid w:val="00383500"/>
    <w:rsid w:val="0038355A"/>
    <w:rsid w:val="003853E4"/>
    <w:rsid w:val="003917DC"/>
    <w:rsid w:val="0039450A"/>
    <w:rsid w:val="003964ED"/>
    <w:rsid w:val="003A069E"/>
    <w:rsid w:val="003A19F1"/>
    <w:rsid w:val="003A4B9C"/>
    <w:rsid w:val="003A5434"/>
    <w:rsid w:val="003A7DB0"/>
    <w:rsid w:val="003B16B6"/>
    <w:rsid w:val="003B3A9B"/>
    <w:rsid w:val="003B62D6"/>
    <w:rsid w:val="003C1B3B"/>
    <w:rsid w:val="003C4EA9"/>
    <w:rsid w:val="003C6779"/>
    <w:rsid w:val="003C7AFE"/>
    <w:rsid w:val="003D2CBE"/>
    <w:rsid w:val="003D330B"/>
    <w:rsid w:val="003D5C03"/>
    <w:rsid w:val="003E0170"/>
    <w:rsid w:val="003E159A"/>
    <w:rsid w:val="003E1AA0"/>
    <w:rsid w:val="003E4183"/>
    <w:rsid w:val="003F2745"/>
    <w:rsid w:val="003F321A"/>
    <w:rsid w:val="00403CDA"/>
    <w:rsid w:val="00405EBC"/>
    <w:rsid w:val="004076AD"/>
    <w:rsid w:val="00407982"/>
    <w:rsid w:val="004115FF"/>
    <w:rsid w:val="004120A6"/>
    <w:rsid w:val="00413B84"/>
    <w:rsid w:val="00416BFF"/>
    <w:rsid w:val="004244F8"/>
    <w:rsid w:val="0042698E"/>
    <w:rsid w:val="004319E3"/>
    <w:rsid w:val="00432FF9"/>
    <w:rsid w:val="00436F3D"/>
    <w:rsid w:val="004375DD"/>
    <w:rsid w:val="004403F8"/>
    <w:rsid w:val="0044083B"/>
    <w:rsid w:val="00441FB2"/>
    <w:rsid w:val="004438C9"/>
    <w:rsid w:val="00444E77"/>
    <w:rsid w:val="00445A72"/>
    <w:rsid w:val="00447C8A"/>
    <w:rsid w:val="0045207E"/>
    <w:rsid w:val="0045580C"/>
    <w:rsid w:val="00455913"/>
    <w:rsid w:val="0045618C"/>
    <w:rsid w:val="00460DE4"/>
    <w:rsid w:val="00462977"/>
    <w:rsid w:val="00465229"/>
    <w:rsid w:val="00465FB3"/>
    <w:rsid w:val="00466CDA"/>
    <w:rsid w:val="004724C6"/>
    <w:rsid w:val="00474274"/>
    <w:rsid w:val="00477C58"/>
    <w:rsid w:val="0048062D"/>
    <w:rsid w:val="00482CC4"/>
    <w:rsid w:val="004843C9"/>
    <w:rsid w:val="00484B52"/>
    <w:rsid w:val="00484E83"/>
    <w:rsid w:val="00485D0B"/>
    <w:rsid w:val="0049451D"/>
    <w:rsid w:val="004A5372"/>
    <w:rsid w:val="004A5E30"/>
    <w:rsid w:val="004A7F5F"/>
    <w:rsid w:val="004B2287"/>
    <w:rsid w:val="004B292E"/>
    <w:rsid w:val="004B4B6C"/>
    <w:rsid w:val="004B58CE"/>
    <w:rsid w:val="004B6573"/>
    <w:rsid w:val="004B7E68"/>
    <w:rsid w:val="004C05A9"/>
    <w:rsid w:val="004C1ADD"/>
    <w:rsid w:val="004C3A30"/>
    <w:rsid w:val="004C4336"/>
    <w:rsid w:val="004D02E4"/>
    <w:rsid w:val="004D6EED"/>
    <w:rsid w:val="004D776E"/>
    <w:rsid w:val="004E08EF"/>
    <w:rsid w:val="004E23C6"/>
    <w:rsid w:val="004E241D"/>
    <w:rsid w:val="004E5019"/>
    <w:rsid w:val="004F08B1"/>
    <w:rsid w:val="004F24D2"/>
    <w:rsid w:val="004F2C6F"/>
    <w:rsid w:val="004F5E0A"/>
    <w:rsid w:val="004F64EA"/>
    <w:rsid w:val="00501B18"/>
    <w:rsid w:val="00503FD6"/>
    <w:rsid w:val="005047A4"/>
    <w:rsid w:val="005047F6"/>
    <w:rsid w:val="00504A2B"/>
    <w:rsid w:val="0050754F"/>
    <w:rsid w:val="0051080D"/>
    <w:rsid w:val="0051107E"/>
    <w:rsid w:val="00511496"/>
    <w:rsid w:val="005123FB"/>
    <w:rsid w:val="00516D9F"/>
    <w:rsid w:val="005179D9"/>
    <w:rsid w:val="00521295"/>
    <w:rsid w:val="005258F0"/>
    <w:rsid w:val="00526DF1"/>
    <w:rsid w:val="0053594A"/>
    <w:rsid w:val="00536ED0"/>
    <w:rsid w:val="00544A3E"/>
    <w:rsid w:val="00544D61"/>
    <w:rsid w:val="00550DE1"/>
    <w:rsid w:val="0055357B"/>
    <w:rsid w:val="005540B4"/>
    <w:rsid w:val="0055493F"/>
    <w:rsid w:val="00554F8A"/>
    <w:rsid w:val="00555643"/>
    <w:rsid w:val="00563DC7"/>
    <w:rsid w:val="00570EC5"/>
    <w:rsid w:val="00570FC5"/>
    <w:rsid w:val="00571309"/>
    <w:rsid w:val="00571965"/>
    <w:rsid w:val="00576B2E"/>
    <w:rsid w:val="00581032"/>
    <w:rsid w:val="00590C36"/>
    <w:rsid w:val="00592045"/>
    <w:rsid w:val="00592F39"/>
    <w:rsid w:val="0059426B"/>
    <w:rsid w:val="005950EE"/>
    <w:rsid w:val="005A2910"/>
    <w:rsid w:val="005A2986"/>
    <w:rsid w:val="005A29D3"/>
    <w:rsid w:val="005B133B"/>
    <w:rsid w:val="005B4523"/>
    <w:rsid w:val="005B4C3A"/>
    <w:rsid w:val="005B6EDC"/>
    <w:rsid w:val="005C565B"/>
    <w:rsid w:val="005C6B41"/>
    <w:rsid w:val="005C76D1"/>
    <w:rsid w:val="005C7755"/>
    <w:rsid w:val="005D0401"/>
    <w:rsid w:val="005D450E"/>
    <w:rsid w:val="005D4C2B"/>
    <w:rsid w:val="005D4D8D"/>
    <w:rsid w:val="005D54D8"/>
    <w:rsid w:val="005D5563"/>
    <w:rsid w:val="005D56E3"/>
    <w:rsid w:val="005D58DB"/>
    <w:rsid w:val="005D6F6C"/>
    <w:rsid w:val="005E23D5"/>
    <w:rsid w:val="005E442C"/>
    <w:rsid w:val="005E5FCC"/>
    <w:rsid w:val="005E74DC"/>
    <w:rsid w:val="005E77BC"/>
    <w:rsid w:val="005F09BC"/>
    <w:rsid w:val="005F24B2"/>
    <w:rsid w:val="005F2664"/>
    <w:rsid w:val="005F268F"/>
    <w:rsid w:val="005F296B"/>
    <w:rsid w:val="005F2A13"/>
    <w:rsid w:val="005F4B50"/>
    <w:rsid w:val="005F5F56"/>
    <w:rsid w:val="0060090F"/>
    <w:rsid w:val="00600CE7"/>
    <w:rsid w:val="00605C08"/>
    <w:rsid w:val="0060608D"/>
    <w:rsid w:val="00610457"/>
    <w:rsid w:val="006130E7"/>
    <w:rsid w:val="00616E6F"/>
    <w:rsid w:val="00617AB9"/>
    <w:rsid w:val="006207E6"/>
    <w:rsid w:val="00623941"/>
    <w:rsid w:val="006240C2"/>
    <w:rsid w:val="006314BD"/>
    <w:rsid w:val="00632408"/>
    <w:rsid w:val="006419CC"/>
    <w:rsid w:val="0064363A"/>
    <w:rsid w:val="00647FE6"/>
    <w:rsid w:val="0065745A"/>
    <w:rsid w:val="00660A42"/>
    <w:rsid w:val="00663093"/>
    <w:rsid w:val="006658B6"/>
    <w:rsid w:val="00665BD4"/>
    <w:rsid w:val="0067538A"/>
    <w:rsid w:val="00682545"/>
    <w:rsid w:val="00682E0E"/>
    <w:rsid w:val="006840CD"/>
    <w:rsid w:val="00684594"/>
    <w:rsid w:val="00690634"/>
    <w:rsid w:val="0069225C"/>
    <w:rsid w:val="006925F5"/>
    <w:rsid w:val="00693BFC"/>
    <w:rsid w:val="00694065"/>
    <w:rsid w:val="006A1248"/>
    <w:rsid w:val="006A164D"/>
    <w:rsid w:val="006A38A2"/>
    <w:rsid w:val="006A3AC2"/>
    <w:rsid w:val="006A7897"/>
    <w:rsid w:val="006B06E6"/>
    <w:rsid w:val="006B3C26"/>
    <w:rsid w:val="006B590D"/>
    <w:rsid w:val="006B6421"/>
    <w:rsid w:val="006B67F8"/>
    <w:rsid w:val="006B71C3"/>
    <w:rsid w:val="006C09E9"/>
    <w:rsid w:val="006C0AEA"/>
    <w:rsid w:val="006C2F41"/>
    <w:rsid w:val="006C36C3"/>
    <w:rsid w:val="006C7C0A"/>
    <w:rsid w:val="006D0028"/>
    <w:rsid w:val="006D3293"/>
    <w:rsid w:val="006D44D7"/>
    <w:rsid w:val="006D5A10"/>
    <w:rsid w:val="006E4689"/>
    <w:rsid w:val="006F04E6"/>
    <w:rsid w:val="006F3879"/>
    <w:rsid w:val="006F4934"/>
    <w:rsid w:val="006F5801"/>
    <w:rsid w:val="006F5F8F"/>
    <w:rsid w:val="00703673"/>
    <w:rsid w:val="00703861"/>
    <w:rsid w:val="007053BE"/>
    <w:rsid w:val="00705B99"/>
    <w:rsid w:val="00707C87"/>
    <w:rsid w:val="00710B7E"/>
    <w:rsid w:val="00711367"/>
    <w:rsid w:val="007127E4"/>
    <w:rsid w:val="00717E7E"/>
    <w:rsid w:val="007203F1"/>
    <w:rsid w:val="00720B5B"/>
    <w:rsid w:val="007214D1"/>
    <w:rsid w:val="00721569"/>
    <w:rsid w:val="0072164F"/>
    <w:rsid w:val="0072257C"/>
    <w:rsid w:val="00725270"/>
    <w:rsid w:val="00725EC8"/>
    <w:rsid w:val="00726B31"/>
    <w:rsid w:val="00727D67"/>
    <w:rsid w:val="007310D7"/>
    <w:rsid w:val="00731E93"/>
    <w:rsid w:val="00742B9E"/>
    <w:rsid w:val="0074360E"/>
    <w:rsid w:val="00750AED"/>
    <w:rsid w:val="00751A5C"/>
    <w:rsid w:val="00754394"/>
    <w:rsid w:val="00755820"/>
    <w:rsid w:val="00766BAD"/>
    <w:rsid w:val="00766E32"/>
    <w:rsid w:val="00766EF9"/>
    <w:rsid w:val="00772596"/>
    <w:rsid w:val="00773D72"/>
    <w:rsid w:val="00776348"/>
    <w:rsid w:val="00777F11"/>
    <w:rsid w:val="00780620"/>
    <w:rsid w:val="00782718"/>
    <w:rsid w:val="00783F85"/>
    <w:rsid w:val="00784401"/>
    <w:rsid w:val="0078641E"/>
    <w:rsid w:val="0078733B"/>
    <w:rsid w:val="00791D36"/>
    <w:rsid w:val="00794A0C"/>
    <w:rsid w:val="007A0AAC"/>
    <w:rsid w:val="007A2F50"/>
    <w:rsid w:val="007A3904"/>
    <w:rsid w:val="007A7EBB"/>
    <w:rsid w:val="007B1176"/>
    <w:rsid w:val="007B3C3E"/>
    <w:rsid w:val="007B3DC7"/>
    <w:rsid w:val="007B5E32"/>
    <w:rsid w:val="007B64B5"/>
    <w:rsid w:val="007B6E44"/>
    <w:rsid w:val="007C13C5"/>
    <w:rsid w:val="007C60A1"/>
    <w:rsid w:val="007C6D32"/>
    <w:rsid w:val="007C7B5A"/>
    <w:rsid w:val="007D1832"/>
    <w:rsid w:val="007D3D0A"/>
    <w:rsid w:val="007D4675"/>
    <w:rsid w:val="007D577F"/>
    <w:rsid w:val="007E07FB"/>
    <w:rsid w:val="007E7860"/>
    <w:rsid w:val="007F0BFD"/>
    <w:rsid w:val="007F17B4"/>
    <w:rsid w:val="007F468C"/>
    <w:rsid w:val="007F57B7"/>
    <w:rsid w:val="007F78AE"/>
    <w:rsid w:val="00804BA5"/>
    <w:rsid w:val="00805D7B"/>
    <w:rsid w:val="00810982"/>
    <w:rsid w:val="00816002"/>
    <w:rsid w:val="00816302"/>
    <w:rsid w:val="00816E35"/>
    <w:rsid w:val="00823029"/>
    <w:rsid w:val="008249DA"/>
    <w:rsid w:val="00825FD9"/>
    <w:rsid w:val="00826907"/>
    <w:rsid w:val="00830CD4"/>
    <w:rsid w:val="00834A8E"/>
    <w:rsid w:val="00834E2D"/>
    <w:rsid w:val="00835331"/>
    <w:rsid w:val="008363B0"/>
    <w:rsid w:val="00841643"/>
    <w:rsid w:val="00841F81"/>
    <w:rsid w:val="0084209E"/>
    <w:rsid w:val="00842A9A"/>
    <w:rsid w:val="00843EEF"/>
    <w:rsid w:val="00847811"/>
    <w:rsid w:val="00855741"/>
    <w:rsid w:val="008613B2"/>
    <w:rsid w:val="00867BF5"/>
    <w:rsid w:val="008837D3"/>
    <w:rsid w:val="008922DD"/>
    <w:rsid w:val="00896987"/>
    <w:rsid w:val="00897566"/>
    <w:rsid w:val="008978D2"/>
    <w:rsid w:val="008A023C"/>
    <w:rsid w:val="008A0E3E"/>
    <w:rsid w:val="008A1F14"/>
    <w:rsid w:val="008A2231"/>
    <w:rsid w:val="008A3FB6"/>
    <w:rsid w:val="008A57F3"/>
    <w:rsid w:val="008B36C4"/>
    <w:rsid w:val="008B3E56"/>
    <w:rsid w:val="008B4E68"/>
    <w:rsid w:val="008C03E3"/>
    <w:rsid w:val="008C1B47"/>
    <w:rsid w:val="008C3C98"/>
    <w:rsid w:val="008D300F"/>
    <w:rsid w:val="008D5929"/>
    <w:rsid w:val="008D61AA"/>
    <w:rsid w:val="008D64EF"/>
    <w:rsid w:val="008E16E5"/>
    <w:rsid w:val="008E3C2A"/>
    <w:rsid w:val="008F18C3"/>
    <w:rsid w:val="008F41D8"/>
    <w:rsid w:val="008F5A22"/>
    <w:rsid w:val="008F66E6"/>
    <w:rsid w:val="008F74CA"/>
    <w:rsid w:val="00902A9A"/>
    <w:rsid w:val="00905E89"/>
    <w:rsid w:val="00912498"/>
    <w:rsid w:val="009151B3"/>
    <w:rsid w:val="00920271"/>
    <w:rsid w:val="00920970"/>
    <w:rsid w:val="00924053"/>
    <w:rsid w:val="0092498E"/>
    <w:rsid w:val="00926C4E"/>
    <w:rsid w:val="00931C91"/>
    <w:rsid w:val="00931E33"/>
    <w:rsid w:val="00933183"/>
    <w:rsid w:val="00935BDF"/>
    <w:rsid w:val="00935D8D"/>
    <w:rsid w:val="00935FC7"/>
    <w:rsid w:val="00941073"/>
    <w:rsid w:val="009430F2"/>
    <w:rsid w:val="00944306"/>
    <w:rsid w:val="00944BF2"/>
    <w:rsid w:val="009526B8"/>
    <w:rsid w:val="00962E81"/>
    <w:rsid w:val="00976F24"/>
    <w:rsid w:val="00985181"/>
    <w:rsid w:val="00985CFD"/>
    <w:rsid w:val="00985DE5"/>
    <w:rsid w:val="00987DFB"/>
    <w:rsid w:val="00990CFB"/>
    <w:rsid w:val="00991247"/>
    <w:rsid w:val="0099523D"/>
    <w:rsid w:val="00995C74"/>
    <w:rsid w:val="00997203"/>
    <w:rsid w:val="0099723B"/>
    <w:rsid w:val="009A09D4"/>
    <w:rsid w:val="009A2020"/>
    <w:rsid w:val="009A5B76"/>
    <w:rsid w:val="009B1034"/>
    <w:rsid w:val="009B7A20"/>
    <w:rsid w:val="009C0A57"/>
    <w:rsid w:val="009C1F2A"/>
    <w:rsid w:val="009C29D8"/>
    <w:rsid w:val="009C507A"/>
    <w:rsid w:val="009C631C"/>
    <w:rsid w:val="009C6666"/>
    <w:rsid w:val="009C6DDB"/>
    <w:rsid w:val="009C7634"/>
    <w:rsid w:val="009C77CF"/>
    <w:rsid w:val="009D078F"/>
    <w:rsid w:val="009D3236"/>
    <w:rsid w:val="009D49AE"/>
    <w:rsid w:val="009D691A"/>
    <w:rsid w:val="009D6A45"/>
    <w:rsid w:val="009D6FD0"/>
    <w:rsid w:val="009D7511"/>
    <w:rsid w:val="009E0A66"/>
    <w:rsid w:val="009E1C50"/>
    <w:rsid w:val="009E26DF"/>
    <w:rsid w:val="009E5EB5"/>
    <w:rsid w:val="009E7291"/>
    <w:rsid w:val="009E7AF8"/>
    <w:rsid w:val="009E7E1D"/>
    <w:rsid w:val="009F0139"/>
    <w:rsid w:val="009F4896"/>
    <w:rsid w:val="00A004F4"/>
    <w:rsid w:val="00A01760"/>
    <w:rsid w:val="00A035C1"/>
    <w:rsid w:val="00A03B68"/>
    <w:rsid w:val="00A06051"/>
    <w:rsid w:val="00A067FA"/>
    <w:rsid w:val="00A06B88"/>
    <w:rsid w:val="00A06F5D"/>
    <w:rsid w:val="00A1003D"/>
    <w:rsid w:val="00A105B9"/>
    <w:rsid w:val="00A11DBF"/>
    <w:rsid w:val="00A15484"/>
    <w:rsid w:val="00A1733F"/>
    <w:rsid w:val="00A23EF2"/>
    <w:rsid w:val="00A252F3"/>
    <w:rsid w:val="00A265AA"/>
    <w:rsid w:val="00A27D3B"/>
    <w:rsid w:val="00A3006B"/>
    <w:rsid w:val="00A33E17"/>
    <w:rsid w:val="00A34C35"/>
    <w:rsid w:val="00A36747"/>
    <w:rsid w:val="00A44B54"/>
    <w:rsid w:val="00A44C7B"/>
    <w:rsid w:val="00A45F54"/>
    <w:rsid w:val="00A47A09"/>
    <w:rsid w:val="00A47AAF"/>
    <w:rsid w:val="00A506DE"/>
    <w:rsid w:val="00A5134F"/>
    <w:rsid w:val="00A60358"/>
    <w:rsid w:val="00A701E8"/>
    <w:rsid w:val="00A72F95"/>
    <w:rsid w:val="00A75273"/>
    <w:rsid w:val="00A80634"/>
    <w:rsid w:val="00A807F1"/>
    <w:rsid w:val="00A813FC"/>
    <w:rsid w:val="00A8159A"/>
    <w:rsid w:val="00A83178"/>
    <w:rsid w:val="00A8515A"/>
    <w:rsid w:val="00A852FC"/>
    <w:rsid w:val="00A9526C"/>
    <w:rsid w:val="00A95347"/>
    <w:rsid w:val="00AA15DA"/>
    <w:rsid w:val="00AA6A6A"/>
    <w:rsid w:val="00AB2B69"/>
    <w:rsid w:val="00AB3D83"/>
    <w:rsid w:val="00AB4988"/>
    <w:rsid w:val="00AB5455"/>
    <w:rsid w:val="00AC3EDE"/>
    <w:rsid w:val="00AC5BBD"/>
    <w:rsid w:val="00AD0D67"/>
    <w:rsid w:val="00AD2245"/>
    <w:rsid w:val="00AD33D1"/>
    <w:rsid w:val="00AE3455"/>
    <w:rsid w:val="00AE44B9"/>
    <w:rsid w:val="00AE69D4"/>
    <w:rsid w:val="00AF02B6"/>
    <w:rsid w:val="00AF5408"/>
    <w:rsid w:val="00AF60F3"/>
    <w:rsid w:val="00B0019E"/>
    <w:rsid w:val="00B007BE"/>
    <w:rsid w:val="00B06F13"/>
    <w:rsid w:val="00B142D1"/>
    <w:rsid w:val="00B143C6"/>
    <w:rsid w:val="00B15C2E"/>
    <w:rsid w:val="00B21BA2"/>
    <w:rsid w:val="00B237C2"/>
    <w:rsid w:val="00B26FB4"/>
    <w:rsid w:val="00B32ECC"/>
    <w:rsid w:val="00B356DC"/>
    <w:rsid w:val="00B35A42"/>
    <w:rsid w:val="00B35E26"/>
    <w:rsid w:val="00B3785C"/>
    <w:rsid w:val="00B4511E"/>
    <w:rsid w:val="00B45128"/>
    <w:rsid w:val="00B45357"/>
    <w:rsid w:val="00B47D2F"/>
    <w:rsid w:val="00B50D69"/>
    <w:rsid w:val="00B50E9D"/>
    <w:rsid w:val="00B547EA"/>
    <w:rsid w:val="00B56CDC"/>
    <w:rsid w:val="00B61410"/>
    <w:rsid w:val="00B6149F"/>
    <w:rsid w:val="00B62B17"/>
    <w:rsid w:val="00B67AEB"/>
    <w:rsid w:val="00B76CAE"/>
    <w:rsid w:val="00B84929"/>
    <w:rsid w:val="00B859CD"/>
    <w:rsid w:val="00B86838"/>
    <w:rsid w:val="00B87B5D"/>
    <w:rsid w:val="00B90704"/>
    <w:rsid w:val="00BA01AD"/>
    <w:rsid w:val="00BA0979"/>
    <w:rsid w:val="00BA2BC7"/>
    <w:rsid w:val="00BB3F9D"/>
    <w:rsid w:val="00BB4A08"/>
    <w:rsid w:val="00BC1E56"/>
    <w:rsid w:val="00BC1EB4"/>
    <w:rsid w:val="00BD4872"/>
    <w:rsid w:val="00BD48D1"/>
    <w:rsid w:val="00BD7355"/>
    <w:rsid w:val="00BE1206"/>
    <w:rsid w:val="00BE1984"/>
    <w:rsid w:val="00BE24F5"/>
    <w:rsid w:val="00BE477C"/>
    <w:rsid w:val="00BE6360"/>
    <w:rsid w:val="00BF09F9"/>
    <w:rsid w:val="00C02142"/>
    <w:rsid w:val="00C04062"/>
    <w:rsid w:val="00C11400"/>
    <w:rsid w:val="00C14B28"/>
    <w:rsid w:val="00C15B6B"/>
    <w:rsid w:val="00C173F4"/>
    <w:rsid w:val="00C214F8"/>
    <w:rsid w:val="00C22A7F"/>
    <w:rsid w:val="00C3461A"/>
    <w:rsid w:val="00C351C8"/>
    <w:rsid w:val="00C360E6"/>
    <w:rsid w:val="00C41E66"/>
    <w:rsid w:val="00C427F8"/>
    <w:rsid w:val="00C42FCC"/>
    <w:rsid w:val="00C437C7"/>
    <w:rsid w:val="00C43F06"/>
    <w:rsid w:val="00C44DE0"/>
    <w:rsid w:val="00C456FE"/>
    <w:rsid w:val="00C55881"/>
    <w:rsid w:val="00C60663"/>
    <w:rsid w:val="00C61237"/>
    <w:rsid w:val="00C71EF3"/>
    <w:rsid w:val="00C72B73"/>
    <w:rsid w:val="00C75691"/>
    <w:rsid w:val="00C8005D"/>
    <w:rsid w:val="00C8211A"/>
    <w:rsid w:val="00C82A93"/>
    <w:rsid w:val="00C8333C"/>
    <w:rsid w:val="00C83D2B"/>
    <w:rsid w:val="00C84BD3"/>
    <w:rsid w:val="00C93AA4"/>
    <w:rsid w:val="00C973BB"/>
    <w:rsid w:val="00C978E0"/>
    <w:rsid w:val="00CA4B02"/>
    <w:rsid w:val="00CA6AB3"/>
    <w:rsid w:val="00CB268B"/>
    <w:rsid w:val="00CB5374"/>
    <w:rsid w:val="00CB56B9"/>
    <w:rsid w:val="00CB7017"/>
    <w:rsid w:val="00CC466A"/>
    <w:rsid w:val="00CC5DB0"/>
    <w:rsid w:val="00CD01A9"/>
    <w:rsid w:val="00CD2306"/>
    <w:rsid w:val="00CD2F5E"/>
    <w:rsid w:val="00CD339D"/>
    <w:rsid w:val="00CD357D"/>
    <w:rsid w:val="00CD3985"/>
    <w:rsid w:val="00CD553A"/>
    <w:rsid w:val="00CE68AE"/>
    <w:rsid w:val="00CF6DD7"/>
    <w:rsid w:val="00D00039"/>
    <w:rsid w:val="00D00618"/>
    <w:rsid w:val="00D022B2"/>
    <w:rsid w:val="00D02AE4"/>
    <w:rsid w:val="00D03451"/>
    <w:rsid w:val="00D038C4"/>
    <w:rsid w:val="00D03E5F"/>
    <w:rsid w:val="00D05169"/>
    <w:rsid w:val="00D11FA1"/>
    <w:rsid w:val="00D12180"/>
    <w:rsid w:val="00D15A10"/>
    <w:rsid w:val="00D20EFC"/>
    <w:rsid w:val="00D230BF"/>
    <w:rsid w:val="00D23370"/>
    <w:rsid w:val="00D23435"/>
    <w:rsid w:val="00D255F5"/>
    <w:rsid w:val="00D30472"/>
    <w:rsid w:val="00D3078D"/>
    <w:rsid w:val="00D409D2"/>
    <w:rsid w:val="00D44B45"/>
    <w:rsid w:val="00D45787"/>
    <w:rsid w:val="00D4627A"/>
    <w:rsid w:val="00D46356"/>
    <w:rsid w:val="00D47971"/>
    <w:rsid w:val="00D47A97"/>
    <w:rsid w:val="00D47C49"/>
    <w:rsid w:val="00D54670"/>
    <w:rsid w:val="00D57CDF"/>
    <w:rsid w:val="00D6031D"/>
    <w:rsid w:val="00D604A7"/>
    <w:rsid w:val="00D63414"/>
    <w:rsid w:val="00D655B8"/>
    <w:rsid w:val="00D658D1"/>
    <w:rsid w:val="00D65A67"/>
    <w:rsid w:val="00D66EB1"/>
    <w:rsid w:val="00D66EB7"/>
    <w:rsid w:val="00D71509"/>
    <w:rsid w:val="00D71DD2"/>
    <w:rsid w:val="00D73FED"/>
    <w:rsid w:val="00D74F5F"/>
    <w:rsid w:val="00D75611"/>
    <w:rsid w:val="00D75FE6"/>
    <w:rsid w:val="00D75FFC"/>
    <w:rsid w:val="00D82ADF"/>
    <w:rsid w:val="00D842DB"/>
    <w:rsid w:val="00D906F4"/>
    <w:rsid w:val="00D916D2"/>
    <w:rsid w:val="00D92CE0"/>
    <w:rsid w:val="00D93D96"/>
    <w:rsid w:val="00DA1988"/>
    <w:rsid w:val="00DB0F9C"/>
    <w:rsid w:val="00DB3601"/>
    <w:rsid w:val="00DB3CD6"/>
    <w:rsid w:val="00DB4BDE"/>
    <w:rsid w:val="00DB6BB8"/>
    <w:rsid w:val="00DB7D86"/>
    <w:rsid w:val="00DC01DD"/>
    <w:rsid w:val="00DC17DA"/>
    <w:rsid w:val="00DC4937"/>
    <w:rsid w:val="00DD0516"/>
    <w:rsid w:val="00DD0581"/>
    <w:rsid w:val="00DD3547"/>
    <w:rsid w:val="00DD3B83"/>
    <w:rsid w:val="00DD5D75"/>
    <w:rsid w:val="00DD614F"/>
    <w:rsid w:val="00DD6371"/>
    <w:rsid w:val="00DE07A3"/>
    <w:rsid w:val="00DE0D4C"/>
    <w:rsid w:val="00DE1942"/>
    <w:rsid w:val="00DE1E6C"/>
    <w:rsid w:val="00DE2B44"/>
    <w:rsid w:val="00DE2E0D"/>
    <w:rsid w:val="00DE5F32"/>
    <w:rsid w:val="00DE6623"/>
    <w:rsid w:val="00DF1F68"/>
    <w:rsid w:val="00DF3520"/>
    <w:rsid w:val="00DF462B"/>
    <w:rsid w:val="00DF55D6"/>
    <w:rsid w:val="00DF6B00"/>
    <w:rsid w:val="00DF6E1D"/>
    <w:rsid w:val="00E0196C"/>
    <w:rsid w:val="00E0234D"/>
    <w:rsid w:val="00E04193"/>
    <w:rsid w:val="00E064A6"/>
    <w:rsid w:val="00E071AF"/>
    <w:rsid w:val="00E10E07"/>
    <w:rsid w:val="00E11B89"/>
    <w:rsid w:val="00E11BD9"/>
    <w:rsid w:val="00E1395A"/>
    <w:rsid w:val="00E15CE1"/>
    <w:rsid w:val="00E16021"/>
    <w:rsid w:val="00E16703"/>
    <w:rsid w:val="00E20FE9"/>
    <w:rsid w:val="00E216D0"/>
    <w:rsid w:val="00E25B8B"/>
    <w:rsid w:val="00E25FDA"/>
    <w:rsid w:val="00E26CEE"/>
    <w:rsid w:val="00E3069B"/>
    <w:rsid w:val="00E345B1"/>
    <w:rsid w:val="00E355EE"/>
    <w:rsid w:val="00E42F84"/>
    <w:rsid w:val="00E4402F"/>
    <w:rsid w:val="00E45F94"/>
    <w:rsid w:val="00E523CD"/>
    <w:rsid w:val="00E52812"/>
    <w:rsid w:val="00E52B44"/>
    <w:rsid w:val="00E52BA0"/>
    <w:rsid w:val="00E61239"/>
    <w:rsid w:val="00E66429"/>
    <w:rsid w:val="00E70C26"/>
    <w:rsid w:val="00E74E2C"/>
    <w:rsid w:val="00E75F39"/>
    <w:rsid w:val="00E75F6B"/>
    <w:rsid w:val="00E92F59"/>
    <w:rsid w:val="00EA0200"/>
    <w:rsid w:val="00EA2A30"/>
    <w:rsid w:val="00EA2EBC"/>
    <w:rsid w:val="00EA30B4"/>
    <w:rsid w:val="00EA6559"/>
    <w:rsid w:val="00EA6C6E"/>
    <w:rsid w:val="00EB2282"/>
    <w:rsid w:val="00EB228F"/>
    <w:rsid w:val="00EB2A40"/>
    <w:rsid w:val="00EC095C"/>
    <w:rsid w:val="00EC259F"/>
    <w:rsid w:val="00EC47E3"/>
    <w:rsid w:val="00EC5441"/>
    <w:rsid w:val="00EC6323"/>
    <w:rsid w:val="00ED2EFE"/>
    <w:rsid w:val="00ED6A31"/>
    <w:rsid w:val="00ED7383"/>
    <w:rsid w:val="00EE2913"/>
    <w:rsid w:val="00EE4C7B"/>
    <w:rsid w:val="00EE5FC4"/>
    <w:rsid w:val="00EE63AE"/>
    <w:rsid w:val="00EF26D2"/>
    <w:rsid w:val="00EF3BF8"/>
    <w:rsid w:val="00EF45E6"/>
    <w:rsid w:val="00EF4F9D"/>
    <w:rsid w:val="00EF6BCE"/>
    <w:rsid w:val="00F00F06"/>
    <w:rsid w:val="00F06261"/>
    <w:rsid w:val="00F1364E"/>
    <w:rsid w:val="00F148EC"/>
    <w:rsid w:val="00F20271"/>
    <w:rsid w:val="00F2111F"/>
    <w:rsid w:val="00F25E7E"/>
    <w:rsid w:val="00F27088"/>
    <w:rsid w:val="00F31E35"/>
    <w:rsid w:val="00F32954"/>
    <w:rsid w:val="00F370F9"/>
    <w:rsid w:val="00F42CF3"/>
    <w:rsid w:val="00F469C4"/>
    <w:rsid w:val="00F503ED"/>
    <w:rsid w:val="00F55F2F"/>
    <w:rsid w:val="00F60031"/>
    <w:rsid w:val="00F6026F"/>
    <w:rsid w:val="00F63B22"/>
    <w:rsid w:val="00F63E64"/>
    <w:rsid w:val="00F661EC"/>
    <w:rsid w:val="00F723D0"/>
    <w:rsid w:val="00F76AA4"/>
    <w:rsid w:val="00F76C2A"/>
    <w:rsid w:val="00F77121"/>
    <w:rsid w:val="00F839E2"/>
    <w:rsid w:val="00F858E0"/>
    <w:rsid w:val="00F95FA6"/>
    <w:rsid w:val="00FA053D"/>
    <w:rsid w:val="00FA5259"/>
    <w:rsid w:val="00FA5C28"/>
    <w:rsid w:val="00FA7DA7"/>
    <w:rsid w:val="00FB0F87"/>
    <w:rsid w:val="00FB17D4"/>
    <w:rsid w:val="00FB7551"/>
    <w:rsid w:val="00FC0CB0"/>
    <w:rsid w:val="00FC1D3E"/>
    <w:rsid w:val="00FC2545"/>
    <w:rsid w:val="00FC2B80"/>
    <w:rsid w:val="00FC370E"/>
    <w:rsid w:val="00FC52DF"/>
    <w:rsid w:val="00FD2BFB"/>
    <w:rsid w:val="00FD39F5"/>
    <w:rsid w:val="00FD3F7E"/>
    <w:rsid w:val="00FE1C80"/>
    <w:rsid w:val="00FE4D79"/>
    <w:rsid w:val="00FE65CF"/>
    <w:rsid w:val="00FF110F"/>
    <w:rsid w:val="00FF2178"/>
    <w:rsid w:val="00FF3B4B"/>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94D29"/>
  <w15:docId w15:val="{4D6EC18A-124B-4C8A-BCF8-D9DB9F0A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5CB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 w:type="character" w:customStyle="1" w:styleId="Heading2Char">
    <w:name w:val="Heading 2 Char"/>
    <w:basedOn w:val="DefaultParagraphFont"/>
    <w:link w:val="Heading2"/>
    <w:rsid w:val="00AF60F3"/>
    <w:rPr>
      <w:sz w:val="24"/>
      <w:u w:val="single"/>
    </w:rPr>
  </w:style>
  <w:style w:type="table" w:customStyle="1" w:styleId="TableGrid12">
    <w:name w:val="Table Grid12"/>
    <w:basedOn w:val="TableNormal"/>
    <w:next w:val="TableGrid"/>
    <w:uiPriority w:val="59"/>
    <w:rsid w:val="00897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141508"/>
  </w:style>
  <w:style w:type="paragraph" w:customStyle="1" w:styleId="gmail-m-2413756141062360564msolistparagraph">
    <w:name w:val="gmail-m_-2413756141062360564msolistparagraph"/>
    <w:basedOn w:val="Normal"/>
    <w:rsid w:val="00CD357D"/>
    <w:pPr>
      <w:spacing w:before="100" w:beforeAutospacing="1" w:after="100" w:afterAutospacing="1"/>
    </w:pPr>
    <w:rPr>
      <w:rFonts w:eastAsiaTheme="minorHAnsi"/>
      <w:szCs w:val="24"/>
    </w:rPr>
  </w:style>
  <w:style w:type="paragraph" w:styleId="NormalWeb">
    <w:name w:val="Normal (Web)"/>
    <w:basedOn w:val="Normal"/>
    <w:uiPriority w:val="99"/>
    <w:unhideWhenUsed/>
    <w:rsid w:val="00BE24F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420">
      <w:bodyDiv w:val="1"/>
      <w:marLeft w:val="0"/>
      <w:marRight w:val="0"/>
      <w:marTop w:val="0"/>
      <w:marBottom w:val="0"/>
      <w:divBdr>
        <w:top w:val="none" w:sz="0" w:space="0" w:color="auto"/>
        <w:left w:val="none" w:sz="0" w:space="0" w:color="auto"/>
        <w:bottom w:val="none" w:sz="0" w:space="0" w:color="auto"/>
        <w:right w:val="none" w:sz="0" w:space="0" w:color="auto"/>
      </w:divBdr>
    </w:div>
    <w:div w:id="8141093">
      <w:bodyDiv w:val="1"/>
      <w:marLeft w:val="0"/>
      <w:marRight w:val="0"/>
      <w:marTop w:val="0"/>
      <w:marBottom w:val="0"/>
      <w:divBdr>
        <w:top w:val="none" w:sz="0" w:space="0" w:color="auto"/>
        <w:left w:val="none" w:sz="0" w:space="0" w:color="auto"/>
        <w:bottom w:val="none" w:sz="0" w:space="0" w:color="auto"/>
        <w:right w:val="none" w:sz="0" w:space="0" w:color="auto"/>
      </w:divBdr>
    </w:div>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24642014">
      <w:bodyDiv w:val="1"/>
      <w:marLeft w:val="0"/>
      <w:marRight w:val="0"/>
      <w:marTop w:val="0"/>
      <w:marBottom w:val="0"/>
      <w:divBdr>
        <w:top w:val="none" w:sz="0" w:space="0" w:color="auto"/>
        <w:left w:val="none" w:sz="0" w:space="0" w:color="auto"/>
        <w:bottom w:val="none" w:sz="0" w:space="0" w:color="auto"/>
        <w:right w:val="none" w:sz="0" w:space="0" w:color="auto"/>
      </w:divBdr>
    </w:div>
    <w:div w:id="101416518">
      <w:bodyDiv w:val="1"/>
      <w:marLeft w:val="0"/>
      <w:marRight w:val="0"/>
      <w:marTop w:val="0"/>
      <w:marBottom w:val="0"/>
      <w:divBdr>
        <w:top w:val="none" w:sz="0" w:space="0" w:color="auto"/>
        <w:left w:val="none" w:sz="0" w:space="0" w:color="auto"/>
        <w:bottom w:val="none" w:sz="0" w:space="0" w:color="auto"/>
        <w:right w:val="none" w:sz="0" w:space="0" w:color="auto"/>
      </w:divBdr>
    </w:div>
    <w:div w:id="107050238">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284317576">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22658764">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43235695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534732745">
      <w:bodyDiv w:val="1"/>
      <w:marLeft w:val="0"/>
      <w:marRight w:val="0"/>
      <w:marTop w:val="0"/>
      <w:marBottom w:val="0"/>
      <w:divBdr>
        <w:top w:val="none" w:sz="0" w:space="0" w:color="auto"/>
        <w:left w:val="none" w:sz="0" w:space="0" w:color="auto"/>
        <w:bottom w:val="none" w:sz="0" w:space="0" w:color="auto"/>
        <w:right w:val="none" w:sz="0" w:space="0" w:color="auto"/>
      </w:divBdr>
    </w:div>
    <w:div w:id="573856565">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705525513">
      <w:bodyDiv w:val="1"/>
      <w:marLeft w:val="0"/>
      <w:marRight w:val="0"/>
      <w:marTop w:val="0"/>
      <w:marBottom w:val="0"/>
      <w:divBdr>
        <w:top w:val="none" w:sz="0" w:space="0" w:color="auto"/>
        <w:left w:val="none" w:sz="0" w:space="0" w:color="auto"/>
        <w:bottom w:val="none" w:sz="0" w:space="0" w:color="auto"/>
        <w:right w:val="none" w:sz="0" w:space="0" w:color="auto"/>
      </w:divBdr>
    </w:div>
    <w:div w:id="743185016">
      <w:bodyDiv w:val="1"/>
      <w:marLeft w:val="0"/>
      <w:marRight w:val="0"/>
      <w:marTop w:val="0"/>
      <w:marBottom w:val="0"/>
      <w:divBdr>
        <w:top w:val="none" w:sz="0" w:space="0" w:color="auto"/>
        <w:left w:val="none" w:sz="0" w:space="0" w:color="auto"/>
        <w:bottom w:val="none" w:sz="0" w:space="0" w:color="auto"/>
        <w:right w:val="none" w:sz="0" w:space="0" w:color="auto"/>
      </w:divBdr>
      <w:divsChild>
        <w:div w:id="995650879">
          <w:marLeft w:val="0"/>
          <w:marRight w:val="0"/>
          <w:marTop w:val="0"/>
          <w:marBottom w:val="0"/>
          <w:divBdr>
            <w:top w:val="none" w:sz="0" w:space="0" w:color="auto"/>
            <w:left w:val="none" w:sz="0" w:space="0" w:color="auto"/>
            <w:bottom w:val="none" w:sz="0" w:space="0" w:color="auto"/>
            <w:right w:val="none" w:sz="0" w:space="0" w:color="auto"/>
          </w:divBdr>
          <w:divsChild>
            <w:div w:id="640116501">
              <w:marLeft w:val="0"/>
              <w:marRight w:val="0"/>
              <w:marTop w:val="0"/>
              <w:marBottom w:val="0"/>
              <w:divBdr>
                <w:top w:val="none" w:sz="0" w:space="0" w:color="auto"/>
                <w:left w:val="none" w:sz="0" w:space="0" w:color="auto"/>
                <w:bottom w:val="none" w:sz="0" w:space="0" w:color="auto"/>
                <w:right w:val="none" w:sz="0" w:space="0" w:color="auto"/>
              </w:divBdr>
              <w:divsChild>
                <w:div w:id="774251220">
                  <w:marLeft w:val="0"/>
                  <w:marRight w:val="0"/>
                  <w:marTop w:val="0"/>
                  <w:marBottom w:val="0"/>
                  <w:divBdr>
                    <w:top w:val="none" w:sz="0" w:space="0" w:color="auto"/>
                    <w:left w:val="none" w:sz="0" w:space="0" w:color="auto"/>
                    <w:bottom w:val="none" w:sz="0" w:space="0" w:color="auto"/>
                    <w:right w:val="none" w:sz="0" w:space="0" w:color="auto"/>
                  </w:divBdr>
                  <w:divsChild>
                    <w:div w:id="1190100975">
                      <w:marLeft w:val="0"/>
                      <w:marRight w:val="0"/>
                      <w:marTop w:val="0"/>
                      <w:marBottom w:val="0"/>
                      <w:divBdr>
                        <w:top w:val="none" w:sz="0" w:space="0" w:color="auto"/>
                        <w:left w:val="none" w:sz="0" w:space="0" w:color="auto"/>
                        <w:bottom w:val="none" w:sz="0" w:space="0" w:color="auto"/>
                        <w:right w:val="none" w:sz="0" w:space="0" w:color="auto"/>
                      </w:divBdr>
                      <w:divsChild>
                        <w:div w:id="1226839420">
                          <w:marLeft w:val="0"/>
                          <w:marRight w:val="0"/>
                          <w:marTop w:val="0"/>
                          <w:marBottom w:val="0"/>
                          <w:divBdr>
                            <w:top w:val="none" w:sz="0" w:space="0" w:color="auto"/>
                            <w:left w:val="none" w:sz="0" w:space="0" w:color="auto"/>
                            <w:bottom w:val="none" w:sz="0" w:space="0" w:color="auto"/>
                            <w:right w:val="none" w:sz="0" w:space="0" w:color="auto"/>
                          </w:divBdr>
                          <w:divsChild>
                            <w:div w:id="1475440970">
                              <w:marLeft w:val="0"/>
                              <w:marRight w:val="0"/>
                              <w:marTop w:val="0"/>
                              <w:marBottom w:val="0"/>
                              <w:divBdr>
                                <w:top w:val="none" w:sz="0" w:space="0" w:color="auto"/>
                                <w:left w:val="none" w:sz="0" w:space="0" w:color="auto"/>
                                <w:bottom w:val="none" w:sz="0" w:space="0" w:color="auto"/>
                                <w:right w:val="none" w:sz="0" w:space="0" w:color="auto"/>
                              </w:divBdr>
                              <w:divsChild>
                                <w:div w:id="818182722">
                                  <w:marLeft w:val="0"/>
                                  <w:marRight w:val="0"/>
                                  <w:marTop w:val="0"/>
                                  <w:marBottom w:val="0"/>
                                  <w:divBdr>
                                    <w:top w:val="none" w:sz="0" w:space="0" w:color="auto"/>
                                    <w:left w:val="none" w:sz="0" w:space="0" w:color="auto"/>
                                    <w:bottom w:val="none" w:sz="0" w:space="0" w:color="auto"/>
                                    <w:right w:val="none" w:sz="0" w:space="0" w:color="auto"/>
                                  </w:divBdr>
                                  <w:divsChild>
                                    <w:div w:id="58214249">
                                      <w:marLeft w:val="-225"/>
                                      <w:marRight w:val="-225"/>
                                      <w:marTop w:val="0"/>
                                      <w:marBottom w:val="0"/>
                                      <w:divBdr>
                                        <w:top w:val="none" w:sz="0" w:space="0" w:color="auto"/>
                                        <w:left w:val="none" w:sz="0" w:space="0" w:color="auto"/>
                                        <w:bottom w:val="none" w:sz="0" w:space="0" w:color="auto"/>
                                        <w:right w:val="none" w:sz="0" w:space="0" w:color="auto"/>
                                      </w:divBdr>
                                      <w:divsChild>
                                        <w:div w:id="783502321">
                                          <w:marLeft w:val="0"/>
                                          <w:marRight w:val="0"/>
                                          <w:marTop w:val="0"/>
                                          <w:marBottom w:val="0"/>
                                          <w:divBdr>
                                            <w:top w:val="none" w:sz="0" w:space="0" w:color="auto"/>
                                            <w:left w:val="none" w:sz="0" w:space="0" w:color="auto"/>
                                            <w:bottom w:val="none" w:sz="0" w:space="0" w:color="auto"/>
                                            <w:right w:val="none" w:sz="0" w:space="0" w:color="auto"/>
                                          </w:divBdr>
                                          <w:divsChild>
                                            <w:div w:id="596064421">
                                              <w:marLeft w:val="0"/>
                                              <w:marRight w:val="0"/>
                                              <w:marTop w:val="0"/>
                                              <w:marBottom w:val="450"/>
                                              <w:divBdr>
                                                <w:top w:val="none" w:sz="0" w:space="0" w:color="auto"/>
                                                <w:left w:val="none" w:sz="0" w:space="0" w:color="auto"/>
                                                <w:bottom w:val="none" w:sz="0" w:space="0" w:color="auto"/>
                                                <w:right w:val="none" w:sz="0" w:space="0" w:color="auto"/>
                                              </w:divBdr>
                                              <w:divsChild>
                                                <w:div w:id="376395216">
                                                  <w:marLeft w:val="0"/>
                                                  <w:marRight w:val="0"/>
                                                  <w:marTop w:val="0"/>
                                                  <w:marBottom w:val="75"/>
                                                  <w:divBdr>
                                                    <w:top w:val="none" w:sz="0" w:space="0" w:color="auto"/>
                                                    <w:left w:val="none" w:sz="0" w:space="0" w:color="auto"/>
                                                    <w:bottom w:val="none" w:sz="0" w:space="0" w:color="auto"/>
                                                    <w:right w:val="none" w:sz="0" w:space="0" w:color="auto"/>
                                                  </w:divBdr>
                                                  <w:divsChild>
                                                    <w:div w:id="1899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746344">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965308548">
      <w:bodyDiv w:val="1"/>
      <w:marLeft w:val="0"/>
      <w:marRight w:val="0"/>
      <w:marTop w:val="0"/>
      <w:marBottom w:val="0"/>
      <w:divBdr>
        <w:top w:val="none" w:sz="0" w:space="0" w:color="auto"/>
        <w:left w:val="none" w:sz="0" w:space="0" w:color="auto"/>
        <w:bottom w:val="none" w:sz="0" w:space="0" w:color="auto"/>
        <w:right w:val="none" w:sz="0" w:space="0" w:color="auto"/>
      </w:divBdr>
    </w:div>
    <w:div w:id="1078988741">
      <w:bodyDiv w:val="1"/>
      <w:marLeft w:val="0"/>
      <w:marRight w:val="0"/>
      <w:marTop w:val="0"/>
      <w:marBottom w:val="0"/>
      <w:divBdr>
        <w:top w:val="none" w:sz="0" w:space="0" w:color="auto"/>
        <w:left w:val="none" w:sz="0" w:space="0" w:color="auto"/>
        <w:bottom w:val="none" w:sz="0" w:space="0" w:color="auto"/>
        <w:right w:val="none" w:sz="0" w:space="0" w:color="auto"/>
      </w:divBdr>
    </w:div>
    <w:div w:id="1134644174">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69750468">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696804777">
      <w:bodyDiv w:val="1"/>
      <w:marLeft w:val="0"/>
      <w:marRight w:val="0"/>
      <w:marTop w:val="0"/>
      <w:marBottom w:val="0"/>
      <w:divBdr>
        <w:top w:val="none" w:sz="0" w:space="0" w:color="auto"/>
        <w:left w:val="none" w:sz="0" w:space="0" w:color="auto"/>
        <w:bottom w:val="none" w:sz="0" w:space="0" w:color="auto"/>
        <w:right w:val="none" w:sz="0" w:space="0" w:color="auto"/>
      </w:divBdr>
    </w:div>
    <w:div w:id="1724712928">
      <w:bodyDiv w:val="1"/>
      <w:marLeft w:val="0"/>
      <w:marRight w:val="0"/>
      <w:marTop w:val="0"/>
      <w:marBottom w:val="0"/>
      <w:divBdr>
        <w:top w:val="none" w:sz="0" w:space="0" w:color="auto"/>
        <w:left w:val="none" w:sz="0" w:space="0" w:color="auto"/>
        <w:bottom w:val="none" w:sz="0" w:space="0" w:color="auto"/>
        <w:right w:val="none" w:sz="0" w:space="0" w:color="auto"/>
      </w:divBdr>
      <w:divsChild>
        <w:div w:id="877164909">
          <w:marLeft w:val="0"/>
          <w:marRight w:val="0"/>
          <w:marTop w:val="0"/>
          <w:marBottom w:val="0"/>
          <w:divBdr>
            <w:top w:val="none" w:sz="0" w:space="0" w:color="auto"/>
            <w:left w:val="none" w:sz="0" w:space="0" w:color="auto"/>
            <w:bottom w:val="none" w:sz="0" w:space="0" w:color="auto"/>
            <w:right w:val="none" w:sz="0" w:space="0" w:color="auto"/>
          </w:divBdr>
          <w:divsChild>
            <w:div w:id="1160578383">
              <w:marLeft w:val="0"/>
              <w:marRight w:val="0"/>
              <w:marTop w:val="0"/>
              <w:marBottom w:val="0"/>
              <w:divBdr>
                <w:top w:val="none" w:sz="0" w:space="0" w:color="auto"/>
                <w:left w:val="none" w:sz="0" w:space="0" w:color="auto"/>
                <w:bottom w:val="none" w:sz="0" w:space="0" w:color="auto"/>
                <w:right w:val="none" w:sz="0" w:space="0" w:color="auto"/>
              </w:divBdr>
              <w:divsChild>
                <w:div w:id="648747115">
                  <w:marLeft w:val="0"/>
                  <w:marRight w:val="0"/>
                  <w:marTop w:val="0"/>
                  <w:marBottom w:val="0"/>
                  <w:divBdr>
                    <w:top w:val="none" w:sz="0" w:space="0" w:color="auto"/>
                    <w:left w:val="none" w:sz="0" w:space="0" w:color="auto"/>
                    <w:bottom w:val="none" w:sz="0" w:space="0" w:color="auto"/>
                    <w:right w:val="none" w:sz="0" w:space="0" w:color="auto"/>
                  </w:divBdr>
                  <w:divsChild>
                    <w:div w:id="53893841">
                      <w:marLeft w:val="0"/>
                      <w:marRight w:val="0"/>
                      <w:marTop w:val="0"/>
                      <w:marBottom w:val="0"/>
                      <w:divBdr>
                        <w:top w:val="none" w:sz="0" w:space="0" w:color="auto"/>
                        <w:left w:val="none" w:sz="0" w:space="0" w:color="auto"/>
                        <w:bottom w:val="none" w:sz="0" w:space="0" w:color="auto"/>
                        <w:right w:val="none" w:sz="0" w:space="0" w:color="auto"/>
                      </w:divBdr>
                      <w:divsChild>
                        <w:div w:id="289239485">
                          <w:marLeft w:val="0"/>
                          <w:marRight w:val="0"/>
                          <w:marTop w:val="0"/>
                          <w:marBottom w:val="0"/>
                          <w:divBdr>
                            <w:top w:val="none" w:sz="0" w:space="0" w:color="auto"/>
                            <w:left w:val="none" w:sz="0" w:space="0" w:color="auto"/>
                            <w:bottom w:val="none" w:sz="0" w:space="0" w:color="auto"/>
                            <w:right w:val="none" w:sz="0" w:space="0" w:color="auto"/>
                          </w:divBdr>
                          <w:divsChild>
                            <w:div w:id="397557097">
                              <w:marLeft w:val="0"/>
                              <w:marRight w:val="0"/>
                              <w:marTop w:val="0"/>
                              <w:marBottom w:val="0"/>
                              <w:divBdr>
                                <w:top w:val="none" w:sz="0" w:space="0" w:color="auto"/>
                                <w:left w:val="none" w:sz="0" w:space="0" w:color="auto"/>
                                <w:bottom w:val="none" w:sz="0" w:space="0" w:color="auto"/>
                                <w:right w:val="none" w:sz="0" w:space="0" w:color="auto"/>
                              </w:divBdr>
                              <w:divsChild>
                                <w:div w:id="1268732707">
                                  <w:marLeft w:val="0"/>
                                  <w:marRight w:val="0"/>
                                  <w:marTop w:val="0"/>
                                  <w:marBottom w:val="0"/>
                                  <w:divBdr>
                                    <w:top w:val="none" w:sz="0" w:space="0" w:color="auto"/>
                                    <w:left w:val="none" w:sz="0" w:space="0" w:color="auto"/>
                                    <w:bottom w:val="none" w:sz="0" w:space="0" w:color="auto"/>
                                    <w:right w:val="none" w:sz="0" w:space="0" w:color="auto"/>
                                  </w:divBdr>
                                  <w:divsChild>
                                    <w:div w:id="250702824">
                                      <w:marLeft w:val="0"/>
                                      <w:marRight w:val="0"/>
                                      <w:marTop w:val="0"/>
                                      <w:marBottom w:val="0"/>
                                      <w:divBdr>
                                        <w:top w:val="none" w:sz="0" w:space="0" w:color="auto"/>
                                        <w:left w:val="none" w:sz="0" w:space="0" w:color="auto"/>
                                        <w:bottom w:val="none" w:sz="0" w:space="0" w:color="auto"/>
                                        <w:right w:val="none" w:sz="0" w:space="0" w:color="auto"/>
                                      </w:divBdr>
                                      <w:divsChild>
                                        <w:div w:id="1826504976">
                                          <w:marLeft w:val="0"/>
                                          <w:marRight w:val="0"/>
                                          <w:marTop w:val="0"/>
                                          <w:marBottom w:val="0"/>
                                          <w:divBdr>
                                            <w:top w:val="none" w:sz="0" w:space="0" w:color="auto"/>
                                            <w:left w:val="none" w:sz="0" w:space="0" w:color="auto"/>
                                            <w:bottom w:val="none" w:sz="0" w:space="0" w:color="auto"/>
                                            <w:right w:val="none" w:sz="0" w:space="0" w:color="auto"/>
                                          </w:divBdr>
                                          <w:divsChild>
                                            <w:div w:id="36900427">
                                              <w:marLeft w:val="0"/>
                                              <w:marRight w:val="0"/>
                                              <w:marTop w:val="0"/>
                                              <w:marBottom w:val="0"/>
                                              <w:divBdr>
                                                <w:top w:val="none" w:sz="0" w:space="0" w:color="auto"/>
                                                <w:left w:val="none" w:sz="0" w:space="0" w:color="auto"/>
                                                <w:bottom w:val="none" w:sz="0" w:space="0" w:color="auto"/>
                                                <w:right w:val="none" w:sz="0" w:space="0" w:color="auto"/>
                                              </w:divBdr>
                                              <w:divsChild>
                                                <w:div w:id="230627853">
                                                  <w:marLeft w:val="0"/>
                                                  <w:marRight w:val="0"/>
                                                  <w:marTop w:val="0"/>
                                                  <w:marBottom w:val="0"/>
                                                  <w:divBdr>
                                                    <w:top w:val="none" w:sz="0" w:space="0" w:color="auto"/>
                                                    <w:left w:val="none" w:sz="0" w:space="0" w:color="auto"/>
                                                    <w:bottom w:val="none" w:sz="0" w:space="0" w:color="auto"/>
                                                    <w:right w:val="none" w:sz="0" w:space="0" w:color="auto"/>
                                                  </w:divBdr>
                                                  <w:divsChild>
                                                    <w:div w:id="479228679">
                                                      <w:marLeft w:val="0"/>
                                                      <w:marRight w:val="0"/>
                                                      <w:marTop w:val="0"/>
                                                      <w:marBottom w:val="0"/>
                                                      <w:divBdr>
                                                        <w:top w:val="none" w:sz="0" w:space="0" w:color="auto"/>
                                                        <w:left w:val="none" w:sz="0" w:space="0" w:color="auto"/>
                                                        <w:bottom w:val="none" w:sz="0" w:space="0" w:color="auto"/>
                                                        <w:right w:val="none" w:sz="0" w:space="0" w:color="auto"/>
                                                      </w:divBdr>
                                                      <w:divsChild>
                                                        <w:div w:id="1143890972">
                                                          <w:marLeft w:val="0"/>
                                                          <w:marRight w:val="0"/>
                                                          <w:marTop w:val="0"/>
                                                          <w:marBottom w:val="0"/>
                                                          <w:divBdr>
                                                            <w:top w:val="none" w:sz="0" w:space="0" w:color="auto"/>
                                                            <w:left w:val="none" w:sz="0" w:space="0" w:color="auto"/>
                                                            <w:bottom w:val="none" w:sz="0" w:space="0" w:color="auto"/>
                                                            <w:right w:val="none" w:sz="0" w:space="0" w:color="auto"/>
                                                          </w:divBdr>
                                                          <w:divsChild>
                                                            <w:div w:id="50690008">
                                                              <w:marLeft w:val="0"/>
                                                              <w:marRight w:val="0"/>
                                                              <w:marTop w:val="0"/>
                                                              <w:marBottom w:val="0"/>
                                                              <w:divBdr>
                                                                <w:top w:val="none" w:sz="0" w:space="0" w:color="auto"/>
                                                                <w:left w:val="none" w:sz="0" w:space="0" w:color="auto"/>
                                                                <w:bottom w:val="none" w:sz="0" w:space="0" w:color="auto"/>
                                                                <w:right w:val="none" w:sz="0" w:space="0" w:color="auto"/>
                                                              </w:divBdr>
                                                              <w:divsChild>
                                                                <w:div w:id="19722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3628">
                                                          <w:marLeft w:val="0"/>
                                                          <w:marRight w:val="0"/>
                                                          <w:marTop w:val="0"/>
                                                          <w:marBottom w:val="0"/>
                                                          <w:divBdr>
                                                            <w:top w:val="none" w:sz="0" w:space="0" w:color="auto"/>
                                                            <w:left w:val="none" w:sz="0" w:space="0" w:color="auto"/>
                                                            <w:bottom w:val="none" w:sz="0" w:space="0" w:color="auto"/>
                                                            <w:right w:val="none" w:sz="0" w:space="0" w:color="auto"/>
                                                          </w:divBdr>
                                                          <w:divsChild>
                                                            <w:div w:id="7367657">
                                                              <w:marLeft w:val="0"/>
                                                              <w:marRight w:val="0"/>
                                                              <w:marTop w:val="0"/>
                                                              <w:marBottom w:val="0"/>
                                                              <w:divBdr>
                                                                <w:top w:val="none" w:sz="0" w:space="0" w:color="auto"/>
                                                                <w:left w:val="none" w:sz="0" w:space="0" w:color="auto"/>
                                                                <w:bottom w:val="none" w:sz="0" w:space="0" w:color="auto"/>
                                                                <w:right w:val="none" w:sz="0" w:space="0" w:color="auto"/>
                                                              </w:divBdr>
                                                              <w:divsChild>
                                                                <w:div w:id="7261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680">
                                                          <w:marLeft w:val="0"/>
                                                          <w:marRight w:val="0"/>
                                                          <w:marTop w:val="0"/>
                                                          <w:marBottom w:val="0"/>
                                                          <w:divBdr>
                                                            <w:top w:val="none" w:sz="0" w:space="0" w:color="auto"/>
                                                            <w:left w:val="none" w:sz="0" w:space="0" w:color="auto"/>
                                                            <w:bottom w:val="none" w:sz="0" w:space="0" w:color="auto"/>
                                                            <w:right w:val="none" w:sz="0" w:space="0" w:color="auto"/>
                                                          </w:divBdr>
                                                          <w:divsChild>
                                                            <w:div w:id="1625041398">
                                                              <w:marLeft w:val="0"/>
                                                              <w:marRight w:val="0"/>
                                                              <w:marTop w:val="0"/>
                                                              <w:marBottom w:val="0"/>
                                                              <w:divBdr>
                                                                <w:top w:val="none" w:sz="0" w:space="0" w:color="auto"/>
                                                                <w:left w:val="none" w:sz="0" w:space="0" w:color="auto"/>
                                                                <w:bottom w:val="none" w:sz="0" w:space="0" w:color="auto"/>
                                                                <w:right w:val="none" w:sz="0" w:space="0" w:color="auto"/>
                                                              </w:divBdr>
                                                              <w:divsChild>
                                                                <w:div w:id="11537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507">
                                                          <w:marLeft w:val="0"/>
                                                          <w:marRight w:val="0"/>
                                                          <w:marTop w:val="0"/>
                                                          <w:marBottom w:val="0"/>
                                                          <w:divBdr>
                                                            <w:top w:val="none" w:sz="0" w:space="0" w:color="auto"/>
                                                            <w:left w:val="none" w:sz="0" w:space="0" w:color="auto"/>
                                                            <w:bottom w:val="none" w:sz="0" w:space="0" w:color="auto"/>
                                                            <w:right w:val="none" w:sz="0" w:space="0" w:color="auto"/>
                                                          </w:divBdr>
                                                          <w:divsChild>
                                                            <w:div w:id="9466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720332">
      <w:bodyDiv w:val="1"/>
      <w:marLeft w:val="0"/>
      <w:marRight w:val="0"/>
      <w:marTop w:val="0"/>
      <w:marBottom w:val="0"/>
      <w:divBdr>
        <w:top w:val="none" w:sz="0" w:space="0" w:color="auto"/>
        <w:left w:val="none" w:sz="0" w:space="0" w:color="auto"/>
        <w:bottom w:val="none" w:sz="0" w:space="0" w:color="auto"/>
        <w:right w:val="none" w:sz="0" w:space="0" w:color="auto"/>
      </w:divBdr>
    </w:div>
    <w:div w:id="1775200755">
      <w:bodyDiv w:val="1"/>
      <w:marLeft w:val="0"/>
      <w:marRight w:val="0"/>
      <w:marTop w:val="0"/>
      <w:marBottom w:val="0"/>
      <w:divBdr>
        <w:top w:val="none" w:sz="0" w:space="0" w:color="auto"/>
        <w:left w:val="none" w:sz="0" w:space="0" w:color="auto"/>
        <w:bottom w:val="none" w:sz="0" w:space="0" w:color="auto"/>
        <w:right w:val="none" w:sz="0" w:space="0" w:color="auto"/>
      </w:divBdr>
    </w:div>
    <w:div w:id="1799951239">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 w:id="1914199858">
      <w:bodyDiv w:val="1"/>
      <w:marLeft w:val="0"/>
      <w:marRight w:val="0"/>
      <w:marTop w:val="0"/>
      <w:marBottom w:val="0"/>
      <w:divBdr>
        <w:top w:val="none" w:sz="0" w:space="0" w:color="auto"/>
        <w:left w:val="none" w:sz="0" w:space="0" w:color="auto"/>
        <w:bottom w:val="none" w:sz="0" w:space="0" w:color="auto"/>
        <w:right w:val="none" w:sz="0" w:space="0" w:color="auto"/>
      </w:divBdr>
    </w:div>
    <w:div w:id="1949894778">
      <w:bodyDiv w:val="1"/>
      <w:marLeft w:val="0"/>
      <w:marRight w:val="0"/>
      <w:marTop w:val="0"/>
      <w:marBottom w:val="0"/>
      <w:divBdr>
        <w:top w:val="none" w:sz="0" w:space="0" w:color="auto"/>
        <w:left w:val="none" w:sz="0" w:space="0" w:color="auto"/>
        <w:bottom w:val="none" w:sz="0" w:space="0" w:color="auto"/>
        <w:right w:val="none" w:sz="0" w:space="0" w:color="auto"/>
      </w:divBdr>
    </w:div>
    <w:div w:id="1953710179">
      <w:bodyDiv w:val="1"/>
      <w:marLeft w:val="0"/>
      <w:marRight w:val="0"/>
      <w:marTop w:val="0"/>
      <w:marBottom w:val="0"/>
      <w:divBdr>
        <w:top w:val="none" w:sz="0" w:space="0" w:color="auto"/>
        <w:left w:val="none" w:sz="0" w:space="0" w:color="auto"/>
        <w:bottom w:val="none" w:sz="0" w:space="0" w:color="auto"/>
        <w:right w:val="none" w:sz="0" w:space="0" w:color="auto"/>
      </w:divBdr>
    </w:div>
    <w:div w:id="2027175744">
      <w:bodyDiv w:val="1"/>
      <w:marLeft w:val="0"/>
      <w:marRight w:val="0"/>
      <w:marTop w:val="0"/>
      <w:marBottom w:val="0"/>
      <w:divBdr>
        <w:top w:val="none" w:sz="0" w:space="0" w:color="auto"/>
        <w:left w:val="none" w:sz="0" w:space="0" w:color="auto"/>
        <w:bottom w:val="none" w:sz="0" w:space="0" w:color="auto"/>
        <w:right w:val="none" w:sz="0" w:space="0" w:color="auto"/>
      </w:divBdr>
    </w:div>
    <w:div w:id="2049061232">
      <w:bodyDiv w:val="1"/>
      <w:marLeft w:val="0"/>
      <w:marRight w:val="0"/>
      <w:marTop w:val="0"/>
      <w:marBottom w:val="0"/>
      <w:divBdr>
        <w:top w:val="none" w:sz="0" w:space="0" w:color="auto"/>
        <w:left w:val="none" w:sz="0" w:space="0" w:color="auto"/>
        <w:bottom w:val="none" w:sz="0" w:space="0" w:color="auto"/>
        <w:right w:val="none" w:sz="0" w:space="0" w:color="auto"/>
      </w:divBdr>
    </w:div>
    <w:div w:id="20703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ygov.scot/pvg-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pc.scot/professiona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hshighland.scot.nhs.uk/yourhealth/pages/adultsupportandprotection.aspx" TargetMode="External"/><Relationship Id="rId4" Type="http://schemas.openxmlformats.org/officeDocument/2006/relationships/settings" Target="settings.xml"/><Relationship Id="rId9" Type="http://schemas.openxmlformats.org/officeDocument/2006/relationships/hyperlink" Target="https://hcpc.scot/"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DF0E-0A3F-460A-8FCF-81FE1036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12</Pages>
  <Words>3784</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High Life Highland</cp:lastModifiedBy>
  <cp:revision>20</cp:revision>
  <cp:lastPrinted>2020-06-04T07:44:00Z</cp:lastPrinted>
  <dcterms:created xsi:type="dcterms:W3CDTF">2020-11-16T09:34:00Z</dcterms:created>
  <dcterms:modified xsi:type="dcterms:W3CDTF">2020-11-30T11:55:00Z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