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B84929" w:rsidRPr="0089449E" w14:paraId="568A6F17" w14:textId="77777777" w:rsidTr="00DE1E6C">
        <w:trPr>
          <w:cantSplit/>
          <w:trHeight w:val="993"/>
        </w:trPr>
        <w:tc>
          <w:tcPr>
            <w:tcW w:w="6629" w:type="dxa"/>
          </w:tcPr>
          <w:p w14:paraId="45B88BAC" w14:textId="77777777"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1095B06D" w:rsidR="002B7DC4" w:rsidRPr="00403D5C" w:rsidRDefault="000D0E65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SEPTEMBER</w:t>
            </w:r>
            <w:r w:rsidR="00F023FF">
              <w:rPr>
                <w:rFonts w:ascii="Arial" w:hAnsi="Arial" w:cs="Arial"/>
                <w:szCs w:val="24"/>
              </w:rPr>
              <w:t xml:space="preserve"> </w:t>
            </w:r>
            <w:r w:rsidR="00F31E49" w:rsidRPr="00403D5C">
              <w:rPr>
                <w:rFonts w:ascii="Arial" w:hAnsi="Arial" w:cs="Arial"/>
                <w:szCs w:val="24"/>
              </w:rPr>
              <w:t>2021</w:t>
            </w:r>
          </w:p>
          <w:p w14:paraId="145F0227" w14:textId="77777777"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1BE26005" w14:textId="302322A8" w:rsidR="00B84929" w:rsidRPr="0089449E" w:rsidRDefault="00B84929" w:rsidP="00615DE0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AGENDA ITEM</w:t>
            </w:r>
            <w:r w:rsidR="00306BAA">
              <w:rPr>
                <w:rFonts w:ascii="Arial" w:hAnsi="Arial" w:cs="Arial"/>
                <w:szCs w:val="24"/>
              </w:rPr>
              <w:t xml:space="preserve"> </w:t>
            </w:r>
            <w:r w:rsidR="00615DE0">
              <w:rPr>
                <w:rFonts w:ascii="Arial" w:hAnsi="Arial" w:cs="Arial"/>
                <w:szCs w:val="24"/>
              </w:rPr>
              <w:t xml:space="preserve"> </w:t>
            </w:r>
            <w:r w:rsidRPr="0089449E">
              <w:rPr>
                <w:rFonts w:ascii="Arial" w:hAnsi="Arial" w:cs="Arial"/>
                <w:szCs w:val="24"/>
              </w:rPr>
              <w:t xml:space="preserve">    REPORT No HLH</w:t>
            </w:r>
            <w:r w:rsidR="00403D5C">
              <w:rPr>
                <w:rFonts w:ascii="Arial" w:hAnsi="Arial" w:cs="Arial"/>
                <w:szCs w:val="24"/>
              </w:rPr>
              <w:t xml:space="preserve">/ </w:t>
            </w:r>
            <w:r w:rsidR="00615DE0">
              <w:rPr>
                <w:rFonts w:ascii="Arial" w:hAnsi="Arial" w:cs="Arial"/>
                <w:szCs w:val="24"/>
              </w:rPr>
              <w:t xml:space="preserve">  </w:t>
            </w:r>
            <w:r w:rsidRPr="0089449E">
              <w:rPr>
                <w:rFonts w:ascii="Arial" w:hAnsi="Arial" w:cs="Arial"/>
                <w:szCs w:val="24"/>
              </w:rPr>
              <w:t>/</w:t>
            </w:r>
            <w:r w:rsidR="00257BA7">
              <w:rPr>
                <w:rFonts w:ascii="Arial" w:hAnsi="Arial" w:cs="Arial"/>
                <w:szCs w:val="24"/>
              </w:rPr>
              <w:t>2</w:t>
            </w:r>
            <w:r w:rsidR="00F31E49"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17D4A5F1" w14:textId="0AFA3289" w:rsidR="0039450A" w:rsidRPr="0089449E" w:rsidRDefault="00A37624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caps/>
          <w:szCs w:val="24"/>
          <w:u w:val="none"/>
        </w:rPr>
        <w:t>HLH BOARD AND COMMITTEE MEETING FORMAT</w:t>
      </w:r>
      <w:r w:rsidR="00050D2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89449E">
        <w:rPr>
          <w:rFonts w:ascii="Arial" w:hAnsi="Arial" w:cs="Arial"/>
          <w:b/>
          <w:szCs w:val="24"/>
          <w:u w:val="none"/>
        </w:rPr>
        <w:t>-</w:t>
      </w:r>
      <w:r w:rsidR="00050D2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89449E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18"/>
      </w:tblGrid>
      <w:tr w:rsidR="0039450A" w:rsidRPr="0089449E" w14:paraId="04FEA71B" w14:textId="77777777" w:rsidTr="00F31E49">
        <w:trPr>
          <w:cantSplit/>
        </w:trPr>
        <w:tc>
          <w:tcPr>
            <w:tcW w:w="9469" w:type="dxa"/>
            <w:gridSpan w:val="2"/>
          </w:tcPr>
          <w:p w14:paraId="0A5CAF4C" w14:textId="77777777" w:rsidR="0039450A" w:rsidRPr="0089449E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20BD99D4" w14:textId="77777777" w:rsidR="002B7DC4" w:rsidRPr="0089449E" w:rsidRDefault="002B7DC4" w:rsidP="002B7DC4">
            <w:pPr>
              <w:rPr>
                <w:rFonts w:ascii="Arial" w:hAnsi="Arial" w:cs="Arial"/>
              </w:rPr>
            </w:pPr>
          </w:p>
          <w:p w14:paraId="24C31BBB" w14:textId="67038BF6" w:rsidR="005C13D9" w:rsidRPr="00B12C74" w:rsidRDefault="00050D22" w:rsidP="00050D22">
            <w:pPr>
              <w:jc w:val="both"/>
              <w:rPr>
                <w:rFonts w:ascii="Arial" w:hAnsi="Arial" w:cs="Arial"/>
                <w:szCs w:val="24"/>
              </w:rPr>
            </w:pPr>
            <w:r w:rsidRPr="008711E9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37624">
              <w:rPr>
                <w:rFonts w:ascii="Arial" w:hAnsi="Arial" w:cs="Arial"/>
                <w:szCs w:val="24"/>
              </w:rPr>
              <w:t xml:space="preserve">consider </w:t>
            </w:r>
            <w:r w:rsidR="00EC60DC">
              <w:rPr>
                <w:rFonts w:ascii="Arial" w:hAnsi="Arial" w:cs="Arial"/>
                <w:szCs w:val="24"/>
              </w:rPr>
              <w:t xml:space="preserve">the future format of </w:t>
            </w:r>
            <w:r w:rsidR="00A37624">
              <w:rPr>
                <w:rFonts w:ascii="Arial" w:hAnsi="Arial" w:cs="Arial"/>
                <w:szCs w:val="24"/>
              </w:rPr>
              <w:t xml:space="preserve">meetings across the Charity as </w:t>
            </w:r>
            <w:r w:rsidR="00EC60DC">
              <w:rPr>
                <w:rFonts w:ascii="Arial" w:hAnsi="Arial" w:cs="Arial"/>
                <w:szCs w:val="24"/>
              </w:rPr>
              <w:t>it</w:t>
            </w:r>
            <w:r w:rsidR="00CF6A36">
              <w:rPr>
                <w:rFonts w:ascii="Arial" w:hAnsi="Arial" w:cs="Arial"/>
                <w:szCs w:val="24"/>
              </w:rPr>
              <w:t xml:space="preserve"> </w:t>
            </w:r>
            <w:r w:rsidR="00A37624">
              <w:rPr>
                <w:rFonts w:ascii="Arial" w:hAnsi="Arial" w:cs="Arial"/>
                <w:szCs w:val="24"/>
              </w:rPr>
              <w:t>come</w:t>
            </w:r>
            <w:r w:rsidR="00EC60DC">
              <w:rPr>
                <w:rFonts w:ascii="Arial" w:hAnsi="Arial" w:cs="Arial"/>
                <w:szCs w:val="24"/>
              </w:rPr>
              <w:t>s</w:t>
            </w:r>
            <w:r w:rsidR="00A37624">
              <w:rPr>
                <w:rFonts w:ascii="Arial" w:hAnsi="Arial" w:cs="Arial"/>
                <w:szCs w:val="24"/>
              </w:rPr>
              <w:t xml:space="preserve"> out of the pandemic period.</w:t>
            </w:r>
          </w:p>
          <w:p w14:paraId="6C0B93DF" w14:textId="77777777" w:rsidR="00790E27" w:rsidRPr="00B12C74" w:rsidRDefault="00790E27" w:rsidP="00050D2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7549CA" w14:textId="5A2E4254" w:rsidR="00690507" w:rsidRDefault="00690507" w:rsidP="00A3762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recommended </w:t>
            </w:r>
            <w:r w:rsidR="00631C9D">
              <w:rPr>
                <w:rFonts w:ascii="Arial" w:hAnsi="Arial" w:cs="Arial"/>
                <w:szCs w:val="24"/>
              </w:rPr>
              <w:t xml:space="preserve">that </w:t>
            </w:r>
            <w:r w:rsidR="00EA1FF4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irectors</w:t>
            </w:r>
            <w:r w:rsidR="00762379">
              <w:rPr>
                <w:rFonts w:ascii="Arial" w:hAnsi="Arial" w:cs="Arial"/>
                <w:szCs w:val="24"/>
              </w:rPr>
              <w:t xml:space="preserve"> </w:t>
            </w:r>
            <w:r w:rsidR="00A37624">
              <w:rPr>
                <w:rFonts w:ascii="Arial" w:hAnsi="Arial" w:cs="Arial"/>
                <w:szCs w:val="24"/>
              </w:rPr>
              <w:t>comment on proposals prior to preparation of the 2022 Board meeting calendar.</w:t>
            </w:r>
          </w:p>
          <w:p w14:paraId="77A80CC4" w14:textId="1EBA26F5" w:rsidR="00A37624" w:rsidRPr="00762379" w:rsidRDefault="00A37624" w:rsidP="00A3762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 w14:paraId="3341E083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03F6128" w14:textId="77777777" w:rsidR="00A53534" w:rsidRPr="0089449E" w:rsidRDefault="008B4D54" w:rsidP="006D420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18" w:type="dxa"/>
          </w:tcPr>
          <w:p w14:paraId="4A7F3DAE" w14:textId="77777777" w:rsidR="00A53534" w:rsidRPr="0089449E" w:rsidRDefault="00A53534" w:rsidP="006D4204">
            <w:pPr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0E6E29AF" w14:textId="77777777" w:rsidR="00A53534" w:rsidRPr="0089449E" w:rsidRDefault="00A53534" w:rsidP="006D4204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89449E" w14:paraId="07DE4C72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7161EF" w:rsidRDefault="008B4D54" w:rsidP="006D42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18" w:type="dxa"/>
          </w:tcPr>
          <w:p w14:paraId="485EE6FB" w14:textId="77777777" w:rsidR="00B26FE3" w:rsidRDefault="00B26FE3" w:rsidP="00B17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supports the </w:t>
            </w:r>
            <w:r w:rsidR="004973CD">
              <w:rPr>
                <w:rFonts w:ascii="Arial" w:hAnsi="Arial" w:cs="Arial"/>
              </w:rPr>
              <w:t xml:space="preserve">highlighted </w:t>
            </w:r>
            <w:r>
              <w:rPr>
                <w:rFonts w:ascii="Arial" w:hAnsi="Arial" w:cs="Arial"/>
              </w:rPr>
              <w:t>Business Outcomes from the High Life Highland (HLH) Business Plan:</w:t>
            </w:r>
          </w:p>
          <w:p w14:paraId="7BCFF4FC" w14:textId="77777777" w:rsidR="00B26FE3" w:rsidRDefault="00B26FE3" w:rsidP="00B176A2">
            <w:pPr>
              <w:jc w:val="both"/>
              <w:rPr>
                <w:rFonts w:ascii="Arial" w:hAnsi="Arial" w:cs="Arial"/>
              </w:rPr>
            </w:pPr>
          </w:p>
          <w:p w14:paraId="73F66FFD" w14:textId="77777777" w:rsidR="004A104C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Sustain a high standard of health and safety, and environmental performance</w:t>
            </w:r>
          </w:p>
          <w:p w14:paraId="50333445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Implement the Service Delivery Contract with THC</w:t>
            </w:r>
          </w:p>
          <w:p w14:paraId="5769228B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Improving customer engagement and satisfaction</w:t>
            </w:r>
          </w:p>
          <w:p w14:paraId="775F026A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Improving staff engagement and satisfaction</w:t>
            </w:r>
          </w:p>
          <w:p w14:paraId="12EC8722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Enhance the positive charity image</w:t>
            </w:r>
          </w:p>
          <w:p w14:paraId="1708E91D" w14:textId="77777777" w:rsidR="004A104C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 a trusted and effective partner</w:t>
            </w:r>
          </w:p>
          <w:p w14:paraId="4BE3B522" w14:textId="77777777" w:rsidR="004A104C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Achieve sustainable growth across the organisation</w:t>
            </w:r>
          </w:p>
          <w:p w14:paraId="79A8AAA5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Develop health and wellbeing across Highland communities</w:t>
            </w:r>
          </w:p>
          <w:p w14:paraId="56A77F37" w14:textId="77777777" w:rsidR="004A104C" w:rsidRPr="000330B6" w:rsidRDefault="004A104C" w:rsidP="00B176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Develop and promote the High Life brand</w:t>
            </w:r>
          </w:p>
          <w:p w14:paraId="72C843CF" w14:textId="77777777" w:rsidR="002A11C0" w:rsidRPr="0089449E" w:rsidRDefault="002A11C0" w:rsidP="00B176A2">
            <w:pPr>
              <w:pStyle w:val="ListParagraph"/>
              <w:spacing w:after="0" w:line="240" w:lineRule="auto"/>
              <w:ind w:left="819"/>
              <w:jc w:val="both"/>
              <w:rPr>
                <w:rFonts w:ascii="Arial" w:hAnsi="Arial" w:cs="Arial"/>
                <w:b/>
              </w:rPr>
            </w:pPr>
          </w:p>
        </w:tc>
      </w:tr>
      <w:tr w:rsidR="00B176A2" w:rsidRPr="0089449E" w14:paraId="71A2CFEB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1F4B7BCB" w14:textId="5DC1B6F7" w:rsidR="00B176A2" w:rsidRPr="00274A4D" w:rsidRDefault="0004312D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B176A2" w:rsidRPr="00274A4D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18" w:type="dxa"/>
          </w:tcPr>
          <w:p w14:paraId="36ED75D4" w14:textId="49531644" w:rsidR="0004312D" w:rsidRPr="0004312D" w:rsidRDefault="00906B31" w:rsidP="000431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  <w:p w14:paraId="2DD8CFA6" w14:textId="34514419" w:rsidR="00B176A2" w:rsidRPr="0066014B" w:rsidRDefault="00B176A2" w:rsidP="000431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3223B" w:rsidRPr="0089449E" w14:paraId="699378FA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A5D955F" w14:textId="5218ACF2" w:rsidR="0003223B" w:rsidRDefault="0004312D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03223B">
              <w:rPr>
                <w:rFonts w:ascii="Arial" w:hAnsi="Arial" w:cs="Arial"/>
                <w:bCs/>
                <w:szCs w:val="24"/>
              </w:rPr>
              <w:t>.1</w:t>
            </w:r>
          </w:p>
          <w:p w14:paraId="0CB69926" w14:textId="77777777" w:rsidR="00465D71" w:rsidRDefault="00465D7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1F92B140" w14:textId="77777777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9D2022A" w14:textId="77777777" w:rsidR="00EC60DC" w:rsidRDefault="00EC60DC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28CFA054" w14:textId="23F785BA" w:rsidR="00906B31" w:rsidRPr="0003223B" w:rsidRDefault="00906B31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2.2</w:t>
            </w:r>
          </w:p>
        </w:tc>
        <w:tc>
          <w:tcPr>
            <w:tcW w:w="8618" w:type="dxa"/>
          </w:tcPr>
          <w:p w14:paraId="17C5DFCD" w14:textId="27528650" w:rsidR="00906B31" w:rsidRDefault="00906B31" w:rsidP="00F023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the pandemic period all 2020 and 2021 Board and Committees were unable to meet physically, moving to an online format</w:t>
            </w:r>
            <w:r w:rsidR="00EC60DC">
              <w:rPr>
                <w:rFonts w:ascii="Arial" w:hAnsi="Arial" w:cs="Arial"/>
              </w:rPr>
              <w:t xml:space="preserve"> using the Microsoft Teams platform</w:t>
            </w:r>
            <w:r>
              <w:rPr>
                <w:rFonts w:ascii="Arial" w:hAnsi="Arial" w:cs="Arial"/>
              </w:rPr>
              <w:t>.</w:t>
            </w:r>
          </w:p>
          <w:p w14:paraId="1030CB6A" w14:textId="77777777" w:rsidR="00906B31" w:rsidRDefault="00906B31" w:rsidP="00F023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D6161DF" w14:textId="77777777" w:rsidR="00F023FF" w:rsidRDefault="00906B31" w:rsidP="00F023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restrictions ease and there is a return to normality, the meeting format has been reviewed.</w:t>
            </w:r>
          </w:p>
          <w:p w14:paraId="40467215" w14:textId="5E2ADCB1" w:rsidR="00906B31" w:rsidRPr="00A37624" w:rsidRDefault="00906B31" w:rsidP="00F023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17FEE" w:rsidRPr="00CD29D1" w14:paraId="17E425CF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3E8AAE" w14:textId="509CDFF6" w:rsidR="00717FEE" w:rsidRPr="00717FEE" w:rsidRDefault="00A37624" w:rsidP="00416BFF">
            <w:pPr>
              <w:rPr>
                <w:rFonts w:ascii="Arial" w:hAnsi="Arial" w:cs="Arial"/>
                <w:b/>
                <w:szCs w:val="24"/>
              </w:rPr>
            </w:pPr>
            <w:bookmarkStart w:id="0" w:name="_Hlk77757079"/>
            <w:r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8618" w:type="dxa"/>
          </w:tcPr>
          <w:p w14:paraId="198CF6CC" w14:textId="4EC0EA05" w:rsidR="00717FEE" w:rsidRPr="003A1E39" w:rsidRDefault="003A1E39" w:rsidP="003A1E39">
            <w:pPr>
              <w:jc w:val="both"/>
              <w:rPr>
                <w:rFonts w:ascii="Arial" w:hAnsi="Arial" w:cs="Arial"/>
                <w:b/>
              </w:rPr>
            </w:pPr>
            <w:r w:rsidRPr="003A1E39">
              <w:rPr>
                <w:rFonts w:ascii="Arial" w:hAnsi="Arial" w:cs="Arial"/>
                <w:b/>
              </w:rPr>
              <w:t xml:space="preserve">HLH Board and Committee meeting format </w:t>
            </w:r>
            <w:r w:rsidR="00906B31">
              <w:rPr>
                <w:rFonts w:ascii="Arial" w:hAnsi="Arial" w:cs="Arial"/>
                <w:b/>
              </w:rPr>
              <w:t>2022</w:t>
            </w:r>
          </w:p>
          <w:p w14:paraId="4E5B193D" w14:textId="75856552" w:rsidR="003A1E39" w:rsidRPr="003A1E39" w:rsidRDefault="003A1E39" w:rsidP="003A1E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7FEE" w:rsidRPr="00CD29D1" w14:paraId="5FB92585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46A0235" w14:textId="77777777" w:rsidR="00717FEE" w:rsidRDefault="00A37624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3.1</w:t>
            </w:r>
          </w:p>
          <w:p w14:paraId="13EDF36F" w14:textId="77777777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D7E7AB9" w14:textId="77777777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76E4789" w14:textId="77777777" w:rsidR="00002DB9" w:rsidRDefault="00002DB9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4005885" w14:textId="77777777" w:rsidR="00002DB9" w:rsidRDefault="00002DB9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01D5A488" w14:textId="1697AE24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3.2</w:t>
            </w:r>
          </w:p>
          <w:p w14:paraId="6770F707" w14:textId="77777777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7617260" w14:textId="3DCD8EEE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11F10AB8" w14:textId="6734E88B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73CA0312" w14:textId="27E4BCEE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0D30C5D0" w14:textId="23217DC1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6E209A3" w14:textId="389898B8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12790E7" w14:textId="75EEC163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37DDA24" w14:textId="77777777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7296ABC" w14:textId="122978D1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</w:t>
            </w:r>
          </w:p>
          <w:p w14:paraId="3D0485F3" w14:textId="77777777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46566B5D" w14:textId="77777777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489D5EA9" w14:textId="068F7D96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49D1A44E" w14:textId="77777777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3966F56B" w14:textId="5CE11789" w:rsidR="00A37624" w:rsidRDefault="00A37624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3.4</w:t>
            </w:r>
          </w:p>
          <w:p w14:paraId="1B180F41" w14:textId="77777777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00AC3B44" w14:textId="77777777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0A25D2FC" w14:textId="5478F106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3EC3599B" w14:textId="77777777" w:rsidR="0033558A" w:rsidRDefault="0033558A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0D1645DA" w14:textId="77777777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B10CA34" w14:textId="77777777" w:rsidR="00F90D23" w:rsidRDefault="00F90D23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1D7F038A" w14:textId="77777777" w:rsidR="00F90D23" w:rsidRDefault="00F90D23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7BE3EE1B" w14:textId="584C103B" w:rsidR="00906B31" w:rsidRDefault="00906B31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3.5</w:t>
            </w:r>
          </w:p>
          <w:p w14:paraId="79179D11" w14:textId="19F19C20" w:rsidR="0028682C" w:rsidRDefault="0028682C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4FF3058" w14:textId="2CEE8D11" w:rsidR="0028682C" w:rsidRDefault="0028682C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6A68AA2" w14:textId="4E21514D" w:rsidR="0028682C" w:rsidRDefault="0028682C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F38D8C0" w14:textId="1E75053C" w:rsidR="0028682C" w:rsidRDefault="0028682C" w:rsidP="00416BF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3.6</w:t>
            </w:r>
          </w:p>
          <w:p w14:paraId="13F51E65" w14:textId="77777777" w:rsidR="00CF6A36" w:rsidRDefault="00CF6A36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1CC1F5F3" w14:textId="77777777" w:rsidR="00CF6A36" w:rsidRDefault="00CF6A36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5717E82E" w14:textId="77777777" w:rsidR="00CF6A36" w:rsidRDefault="00CF6A36" w:rsidP="00416BFF">
            <w:pPr>
              <w:rPr>
                <w:rFonts w:ascii="Arial" w:hAnsi="Arial" w:cs="Arial"/>
                <w:bCs/>
                <w:szCs w:val="24"/>
              </w:rPr>
            </w:pPr>
          </w:p>
          <w:p w14:paraId="614C3D7E" w14:textId="055D46C4" w:rsidR="00CF6A36" w:rsidRDefault="00CF6A36" w:rsidP="00416BF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618" w:type="dxa"/>
          </w:tcPr>
          <w:p w14:paraId="1CEDDFA8" w14:textId="14BD4CF0" w:rsidR="00A93F53" w:rsidRPr="0033558A" w:rsidRDefault="00002DB9" w:rsidP="003A1E39">
            <w:pPr>
              <w:jc w:val="both"/>
              <w:rPr>
                <w:rFonts w:ascii="Arial" w:hAnsi="Arial" w:cs="Arial"/>
                <w:szCs w:val="24"/>
              </w:rPr>
            </w:pPr>
            <w:r w:rsidRPr="0033558A">
              <w:rPr>
                <w:rFonts w:ascii="Arial" w:hAnsi="Arial" w:cs="Arial"/>
                <w:szCs w:val="24"/>
              </w:rPr>
              <w:lastRenderedPageBreak/>
              <w:t xml:space="preserve">Consideration has been given to the way in which meetings are conducted across the whole organisation </w:t>
            </w:r>
            <w:r w:rsidR="0033558A" w:rsidRPr="0033558A">
              <w:rPr>
                <w:rFonts w:ascii="Arial" w:hAnsi="Arial" w:cs="Arial"/>
                <w:szCs w:val="24"/>
              </w:rPr>
              <w:t xml:space="preserve">and </w:t>
            </w:r>
            <w:r w:rsidR="00A93F53" w:rsidRPr="0033558A">
              <w:rPr>
                <w:rFonts w:ascii="Arial" w:hAnsi="Arial" w:cs="Arial"/>
                <w:b/>
                <w:bCs/>
                <w:szCs w:val="24"/>
              </w:rPr>
              <w:t xml:space="preserve">Appendix </w:t>
            </w:r>
            <w:r w:rsidR="0033558A" w:rsidRPr="0033558A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33558A">
              <w:rPr>
                <w:rFonts w:ascii="Arial" w:hAnsi="Arial" w:cs="Arial"/>
                <w:szCs w:val="24"/>
              </w:rPr>
              <w:t xml:space="preserve"> </w:t>
            </w:r>
            <w:r w:rsidR="00A93F53" w:rsidRPr="0033558A">
              <w:rPr>
                <w:rFonts w:ascii="Arial" w:hAnsi="Arial" w:cs="Arial"/>
                <w:szCs w:val="24"/>
              </w:rPr>
              <w:t xml:space="preserve">details a proposal for consideration on how </w:t>
            </w:r>
            <w:r w:rsidR="0033558A" w:rsidRPr="0033558A">
              <w:rPr>
                <w:rFonts w:ascii="Arial" w:hAnsi="Arial" w:cs="Arial"/>
                <w:szCs w:val="24"/>
              </w:rPr>
              <w:t xml:space="preserve">Board and Committee </w:t>
            </w:r>
            <w:r w:rsidR="00A93F53" w:rsidRPr="0033558A">
              <w:rPr>
                <w:rFonts w:ascii="Arial" w:hAnsi="Arial" w:cs="Arial"/>
                <w:szCs w:val="24"/>
              </w:rPr>
              <w:t xml:space="preserve">meetings may look across the Charity as </w:t>
            </w:r>
            <w:r w:rsidR="00EC60DC" w:rsidRPr="0033558A">
              <w:rPr>
                <w:rFonts w:ascii="Arial" w:hAnsi="Arial" w:cs="Arial"/>
                <w:szCs w:val="24"/>
              </w:rPr>
              <w:t xml:space="preserve">it </w:t>
            </w:r>
            <w:r w:rsidR="00A93F53" w:rsidRPr="0033558A">
              <w:rPr>
                <w:rFonts w:ascii="Arial" w:hAnsi="Arial" w:cs="Arial"/>
                <w:szCs w:val="24"/>
              </w:rPr>
              <w:t>come</w:t>
            </w:r>
            <w:r w:rsidR="00631C9D">
              <w:rPr>
                <w:rFonts w:ascii="Arial" w:hAnsi="Arial" w:cs="Arial"/>
                <w:szCs w:val="24"/>
              </w:rPr>
              <w:t>s</w:t>
            </w:r>
            <w:r w:rsidR="00A93F53" w:rsidRPr="0033558A">
              <w:rPr>
                <w:rFonts w:ascii="Arial" w:hAnsi="Arial" w:cs="Arial"/>
                <w:szCs w:val="24"/>
              </w:rPr>
              <w:t xml:space="preserve"> out of the pandemic period. </w:t>
            </w:r>
          </w:p>
          <w:p w14:paraId="6CA9F6E9" w14:textId="77777777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724267" w14:textId="624444CB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  <w:r w:rsidRPr="0033558A">
              <w:rPr>
                <w:rFonts w:ascii="Arial" w:hAnsi="Arial" w:cs="Arial"/>
                <w:szCs w:val="24"/>
              </w:rPr>
              <w:t>The proposal obviously takes into account (in no particular order) the lessons learned from the past year or so</w:t>
            </w:r>
            <w:r w:rsidR="00631C9D">
              <w:rPr>
                <w:rFonts w:ascii="Arial" w:hAnsi="Arial" w:cs="Arial"/>
                <w:szCs w:val="24"/>
              </w:rPr>
              <w:t>:</w:t>
            </w:r>
            <w:r w:rsidRPr="0033558A">
              <w:rPr>
                <w:rFonts w:ascii="Arial" w:hAnsi="Arial" w:cs="Arial"/>
                <w:szCs w:val="24"/>
              </w:rPr>
              <w:t xml:space="preserve"> what </w:t>
            </w:r>
            <w:r w:rsidR="00ED0E5C" w:rsidRPr="0033558A">
              <w:rPr>
                <w:rFonts w:ascii="Arial" w:hAnsi="Arial" w:cs="Arial"/>
                <w:szCs w:val="24"/>
              </w:rPr>
              <w:t>the Charity</w:t>
            </w:r>
            <w:r w:rsidRPr="0033558A">
              <w:rPr>
                <w:rFonts w:ascii="Arial" w:hAnsi="Arial" w:cs="Arial"/>
                <w:szCs w:val="24"/>
              </w:rPr>
              <w:t xml:space="preserve"> now know</w:t>
            </w:r>
            <w:r w:rsidR="00AE6F50" w:rsidRPr="0033558A">
              <w:rPr>
                <w:rFonts w:ascii="Arial" w:hAnsi="Arial" w:cs="Arial"/>
                <w:szCs w:val="24"/>
              </w:rPr>
              <w:t>s</w:t>
            </w:r>
            <w:r w:rsidRPr="0033558A">
              <w:rPr>
                <w:rFonts w:ascii="Arial" w:hAnsi="Arial" w:cs="Arial"/>
                <w:szCs w:val="24"/>
              </w:rPr>
              <w:t xml:space="preserve"> to be possible and workable; travel costs savings in attending meetings; environment benefits to reducing travel/emissions and the efficiencies/benefits of not having to travel to and from meetings.</w:t>
            </w:r>
            <w:r w:rsidR="00EC60DC" w:rsidRPr="0033558A">
              <w:rPr>
                <w:rFonts w:ascii="Arial" w:hAnsi="Arial" w:cs="Arial"/>
                <w:szCs w:val="24"/>
              </w:rPr>
              <w:t xml:space="preserve"> The proposal limits the number of face-to-face meetings, but doesn’t totally remove them. </w:t>
            </w:r>
            <w:r w:rsidR="00631C9D">
              <w:rPr>
                <w:rFonts w:ascii="Arial" w:hAnsi="Arial" w:cs="Arial"/>
                <w:szCs w:val="24"/>
              </w:rPr>
              <w:t>The new proposals are for use as guidance, w</w:t>
            </w:r>
            <w:r w:rsidR="00EC60DC" w:rsidRPr="0033558A">
              <w:rPr>
                <w:rFonts w:ascii="Arial" w:hAnsi="Arial" w:cs="Arial"/>
                <w:szCs w:val="24"/>
              </w:rPr>
              <w:t>here there is a need for ad-hoc face-to-face meetings, then this can be considered by the appropriate Board/Committee Chair.</w:t>
            </w:r>
            <w:r w:rsidR="00906B31" w:rsidRPr="0033558A">
              <w:rPr>
                <w:rFonts w:ascii="Arial" w:hAnsi="Arial" w:cs="Arial"/>
                <w:szCs w:val="24"/>
              </w:rPr>
              <w:t xml:space="preserve"> </w:t>
            </w:r>
          </w:p>
          <w:p w14:paraId="35D0A84B" w14:textId="37BCAAA9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9EEB74" w14:textId="7FEFA628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  <w:r w:rsidRPr="0033558A">
              <w:rPr>
                <w:rFonts w:ascii="Arial" w:hAnsi="Arial" w:cs="Arial"/>
                <w:szCs w:val="24"/>
              </w:rPr>
              <w:t>This proposal was discussed earlier this year with the relevant Board and Committee Chairs in place at that time, with agreement in principle</w:t>
            </w:r>
            <w:r w:rsidR="00631C9D">
              <w:rPr>
                <w:rFonts w:ascii="Arial" w:hAnsi="Arial" w:cs="Arial"/>
                <w:szCs w:val="24"/>
              </w:rPr>
              <w:t xml:space="preserve">. The Chairs were keen that </w:t>
            </w:r>
            <w:r w:rsidR="00EC60DC" w:rsidRPr="0033558A">
              <w:rPr>
                <w:rFonts w:ascii="Arial" w:hAnsi="Arial" w:cs="Arial"/>
                <w:szCs w:val="24"/>
              </w:rPr>
              <w:t>the</w:t>
            </w:r>
            <w:r w:rsidR="0033558A" w:rsidRPr="0033558A">
              <w:rPr>
                <w:rFonts w:ascii="Arial" w:hAnsi="Arial" w:cs="Arial"/>
                <w:szCs w:val="24"/>
              </w:rPr>
              <w:t xml:space="preserve"> </w:t>
            </w:r>
            <w:r w:rsidR="00ED0E5C" w:rsidRPr="0033558A">
              <w:rPr>
                <w:rFonts w:ascii="Arial" w:hAnsi="Arial" w:cs="Arial"/>
                <w:szCs w:val="24"/>
              </w:rPr>
              <w:t xml:space="preserve">views </w:t>
            </w:r>
            <w:r w:rsidR="00EC60DC" w:rsidRPr="0033558A">
              <w:rPr>
                <w:rFonts w:ascii="Arial" w:hAnsi="Arial" w:cs="Arial"/>
                <w:szCs w:val="24"/>
              </w:rPr>
              <w:t xml:space="preserve">of all Directors </w:t>
            </w:r>
            <w:r w:rsidR="00631C9D">
              <w:rPr>
                <w:rFonts w:ascii="Arial" w:hAnsi="Arial" w:cs="Arial"/>
                <w:szCs w:val="24"/>
              </w:rPr>
              <w:t xml:space="preserve">were taken </w:t>
            </w:r>
            <w:r w:rsidR="00ED0E5C" w:rsidRPr="0033558A">
              <w:rPr>
                <w:rFonts w:ascii="Arial" w:hAnsi="Arial" w:cs="Arial"/>
                <w:szCs w:val="24"/>
              </w:rPr>
              <w:t>into</w:t>
            </w:r>
            <w:r w:rsidRPr="0033558A">
              <w:rPr>
                <w:rFonts w:ascii="Arial" w:hAnsi="Arial" w:cs="Arial"/>
                <w:szCs w:val="24"/>
              </w:rPr>
              <w:t xml:space="preserve"> account</w:t>
            </w:r>
            <w:r w:rsidR="00631C9D">
              <w:rPr>
                <w:rFonts w:ascii="Arial" w:hAnsi="Arial" w:cs="Arial"/>
                <w:szCs w:val="24"/>
              </w:rPr>
              <w:t xml:space="preserve">, in order to </w:t>
            </w:r>
            <w:r w:rsidR="00EC60DC" w:rsidRPr="0033558A">
              <w:rPr>
                <w:rFonts w:ascii="Arial" w:hAnsi="Arial" w:cs="Arial"/>
                <w:szCs w:val="24"/>
              </w:rPr>
              <w:t>consider</w:t>
            </w:r>
            <w:r w:rsidR="00A37624" w:rsidRPr="0033558A">
              <w:rPr>
                <w:rFonts w:ascii="Arial" w:hAnsi="Arial" w:cs="Arial"/>
                <w:szCs w:val="24"/>
              </w:rPr>
              <w:t xml:space="preserve"> any issues that may arise out of a </w:t>
            </w:r>
            <w:r w:rsidR="00631C9D">
              <w:rPr>
                <w:rFonts w:ascii="Arial" w:hAnsi="Arial" w:cs="Arial"/>
                <w:szCs w:val="24"/>
              </w:rPr>
              <w:t xml:space="preserve">new </w:t>
            </w:r>
            <w:r w:rsidR="00A37624" w:rsidRPr="0033558A">
              <w:rPr>
                <w:rFonts w:ascii="Arial" w:hAnsi="Arial" w:cs="Arial"/>
                <w:szCs w:val="24"/>
              </w:rPr>
              <w:t>approach to individual meetings.</w:t>
            </w:r>
          </w:p>
          <w:p w14:paraId="429C59AB" w14:textId="77777777" w:rsidR="00A93F53" w:rsidRPr="0033558A" w:rsidRDefault="00A93F53" w:rsidP="00CF6A36">
            <w:pPr>
              <w:jc w:val="both"/>
              <w:rPr>
                <w:rFonts w:ascii="Arial" w:hAnsi="Arial" w:cs="Arial"/>
                <w:szCs w:val="24"/>
              </w:rPr>
            </w:pPr>
          </w:p>
          <w:p w14:paraId="09546C71" w14:textId="535B20E5" w:rsidR="00ED0E5C" w:rsidRDefault="00EC60DC" w:rsidP="00CF6A36">
            <w:pPr>
              <w:jc w:val="both"/>
              <w:rPr>
                <w:rFonts w:ascii="Arial" w:hAnsi="Arial" w:cs="Arial"/>
                <w:szCs w:val="24"/>
              </w:rPr>
            </w:pPr>
            <w:r w:rsidRPr="0033558A">
              <w:rPr>
                <w:rFonts w:ascii="Arial" w:hAnsi="Arial" w:cs="Arial"/>
                <w:szCs w:val="24"/>
              </w:rPr>
              <w:t xml:space="preserve">The proposal removes the need for a hybrid approach (where individuals join meetings both in person with others joining virtually) to meetings – </w:t>
            </w:r>
            <w:r w:rsidR="00C84C4C">
              <w:rPr>
                <w:rFonts w:ascii="Arial" w:hAnsi="Arial" w:cs="Arial"/>
                <w:szCs w:val="24"/>
              </w:rPr>
              <w:t xml:space="preserve">experience has shown </w:t>
            </w:r>
            <w:r w:rsidRPr="0033558A">
              <w:rPr>
                <w:rFonts w:ascii="Arial" w:hAnsi="Arial" w:cs="Arial"/>
                <w:szCs w:val="24"/>
              </w:rPr>
              <w:t>that despite the progress in technology</w:t>
            </w:r>
            <w:r w:rsidR="00C84C4C">
              <w:rPr>
                <w:rFonts w:ascii="Arial" w:hAnsi="Arial" w:cs="Arial"/>
                <w:szCs w:val="24"/>
              </w:rPr>
              <w:t>,</w:t>
            </w:r>
            <w:r w:rsidRPr="0033558A">
              <w:rPr>
                <w:rFonts w:ascii="Arial" w:hAnsi="Arial" w:cs="Arial"/>
                <w:szCs w:val="24"/>
              </w:rPr>
              <w:t xml:space="preserve"> a hybrid meeting substantially increases the technical challenges and in addition requires specific specialist input (throughout the meeting) to ensure the system remain</w:t>
            </w:r>
            <w:r w:rsidR="00903E7A">
              <w:rPr>
                <w:rFonts w:ascii="Arial" w:hAnsi="Arial" w:cs="Arial"/>
                <w:szCs w:val="24"/>
              </w:rPr>
              <w:t>s</w:t>
            </w:r>
            <w:r w:rsidRPr="0033558A">
              <w:rPr>
                <w:rFonts w:ascii="Arial" w:hAnsi="Arial" w:cs="Arial"/>
                <w:szCs w:val="24"/>
              </w:rPr>
              <w:t xml:space="preserve"> stable. </w:t>
            </w:r>
            <w:r w:rsidR="00F90D23">
              <w:rPr>
                <w:rFonts w:ascii="Arial" w:hAnsi="Arial" w:cs="Arial"/>
                <w:szCs w:val="24"/>
              </w:rPr>
              <w:t xml:space="preserve"> It is recognised that the Highland Council is considering moving towards a hybrid system and their experience will be monitored.</w:t>
            </w:r>
          </w:p>
          <w:p w14:paraId="6A09E45B" w14:textId="188A57DE" w:rsidR="0028682C" w:rsidRDefault="0028682C" w:rsidP="00CF6A36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56574B" w14:textId="77777777" w:rsidR="0028682C" w:rsidRPr="00524D82" w:rsidRDefault="0028682C" w:rsidP="0028682C">
            <w:pPr>
              <w:jc w:val="both"/>
              <w:rPr>
                <w:rFonts w:ascii="Arial" w:hAnsi="Arial" w:cs="Arial"/>
                <w:szCs w:val="24"/>
              </w:rPr>
            </w:pPr>
            <w:bookmarkStart w:id="1" w:name="_Hlk80282037"/>
            <w:r w:rsidRPr="00524D82">
              <w:rPr>
                <w:rFonts w:ascii="Arial" w:hAnsi="Arial" w:cs="Arial"/>
              </w:rPr>
              <w:t>Where person-to-person meetings are required, social distancing will be maintained throughout</w:t>
            </w:r>
            <w:r>
              <w:rPr>
                <w:rFonts w:ascii="Arial" w:hAnsi="Arial" w:cs="Arial"/>
              </w:rPr>
              <w:t>, h</w:t>
            </w:r>
            <w:r w:rsidRPr="00524D82">
              <w:rPr>
                <w:rFonts w:ascii="Arial" w:hAnsi="Arial" w:cs="Arial"/>
              </w:rPr>
              <w:t>and sanitiser will be provided</w:t>
            </w:r>
            <w:r>
              <w:rPr>
                <w:rFonts w:ascii="Arial" w:hAnsi="Arial" w:cs="Arial"/>
              </w:rPr>
              <w:t xml:space="preserve"> and there will not be any sharing of materials.</w:t>
            </w:r>
          </w:p>
          <w:bookmarkEnd w:id="1"/>
          <w:p w14:paraId="615118C8" w14:textId="56273603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20D50D54" w14:textId="17FC56D8" w:rsidR="00A93F53" w:rsidRPr="0033558A" w:rsidRDefault="00A93F53" w:rsidP="003A1E39">
            <w:pPr>
              <w:jc w:val="both"/>
              <w:rPr>
                <w:rFonts w:ascii="Arial" w:hAnsi="Arial" w:cs="Arial"/>
                <w:szCs w:val="24"/>
              </w:rPr>
            </w:pPr>
            <w:r w:rsidRPr="0033558A">
              <w:rPr>
                <w:rFonts w:ascii="Arial" w:hAnsi="Arial" w:cs="Arial"/>
                <w:szCs w:val="24"/>
              </w:rPr>
              <w:t>Directors are asked to comment on proposals</w:t>
            </w:r>
            <w:r w:rsidR="00002DB9" w:rsidRPr="0033558A">
              <w:rPr>
                <w:rFonts w:ascii="Arial" w:hAnsi="Arial" w:cs="Arial"/>
                <w:szCs w:val="24"/>
              </w:rPr>
              <w:t>, following which</w:t>
            </w:r>
            <w:r w:rsidRPr="0033558A">
              <w:rPr>
                <w:rFonts w:ascii="Arial" w:hAnsi="Arial" w:cs="Arial"/>
                <w:szCs w:val="24"/>
              </w:rPr>
              <w:t xml:space="preserve"> the agreed position will then be </w:t>
            </w:r>
            <w:r w:rsidR="00ED0E5C" w:rsidRPr="0033558A">
              <w:rPr>
                <w:rFonts w:ascii="Arial" w:hAnsi="Arial" w:cs="Arial"/>
                <w:szCs w:val="24"/>
              </w:rPr>
              <w:t>incorporated</w:t>
            </w:r>
            <w:r w:rsidRPr="0033558A">
              <w:rPr>
                <w:rFonts w:ascii="Arial" w:hAnsi="Arial" w:cs="Arial"/>
                <w:szCs w:val="24"/>
              </w:rPr>
              <w:t xml:space="preserve"> in to the 2022 annual board work plan calendar and meeting date report that this Board will consider in December</w:t>
            </w:r>
            <w:r w:rsidR="00C84C4C">
              <w:rPr>
                <w:rFonts w:ascii="Arial" w:hAnsi="Arial" w:cs="Arial"/>
                <w:szCs w:val="24"/>
              </w:rPr>
              <w:t>,</w:t>
            </w:r>
            <w:r w:rsidR="003A1E39" w:rsidRPr="0033558A">
              <w:rPr>
                <w:rFonts w:ascii="Arial" w:hAnsi="Arial" w:cs="Arial"/>
                <w:szCs w:val="24"/>
              </w:rPr>
              <w:t xml:space="preserve"> with any agreed plans being implemented from 2022.</w:t>
            </w:r>
            <w:r w:rsidRPr="0033558A">
              <w:rPr>
                <w:rFonts w:ascii="Arial" w:hAnsi="Arial" w:cs="Arial"/>
                <w:szCs w:val="24"/>
              </w:rPr>
              <w:t xml:space="preserve"> </w:t>
            </w:r>
          </w:p>
          <w:p w14:paraId="44DFFB51" w14:textId="77777777" w:rsidR="00717FEE" w:rsidRPr="0033558A" w:rsidRDefault="00717FEE" w:rsidP="003A1E39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AA533C" w:rsidRPr="0089449E" w14:paraId="527112CC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550EBAFE" w:rsidR="00AA533C" w:rsidRPr="00244D6C" w:rsidRDefault="00A37624" w:rsidP="00157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="00AA533C" w:rsidRPr="00244D6C">
              <w:rPr>
                <w:rFonts w:ascii="Arial" w:hAnsi="Arial" w:cs="Arial"/>
                <w:b/>
                <w:bCs/>
              </w:rPr>
              <w:t>.</w:t>
            </w:r>
          </w:p>
          <w:p w14:paraId="119B3499" w14:textId="7BF7D9B7" w:rsidR="00AA533C" w:rsidRPr="00762379" w:rsidRDefault="00AA533C" w:rsidP="00157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618" w:type="dxa"/>
          </w:tcPr>
          <w:p w14:paraId="0A3D8FED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2BC4">
              <w:rPr>
                <w:rFonts w:ascii="Arial" w:hAnsi="Arial" w:cs="Arial"/>
                <w:b/>
              </w:rPr>
              <w:t>Implications</w:t>
            </w:r>
          </w:p>
          <w:p w14:paraId="76C72F5E" w14:textId="77777777" w:rsidR="00AA533C" w:rsidRPr="00652BC4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A533C" w:rsidRPr="0089449E" w14:paraId="7A15AD82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0AC526E6" w:rsidR="00AA533C" w:rsidRPr="00762379" w:rsidRDefault="00A37624" w:rsidP="00157F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618" w:type="dxa"/>
          </w:tcPr>
          <w:p w14:paraId="0F96B531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Implications – there are no additional resource implications arising from this report.</w:t>
            </w:r>
          </w:p>
          <w:p w14:paraId="23B1E11C" w14:textId="77777777" w:rsidR="00AA533C" w:rsidRPr="006F3071" w:rsidRDefault="00AA533C" w:rsidP="00157FFD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AA533C" w:rsidRPr="0089449E" w14:paraId="678F489D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579DBE0C" w:rsidR="00AA533C" w:rsidRPr="00762379" w:rsidRDefault="00A37624" w:rsidP="00157F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A5F85">
              <w:rPr>
                <w:rFonts w:ascii="Arial" w:hAnsi="Arial" w:cs="Arial"/>
              </w:rPr>
              <w:t>2</w:t>
            </w:r>
          </w:p>
        </w:tc>
        <w:tc>
          <w:tcPr>
            <w:tcW w:w="8618" w:type="dxa"/>
          </w:tcPr>
          <w:p w14:paraId="37A1C96F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Implications - there are no new legal implications arising from this report.</w:t>
            </w:r>
          </w:p>
          <w:p w14:paraId="54B9661D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A533C" w:rsidRPr="0089449E" w14:paraId="1BB8377B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37428624" w:rsidR="00AA533C" w:rsidRPr="009A5F85" w:rsidRDefault="00A37624" w:rsidP="00157F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A5F85" w:rsidRPr="009A5F85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8618" w:type="dxa"/>
          </w:tcPr>
          <w:p w14:paraId="402EF3DB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0008">
              <w:rPr>
                <w:rFonts w:ascii="Arial" w:hAnsi="Arial" w:cs="Arial"/>
              </w:rPr>
              <w:t>Equality Implications – there are no new equality implications arising from this report.</w:t>
            </w:r>
          </w:p>
          <w:p w14:paraId="644DE788" w14:textId="77777777" w:rsidR="00AA533C" w:rsidRPr="00280008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A533C" w:rsidRPr="0089449E" w14:paraId="4C9FBDCF" w14:textId="77777777" w:rsidTr="000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26BFC26F" w:rsidR="00AA533C" w:rsidRPr="00762379" w:rsidRDefault="00A37624" w:rsidP="00157F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A5F85">
              <w:rPr>
                <w:rFonts w:ascii="Arial" w:hAnsi="Arial" w:cs="Arial"/>
              </w:rPr>
              <w:t>.4</w:t>
            </w:r>
          </w:p>
        </w:tc>
        <w:tc>
          <w:tcPr>
            <w:tcW w:w="8618" w:type="dxa"/>
          </w:tcPr>
          <w:p w14:paraId="2F244178" w14:textId="77777777" w:rsidR="00AA533C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Implications – there are no new risk implications arising from this report. </w:t>
            </w:r>
          </w:p>
          <w:p w14:paraId="1CF06001" w14:textId="77777777" w:rsidR="00AA533C" w:rsidRPr="0089449E" w:rsidRDefault="00AA533C" w:rsidP="00157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4197ED" w14:textId="77777777" w:rsidR="0039450A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89449E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555FC1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 xml:space="preserve"> Recommendations</w:t>
            </w:r>
          </w:p>
          <w:p w14:paraId="6AFC2387" w14:textId="77777777" w:rsidR="00762379" w:rsidRDefault="00762379" w:rsidP="00A3762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EBD5B2" w14:textId="6DAB12E5" w:rsidR="00A37624" w:rsidRDefault="00A37624" w:rsidP="00A3762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recommended </w:t>
            </w:r>
            <w:r w:rsidR="001B6DDD">
              <w:rPr>
                <w:rFonts w:ascii="Arial" w:hAnsi="Arial" w:cs="Arial"/>
                <w:szCs w:val="24"/>
              </w:rPr>
              <w:t xml:space="preserve">that </w:t>
            </w:r>
            <w:r w:rsidR="00EA1FF4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irectors comment on proposals prior to preparation of the 2022 Board meeting calendar.</w:t>
            </w:r>
          </w:p>
          <w:p w14:paraId="5222921E" w14:textId="5DA0557A" w:rsidR="00A37624" w:rsidRPr="00690507" w:rsidRDefault="00A37624" w:rsidP="00A3762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EE3A2" w14:textId="77777777" w:rsidR="00555FC1" w:rsidRPr="0089449E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Designation:</w:t>
      </w:r>
      <w:r w:rsidR="0067538A" w:rsidRPr="0089449E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89449E" w:rsidRDefault="0008589E" w:rsidP="00416BFF">
      <w:pPr>
        <w:rPr>
          <w:rFonts w:ascii="Arial" w:hAnsi="Arial" w:cs="Arial"/>
          <w:szCs w:val="24"/>
        </w:rPr>
      </w:pPr>
    </w:p>
    <w:p w14:paraId="7BC877DE" w14:textId="53920A08" w:rsidR="005F0414" w:rsidRDefault="0039450A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Date:</w:t>
      </w:r>
      <w:r w:rsidRPr="0089449E">
        <w:rPr>
          <w:rFonts w:ascii="Arial" w:hAnsi="Arial" w:cs="Arial"/>
          <w:szCs w:val="24"/>
        </w:rPr>
        <w:tab/>
      </w:r>
      <w:r w:rsidRPr="0089449E">
        <w:rPr>
          <w:rFonts w:ascii="Arial" w:hAnsi="Arial" w:cs="Arial"/>
          <w:szCs w:val="24"/>
        </w:rPr>
        <w:tab/>
      </w:r>
      <w:r w:rsidR="00CF6A36">
        <w:rPr>
          <w:rFonts w:ascii="Arial" w:hAnsi="Arial" w:cs="Arial"/>
          <w:szCs w:val="24"/>
        </w:rPr>
        <w:t xml:space="preserve">5 August </w:t>
      </w:r>
      <w:r w:rsidR="00906B31">
        <w:rPr>
          <w:rFonts w:ascii="Arial" w:hAnsi="Arial" w:cs="Arial"/>
          <w:szCs w:val="24"/>
        </w:rPr>
        <w:t>202</w:t>
      </w:r>
      <w:r w:rsidR="00EA1FF4">
        <w:rPr>
          <w:rFonts w:ascii="Arial" w:hAnsi="Arial" w:cs="Arial"/>
          <w:szCs w:val="24"/>
        </w:rPr>
        <w:t>1</w:t>
      </w:r>
    </w:p>
    <w:p w14:paraId="08E5B513" w14:textId="6F6040F0" w:rsidR="007E11E5" w:rsidRDefault="007E11E5">
      <w:pPr>
        <w:rPr>
          <w:rFonts w:ascii="Arial" w:hAnsi="Arial" w:cs="Arial"/>
          <w:szCs w:val="24"/>
        </w:rPr>
      </w:pPr>
    </w:p>
    <w:p w14:paraId="5AA82960" w14:textId="00484130" w:rsidR="007E11E5" w:rsidRDefault="007E11E5">
      <w:pPr>
        <w:rPr>
          <w:rFonts w:ascii="Arial" w:hAnsi="Arial" w:cs="Arial"/>
          <w:szCs w:val="24"/>
        </w:rPr>
      </w:pPr>
    </w:p>
    <w:p w14:paraId="757943D3" w14:textId="77777777" w:rsidR="00BE44CB" w:rsidRDefault="00BE44CB" w:rsidP="007E11E5">
      <w:pPr>
        <w:rPr>
          <w:rFonts w:ascii="Arial" w:hAnsi="Arial" w:cs="Arial"/>
          <w:b/>
          <w:bCs/>
        </w:rPr>
      </w:pPr>
    </w:p>
    <w:p w14:paraId="5744BE2B" w14:textId="77777777" w:rsidR="00BE44CB" w:rsidRDefault="00BE44CB" w:rsidP="007E11E5">
      <w:pPr>
        <w:rPr>
          <w:rFonts w:ascii="Arial" w:hAnsi="Arial" w:cs="Arial"/>
          <w:b/>
          <w:bCs/>
        </w:rPr>
      </w:pPr>
    </w:p>
    <w:p w14:paraId="5FF56AA5" w14:textId="77777777" w:rsidR="00A93F53" w:rsidRDefault="00A93F53">
      <w:pPr>
        <w:rPr>
          <w:rFonts w:ascii="Arial" w:hAnsi="Arial" w:cs="Arial"/>
          <w:szCs w:val="24"/>
        </w:rPr>
        <w:sectPr w:rsidR="00A93F53" w:rsidSect="009A5F85">
          <w:pgSz w:w="11906" w:h="16838"/>
          <w:pgMar w:top="851" w:right="1440" w:bottom="993" w:left="1440" w:header="720" w:footer="720" w:gutter="0"/>
          <w:cols w:space="720"/>
          <w:docGrid w:linePitch="326"/>
        </w:sectPr>
      </w:pPr>
    </w:p>
    <w:p w14:paraId="00B12AE7" w14:textId="77777777" w:rsidR="00093BF9" w:rsidRDefault="00093BF9">
      <w:pPr>
        <w:rPr>
          <w:rFonts w:ascii="Arial" w:hAnsi="Arial" w:cs="Arial"/>
          <w:szCs w:val="24"/>
        </w:rPr>
      </w:pPr>
    </w:p>
    <w:p w14:paraId="78F57FCB" w14:textId="063BD6EB" w:rsidR="007E11E5" w:rsidRPr="00CF6A36" w:rsidRDefault="00A93F53" w:rsidP="00CF6A36">
      <w:pPr>
        <w:jc w:val="right"/>
        <w:rPr>
          <w:rFonts w:ascii="Arial" w:hAnsi="Arial" w:cs="Arial"/>
          <w:b/>
          <w:bCs/>
          <w:szCs w:val="24"/>
        </w:rPr>
      </w:pPr>
      <w:r w:rsidRPr="00CF6A36">
        <w:rPr>
          <w:rFonts w:ascii="Arial" w:hAnsi="Arial" w:cs="Arial"/>
          <w:b/>
          <w:bCs/>
          <w:szCs w:val="24"/>
        </w:rPr>
        <w:t xml:space="preserve">Appendix </w:t>
      </w:r>
      <w:r w:rsidR="0033558A">
        <w:rPr>
          <w:rFonts w:ascii="Arial" w:hAnsi="Arial" w:cs="Arial"/>
          <w:b/>
          <w:bCs/>
          <w:szCs w:val="24"/>
        </w:rPr>
        <w:t>A</w:t>
      </w:r>
    </w:p>
    <w:p w14:paraId="3A295FC4" w14:textId="6DCA6B2E" w:rsidR="00A93F53" w:rsidRPr="00CF6A36" w:rsidRDefault="00A93F53" w:rsidP="00A93F53">
      <w:pPr>
        <w:jc w:val="center"/>
        <w:rPr>
          <w:rFonts w:ascii="Arial" w:hAnsi="Arial" w:cs="Arial"/>
          <w:b/>
          <w:bCs/>
          <w:szCs w:val="24"/>
        </w:rPr>
      </w:pPr>
      <w:bookmarkStart w:id="2" w:name="_Hlk77757329"/>
      <w:r w:rsidRPr="00CF6A36">
        <w:rPr>
          <w:rFonts w:ascii="Arial" w:hAnsi="Arial" w:cs="Arial"/>
          <w:b/>
          <w:bCs/>
          <w:szCs w:val="24"/>
        </w:rPr>
        <w:t xml:space="preserve">POST RECOVERY </w:t>
      </w:r>
      <w:r w:rsidR="00213F48" w:rsidRPr="00CF6A36">
        <w:rPr>
          <w:rFonts w:ascii="Arial" w:hAnsi="Arial" w:cs="Arial"/>
          <w:b/>
          <w:bCs/>
          <w:szCs w:val="24"/>
        </w:rPr>
        <w:t xml:space="preserve">BOARD </w:t>
      </w:r>
      <w:r w:rsidRPr="00CF6A36">
        <w:rPr>
          <w:rFonts w:ascii="Arial" w:hAnsi="Arial" w:cs="Arial"/>
          <w:b/>
          <w:bCs/>
          <w:szCs w:val="24"/>
        </w:rPr>
        <w:t>MEETING SCHEDULE</w:t>
      </w:r>
    </w:p>
    <w:p w14:paraId="604BAF9A" w14:textId="77777777" w:rsidR="00A93F53" w:rsidRPr="00CF6A36" w:rsidRDefault="00A93F53" w:rsidP="00A93F53">
      <w:pPr>
        <w:jc w:val="center"/>
        <w:rPr>
          <w:rFonts w:ascii="Arial" w:hAnsi="Arial" w:cs="Arial"/>
          <w:szCs w:val="24"/>
        </w:rPr>
      </w:pPr>
      <w:r w:rsidRPr="00CF6A36">
        <w:rPr>
          <w:rFonts w:ascii="Arial" w:hAnsi="Arial" w:cs="Arial"/>
          <w:b/>
          <w:bCs/>
          <w:szCs w:val="24"/>
        </w:rPr>
        <w:t>PROPOSAL</w:t>
      </w:r>
    </w:p>
    <w:p w14:paraId="529C9923" w14:textId="77777777" w:rsidR="00A93F53" w:rsidRPr="00CF6A36" w:rsidRDefault="00A93F53" w:rsidP="00A93F53">
      <w:pPr>
        <w:jc w:val="center"/>
        <w:rPr>
          <w:rFonts w:ascii="Arial" w:hAnsi="Arial" w:cs="Arial"/>
          <w:szCs w:val="24"/>
        </w:rPr>
      </w:pPr>
    </w:p>
    <w:tbl>
      <w:tblPr>
        <w:tblStyle w:val="GridTable4-Accent5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3044"/>
        <w:gridCol w:w="6735"/>
      </w:tblGrid>
      <w:tr w:rsidR="00A93F53" w:rsidRPr="00213F48" w14:paraId="49BBBCB8" w14:textId="77777777" w:rsidTr="00A93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vAlign w:val="center"/>
            <w:hideMark/>
          </w:tcPr>
          <w:p w14:paraId="5CABA6A9" w14:textId="77777777" w:rsidR="00A93F53" w:rsidRPr="00213F48" w:rsidRDefault="00A93F53">
            <w:pPr>
              <w:jc w:val="center"/>
            </w:pPr>
            <w:r w:rsidRPr="00213F48">
              <w:t>MEETING</w:t>
            </w:r>
          </w:p>
        </w:tc>
        <w:tc>
          <w:tcPr>
            <w:tcW w:w="3044" w:type="dxa"/>
            <w:vAlign w:val="center"/>
            <w:hideMark/>
          </w:tcPr>
          <w:p w14:paraId="40257E28" w14:textId="77777777" w:rsidR="00A93F53" w:rsidRPr="00093BF9" w:rsidRDefault="00A93F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BF9">
              <w:t>CURRENT</w:t>
            </w:r>
          </w:p>
        </w:tc>
        <w:tc>
          <w:tcPr>
            <w:tcW w:w="6735" w:type="dxa"/>
            <w:vAlign w:val="center"/>
            <w:hideMark/>
          </w:tcPr>
          <w:p w14:paraId="7965996C" w14:textId="58A1D101" w:rsidR="00A93F53" w:rsidRPr="00093BF9" w:rsidRDefault="00A93F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BF9">
              <w:t>PROPOSED</w:t>
            </w:r>
          </w:p>
        </w:tc>
      </w:tr>
      <w:tr w:rsidR="00A93F53" w:rsidRPr="00213F48" w14:paraId="576E2554" w14:textId="77777777" w:rsidTr="00CF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4243BBAE" w14:textId="77777777" w:rsidR="00A93F53" w:rsidRPr="00213F48" w:rsidRDefault="00A93F53">
            <w:r w:rsidRPr="00213F48">
              <w:t>HLH Charity Board Meeting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3B83DE13" w14:textId="77777777" w:rsidR="00A93F53" w:rsidRPr="00093BF9" w:rsidRDefault="00A93F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BF9">
              <w:t>Quarterly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4CEB4CE7" w14:textId="77777777" w:rsidR="00A93F53" w:rsidRPr="00CF6A36" w:rsidRDefault="00A9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A36">
              <w:rPr>
                <w:szCs w:val="20"/>
              </w:rPr>
              <w:t>*Alternating between on-site location and virtual meetings.</w:t>
            </w:r>
          </w:p>
          <w:p w14:paraId="79F21720" w14:textId="77777777" w:rsidR="00A93F53" w:rsidRPr="00CF6A36" w:rsidRDefault="00A9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F53" w:rsidRPr="00213F48" w14:paraId="49953483" w14:textId="77777777" w:rsidTr="00CF6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379AE75A" w14:textId="77777777" w:rsidR="00A93F53" w:rsidRPr="00213F48" w:rsidRDefault="00A93F53">
            <w:r w:rsidRPr="00213F48">
              <w:t>HLH Trading Board Meeting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4CAA2762" w14:textId="77777777" w:rsidR="00A93F53" w:rsidRPr="00093BF9" w:rsidRDefault="00A93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BF9">
              <w:t>Quarterly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36B5C394" w14:textId="77777777" w:rsidR="00A93F53" w:rsidRPr="00CF6A36" w:rsidRDefault="00A9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A36">
              <w:rPr>
                <w:szCs w:val="20"/>
              </w:rPr>
              <w:t>*Alternating between on-site location and virtual meetings (on the same schedule as Charity Board meetings).</w:t>
            </w:r>
          </w:p>
          <w:p w14:paraId="761CCA99" w14:textId="77777777" w:rsidR="00A93F53" w:rsidRPr="00CF6A36" w:rsidRDefault="00A9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F53" w:rsidRPr="00213F48" w14:paraId="5895D729" w14:textId="77777777" w:rsidTr="00CF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7C0C52D6" w14:textId="77777777" w:rsidR="00A93F53" w:rsidRPr="00093BF9" w:rsidRDefault="00A93F53">
            <w:r w:rsidRPr="00213F48">
              <w:t>HLH Finance and Audit Meeting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7FD2E65B" w14:textId="77777777" w:rsidR="00A93F53" w:rsidRPr="00093BF9" w:rsidRDefault="00A93F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BF9">
              <w:t>Quarterly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58DC32C2" w14:textId="77777777" w:rsidR="00A93F53" w:rsidRPr="00CF6A36" w:rsidRDefault="00A9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A36">
              <w:rPr>
                <w:szCs w:val="20"/>
              </w:rPr>
              <w:t>*Alternating between on-site location and virtual meetings.</w:t>
            </w:r>
          </w:p>
          <w:p w14:paraId="12942681" w14:textId="77777777" w:rsidR="00A93F53" w:rsidRPr="00CF6A36" w:rsidRDefault="00A9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F53" w:rsidRPr="00213F48" w14:paraId="4C022785" w14:textId="77777777" w:rsidTr="00CF6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076C37DC" w14:textId="77777777" w:rsidR="00A93F53" w:rsidRPr="00213F48" w:rsidRDefault="00A93F53">
            <w:r w:rsidRPr="00213F48">
              <w:t>HLH Health and Safety and Environmental Compliance Committee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  <w:hideMark/>
          </w:tcPr>
          <w:p w14:paraId="5DA79EFA" w14:textId="77777777" w:rsidR="00A93F53" w:rsidRPr="00093BF9" w:rsidRDefault="00A93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BF9">
              <w:t>Quarterly</w:t>
            </w:r>
          </w:p>
        </w:tc>
        <w:tc>
          <w:tcPr>
            <w:tcW w:w="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028AD589" w14:textId="77777777" w:rsidR="00A93F53" w:rsidRPr="00CF6A36" w:rsidRDefault="00A9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A36">
              <w:rPr>
                <w:szCs w:val="20"/>
              </w:rPr>
              <w:t>*Alternating between on-site location and virtual meetings (consideration as to whether to have F&amp;A and HSEC on same day when meeting on-site – currently they are held one day after the other)</w:t>
            </w:r>
          </w:p>
          <w:p w14:paraId="232E8DC9" w14:textId="77777777" w:rsidR="00A93F53" w:rsidRPr="00CF6A36" w:rsidRDefault="00A9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0A0387D1" w14:textId="77777777" w:rsidR="00A93F53" w:rsidRDefault="00A93F53">
      <w:pPr>
        <w:rPr>
          <w:rFonts w:ascii="Arial" w:hAnsi="Arial" w:cs="Arial"/>
          <w:szCs w:val="24"/>
        </w:rPr>
      </w:pPr>
    </w:p>
    <w:sectPr w:rsidR="00A93F53" w:rsidSect="00A93F53">
      <w:pgSz w:w="16838" w:h="11906" w:orient="landscape"/>
      <w:pgMar w:top="1440" w:right="851" w:bottom="1440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7487" w14:textId="77777777" w:rsidR="00C71BC7" w:rsidRDefault="00C71BC7">
      <w:r>
        <w:separator/>
      </w:r>
    </w:p>
  </w:endnote>
  <w:endnote w:type="continuationSeparator" w:id="0">
    <w:p w14:paraId="7E6C59F0" w14:textId="77777777" w:rsidR="00C71BC7" w:rsidRDefault="00C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7B99" w14:textId="77777777" w:rsidR="00C71BC7" w:rsidRDefault="00C71BC7">
      <w:r>
        <w:separator/>
      </w:r>
    </w:p>
  </w:footnote>
  <w:footnote w:type="continuationSeparator" w:id="0">
    <w:p w14:paraId="71F64E05" w14:textId="77777777" w:rsidR="00C71BC7" w:rsidRDefault="00C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2DB9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312D"/>
    <w:rsid w:val="000505B8"/>
    <w:rsid w:val="00050D22"/>
    <w:rsid w:val="00054DE1"/>
    <w:rsid w:val="000551FC"/>
    <w:rsid w:val="000554B2"/>
    <w:rsid w:val="000574B4"/>
    <w:rsid w:val="00061C9F"/>
    <w:rsid w:val="00062F53"/>
    <w:rsid w:val="00064BF3"/>
    <w:rsid w:val="00066BA2"/>
    <w:rsid w:val="00074FF1"/>
    <w:rsid w:val="00076CE2"/>
    <w:rsid w:val="00077F8B"/>
    <w:rsid w:val="00080FD0"/>
    <w:rsid w:val="00084731"/>
    <w:rsid w:val="0008589E"/>
    <w:rsid w:val="00090B05"/>
    <w:rsid w:val="00091C70"/>
    <w:rsid w:val="00092D71"/>
    <w:rsid w:val="00093B82"/>
    <w:rsid w:val="00093BF9"/>
    <w:rsid w:val="00097000"/>
    <w:rsid w:val="000A25E7"/>
    <w:rsid w:val="000A7423"/>
    <w:rsid w:val="000A7837"/>
    <w:rsid w:val="000B1D32"/>
    <w:rsid w:val="000B2503"/>
    <w:rsid w:val="000B3E4C"/>
    <w:rsid w:val="000B49B2"/>
    <w:rsid w:val="000B5586"/>
    <w:rsid w:val="000B6F76"/>
    <w:rsid w:val="000C19CF"/>
    <w:rsid w:val="000C3CCE"/>
    <w:rsid w:val="000D0E65"/>
    <w:rsid w:val="000D4534"/>
    <w:rsid w:val="000D4BC9"/>
    <w:rsid w:val="000E1E50"/>
    <w:rsid w:val="000E1E7F"/>
    <w:rsid w:val="000E32C5"/>
    <w:rsid w:val="000F274B"/>
    <w:rsid w:val="000F6071"/>
    <w:rsid w:val="00104AC6"/>
    <w:rsid w:val="001055F4"/>
    <w:rsid w:val="00107147"/>
    <w:rsid w:val="001072B4"/>
    <w:rsid w:val="00113A44"/>
    <w:rsid w:val="001359E1"/>
    <w:rsid w:val="00140C99"/>
    <w:rsid w:val="0015012F"/>
    <w:rsid w:val="00157FFD"/>
    <w:rsid w:val="00166AD0"/>
    <w:rsid w:val="001671A2"/>
    <w:rsid w:val="001867F0"/>
    <w:rsid w:val="00186DF1"/>
    <w:rsid w:val="00186EB5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448B"/>
    <w:rsid w:val="001B6DDD"/>
    <w:rsid w:val="001B7D45"/>
    <w:rsid w:val="001C3583"/>
    <w:rsid w:val="001C7478"/>
    <w:rsid w:val="001D1D38"/>
    <w:rsid w:val="001E52E7"/>
    <w:rsid w:val="001F242C"/>
    <w:rsid w:val="001F261C"/>
    <w:rsid w:val="001F6978"/>
    <w:rsid w:val="00206CAC"/>
    <w:rsid w:val="00210527"/>
    <w:rsid w:val="00213F48"/>
    <w:rsid w:val="00214A0D"/>
    <w:rsid w:val="00214EAD"/>
    <w:rsid w:val="002166BB"/>
    <w:rsid w:val="002225D0"/>
    <w:rsid w:val="00226F57"/>
    <w:rsid w:val="00234011"/>
    <w:rsid w:val="00234F89"/>
    <w:rsid w:val="0023685D"/>
    <w:rsid w:val="00244D6C"/>
    <w:rsid w:val="00245052"/>
    <w:rsid w:val="00251CEC"/>
    <w:rsid w:val="0025263B"/>
    <w:rsid w:val="00254E10"/>
    <w:rsid w:val="00257BA7"/>
    <w:rsid w:val="00263FA2"/>
    <w:rsid w:val="00267F93"/>
    <w:rsid w:val="00274A4D"/>
    <w:rsid w:val="00280008"/>
    <w:rsid w:val="00280E21"/>
    <w:rsid w:val="00280E3B"/>
    <w:rsid w:val="0028682C"/>
    <w:rsid w:val="00294AEC"/>
    <w:rsid w:val="00294E58"/>
    <w:rsid w:val="0029601C"/>
    <w:rsid w:val="002963BB"/>
    <w:rsid w:val="002A11C0"/>
    <w:rsid w:val="002A660A"/>
    <w:rsid w:val="002B1635"/>
    <w:rsid w:val="002B2804"/>
    <w:rsid w:val="002B3430"/>
    <w:rsid w:val="002B687C"/>
    <w:rsid w:val="002B7DC4"/>
    <w:rsid w:val="002B7E63"/>
    <w:rsid w:val="002C0A3D"/>
    <w:rsid w:val="002C1270"/>
    <w:rsid w:val="002C3BF6"/>
    <w:rsid w:val="002C563A"/>
    <w:rsid w:val="002C5F24"/>
    <w:rsid w:val="002C68DB"/>
    <w:rsid w:val="002C7DD6"/>
    <w:rsid w:val="002D2844"/>
    <w:rsid w:val="002D5357"/>
    <w:rsid w:val="002D7D16"/>
    <w:rsid w:val="002E1EEF"/>
    <w:rsid w:val="002E1FC5"/>
    <w:rsid w:val="002E255E"/>
    <w:rsid w:val="002E349F"/>
    <w:rsid w:val="002E3B97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24C2E"/>
    <w:rsid w:val="003263F9"/>
    <w:rsid w:val="00333CAD"/>
    <w:rsid w:val="0033520A"/>
    <w:rsid w:val="0033558A"/>
    <w:rsid w:val="00341354"/>
    <w:rsid w:val="00344ACB"/>
    <w:rsid w:val="00345B42"/>
    <w:rsid w:val="00346C3E"/>
    <w:rsid w:val="0035129C"/>
    <w:rsid w:val="00356B53"/>
    <w:rsid w:val="00360BAF"/>
    <w:rsid w:val="0036252C"/>
    <w:rsid w:val="00363F80"/>
    <w:rsid w:val="00366325"/>
    <w:rsid w:val="0037299B"/>
    <w:rsid w:val="00377E7B"/>
    <w:rsid w:val="003800FA"/>
    <w:rsid w:val="003843D2"/>
    <w:rsid w:val="00386F23"/>
    <w:rsid w:val="003875A7"/>
    <w:rsid w:val="003924C9"/>
    <w:rsid w:val="0039450A"/>
    <w:rsid w:val="003A008A"/>
    <w:rsid w:val="003A1E39"/>
    <w:rsid w:val="003A2DCA"/>
    <w:rsid w:val="003A7248"/>
    <w:rsid w:val="003B0FF6"/>
    <w:rsid w:val="003B11CA"/>
    <w:rsid w:val="003B1F1A"/>
    <w:rsid w:val="003B6CBF"/>
    <w:rsid w:val="003C202D"/>
    <w:rsid w:val="003C2481"/>
    <w:rsid w:val="003D7006"/>
    <w:rsid w:val="003E2B22"/>
    <w:rsid w:val="003E4842"/>
    <w:rsid w:val="003E73BB"/>
    <w:rsid w:val="003E7C71"/>
    <w:rsid w:val="003F13BF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57B2"/>
    <w:rsid w:val="00426627"/>
    <w:rsid w:val="00432126"/>
    <w:rsid w:val="004365EA"/>
    <w:rsid w:val="0044130C"/>
    <w:rsid w:val="0044294C"/>
    <w:rsid w:val="004447C2"/>
    <w:rsid w:val="004455D4"/>
    <w:rsid w:val="00445D1F"/>
    <w:rsid w:val="00447094"/>
    <w:rsid w:val="004476F3"/>
    <w:rsid w:val="0045226F"/>
    <w:rsid w:val="0045351D"/>
    <w:rsid w:val="00460074"/>
    <w:rsid w:val="0046491F"/>
    <w:rsid w:val="00465AD1"/>
    <w:rsid w:val="00465D71"/>
    <w:rsid w:val="0046709C"/>
    <w:rsid w:val="004704DB"/>
    <w:rsid w:val="00480058"/>
    <w:rsid w:val="004806EE"/>
    <w:rsid w:val="00486097"/>
    <w:rsid w:val="00493068"/>
    <w:rsid w:val="00496280"/>
    <w:rsid w:val="00496D02"/>
    <w:rsid w:val="004973CD"/>
    <w:rsid w:val="004A104C"/>
    <w:rsid w:val="004A1A72"/>
    <w:rsid w:val="004A2FA7"/>
    <w:rsid w:val="004A338B"/>
    <w:rsid w:val="004B1E87"/>
    <w:rsid w:val="004B7C55"/>
    <w:rsid w:val="004C4A93"/>
    <w:rsid w:val="004D0BC5"/>
    <w:rsid w:val="004D18E0"/>
    <w:rsid w:val="004D3AE1"/>
    <w:rsid w:val="004D65FA"/>
    <w:rsid w:val="004D68A8"/>
    <w:rsid w:val="004F4D92"/>
    <w:rsid w:val="004F4FE1"/>
    <w:rsid w:val="004F6740"/>
    <w:rsid w:val="004F7724"/>
    <w:rsid w:val="00504936"/>
    <w:rsid w:val="005051C9"/>
    <w:rsid w:val="005058F1"/>
    <w:rsid w:val="00505D55"/>
    <w:rsid w:val="005108FE"/>
    <w:rsid w:val="00512915"/>
    <w:rsid w:val="0051330A"/>
    <w:rsid w:val="0051530B"/>
    <w:rsid w:val="00516F25"/>
    <w:rsid w:val="00517046"/>
    <w:rsid w:val="0052563D"/>
    <w:rsid w:val="005304A6"/>
    <w:rsid w:val="005307D1"/>
    <w:rsid w:val="00540480"/>
    <w:rsid w:val="00540C40"/>
    <w:rsid w:val="00541DA3"/>
    <w:rsid w:val="005460DF"/>
    <w:rsid w:val="0054639C"/>
    <w:rsid w:val="005538D9"/>
    <w:rsid w:val="00555FC1"/>
    <w:rsid w:val="00561E6A"/>
    <w:rsid w:val="00563E8A"/>
    <w:rsid w:val="005732B8"/>
    <w:rsid w:val="00573546"/>
    <w:rsid w:val="00574600"/>
    <w:rsid w:val="0057559C"/>
    <w:rsid w:val="005776E6"/>
    <w:rsid w:val="005857E2"/>
    <w:rsid w:val="0058658A"/>
    <w:rsid w:val="00590C36"/>
    <w:rsid w:val="005940CC"/>
    <w:rsid w:val="0059426B"/>
    <w:rsid w:val="00596043"/>
    <w:rsid w:val="005A084E"/>
    <w:rsid w:val="005A170D"/>
    <w:rsid w:val="005B48BE"/>
    <w:rsid w:val="005B7AD2"/>
    <w:rsid w:val="005C1095"/>
    <w:rsid w:val="005C1281"/>
    <w:rsid w:val="005C13D9"/>
    <w:rsid w:val="005C4E47"/>
    <w:rsid w:val="005D1C21"/>
    <w:rsid w:val="005D2DA3"/>
    <w:rsid w:val="005D70D9"/>
    <w:rsid w:val="005D79D1"/>
    <w:rsid w:val="005E12D5"/>
    <w:rsid w:val="005E23D5"/>
    <w:rsid w:val="005E2417"/>
    <w:rsid w:val="005E4DC9"/>
    <w:rsid w:val="005F0414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CA2"/>
    <w:rsid w:val="00630532"/>
    <w:rsid w:val="00631A84"/>
    <w:rsid w:val="00631C9D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73F0B"/>
    <w:rsid w:val="006748F2"/>
    <w:rsid w:val="0067538A"/>
    <w:rsid w:val="006769D2"/>
    <w:rsid w:val="00677D30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3CD"/>
    <w:rsid w:val="006C4267"/>
    <w:rsid w:val="006D0028"/>
    <w:rsid w:val="006D1DA7"/>
    <w:rsid w:val="006D4089"/>
    <w:rsid w:val="006D4204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61EF"/>
    <w:rsid w:val="00716A62"/>
    <w:rsid w:val="007176D8"/>
    <w:rsid w:val="00717FEE"/>
    <w:rsid w:val="007214D1"/>
    <w:rsid w:val="00721970"/>
    <w:rsid w:val="00724732"/>
    <w:rsid w:val="0072624F"/>
    <w:rsid w:val="0072661F"/>
    <w:rsid w:val="00733ABF"/>
    <w:rsid w:val="00733C39"/>
    <w:rsid w:val="0074357D"/>
    <w:rsid w:val="0074360E"/>
    <w:rsid w:val="00750BDE"/>
    <w:rsid w:val="0075483F"/>
    <w:rsid w:val="00762379"/>
    <w:rsid w:val="00763559"/>
    <w:rsid w:val="00772D75"/>
    <w:rsid w:val="00776884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50"/>
    <w:rsid w:val="007D2AFE"/>
    <w:rsid w:val="007D4326"/>
    <w:rsid w:val="007E11E5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2345"/>
    <w:rsid w:val="00825FD9"/>
    <w:rsid w:val="00833EB7"/>
    <w:rsid w:val="0084114E"/>
    <w:rsid w:val="00851CF2"/>
    <w:rsid w:val="0085262A"/>
    <w:rsid w:val="00861106"/>
    <w:rsid w:val="00867A34"/>
    <w:rsid w:val="0088587A"/>
    <w:rsid w:val="0089449E"/>
    <w:rsid w:val="0089588A"/>
    <w:rsid w:val="00895B92"/>
    <w:rsid w:val="008A1F14"/>
    <w:rsid w:val="008A212E"/>
    <w:rsid w:val="008A51D2"/>
    <w:rsid w:val="008B2D76"/>
    <w:rsid w:val="008B4BAF"/>
    <w:rsid w:val="008B4D54"/>
    <w:rsid w:val="008C5986"/>
    <w:rsid w:val="008D2DEE"/>
    <w:rsid w:val="008E23F2"/>
    <w:rsid w:val="008E375A"/>
    <w:rsid w:val="008E51F4"/>
    <w:rsid w:val="008F1291"/>
    <w:rsid w:val="008F163E"/>
    <w:rsid w:val="008F3159"/>
    <w:rsid w:val="008F5A22"/>
    <w:rsid w:val="0090103B"/>
    <w:rsid w:val="00903E7A"/>
    <w:rsid w:val="00906B31"/>
    <w:rsid w:val="0091029D"/>
    <w:rsid w:val="00911186"/>
    <w:rsid w:val="00915C25"/>
    <w:rsid w:val="00916B73"/>
    <w:rsid w:val="0092031D"/>
    <w:rsid w:val="009221C7"/>
    <w:rsid w:val="00930D82"/>
    <w:rsid w:val="00931E71"/>
    <w:rsid w:val="009343A4"/>
    <w:rsid w:val="00937AAC"/>
    <w:rsid w:val="00943A99"/>
    <w:rsid w:val="00947F7B"/>
    <w:rsid w:val="00951FCB"/>
    <w:rsid w:val="00957E51"/>
    <w:rsid w:val="00963286"/>
    <w:rsid w:val="00965998"/>
    <w:rsid w:val="00966876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449B"/>
    <w:rsid w:val="00985128"/>
    <w:rsid w:val="00986B52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C27EE"/>
    <w:rsid w:val="009C6FDD"/>
    <w:rsid w:val="009C79AB"/>
    <w:rsid w:val="009D0F45"/>
    <w:rsid w:val="009D27A9"/>
    <w:rsid w:val="009D3014"/>
    <w:rsid w:val="009D4E67"/>
    <w:rsid w:val="009E0393"/>
    <w:rsid w:val="009E72FA"/>
    <w:rsid w:val="009F1DA8"/>
    <w:rsid w:val="009F6E6F"/>
    <w:rsid w:val="00A05358"/>
    <w:rsid w:val="00A0742F"/>
    <w:rsid w:val="00A10EAD"/>
    <w:rsid w:val="00A129BC"/>
    <w:rsid w:val="00A15E2C"/>
    <w:rsid w:val="00A16D06"/>
    <w:rsid w:val="00A2043D"/>
    <w:rsid w:val="00A220DB"/>
    <w:rsid w:val="00A241C4"/>
    <w:rsid w:val="00A31759"/>
    <w:rsid w:val="00A31CFF"/>
    <w:rsid w:val="00A37624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60E1"/>
    <w:rsid w:val="00A872F2"/>
    <w:rsid w:val="00A923FD"/>
    <w:rsid w:val="00A936EC"/>
    <w:rsid w:val="00A93F53"/>
    <w:rsid w:val="00A9522F"/>
    <w:rsid w:val="00A96568"/>
    <w:rsid w:val="00A97015"/>
    <w:rsid w:val="00AA04F3"/>
    <w:rsid w:val="00AA1185"/>
    <w:rsid w:val="00AA533C"/>
    <w:rsid w:val="00AB0ED8"/>
    <w:rsid w:val="00AB54FF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6F50"/>
    <w:rsid w:val="00AF02B6"/>
    <w:rsid w:val="00AF545E"/>
    <w:rsid w:val="00B02293"/>
    <w:rsid w:val="00B035CB"/>
    <w:rsid w:val="00B04390"/>
    <w:rsid w:val="00B10A32"/>
    <w:rsid w:val="00B124C0"/>
    <w:rsid w:val="00B12C74"/>
    <w:rsid w:val="00B13579"/>
    <w:rsid w:val="00B13810"/>
    <w:rsid w:val="00B14C29"/>
    <w:rsid w:val="00B176A2"/>
    <w:rsid w:val="00B23D14"/>
    <w:rsid w:val="00B2443A"/>
    <w:rsid w:val="00B2590F"/>
    <w:rsid w:val="00B26FE3"/>
    <w:rsid w:val="00B312BC"/>
    <w:rsid w:val="00B31F25"/>
    <w:rsid w:val="00B33525"/>
    <w:rsid w:val="00B33A16"/>
    <w:rsid w:val="00B41BEF"/>
    <w:rsid w:val="00B420F8"/>
    <w:rsid w:val="00B4511E"/>
    <w:rsid w:val="00B46B39"/>
    <w:rsid w:val="00B46E01"/>
    <w:rsid w:val="00B53699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90FEE"/>
    <w:rsid w:val="00B9129C"/>
    <w:rsid w:val="00BA7621"/>
    <w:rsid w:val="00BB15FF"/>
    <w:rsid w:val="00BB35C1"/>
    <w:rsid w:val="00BB4484"/>
    <w:rsid w:val="00BB4A08"/>
    <w:rsid w:val="00BC0857"/>
    <w:rsid w:val="00BC3697"/>
    <w:rsid w:val="00BE155F"/>
    <w:rsid w:val="00BE44CB"/>
    <w:rsid w:val="00C00E67"/>
    <w:rsid w:val="00C04661"/>
    <w:rsid w:val="00C07C9E"/>
    <w:rsid w:val="00C15E52"/>
    <w:rsid w:val="00C2189A"/>
    <w:rsid w:val="00C23422"/>
    <w:rsid w:val="00C2344C"/>
    <w:rsid w:val="00C26C9D"/>
    <w:rsid w:val="00C30B9C"/>
    <w:rsid w:val="00C32A2A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71BC7"/>
    <w:rsid w:val="00C72600"/>
    <w:rsid w:val="00C74DC7"/>
    <w:rsid w:val="00C76C7E"/>
    <w:rsid w:val="00C76CFE"/>
    <w:rsid w:val="00C8005D"/>
    <w:rsid w:val="00C81D7B"/>
    <w:rsid w:val="00C84C4C"/>
    <w:rsid w:val="00C86B05"/>
    <w:rsid w:val="00C873C0"/>
    <w:rsid w:val="00C91EFB"/>
    <w:rsid w:val="00C9292D"/>
    <w:rsid w:val="00C97A35"/>
    <w:rsid w:val="00CA146D"/>
    <w:rsid w:val="00CB2AFA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6A5E"/>
    <w:rsid w:val="00CE73E3"/>
    <w:rsid w:val="00CE7D82"/>
    <w:rsid w:val="00CF11B1"/>
    <w:rsid w:val="00CF3F3E"/>
    <w:rsid w:val="00CF6265"/>
    <w:rsid w:val="00CF6A36"/>
    <w:rsid w:val="00D03F91"/>
    <w:rsid w:val="00D04921"/>
    <w:rsid w:val="00D0526F"/>
    <w:rsid w:val="00D05BA6"/>
    <w:rsid w:val="00D05DE1"/>
    <w:rsid w:val="00D05E59"/>
    <w:rsid w:val="00D15130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7CDF"/>
    <w:rsid w:val="00D617F0"/>
    <w:rsid w:val="00D658D1"/>
    <w:rsid w:val="00D676B7"/>
    <w:rsid w:val="00D7355C"/>
    <w:rsid w:val="00D811D3"/>
    <w:rsid w:val="00D819EC"/>
    <w:rsid w:val="00D8346A"/>
    <w:rsid w:val="00D842DB"/>
    <w:rsid w:val="00D87D93"/>
    <w:rsid w:val="00D90A8D"/>
    <w:rsid w:val="00D912B3"/>
    <w:rsid w:val="00D916DE"/>
    <w:rsid w:val="00DA465D"/>
    <w:rsid w:val="00DA5818"/>
    <w:rsid w:val="00DA7D34"/>
    <w:rsid w:val="00DB0815"/>
    <w:rsid w:val="00DB3601"/>
    <w:rsid w:val="00DC13A1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23AE"/>
    <w:rsid w:val="00E159A4"/>
    <w:rsid w:val="00E236B9"/>
    <w:rsid w:val="00E25D85"/>
    <w:rsid w:val="00E263CA"/>
    <w:rsid w:val="00E304DA"/>
    <w:rsid w:val="00E31BE1"/>
    <w:rsid w:val="00E33025"/>
    <w:rsid w:val="00E345B1"/>
    <w:rsid w:val="00E45B7F"/>
    <w:rsid w:val="00E47B0B"/>
    <w:rsid w:val="00E51AE0"/>
    <w:rsid w:val="00E57EA0"/>
    <w:rsid w:val="00E635F3"/>
    <w:rsid w:val="00E7475C"/>
    <w:rsid w:val="00E82BE9"/>
    <w:rsid w:val="00E86ABF"/>
    <w:rsid w:val="00E87480"/>
    <w:rsid w:val="00E9032E"/>
    <w:rsid w:val="00E926F1"/>
    <w:rsid w:val="00E97ABE"/>
    <w:rsid w:val="00EA1F0A"/>
    <w:rsid w:val="00EA1FF4"/>
    <w:rsid w:val="00EA3EA6"/>
    <w:rsid w:val="00EA6D79"/>
    <w:rsid w:val="00EA70C6"/>
    <w:rsid w:val="00EA71DB"/>
    <w:rsid w:val="00EB0CA7"/>
    <w:rsid w:val="00EB7CC3"/>
    <w:rsid w:val="00EC0D99"/>
    <w:rsid w:val="00EC455A"/>
    <w:rsid w:val="00EC4CB9"/>
    <w:rsid w:val="00EC60DC"/>
    <w:rsid w:val="00EC7176"/>
    <w:rsid w:val="00ED0E5C"/>
    <w:rsid w:val="00ED6AD5"/>
    <w:rsid w:val="00EE018E"/>
    <w:rsid w:val="00EE12A5"/>
    <w:rsid w:val="00EF24F1"/>
    <w:rsid w:val="00EF3A2D"/>
    <w:rsid w:val="00F00614"/>
    <w:rsid w:val="00F023FF"/>
    <w:rsid w:val="00F04DDD"/>
    <w:rsid w:val="00F067E4"/>
    <w:rsid w:val="00F0681D"/>
    <w:rsid w:val="00F06CED"/>
    <w:rsid w:val="00F105E6"/>
    <w:rsid w:val="00F11A45"/>
    <w:rsid w:val="00F14CD9"/>
    <w:rsid w:val="00F16D09"/>
    <w:rsid w:val="00F22331"/>
    <w:rsid w:val="00F26113"/>
    <w:rsid w:val="00F31E49"/>
    <w:rsid w:val="00F32670"/>
    <w:rsid w:val="00F32DB3"/>
    <w:rsid w:val="00F34098"/>
    <w:rsid w:val="00F3541E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745B5"/>
    <w:rsid w:val="00F74730"/>
    <w:rsid w:val="00F8113B"/>
    <w:rsid w:val="00F8209E"/>
    <w:rsid w:val="00F84C63"/>
    <w:rsid w:val="00F87ADA"/>
    <w:rsid w:val="00F90D23"/>
    <w:rsid w:val="00F91495"/>
    <w:rsid w:val="00FA053D"/>
    <w:rsid w:val="00FA516A"/>
    <w:rsid w:val="00FB11B3"/>
    <w:rsid w:val="00FB15EC"/>
    <w:rsid w:val="00FB7E75"/>
    <w:rsid w:val="00FC03AC"/>
    <w:rsid w:val="00FC7D8F"/>
    <w:rsid w:val="00FD201D"/>
    <w:rsid w:val="00FD3E30"/>
    <w:rsid w:val="00FD3F7E"/>
    <w:rsid w:val="00FD4165"/>
    <w:rsid w:val="00FE0838"/>
    <w:rsid w:val="00FE39AA"/>
    <w:rsid w:val="00FE4D79"/>
    <w:rsid w:val="00FE4E5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</cp:lastModifiedBy>
  <cp:revision>3</cp:revision>
  <cp:lastPrinted>2018-08-17T11:00:00Z</cp:lastPrinted>
  <dcterms:created xsi:type="dcterms:W3CDTF">2021-08-20T10:21:00Z</dcterms:created>
  <dcterms:modified xsi:type="dcterms:W3CDTF">2021-08-20T11:00:00Z</dcterms:modified>
</cp:coreProperties>
</file>