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685"/>
      </w:tblGrid>
      <w:tr w:rsidR="00BD0989" w:rsidRPr="004F7045" w14:paraId="5269BC42" w14:textId="77777777" w:rsidTr="00C6209A">
        <w:trPr>
          <w:cantSplit/>
          <w:trHeight w:val="992"/>
        </w:trPr>
        <w:tc>
          <w:tcPr>
            <w:tcW w:w="6380" w:type="dxa"/>
          </w:tcPr>
          <w:p w14:paraId="0746F5F3" w14:textId="77777777" w:rsidR="00BD0989" w:rsidRPr="004F7045" w:rsidRDefault="00BD0989" w:rsidP="00D30A72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7B2BC4DB" w14:textId="77777777" w:rsidR="00CF63F3" w:rsidRPr="00CF63F3" w:rsidRDefault="00CF63F3" w:rsidP="00CF63F3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CF63F3">
              <w:rPr>
                <w:rFonts w:ascii="Arial" w:hAnsi="Arial" w:cs="Arial"/>
                <w:szCs w:val="24"/>
              </w:rPr>
              <w:t>REPORT TO BOARD OF DIRECTORS</w:t>
            </w:r>
          </w:p>
          <w:p w14:paraId="2BD818EC" w14:textId="592C0BE7" w:rsidR="00BD0989" w:rsidRPr="004F7045" w:rsidRDefault="00CF63F3" w:rsidP="00CF63F3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CF63F3">
              <w:rPr>
                <w:rFonts w:ascii="Arial" w:hAnsi="Arial" w:cs="Arial"/>
                <w:szCs w:val="24"/>
              </w:rPr>
              <w:t>13 December 2021</w:t>
            </w:r>
            <w:r w:rsidR="00BD0989" w:rsidRPr="004F7045">
              <w:rPr>
                <w:rFonts w:ascii="Arial" w:hAnsi="Arial" w:cs="Arial"/>
                <w:szCs w:val="24"/>
              </w:rPr>
              <w:fldChar w:fldCharType="begin"/>
            </w:r>
            <w:r w:rsidR="00BD0989" w:rsidRPr="004F7045">
              <w:rPr>
                <w:rFonts w:ascii="Arial" w:hAnsi="Arial" w:cs="Arial"/>
                <w:szCs w:val="24"/>
              </w:rPr>
              <w:instrText xml:space="preserve">  </w:instrText>
            </w:r>
            <w:r w:rsidR="00BD0989" w:rsidRPr="004F704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85" w:type="dxa"/>
          </w:tcPr>
          <w:p w14:paraId="1B96D95E" w14:textId="77777777" w:rsidR="00102390" w:rsidRDefault="00BD0989" w:rsidP="00451F55">
            <w:pPr>
              <w:ind w:left="-108"/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 xml:space="preserve">AGENDA ITEM </w:t>
            </w:r>
          </w:p>
          <w:p w14:paraId="01FFEE68" w14:textId="2C9B74F1" w:rsidR="00BD0989" w:rsidRPr="004F7045" w:rsidRDefault="00BD0989" w:rsidP="00451F55">
            <w:pPr>
              <w:ind w:left="-108"/>
              <w:rPr>
                <w:rFonts w:ascii="Arial" w:hAnsi="Arial" w:cs="Arial"/>
                <w:szCs w:val="24"/>
              </w:rPr>
            </w:pPr>
            <w:r w:rsidRPr="00B85D90">
              <w:rPr>
                <w:rFonts w:ascii="Arial" w:hAnsi="Arial" w:cs="Arial"/>
                <w:szCs w:val="24"/>
              </w:rPr>
              <w:t>REPORT No HLH/</w:t>
            </w:r>
            <w:r w:rsidR="007E5311" w:rsidRPr="00B85D90">
              <w:rPr>
                <w:rFonts w:ascii="Arial" w:hAnsi="Arial" w:cs="Arial"/>
                <w:szCs w:val="24"/>
              </w:rPr>
              <w:t xml:space="preserve">   </w:t>
            </w:r>
            <w:r w:rsidRPr="00B85D90">
              <w:rPr>
                <w:rFonts w:ascii="Arial" w:hAnsi="Arial" w:cs="Arial"/>
                <w:szCs w:val="24"/>
              </w:rPr>
              <w:t>/</w:t>
            </w:r>
            <w:r w:rsidR="00462A09" w:rsidRPr="00B85D90">
              <w:rPr>
                <w:rFonts w:ascii="Arial" w:hAnsi="Arial" w:cs="Arial"/>
                <w:szCs w:val="24"/>
              </w:rPr>
              <w:t>2</w:t>
            </w:r>
            <w:r w:rsidR="00303F40">
              <w:rPr>
                <w:rFonts w:ascii="Arial" w:hAnsi="Arial" w:cs="Arial"/>
                <w:szCs w:val="24"/>
              </w:rPr>
              <w:t>1</w:t>
            </w:r>
            <w:r w:rsidRPr="00B85D90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3D681DD3" w14:textId="77777777" w:rsidR="00103427" w:rsidRPr="004F7045" w:rsidRDefault="00103427" w:rsidP="00BD0989">
      <w:pPr>
        <w:pStyle w:val="Heading2"/>
        <w:rPr>
          <w:rFonts w:ascii="Arial" w:hAnsi="Arial" w:cs="Arial"/>
          <w:b/>
          <w:szCs w:val="24"/>
          <w:u w:val="none"/>
        </w:rPr>
      </w:pPr>
    </w:p>
    <w:p w14:paraId="5E4CFD12" w14:textId="185156B1" w:rsidR="00BD0989" w:rsidRPr="004F7045" w:rsidRDefault="005D0C04" w:rsidP="00550499">
      <w:pPr>
        <w:pStyle w:val="Heading2"/>
        <w:ind w:left="-284"/>
        <w:rPr>
          <w:rFonts w:ascii="Arial" w:hAnsi="Arial" w:cs="Arial"/>
          <w:b/>
          <w:szCs w:val="24"/>
          <w:u w:val="none"/>
        </w:rPr>
      </w:pPr>
      <w:r w:rsidRPr="005D0C04">
        <w:rPr>
          <w:rFonts w:ascii="Arial" w:hAnsi="Arial" w:cs="Arial"/>
          <w:b/>
          <w:caps/>
          <w:szCs w:val="24"/>
          <w:u w:val="none"/>
        </w:rPr>
        <w:t xml:space="preserve">Environmental Policy </w:t>
      </w:r>
      <w:r w:rsidR="00BD0989" w:rsidRPr="004F7045">
        <w:rPr>
          <w:rFonts w:ascii="Arial" w:hAnsi="Arial" w:cs="Arial"/>
          <w:b/>
          <w:szCs w:val="24"/>
          <w:u w:val="none"/>
        </w:rPr>
        <w:t>- Report by Chief Executive</w:t>
      </w:r>
    </w:p>
    <w:p w14:paraId="4A957813" w14:textId="77777777" w:rsidR="00BD0989" w:rsidRPr="004F7045" w:rsidRDefault="00BD0989" w:rsidP="00BD0989">
      <w:pPr>
        <w:pStyle w:val="Heading1"/>
        <w:jc w:val="left"/>
        <w:rPr>
          <w:rFonts w:ascii="Arial" w:hAnsi="Arial" w:cs="Arial"/>
          <w:szCs w:val="24"/>
        </w:rPr>
      </w:pPr>
      <w:r w:rsidRPr="004F7045">
        <w:rPr>
          <w:rFonts w:ascii="Arial" w:hAnsi="Arial" w:cs="Arial"/>
          <w:szCs w:val="24"/>
        </w:rPr>
        <w:fldChar w:fldCharType="begin"/>
      </w:r>
      <w:r w:rsidRPr="004F7045">
        <w:rPr>
          <w:rFonts w:ascii="Arial" w:hAnsi="Arial" w:cs="Arial"/>
          <w:szCs w:val="24"/>
        </w:rPr>
        <w:instrText xml:space="preserve">  </w:instrText>
      </w:r>
      <w:r w:rsidRPr="004F7045">
        <w:rPr>
          <w:rFonts w:ascii="Arial" w:hAnsi="Arial" w:cs="Arial"/>
          <w:szCs w:val="24"/>
        </w:rPr>
        <w:fldChar w:fldCharType="end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D0989" w:rsidRPr="00D1562C" w14:paraId="5A151C88" w14:textId="77777777" w:rsidTr="00B84881">
        <w:trPr>
          <w:cantSplit/>
        </w:trPr>
        <w:tc>
          <w:tcPr>
            <w:tcW w:w="10065" w:type="dxa"/>
            <w:shd w:val="clear" w:color="auto" w:fill="auto"/>
          </w:tcPr>
          <w:p w14:paraId="632C5741" w14:textId="77777777" w:rsidR="00BD0989" w:rsidRPr="00D1562C" w:rsidRDefault="00BD0989" w:rsidP="00D30A72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D1562C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371C3719" w14:textId="77777777" w:rsidR="00BD0989" w:rsidRPr="00D1562C" w:rsidRDefault="00BD0989" w:rsidP="00D30A72">
            <w:pPr>
              <w:rPr>
                <w:rFonts w:ascii="Arial" w:hAnsi="Arial" w:cs="Arial"/>
                <w:szCs w:val="24"/>
              </w:rPr>
            </w:pPr>
          </w:p>
          <w:p w14:paraId="507A95CB" w14:textId="5E425FAF" w:rsidR="00EC56A5" w:rsidRPr="00D1562C" w:rsidRDefault="00C56F90" w:rsidP="00EC56A5">
            <w:pPr>
              <w:jc w:val="both"/>
              <w:rPr>
                <w:rFonts w:ascii="Arial" w:hAnsi="Arial" w:cs="Arial"/>
                <w:szCs w:val="24"/>
              </w:rPr>
            </w:pPr>
            <w:r w:rsidRPr="00D1562C">
              <w:rPr>
                <w:rFonts w:ascii="Arial" w:hAnsi="Arial" w:cs="Arial"/>
                <w:szCs w:val="24"/>
              </w:rPr>
              <w:t xml:space="preserve">The purpose of this report is to present the </w:t>
            </w:r>
            <w:r w:rsidR="00CF63F3">
              <w:rPr>
                <w:rFonts w:ascii="Arial" w:hAnsi="Arial" w:cs="Arial"/>
                <w:szCs w:val="24"/>
              </w:rPr>
              <w:t xml:space="preserve">Board of Directors </w:t>
            </w:r>
            <w:r w:rsidR="00385516">
              <w:rPr>
                <w:rFonts w:ascii="Arial" w:hAnsi="Arial" w:cs="Arial"/>
                <w:szCs w:val="24"/>
              </w:rPr>
              <w:t>with</w:t>
            </w:r>
            <w:r w:rsidR="005D0C04">
              <w:rPr>
                <w:rFonts w:ascii="Arial" w:hAnsi="Arial" w:cs="Arial"/>
                <w:szCs w:val="24"/>
              </w:rPr>
              <w:t xml:space="preserve"> a draft </w:t>
            </w:r>
            <w:r w:rsidR="005D0C04" w:rsidRPr="005D0C04">
              <w:rPr>
                <w:rFonts w:ascii="Arial" w:hAnsi="Arial" w:cs="Arial"/>
                <w:szCs w:val="24"/>
              </w:rPr>
              <w:t>Environmental Policy</w:t>
            </w:r>
            <w:r w:rsidR="00A13B30" w:rsidRPr="00D1562C">
              <w:rPr>
                <w:rFonts w:ascii="Arial" w:hAnsi="Arial" w:cs="Arial"/>
                <w:szCs w:val="24"/>
              </w:rPr>
              <w:t>.</w:t>
            </w:r>
            <w:r w:rsidRPr="00D1562C">
              <w:rPr>
                <w:rFonts w:ascii="Arial" w:hAnsi="Arial" w:cs="Arial"/>
                <w:szCs w:val="24"/>
              </w:rPr>
              <w:t xml:space="preserve"> </w:t>
            </w:r>
            <w:r w:rsidR="00EC56A5" w:rsidRPr="00D1562C">
              <w:rPr>
                <w:rFonts w:ascii="Arial" w:hAnsi="Arial" w:cs="Arial"/>
                <w:szCs w:val="24"/>
              </w:rPr>
              <w:t>It is recommended that Directors:</w:t>
            </w:r>
          </w:p>
          <w:p w14:paraId="09D1732D" w14:textId="77777777" w:rsidR="00EC56A5" w:rsidRPr="00D1562C" w:rsidRDefault="00EC56A5" w:rsidP="00EC56A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33C4470" w14:textId="7DF60DBF" w:rsidR="00EC56A5" w:rsidRPr="00D1562C" w:rsidRDefault="00102390" w:rsidP="00B8488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EC56A5" w:rsidRPr="00D1562C">
              <w:rPr>
                <w:rFonts w:ascii="Arial" w:hAnsi="Arial" w:cs="Arial"/>
                <w:sz w:val="24"/>
                <w:szCs w:val="24"/>
              </w:rPr>
              <w:t>eview</w:t>
            </w:r>
            <w:r w:rsidR="00CC0904">
              <w:rPr>
                <w:rFonts w:ascii="Arial" w:hAnsi="Arial" w:cs="Arial"/>
                <w:sz w:val="24"/>
                <w:szCs w:val="24"/>
              </w:rPr>
              <w:t xml:space="preserve"> and discuss</w:t>
            </w:r>
            <w:r w:rsidR="00EC56A5" w:rsidRPr="00D1562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B84881">
              <w:rPr>
                <w:rFonts w:ascii="Arial" w:hAnsi="Arial" w:cs="Arial"/>
                <w:sz w:val="24"/>
                <w:szCs w:val="24"/>
              </w:rPr>
              <w:t xml:space="preserve">contents of the draft </w:t>
            </w:r>
            <w:r w:rsidR="00B84881" w:rsidRPr="00B84881">
              <w:rPr>
                <w:rFonts w:ascii="Arial" w:hAnsi="Arial" w:cs="Arial"/>
                <w:sz w:val="24"/>
                <w:szCs w:val="24"/>
              </w:rPr>
              <w:t xml:space="preserve">Environmental Policy </w:t>
            </w:r>
            <w:r w:rsidR="00B84881">
              <w:rPr>
                <w:rFonts w:ascii="Arial" w:hAnsi="Arial" w:cs="Arial"/>
                <w:sz w:val="24"/>
                <w:szCs w:val="24"/>
              </w:rPr>
              <w:t xml:space="preserve">as attached within </w:t>
            </w:r>
            <w:r w:rsidR="00732FE8" w:rsidRPr="002809D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32FE8" w:rsidRPr="00D1562C">
              <w:rPr>
                <w:rFonts w:ascii="Arial" w:hAnsi="Arial" w:cs="Arial"/>
                <w:b/>
                <w:sz w:val="24"/>
                <w:szCs w:val="24"/>
              </w:rPr>
              <w:t>ppendi</w:t>
            </w:r>
            <w:r w:rsidR="00732FE8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732FE8" w:rsidRPr="00D156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6A5" w:rsidRPr="00D1562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C56A5" w:rsidRPr="00D156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B84881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E2C06FE" w14:textId="53345D1F" w:rsidR="00BD0989" w:rsidRPr="00EE384E" w:rsidRDefault="00BA4B3C" w:rsidP="00B8488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and </w:t>
            </w:r>
            <w:r w:rsidR="00102390">
              <w:rPr>
                <w:rFonts w:ascii="Arial" w:hAnsi="Arial" w:cs="Arial"/>
                <w:sz w:val="24"/>
                <w:szCs w:val="24"/>
              </w:rPr>
              <w:t>a</w:t>
            </w:r>
            <w:r w:rsidR="00F30DCD">
              <w:rPr>
                <w:rFonts w:ascii="Arial" w:hAnsi="Arial" w:cs="Arial"/>
                <w:sz w:val="24"/>
                <w:szCs w:val="24"/>
              </w:rPr>
              <w:t xml:space="preserve">gree </w:t>
            </w:r>
            <w:r w:rsidR="00CF63F3">
              <w:rPr>
                <w:rFonts w:ascii="Arial" w:hAnsi="Arial" w:cs="Arial"/>
                <w:sz w:val="24"/>
                <w:szCs w:val="24"/>
              </w:rPr>
              <w:t xml:space="preserve">the implementation of </w:t>
            </w:r>
            <w:r w:rsidR="00AA7E9E">
              <w:rPr>
                <w:rFonts w:ascii="Arial" w:hAnsi="Arial" w:cs="Arial"/>
                <w:sz w:val="24"/>
                <w:szCs w:val="24"/>
              </w:rPr>
              <w:t>the policy from 1 April 2022.</w:t>
            </w:r>
            <w:r w:rsidR="00EC56A5" w:rsidRPr="00D15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989" w:rsidRPr="00EE384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D0989" w:rsidRPr="00EE384E">
              <w:rPr>
                <w:rFonts w:ascii="Arial" w:hAnsi="Arial" w:cs="Arial"/>
                <w:sz w:val="24"/>
                <w:szCs w:val="24"/>
              </w:rPr>
              <w:instrText xml:space="preserve">  </w:instrText>
            </w:r>
            <w:r w:rsidR="00BD0989" w:rsidRPr="00EE38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6F47A93" w14:textId="77777777" w:rsidR="00E42F78" w:rsidRPr="004F7045" w:rsidRDefault="00E42F78">
      <w:pPr>
        <w:rPr>
          <w:rFonts w:ascii="Arial" w:hAnsi="Arial" w:cs="Arial"/>
          <w:szCs w:val="24"/>
        </w:rPr>
      </w:pP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355"/>
      </w:tblGrid>
      <w:tr w:rsidR="00BD0989" w:rsidRPr="004F7045" w14:paraId="30DFFF55" w14:textId="77777777" w:rsidTr="00C6209A">
        <w:tc>
          <w:tcPr>
            <w:tcW w:w="710" w:type="dxa"/>
          </w:tcPr>
          <w:p w14:paraId="1C0F4C32" w14:textId="77777777" w:rsidR="00BD0989" w:rsidRPr="004F7045" w:rsidRDefault="00BD0989">
            <w:pPr>
              <w:rPr>
                <w:rFonts w:ascii="Arial" w:hAnsi="Arial" w:cs="Arial"/>
                <w:b/>
                <w:szCs w:val="24"/>
              </w:rPr>
            </w:pPr>
            <w:r w:rsidRPr="004F7045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9355" w:type="dxa"/>
          </w:tcPr>
          <w:p w14:paraId="11EAD822" w14:textId="77777777" w:rsidR="00BD0989" w:rsidRPr="00F60EB6" w:rsidRDefault="00BD0989">
            <w:pPr>
              <w:rPr>
                <w:rFonts w:ascii="Arial" w:hAnsi="Arial" w:cs="Arial"/>
                <w:b/>
                <w:szCs w:val="24"/>
              </w:rPr>
            </w:pPr>
            <w:r w:rsidRPr="00F60EB6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79724C24" w14:textId="77777777" w:rsidR="00BD0989" w:rsidRPr="00F60EB6" w:rsidRDefault="00BD09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D0989" w:rsidRPr="004F7045" w14:paraId="72CACEFF" w14:textId="77777777" w:rsidTr="00C6209A">
        <w:tc>
          <w:tcPr>
            <w:tcW w:w="710" w:type="dxa"/>
          </w:tcPr>
          <w:p w14:paraId="1C533C45" w14:textId="77777777" w:rsidR="00BD0989" w:rsidRPr="004F7045" w:rsidRDefault="00BD0989">
            <w:pPr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9355" w:type="dxa"/>
          </w:tcPr>
          <w:p w14:paraId="403BD51E" w14:textId="77777777" w:rsidR="00712FAB" w:rsidRPr="00F60EB6" w:rsidRDefault="00712FAB" w:rsidP="00712FAB">
            <w:pPr>
              <w:jc w:val="both"/>
              <w:rPr>
                <w:rFonts w:ascii="Arial" w:hAnsi="Arial" w:cs="Arial"/>
                <w:szCs w:val="24"/>
              </w:rPr>
            </w:pPr>
            <w:r w:rsidRPr="00F60EB6">
              <w:rPr>
                <w:rFonts w:ascii="Arial" w:hAnsi="Arial" w:cs="Arial"/>
                <w:szCs w:val="24"/>
              </w:rPr>
              <w:t>This report supports the highlighted Business Outcome from the High Life Highland (HLH) Business Plan:</w:t>
            </w:r>
          </w:p>
          <w:p w14:paraId="526BC6A0" w14:textId="77777777" w:rsidR="00C56F90" w:rsidRPr="00F60EB6" w:rsidRDefault="00C56F90" w:rsidP="00623751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AFC317" w14:textId="77777777" w:rsidR="00F60EB6" w:rsidRPr="00F60EB6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0EB6">
              <w:rPr>
                <w:rFonts w:ascii="Arial" w:hAnsi="Arial" w:cs="Arial"/>
                <w:b/>
                <w:sz w:val="24"/>
                <w:szCs w:val="24"/>
              </w:rPr>
              <w:t>Sustain a high standard of health and safety, and environmental performance</w:t>
            </w:r>
          </w:p>
          <w:p w14:paraId="70DC1076" w14:textId="77777777" w:rsidR="00F60EB6" w:rsidRPr="00884B83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B83">
              <w:rPr>
                <w:rFonts w:ascii="Arial" w:hAnsi="Arial" w:cs="Arial"/>
                <w:b/>
                <w:sz w:val="24"/>
                <w:szCs w:val="24"/>
              </w:rPr>
              <w:t>Implement the Service Delivery Contract with THC</w:t>
            </w:r>
          </w:p>
          <w:p w14:paraId="4570672B" w14:textId="77777777" w:rsidR="00F60EB6" w:rsidRPr="0077326A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26A">
              <w:rPr>
                <w:rFonts w:ascii="Arial" w:hAnsi="Arial" w:cs="Arial"/>
                <w:sz w:val="24"/>
                <w:szCs w:val="24"/>
              </w:rPr>
              <w:t>Improving customer engagement and satisfaction</w:t>
            </w:r>
          </w:p>
          <w:p w14:paraId="0432B078" w14:textId="77777777" w:rsidR="00F60EB6" w:rsidRPr="00884B83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B83">
              <w:rPr>
                <w:rFonts w:ascii="Arial" w:hAnsi="Arial" w:cs="Arial"/>
                <w:b/>
                <w:sz w:val="24"/>
                <w:szCs w:val="24"/>
              </w:rPr>
              <w:t>Improving staff engagement and satisfaction</w:t>
            </w:r>
          </w:p>
          <w:p w14:paraId="27A8A8E3" w14:textId="77777777" w:rsidR="00F60EB6" w:rsidRPr="00884B83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B83">
              <w:rPr>
                <w:rFonts w:ascii="Arial" w:hAnsi="Arial" w:cs="Arial"/>
                <w:b/>
                <w:sz w:val="24"/>
                <w:szCs w:val="24"/>
              </w:rPr>
              <w:t>Enhance the positive charity image</w:t>
            </w:r>
          </w:p>
          <w:p w14:paraId="0C63D646" w14:textId="77777777" w:rsidR="00F60EB6" w:rsidRPr="00C94836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4836">
              <w:rPr>
                <w:rFonts w:ascii="Arial" w:hAnsi="Arial" w:cs="Arial"/>
                <w:sz w:val="24"/>
                <w:szCs w:val="24"/>
              </w:rPr>
              <w:t>Be a trusted and effective partner</w:t>
            </w:r>
          </w:p>
          <w:p w14:paraId="6D1FEBAE" w14:textId="77777777" w:rsidR="00F60EB6" w:rsidRPr="00F60EB6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EB6">
              <w:rPr>
                <w:rFonts w:ascii="Arial" w:hAnsi="Arial" w:cs="Arial"/>
                <w:sz w:val="24"/>
                <w:szCs w:val="24"/>
              </w:rPr>
              <w:t>Achieve sustainable growth across the organisation</w:t>
            </w:r>
          </w:p>
          <w:p w14:paraId="7CA17183" w14:textId="77777777" w:rsidR="00F60EB6" w:rsidRPr="0077326A" w:rsidRDefault="00F60EB6" w:rsidP="00BA4B3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16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26A">
              <w:rPr>
                <w:rFonts w:ascii="Arial" w:hAnsi="Arial" w:cs="Arial"/>
                <w:sz w:val="24"/>
                <w:szCs w:val="24"/>
              </w:rPr>
              <w:t>Develop health and wellbeing across Highland communities</w:t>
            </w:r>
          </w:p>
          <w:p w14:paraId="588C9FCE" w14:textId="77777777" w:rsidR="007D01EC" w:rsidRPr="0077326A" w:rsidRDefault="00F60EB6" w:rsidP="00BA4B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16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26A">
              <w:rPr>
                <w:rFonts w:ascii="Arial" w:hAnsi="Arial" w:cs="Arial"/>
                <w:sz w:val="24"/>
                <w:szCs w:val="24"/>
              </w:rPr>
              <w:t>Develop and promote the High Life brand</w:t>
            </w:r>
          </w:p>
          <w:p w14:paraId="25DB8D5C" w14:textId="77777777" w:rsidR="00BD0989" w:rsidRPr="00F60EB6" w:rsidRDefault="00BD0989" w:rsidP="007D01EC">
            <w:pPr>
              <w:ind w:left="459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D0989" w:rsidRPr="004F7045" w14:paraId="418297FA" w14:textId="77777777" w:rsidTr="00C6209A">
        <w:tc>
          <w:tcPr>
            <w:tcW w:w="710" w:type="dxa"/>
          </w:tcPr>
          <w:p w14:paraId="6973FEE6" w14:textId="77777777" w:rsidR="00BD0989" w:rsidRPr="004F7045" w:rsidRDefault="00BD0989">
            <w:pPr>
              <w:rPr>
                <w:rFonts w:ascii="Arial" w:hAnsi="Arial" w:cs="Arial"/>
                <w:b/>
                <w:szCs w:val="24"/>
              </w:rPr>
            </w:pPr>
            <w:bookmarkStart w:id="0" w:name="_Hlk77227755"/>
            <w:r w:rsidRPr="004F7045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9355" w:type="dxa"/>
          </w:tcPr>
          <w:p w14:paraId="2206BDE9" w14:textId="77777777" w:rsidR="00BD0989" w:rsidRPr="004F7045" w:rsidRDefault="00057658">
            <w:pPr>
              <w:rPr>
                <w:rFonts w:ascii="Arial" w:hAnsi="Arial" w:cs="Arial"/>
                <w:b/>
                <w:szCs w:val="24"/>
              </w:rPr>
            </w:pPr>
            <w:r w:rsidRPr="004F7045">
              <w:rPr>
                <w:rFonts w:ascii="Arial" w:hAnsi="Arial" w:cs="Arial"/>
                <w:b/>
                <w:szCs w:val="24"/>
              </w:rPr>
              <w:t>Introduction</w:t>
            </w:r>
          </w:p>
          <w:p w14:paraId="77B04CE3" w14:textId="77777777" w:rsidR="00BD0989" w:rsidRPr="004F7045" w:rsidRDefault="00BD098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11217" w:rsidRPr="004F7045" w14:paraId="560FD1BA" w14:textId="77777777" w:rsidTr="00C6209A">
        <w:tc>
          <w:tcPr>
            <w:tcW w:w="710" w:type="dxa"/>
          </w:tcPr>
          <w:p w14:paraId="37F3AEC7" w14:textId="77777777" w:rsidR="00A11217" w:rsidRDefault="00712FAB" w:rsidP="008212ED">
            <w:pPr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2.</w:t>
            </w:r>
            <w:r w:rsidR="008212ED">
              <w:rPr>
                <w:rFonts w:ascii="Arial" w:hAnsi="Arial" w:cs="Arial"/>
                <w:szCs w:val="24"/>
              </w:rPr>
              <w:t>1</w:t>
            </w:r>
          </w:p>
          <w:p w14:paraId="74184439" w14:textId="77777777" w:rsidR="00647EB5" w:rsidRDefault="00647EB5" w:rsidP="008212ED">
            <w:pPr>
              <w:rPr>
                <w:rFonts w:ascii="Arial" w:hAnsi="Arial" w:cs="Arial"/>
                <w:szCs w:val="24"/>
              </w:rPr>
            </w:pPr>
          </w:p>
          <w:p w14:paraId="703C33C6" w14:textId="77777777" w:rsidR="00647EB5" w:rsidRDefault="00647EB5" w:rsidP="008212ED">
            <w:pPr>
              <w:rPr>
                <w:rFonts w:ascii="Arial" w:hAnsi="Arial" w:cs="Arial"/>
                <w:szCs w:val="24"/>
              </w:rPr>
            </w:pPr>
          </w:p>
          <w:p w14:paraId="6A1732ED" w14:textId="77777777" w:rsidR="00647EB5" w:rsidRDefault="00647EB5" w:rsidP="008212ED">
            <w:pPr>
              <w:rPr>
                <w:rFonts w:ascii="Arial" w:hAnsi="Arial" w:cs="Arial"/>
                <w:szCs w:val="24"/>
              </w:rPr>
            </w:pPr>
          </w:p>
          <w:p w14:paraId="214FE10E" w14:textId="77777777" w:rsidR="00647EB5" w:rsidRDefault="00647EB5" w:rsidP="008212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</w:t>
            </w:r>
          </w:p>
          <w:p w14:paraId="237F3564" w14:textId="77777777" w:rsidR="000513BC" w:rsidRDefault="000513BC" w:rsidP="008212ED">
            <w:pPr>
              <w:rPr>
                <w:rFonts w:ascii="Arial" w:hAnsi="Arial" w:cs="Arial"/>
                <w:szCs w:val="24"/>
              </w:rPr>
            </w:pPr>
          </w:p>
          <w:p w14:paraId="647DBD46" w14:textId="77777777" w:rsidR="000513BC" w:rsidRDefault="000513BC" w:rsidP="008212ED">
            <w:pPr>
              <w:rPr>
                <w:rFonts w:ascii="Arial" w:hAnsi="Arial" w:cs="Arial"/>
                <w:szCs w:val="24"/>
              </w:rPr>
            </w:pPr>
          </w:p>
          <w:p w14:paraId="297BB4B2" w14:textId="77777777" w:rsidR="000513BC" w:rsidRDefault="000513BC" w:rsidP="008212ED">
            <w:pPr>
              <w:rPr>
                <w:rFonts w:ascii="Arial" w:hAnsi="Arial" w:cs="Arial"/>
                <w:szCs w:val="24"/>
              </w:rPr>
            </w:pPr>
          </w:p>
          <w:p w14:paraId="4A0D20DF" w14:textId="7E35B039" w:rsidR="000513BC" w:rsidRPr="004F7045" w:rsidRDefault="000513BC" w:rsidP="008212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</w:t>
            </w:r>
          </w:p>
        </w:tc>
        <w:tc>
          <w:tcPr>
            <w:tcW w:w="9355" w:type="dxa"/>
          </w:tcPr>
          <w:p w14:paraId="78277135" w14:textId="46D3C9EE" w:rsidR="002B4907" w:rsidRDefault="0091570A" w:rsidP="007E531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507E9D">
              <w:rPr>
                <w:rFonts w:ascii="Arial" w:hAnsi="Arial" w:cs="Arial"/>
                <w:szCs w:val="24"/>
              </w:rPr>
              <w:t>C</w:t>
            </w:r>
            <w:r w:rsidR="00F30DCD">
              <w:rPr>
                <w:rFonts w:ascii="Arial" w:hAnsi="Arial" w:cs="Arial"/>
                <w:szCs w:val="24"/>
              </w:rPr>
              <w:t>harity’s</w:t>
            </w:r>
            <w:r>
              <w:rPr>
                <w:rFonts w:ascii="Arial" w:hAnsi="Arial" w:cs="Arial"/>
                <w:szCs w:val="24"/>
              </w:rPr>
              <w:t xml:space="preserve"> Health and Safety and </w:t>
            </w:r>
            <w:r w:rsidRPr="0091570A">
              <w:rPr>
                <w:rFonts w:ascii="Arial" w:hAnsi="Arial" w:cs="Arial"/>
                <w:szCs w:val="24"/>
              </w:rPr>
              <w:t>Environmental</w:t>
            </w:r>
            <w:r>
              <w:rPr>
                <w:rFonts w:ascii="Arial" w:hAnsi="Arial" w:cs="Arial"/>
                <w:szCs w:val="24"/>
              </w:rPr>
              <w:t xml:space="preserve"> Compliance Policy has been in place since </w:t>
            </w:r>
            <w:r w:rsidR="002B4907">
              <w:rPr>
                <w:rFonts w:ascii="Arial" w:hAnsi="Arial" w:cs="Arial"/>
                <w:szCs w:val="24"/>
              </w:rPr>
              <w:t xml:space="preserve">the </w:t>
            </w:r>
            <w:r w:rsidR="006E0A7B">
              <w:rPr>
                <w:rFonts w:ascii="Arial" w:hAnsi="Arial" w:cs="Arial"/>
                <w:szCs w:val="24"/>
              </w:rPr>
              <w:t>C</w:t>
            </w:r>
            <w:r w:rsidR="002B4907">
              <w:rPr>
                <w:rFonts w:ascii="Arial" w:hAnsi="Arial" w:cs="Arial"/>
                <w:szCs w:val="24"/>
              </w:rPr>
              <w:t xml:space="preserve">harity </w:t>
            </w:r>
            <w:r>
              <w:rPr>
                <w:rFonts w:ascii="Arial" w:hAnsi="Arial" w:cs="Arial"/>
                <w:szCs w:val="24"/>
              </w:rPr>
              <w:t xml:space="preserve">was </w:t>
            </w:r>
            <w:r w:rsidRPr="0091570A">
              <w:rPr>
                <w:rFonts w:ascii="Arial" w:hAnsi="Arial" w:cs="Arial"/>
                <w:szCs w:val="24"/>
              </w:rPr>
              <w:t xml:space="preserve">formed </w:t>
            </w:r>
            <w:r>
              <w:rPr>
                <w:rFonts w:ascii="Arial" w:hAnsi="Arial" w:cs="Arial"/>
                <w:szCs w:val="24"/>
              </w:rPr>
              <w:t>in</w:t>
            </w:r>
            <w:r w:rsidRPr="0091570A">
              <w:rPr>
                <w:rFonts w:ascii="Arial" w:hAnsi="Arial" w:cs="Arial"/>
                <w:szCs w:val="24"/>
              </w:rPr>
              <w:t xml:space="preserve"> October 2011</w:t>
            </w:r>
            <w:r>
              <w:rPr>
                <w:rFonts w:ascii="Arial" w:hAnsi="Arial" w:cs="Arial"/>
                <w:szCs w:val="24"/>
              </w:rPr>
              <w:t xml:space="preserve">, this policy has been updated on an ongoing </w:t>
            </w:r>
            <w:r w:rsidR="00B84881">
              <w:rPr>
                <w:rFonts w:ascii="Arial" w:hAnsi="Arial" w:cs="Arial"/>
                <w:szCs w:val="24"/>
              </w:rPr>
              <w:t>basis</w:t>
            </w:r>
            <w:r>
              <w:rPr>
                <w:rFonts w:ascii="Arial" w:hAnsi="Arial" w:cs="Arial"/>
                <w:szCs w:val="24"/>
              </w:rPr>
              <w:t xml:space="preserve"> as required or at set </w:t>
            </w:r>
            <w:r w:rsidR="00B84881">
              <w:rPr>
                <w:rFonts w:ascii="Arial" w:hAnsi="Arial" w:cs="Arial"/>
                <w:szCs w:val="24"/>
              </w:rPr>
              <w:t>intervals</w:t>
            </w:r>
            <w:r>
              <w:rPr>
                <w:rFonts w:ascii="Arial" w:hAnsi="Arial" w:cs="Arial"/>
                <w:szCs w:val="24"/>
              </w:rPr>
              <w:t xml:space="preserve"> as de</w:t>
            </w:r>
            <w:r w:rsidR="002B4907">
              <w:rPr>
                <w:rFonts w:ascii="Arial" w:hAnsi="Arial" w:cs="Arial"/>
                <w:szCs w:val="24"/>
              </w:rPr>
              <w:t>tailed</w:t>
            </w:r>
            <w:r>
              <w:rPr>
                <w:rFonts w:ascii="Arial" w:hAnsi="Arial" w:cs="Arial"/>
                <w:szCs w:val="24"/>
              </w:rPr>
              <w:t xml:space="preserve"> within the policy.</w:t>
            </w:r>
            <w:r w:rsidR="00B85146" w:rsidRPr="004F7045">
              <w:rPr>
                <w:rFonts w:ascii="Arial" w:hAnsi="Arial" w:cs="Arial"/>
                <w:szCs w:val="24"/>
              </w:rPr>
              <w:t xml:space="preserve"> </w:t>
            </w:r>
          </w:p>
          <w:p w14:paraId="45F688ED" w14:textId="1DEFC14B" w:rsidR="00BE00E8" w:rsidRDefault="00BE00E8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D9921B" w14:textId="5DA79B7F" w:rsidR="00B162E1" w:rsidRDefault="00BE00E8" w:rsidP="007E5311">
            <w:pPr>
              <w:jc w:val="both"/>
              <w:rPr>
                <w:rFonts w:ascii="Arial" w:hAnsi="Arial" w:cs="Arial"/>
                <w:szCs w:val="24"/>
              </w:rPr>
            </w:pPr>
            <w:r w:rsidRPr="00BE00E8">
              <w:rPr>
                <w:rFonts w:ascii="Arial" w:hAnsi="Arial" w:cs="Arial"/>
                <w:szCs w:val="24"/>
              </w:rPr>
              <w:t xml:space="preserve">The Charity’s Health and Safety and Environmental Compliance </w:t>
            </w:r>
            <w:r w:rsidR="00B162E1">
              <w:rPr>
                <w:rFonts w:ascii="Arial" w:hAnsi="Arial" w:cs="Arial"/>
                <w:szCs w:val="24"/>
              </w:rPr>
              <w:t xml:space="preserve">Committee </w:t>
            </w:r>
            <w:r w:rsidR="00BB3454">
              <w:rPr>
                <w:rFonts w:ascii="Arial" w:hAnsi="Arial" w:cs="Arial"/>
                <w:szCs w:val="24"/>
              </w:rPr>
              <w:t xml:space="preserve">has </w:t>
            </w:r>
            <w:r w:rsidR="00B162E1">
              <w:rPr>
                <w:rFonts w:ascii="Arial" w:hAnsi="Arial" w:cs="Arial"/>
                <w:szCs w:val="24"/>
              </w:rPr>
              <w:t xml:space="preserve">been </w:t>
            </w:r>
            <w:r w:rsidR="00971F86">
              <w:rPr>
                <w:rFonts w:ascii="Arial" w:hAnsi="Arial" w:cs="Arial"/>
                <w:szCs w:val="24"/>
              </w:rPr>
              <w:t>responsible</w:t>
            </w:r>
            <w:r w:rsidR="00B162E1">
              <w:rPr>
                <w:rFonts w:ascii="Arial" w:hAnsi="Arial" w:cs="Arial"/>
                <w:szCs w:val="24"/>
              </w:rPr>
              <w:t xml:space="preserve"> for the</w:t>
            </w:r>
            <w:r w:rsidR="003F0B30">
              <w:rPr>
                <w:rFonts w:ascii="Arial" w:hAnsi="Arial" w:cs="Arial"/>
                <w:szCs w:val="24"/>
              </w:rPr>
              <w:t xml:space="preserve"> ongoing</w:t>
            </w:r>
            <w:r w:rsidR="00B162E1">
              <w:rPr>
                <w:rFonts w:ascii="Arial" w:hAnsi="Arial" w:cs="Arial"/>
                <w:szCs w:val="24"/>
              </w:rPr>
              <w:t xml:space="preserve"> review of this </w:t>
            </w:r>
            <w:r w:rsidRPr="00BE00E8">
              <w:rPr>
                <w:rFonts w:ascii="Arial" w:hAnsi="Arial" w:cs="Arial"/>
                <w:szCs w:val="24"/>
              </w:rPr>
              <w:t>Policy</w:t>
            </w:r>
            <w:r w:rsidR="00B162E1">
              <w:rPr>
                <w:rFonts w:ascii="Arial" w:hAnsi="Arial" w:cs="Arial"/>
                <w:szCs w:val="24"/>
              </w:rPr>
              <w:t xml:space="preserve"> and recommendations to the board for </w:t>
            </w:r>
            <w:r w:rsidR="003F0B30">
              <w:rPr>
                <w:rFonts w:ascii="Arial" w:hAnsi="Arial" w:cs="Arial"/>
                <w:szCs w:val="24"/>
              </w:rPr>
              <w:t>approval</w:t>
            </w:r>
            <w:r w:rsidR="00B162E1">
              <w:rPr>
                <w:rFonts w:ascii="Arial" w:hAnsi="Arial" w:cs="Arial"/>
                <w:szCs w:val="24"/>
              </w:rPr>
              <w:t xml:space="preserve"> and implementation of the policy</w:t>
            </w:r>
            <w:r w:rsidR="003F0B30">
              <w:rPr>
                <w:rFonts w:ascii="Arial" w:hAnsi="Arial" w:cs="Arial"/>
                <w:szCs w:val="24"/>
              </w:rPr>
              <w:t xml:space="preserve"> at each version update</w:t>
            </w:r>
            <w:r w:rsidR="00B162E1">
              <w:rPr>
                <w:rFonts w:ascii="Arial" w:hAnsi="Arial" w:cs="Arial"/>
                <w:szCs w:val="24"/>
              </w:rPr>
              <w:t>.</w:t>
            </w:r>
          </w:p>
          <w:p w14:paraId="482EEA98" w14:textId="77777777" w:rsidR="00B162E1" w:rsidRDefault="00B162E1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D721E1" w14:textId="02053387" w:rsidR="00BE00E8" w:rsidRDefault="00B162E1" w:rsidP="007E531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</w:t>
            </w:r>
            <w:r w:rsidR="00971F86">
              <w:rPr>
                <w:rFonts w:ascii="Arial" w:hAnsi="Arial" w:cs="Arial"/>
                <w:szCs w:val="24"/>
              </w:rPr>
              <w:t>proposed</w:t>
            </w:r>
            <w:r>
              <w:rPr>
                <w:rFonts w:ascii="Arial" w:hAnsi="Arial" w:cs="Arial"/>
                <w:szCs w:val="24"/>
              </w:rPr>
              <w:t xml:space="preserve"> that this policy be separated, resulting in a</w:t>
            </w:r>
            <w:r w:rsidR="00BB3454">
              <w:rPr>
                <w:rFonts w:ascii="Arial" w:hAnsi="Arial" w:cs="Arial"/>
                <w:szCs w:val="24"/>
              </w:rPr>
              <w:t>n individual</w:t>
            </w:r>
            <w:r>
              <w:rPr>
                <w:rFonts w:ascii="Arial" w:hAnsi="Arial" w:cs="Arial"/>
                <w:szCs w:val="24"/>
              </w:rPr>
              <w:t xml:space="preserve"> HLH Health and Safety Policy and a</w:t>
            </w:r>
            <w:r w:rsidR="00BB3454">
              <w:rPr>
                <w:rFonts w:ascii="Arial" w:hAnsi="Arial" w:cs="Arial"/>
                <w:szCs w:val="24"/>
              </w:rPr>
              <w:t xml:space="preserve"> standalone</w:t>
            </w:r>
            <w:r>
              <w:t xml:space="preserve"> </w:t>
            </w:r>
            <w:r w:rsidRPr="00B162E1">
              <w:rPr>
                <w:rFonts w:ascii="Arial" w:hAnsi="Arial" w:cs="Arial"/>
                <w:szCs w:val="24"/>
              </w:rPr>
              <w:t>Environmental Policy</w:t>
            </w:r>
            <w:r>
              <w:rPr>
                <w:rFonts w:ascii="Arial" w:hAnsi="Arial" w:cs="Arial"/>
                <w:szCs w:val="24"/>
              </w:rPr>
              <w:t xml:space="preserve">, this will allow the Charity to </w:t>
            </w:r>
            <w:r w:rsidR="00971F86">
              <w:rPr>
                <w:rFonts w:ascii="Arial" w:hAnsi="Arial" w:cs="Arial"/>
                <w:szCs w:val="24"/>
              </w:rPr>
              <w:t>further</w:t>
            </w:r>
            <w:r>
              <w:rPr>
                <w:rFonts w:ascii="Arial" w:hAnsi="Arial" w:cs="Arial"/>
                <w:szCs w:val="24"/>
              </w:rPr>
              <w:t xml:space="preserve"> develop an </w:t>
            </w:r>
            <w:r w:rsidRPr="00B162E1">
              <w:rPr>
                <w:rFonts w:ascii="Arial" w:hAnsi="Arial" w:cs="Arial"/>
                <w:szCs w:val="24"/>
              </w:rPr>
              <w:t>Environmental Strategy</w:t>
            </w:r>
            <w:r>
              <w:rPr>
                <w:rFonts w:ascii="Arial" w:hAnsi="Arial" w:cs="Arial"/>
                <w:szCs w:val="24"/>
              </w:rPr>
              <w:t xml:space="preserve"> to look at the key performance </w:t>
            </w:r>
            <w:r w:rsidR="00971F86">
              <w:rPr>
                <w:rFonts w:ascii="Arial" w:hAnsi="Arial" w:cs="Arial"/>
                <w:szCs w:val="24"/>
              </w:rPr>
              <w:t>indicators</w:t>
            </w:r>
            <w:r>
              <w:rPr>
                <w:rFonts w:ascii="Arial" w:hAnsi="Arial" w:cs="Arial"/>
                <w:szCs w:val="24"/>
              </w:rPr>
              <w:t xml:space="preserve"> and create an action plan to support the </w:t>
            </w:r>
            <w:r w:rsidR="00971F86">
              <w:rPr>
                <w:rFonts w:ascii="Arial" w:hAnsi="Arial" w:cs="Arial"/>
                <w:szCs w:val="24"/>
              </w:rPr>
              <w:t>Charity’s</w:t>
            </w:r>
            <w:r>
              <w:rPr>
                <w:rFonts w:ascii="Arial" w:hAnsi="Arial" w:cs="Arial"/>
                <w:szCs w:val="24"/>
              </w:rPr>
              <w:t xml:space="preserve"> aspirations in </w:t>
            </w:r>
            <w:r w:rsidRPr="00B162E1">
              <w:rPr>
                <w:rFonts w:ascii="Arial" w:hAnsi="Arial" w:cs="Arial"/>
                <w:szCs w:val="24"/>
              </w:rPr>
              <w:t>Environmental Compliance</w:t>
            </w:r>
            <w:r w:rsidR="00BB3454">
              <w:rPr>
                <w:rFonts w:ascii="Arial" w:hAnsi="Arial" w:cs="Arial"/>
                <w:szCs w:val="24"/>
              </w:rPr>
              <w:t xml:space="preserve"> and its contribution to any national or regional targets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2DBD521" w14:textId="4F6AB445" w:rsidR="002B4907" w:rsidRDefault="002B4907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4B92AAA2" w14:textId="54A8F473" w:rsidR="00971F86" w:rsidRDefault="00971F86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B6B352" w14:textId="2C0A3EEF" w:rsidR="00971F86" w:rsidRDefault="00971F86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201D3144" w14:textId="77777777" w:rsidR="00971F86" w:rsidRDefault="00971F86" w:rsidP="007E5311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CD7BB6" w14:textId="77777777" w:rsidR="00DD736C" w:rsidRPr="001816BD" w:rsidRDefault="00DD736C" w:rsidP="00BE00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5146" w:rsidRPr="004F7045" w14:paraId="05DFF860" w14:textId="77777777" w:rsidTr="0041351E">
        <w:tc>
          <w:tcPr>
            <w:tcW w:w="710" w:type="dxa"/>
          </w:tcPr>
          <w:p w14:paraId="37EDB9E4" w14:textId="77777777" w:rsidR="00B85146" w:rsidRPr="004F7045" w:rsidRDefault="00B85146" w:rsidP="0041351E">
            <w:pPr>
              <w:rPr>
                <w:rFonts w:ascii="Arial" w:hAnsi="Arial" w:cs="Arial"/>
                <w:b/>
                <w:szCs w:val="24"/>
              </w:rPr>
            </w:pPr>
            <w:r w:rsidRPr="004F7045"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</w:tc>
        <w:tc>
          <w:tcPr>
            <w:tcW w:w="9355" w:type="dxa"/>
          </w:tcPr>
          <w:p w14:paraId="78655A9A" w14:textId="6351ACE5" w:rsidR="00B85146" w:rsidRDefault="002B4907" w:rsidP="0041351E">
            <w:pPr>
              <w:rPr>
                <w:rFonts w:ascii="Arial" w:hAnsi="Arial" w:cs="Arial"/>
                <w:b/>
                <w:szCs w:val="24"/>
              </w:rPr>
            </w:pPr>
            <w:r w:rsidRPr="002B4907">
              <w:rPr>
                <w:rFonts w:ascii="Arial" w:hAnsi="Arial" w:cs="Arial"/>
                <w:b/>
                <w:szCs w:val="24"/>
              </w:rPr>
              <w:t xml:space="preserve">Environmental Policy </w:t>
            </w:r>
          </w:p>
          <w:p w14:paraId="682245E3" w14:textId="23C5DABD" w:rsidR="002B4907" w:rsidRPr="004F7045" w:rsidRDefault="002B4907" w:rsidP="0041351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5146" w:rsidRPr="004F7045" w14:paraId="083A9AD9" w14:textId="77777777" w:rsidTr="000B7C46">
        <w:tc>
          <w:tcPr>
            <w:tcW w:w="710" w:type="dxa"/>
          </w:tcPr>
          <w:p w14:paraId="69493C03" w14:textId="77777777" w:rsidR="00B85146" w:rsidRDefault="00B85146" w:rsidP="000B7C46">
            <w:pPr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3.1</w:t>
            </w:r>
          </w:p>
          <w:p w14:paraId="6BE7A84A" w14:textId="77777777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1BAFDCFD" w14:textId="77777777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39406AA0" w14:textId="01F58285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429CE3F6" w14:textId="77777777" w:rsidR="00BA4B3C" w:rsidRDefault="00BA4B3C" w:rsidP="000B7C46">
            <w:pPr>
              <w:rPr>
                <w:rFonts w:ascii="Arial" w:hAnsi="Arial" w:cs="Arial"/>
                <w:szCs w:val="24"/>
              </w:rPr>
            </w:pPr>
          </w:p>
          <w:p w14:paraId="171475ED" w14:textId="6A8C265C" w:rsidR="003F21C8" w:rsidRDefault="003F21C8" w:rsidP="000B7C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14:paraId="1DA87CF4" w14:textId="63CE54D6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7D99786B" w14:textId="11A02E47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491C18A8" w14:textId="15BFADE5" w:rsidR="00287337" w:rsidRDefault="00287337" w:rsidP="000B7C46">
            <w:pPr>
              <w:rPr>
                <w:rFonts w:ascii="Arial" w:hAnsi="Arial" w:cs="Arial"/>
                <w:szCs w:val="24"/>
              </w:rPr>
            </w:pPr>
          </w:p>
          <w:p w14:paraId="757EEB73" w14:textId="6CB66361" w:rsidR="00504BB8" w:rsidRDefault="00504BB8" w:rsidP="000B7C46">
            <w:pPr>
              <w:rPr>
                <w:rFonts w:ascii="Arial" w:hAnsi="Arial" w:cs="Arial"/>
                <w:szCs w:val="24"/>
              </w:rPr>
            </w:pPr>
          </w:p>
          <w:p w14:paraId="2C0F7700" w14:textId="77777777" w:rsidR="000513BC" w:rsidRDefault="000513BC" w:rsidP="000B7C46">
            <w:pPr>
              <w:rPr>
                <w:rFonts w:ascii="Arial" w:hAnsi="Arial" w:cs="Arial"/>
                <w:szCs w:val="24"/>
              </w:rPr>
            </w:pPr>
          </w:p>
          <w:p w14:paraId="384DF8F6" w14:textId="2254C970" w:rsidR="003F21C8" w:rsidRDefault="003F21C8" w:rsidP="000B7C46">
            <w:pPr>
              <w:rPr>
                <w:rFonts w:ascii="Arial" w:hAnsi="Arial" w:cs="Arial"/>
                <w:szCs w:val="24"/>
              </w:rPr>
            </w:pPr>
          </w:p>
          <w:p w14:paraId="724E9546" w14:textId="1AF7BA66" w:rsidR="003F21C8" w:rsidRDefault="003F21C8" w:rsidP="000B7C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  <w:p w14:paraId="2CB6937A" w14:textId="7344808A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26042A71" w14:textId="08DCF1B8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1F31C9F5" w14:textId="541D72A0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08C34DED" w14:textId="479142DB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2ABEA985" w14:textId="6F7A249C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3BDB77F2" w14:textId="6D9561BE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16D3A645" w14:textId="509E5C70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664D1771" w14:textId="36893353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4882D8DC" w14:textId="5EC6445D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773998D2" w14:textId="77A8A5D9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1BEF75E3" w14:textId="4C8A4946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7029EB07" w14:textId="132A5B44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5AFBEC95" w14:textId="0DB008C4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354D0B9D" w14:textId="67C359A7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4C5350C8" w14:textId="334EDED3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73C71A25" w14:textId="3842E0F2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78BC8624" w14:textId="7373184C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7C5D8D3E" w14:textId="53446944" w:rsidR="00971F86" w:rsidRDefault="00971F86" w:rsidP="000B7C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14:paraId="0287335E" w14:textId="17CA5293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47CE9870" w14:textId="5BBAD2A8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29306C4C" w14:textId="41B75D5A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328512F3" w14:textId="22C5D68E" w:rsidR="00971F86" w:rsidRDefault="00971F86" w:rsidP="000B7C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3.5</w:t>
            </w:r>
          </w:p>
          <w:p w14:paraId="1AC4DA8F" w14:textId="0D0152AE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06CD8F91" w14:textId="1709638D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5E3CE2B3" w14:textId="60D1DBFF" w:rsidR="00971F86" w:rsidRDefault="00971F86" w:rsidP="000B7C46">
            <w:pPr>
              <w:rPr>
                <w:rFonts w:ascii="Arial" w:hAnsi="Arial" w:cs="Arial"/>
                <w:szCs w:val="24"/>
              </w:rPr>
            </w:pPr>
          </w:p>
          <w:p w14:paraId="6DF19FD9" w14:textId="7A8B19DD" w:rsidR="00971F86" w:rsidRDefault="00971F86" w:rsidP="000B7C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3.6</w:t>
            </w:r>
          </w:p>
          <w:p w14:paraId="7C48255B" w14:textId="76758FA4" w:rsidR="003F21C8" w:rsidRPr="004F7045" w:rsidRDefault="003F21C8" w:rsidP="000B7C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355" w:type="dxa"/>
          </w:tcPr>
          <w:p w14:paraId="449B0F79" w14:textId="0FD41D46" w:rsidR="003F0B30" w:rsidRDefault="00D7386B" w:rsidP="003B586C">
            <w:pPr>
              <w:jc w:val="both"/>
              <w:rPr>
                <w:rFonts w:ascii="Arial" w:hAnsi="Arial" w:cs="Arial"/>
                <w:szCs w:val="24"/>
              </w:rPr>
            </w:pPr>
            <w:bookmarkStart w:id="1" w:name="_Hlk21507731"/>
            <w:r>
              <w:rPr>
                <w:rFonts w:ascii="Arial" w:hAnsi="Arial" w:cs="Arial"/>
                <w:szCs w:val="24"/>
              </w:rPr>
              <w:t xml:space="preserve">The </w:t>
            </w:r>
            <w:r w:rsidR="00BA4B3C">
              <w:rPr>
                <w:rFonts w:ascii="Arial" w:hAnsi="Arial" w:cs="Arial"/>
                <w:szCs w:val="24"/>
              </w:rPr>
              <w:t xml:space="preserve">draft </w:t>
            </w:r>
            <w:r w:rsidR="002B4907" w:rsidRPr="002B4907">
              <w:rPr>
                <w:rFonts w:ascii="Arial" w:hAnsi="Arial" w:cs="Arial"/>
                <w:szCs w:val="24"/>
              </w:rPr>
              <w:t>Environmental Policy</w:t>
            </w:r>
            <w:r w:rsidR="00102390">
              <w:rPr>
                <w:rFonts w:ascii="Arial" w:hAnsi="Arial" w:cs="Arial"/>
                <w:szCs w:val="24"/>
              </w:rPr>
              <w:t xml:space="preserve">, included at </w:t>
            </w:r>
            <w:r w:rsidR="00102390" w:rsidRPr="00102390">
              <w:rPr>
                <w:rFonts w:ascii="Arial" w:hAnsi="Arial" w:cs="Arial"/>
                <w:b/>
                <w:bCs/>
                <w:szCs w:val="24"/>
              </w:rPr>
              <w:t>Appendix A</w:t>
            </w:r>
            <w:r w:rsidR="00102390">
              <w:rPr>
                <w:rFonts w:ascii="Arial" w:hAnsi="Arial" w:cs="Arial"/>
                <w:szCs w:val="24"/>
              </w:rPr>
              <w:t xml:space="preserve">, </w:t>
            </w:r>
            <w:r w:rsidR="00BA4B3C">
              <w:rPr>
                <w:rFonts w:ascii="Arial" w:hAnsi="Arial" w:cs="Arial"/>
                <w:szCs w:val="24"/>
              </w:rPr>
              <w:t xml:space="preserve">was considered </w:t>
            </w:r>
            <w:r w:rsidR="00CF63F3">
              <w:rPr>
                <w:rFonts w:ascii="Arial" w:hAnsi="Arial" w:cs="Arial"/>
                <w:szCs w:val="24"/>
              </w:rPr>
              <w:t xml:space="preserve">by </w:t>
            </w:r>
            <w:r w:rsidR="002B4907">
              <w:rPr>
                <w:rFonts w:ascii="Arial" w:hAnsi="Arial" w:cs="Arial"/>
                <w:szCs w:val="24"/>
              </w:rPr>
              <w:t xml:space="preserve">the </w:t>
            </w:r>
            <w:r w:rsidR="002B4907" w:rsidRPr="002B4907">
              <w:rPr>
                <w:rFonts w:ascii="Arial" w:hAnsi="Arial" w:cs="Arial"/>
                <w:szCs w:val="24"/>
              </w:rPr>
              <w:t>Health and Safety and Environmental Compliance Committee</w:t>
            </w:r>
            <w:r>
              <w:rPr>
                <w:rFonts w:ascii="Arial" w:hAnsi="Arial" w:cs="Arial"/>
                <w:szCs w:val="24"/>
              </w:rPr>
              <w:t xml:space="preserve"> at its meeting on 15 November 2021</w:t>
            </w:r>
            <w:r w:rsidR="00BA4B3C">
              <w:rPr>
                <w:rFonts w:ascii="Arial" w:hAnsi="Arial" w:cs="Arial"/>
                <w:szCs w:val="24"/>
              </w:rPr>
              <w:t xml:space="preserve"> and </w:t>
            </w:r>
            <w:proofErr w:type="gramStart"/>
            <w:r w:rsidR="00BA4B3C">
              <w:rPr>
                <w:rFonts w:ascii="Arial" w:hAnsi="Arial" w:cs="Arial"/>
                <w:szCs w:val="24"/>
              </w:rPr>
              <w:t xml:space="preserve">agreed </w:t>
            </w:r>
            <w:r w:rsidR="00AF7C6C">
              <w:rPr>
                <w:rFonts w:ascii="Arial" w:hAnsi="Arial" w:cs="Arial"/>
                <w:szCs w:val="24"/>
              </w:rPr>
              <w:t>,</w:t>
            </w:r>
            <w:proofErr w:type="gramEnd"/>
            <w:r w:rsidR="00AF7C6C">
              <w:rPr>
                <w:rFonts w:ascii="Arial" w:hAnsi="Arial" w:cs="Arial"/>
                <w:szCs w:val="24"/>
              </w:rPr>
              <w:t xml:space="preserve"> subject to incorporating changes discussed, to recommend </w:t>
            </w:r>
            <w:r w:rsidR="00BA4B3C">
              <w:rPr>
                <w:rFonts w:ascii="Arial" w:hAnsi="Arial" w:cs="Arial"/>
                <w:szCs w:val="24"/>
              </w:rPr>
              <w:t>it to the HLH Board for approval</w:t>
            </w:r>
            <w:r w:rsidR="00AF7C6C">
              <w:rPr>
                <w:rFonts w:ascii="Arial" w:hAnsi="Arial" w:cs="Arial"/>
                <w:szCs w:val="24"/>
              </w:rPr>
              <w:t>.</w:t>
            </w:r>
          </w:p>
          <w:p w14:paraId="163B8866" w14:textId="77777777" w:rsidR="003F0B30" w:rsidRDefault="003F0B30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C7D8EE" w14:textId="0EBDFECD" w:rsidR="00EF1D78" w:rsidRDefault="00F30DCD" w:rsidP="003B586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2B4907">
              <w:rPr>
                <w:rFonts w:ascii="Arial" w:hAnsi="Arial" w:cs="Arial"/>
                <w:szCs w:val="24"/>
              </w:rPr>
              <w:t xml:space="preserve">he </w:t>
            </w:r>
            <w:r w:rsidR="003F21C8">
              <w:rPr>
                <w:rFonts w:ascii="Arial" w:hAnsi="Arial" w:cs="Arial"/>
                <w:szCs w:val="24"/>
              </w:rPr>
              <w:t>purpose</w:t>
            </w:r>
            <w:r w:rsidR="002B4907">
              <w:rPr>
                <w:rFonts w:ascii="Arial" w:hAnsi="Arial" w:cs="Arial"/>
                <w:szCs w:val="24"/>
              </w:rPr>
              <w:t xml:space="preserve"> of this policy</w:t>
            </w:r>
            <w:r>
              <w:rPr>
                <w:rFonts w:ascii="Arial" w:hAnsi="Arial" w:cs="Arial"/>
                <w:szCs w:val="24"/>
              </w:rPr>
              <w:t>,</w:t>
            </w:r>
            <w:r w:rsidR="002B4907">
              <w:rPr>
                <w:rFonts w:ascii="Arial" w:hAnsi="Arial" w:cs="Arial"/>
                <w:szCs w:val="24"/>
              </w:rPr>
              <w:t xml:space="preserve"> if a</w:t>
            </w:r>
            <w:r w:rsidR="00BA4B3C">
              <w:rPr>
                <w:rFonts w:ascii="Arial" w:hAnsi="Arial" w:cs="Arial"/>
                <w:szCs w:val="24"/>
              </w:rPr>
              <w:t>pproved</w:t>
            </w:r>
            <w:r>
              <w:rPr>
                <w:rFonts w:ascii="Arial" w:hAnsi="Arial" w:cs="Arial"/>
                <w:szCs w:val="24"/>
              </w:rPr>
              <w:t>,</w:t>
            </w:r>
            <w:r w:rsidR="002B4907">
              <w:rPr>
                <w:rFonts w:ascii="Arial" w:hAnsi="Arial" w:cs="Arial"/>
                <w:szCs w:val="24"/>
              </w:rPr>
              <w:t xml:space="preserve"> </w:t>
            </w:r>
            <w:r w:rsidR="003F0B30">
              <w:rPr>
                <w:rFonts w:ascii="Arial" w:hAnsi="Arial" w:cs="Arial"/>
                <w:szCs w:val="24"/>
              </w:rPr>
              <w:t xml:space="preserve">will be </w:t>
            </w:r>
            <w:r w:rsidR="003F0B30" w:rsidRPr="003F0B30">
              <w:rPr>
                <w:rFonts w:ascii="Arial" w:hAnsi="Arial" w:cs="Arial"/>
                <w:szCs w:val="24"/>
              </w:rPr>
              <w:t>to</w:t>
            </w:r>
            <w:r w:rsidR="00BB3454">
              <w:rPr>
                <w:rFonts w:ascii="Arial" w:hAnsi="Arial" w:cs="Arial"/>
                <w:szCs w:val="24"/>
              </w:rPr>
              <w:t xml:space="preserve"> highlight areas where the </w:t>
            </w:r>
            <w:r w:rsidR="00AF7C6C">
              <w:rPr>
                <w:rFonts w:ascii="Arial" w:hAnsi="Arial" w:cs="Arial"/>
                <w:szCs w:val="24"/>
              </w:rPr>
              <w:t>C</w:t>
            </w:r>
            <w:r w:rsidR="00BB3454">
              <w:rPr>
                <w:rFonts w:ascii="Arial" w:hAnsi="Arial" w:cs="Arial"/>
                <w:szCs w:val="24"/>
              </w:rPr>
              <w:t>harity is making a positive environmental contribution and to</w:t>
            </w:r>
            <w:r w:rsidR="003F0B30" w:rsidRPr="003F0B30">
              <w:rPr>
                <w:rFonts w:ascii="Arial" w:hAnsi="Arial" w:cs="Arial"/>
                <w:szCs w:val="24"/>
              </w:rPr>
              <w:t xml:space="preserve"> minimise any negative impacts by incorporating consideration of the environment into </w:t>
            </w:r>
            <w:r w:rsidR="00BB3454">
              <w:rPr>
                <w:rFonts w:ascii="Arial" w:hAnsi="Arial" w:cs="Arial"/>
                <w:szCs w:val="24"/>
              </w:rPr>
              <w:t>its</w:t>
            </w:r>
            <w:r w:rsidR="00BB3454" w:rsidRPr="003F0B30">
              <w:rPr>
                <w:rFonts w:ascii="Arial" w:hAnsi="Arial" w:cs="Arial"/>
                <w:szCs w:val="24"/>
              </w:rPr>
              <w:t xml:space="preserve"> </w:t>
            </w:r>
            <w:r w:rsidR="003F0B30" w:rsidRPr="003F0B30">
              <w:rPr>
                <w:rFonts w:ascii="Arial" w:hAnsi="Arial" w:cs="Arial"/>
                <w:szCs w:val="24"/>
              </w:rPr>
              <w:t>planning, decision-making and processes.</w:t>
            </w:r>
            <w:r w:rsidR="003F0B30">
              <w:rPr>
                <w:rFonts w:ascii="Arial" w:hAnsi="Arial" w:cs="Arial"/>
                <w:szCs w:val="24"/>
              </w:rPr>
              <w:t xml:space="preserve"> This will</w:t>
            </w:r>
            <w:r w:rsidR="002B4907">
              <w:rPr>
                <w:rFonts w:ascii="Arial" w:hAnsi="Arial" w:cs="Arial"/>
                <w:szCs w:val="24"/>
              </w:rPr>
              <w:t xml:space="preserve"> </w:t>
            </w:r>
            <w:r w:rsidR="003F21C8">
              <w:rPr>
                <w:rFonts w:ascii="Arial" w:hAnsi="Arial" w:cs="Arial"/>
                <w:szCs w:val="24"/>
              </w:rPr>
              <w:t>allow</w:t>
            </w:r>
            <w:r w:rsidR="002B4907">
              <w:rPr>
                <w:rFonts w:ascii="Arial" w:hAnsi="Arial" w:cs="Arial"/>
                <w:szCs w:val="24"/>
              </w:rPr>
              <w:t xml:space="preserve"> the </w:t>
            </w:r>
            <w:r w:rsidR="006E0A7B">
              <w:rPr>
                <w:rFonts w:ascii="Arial" w:hAnsi="Arial" w:cs="Arial"/>
                <w:szCs w:val="24"/>
              </w:rPr>
              <w:t>C</w:t>
            </w:r>
            <w:r w:rsidR="002B4907">
              <w:rPr>
                <w:rFonts w:ascii="Arial" w:hAnsi="Arial" w:cs="Arial"/>
                <w:szCs w:val="24"/>
              </w:rPr>
              <w:t xml:space="preserve">harity to </w:t>
            </w:r>
            <w:r w:rsidR="003F0B30">
              <w:rPr>
                <w:rFonts w:ascii="Arial" w:hAnsi="Arial" w:cs="Arial"/>
                <w:szCs w:val="24"/>
              </w:rPr>
              <w:t xml:space="preserve">implement </w:t>
            </w:r>
            <w:r w:rsidR="00287337">
              <w:rPr>
                <w:rFonts w:ascii="Arial" w:hAnsi="Arial" w:cs="Arial"/>
                <w:szCs w:val="24"/>
              </w:rPr>
              <w:t>monitor</w:t>
            </w:r>
            <w:r w:rsidR="00504BB8">
              <w:rPr>
                <w:rFonts w:ascii="Arial" w:hAnsi="Arial" w:cs="Arial"/>
                <w:szCs w:val="24"/>
              </w:rPr>
              <w:t>ing</w:t>
            </w:r>
            <w:r w:rsidR="00EF1D78">
              <w:rPr>
                <w:rFonts w:ascii="Arial" w:hAnsi="Arial" w:cs="Arial"/>
                <w:szCs w:val="24"/>
              </w:rPr>
              <w:t xml:space="preserve"> and report</w:t>
            </w:r>
            <w:r w:rsidR="003F0B30">
              <w:rPr>
                <w:rFonts w:ascii="Arial" w:hAnsi="Arial" w:cs="Arial"/>
                <w:szCs w:val="24"/>
              </w:rPr>
              <w:t>ing systems</w:t>
            </w:r>
            <w:r w:rsidR="00EF1D78">
              <w:rPr>
                <w:rFonts w:ascii="Arial" w:hAnsi="Arial" w:cs="Arial"/>
                <w:szCs w:val="24"/>
              </w:rPr>
              <w:t xml:space="preserve"> on</w:t>
            </w:r>
            <w:r w:rsidR="00102390">
              <w:rPr>
                <w:rFonts w:ascii="Arial" w:hAnsi="Arial" w:cs="Arial"/>
                <w:szCs w:val="24"/>
              </w:rPr>
              <w:t xml:space="preserve"> the</w:t>
            </w:r>
            <w:r w:rsidR="002B4907">
              <w:rPr>
                <w:rFonts w:ascii="Arial" w:hAnsi="Arial" w:cs="Arial"/>
                <w:szCs w:val="24"/>
              </w:rPr>
              <w:t xml:space="preserve"> key</w:t>
            </w:r>
            <w:r w:rsidR="00EF1D78">
              <w:rPr>
                <w:rFonts w:ascii="Arial" w:hAnsi="Arial" w:cs="Arial"/>
                <w:szCs w:val="24"/>
              </w:rPr>
              <w:t xml:space="preserve"> performance </w:t>
            </w:r>
            <w:r w:rsidR="003F21C8">
              <w:rPr>
                <w:rFonts w:ascii="Arial" w:hAnsi="Arial" w:cs="Arial"/>
                <w:szCs w:val="24"/>
              </w:rPr>
              <w:t>indicators</w:t>
            </w:r>
            <w:r w:rsidR="002B4907">
              <w:rPr>
                <w:rFonts w:ascii="Arial" w:hAnsi="Arial" w:cs="Arial"/>
                <w:szCs w:val="24"/>
              </w:rPr>
              <w:t xml:space="preserve"> </w:t>
            </w:r>
            <w:r w:rsidR="00504BB8">
              <w:rPr>
                <w:rFonts w:ascii="Arial" w:hAnsi="Arial" w:cs="Arial"/>
                <w:szCs w:val="24"/>
              </w:rPr>
              <w:t xml:space="preserve">that will be </w:t>
            </w:r>
            <w:r w:rsidR="00971F86">
              <w:rPr>
                <w:rFonts w:ascii="Arial" w:hAnsi="Arial" w:cs="Arial"/>
                <w:szCs w:val="24"/>
              </w:rPr>
              <w:t>developed</w:t>
            </w:r>
            <w:r w:rsidR="00504BB8">
              <w:rPr>
                <w:rFonts w:ascii="Arial" w:hAnsi="Arial" w:cs="Arial"/>
                <w:szCs w:val="24"/>
              </w:rPr>
              <w:t xml:space="preserve"> within the</w:t>
            </w:r>
            <w:r w:rsidR="00504BB8">
              <w:t xml:space="preserve"> </w:t>
            </w:r>
            <w:r w:rsidR="00504BB8" w:rsidRPr="00504BB8">
              <w:rPr>
                <w:rFonts w:ascii="Arial" w:hAnsi="Arial" w:cs="Arial"/>
                <w:szCs w:val="24"/>
              </w:rPr>
              <w:t>Environmental Strategy</w:t>
            </w:r>
            <w:r w:rsidR="00504BB8">
              <w:rPr>
                <w:rFonts w:ascii="Arial" w:hAnsi="Arial" w:cs="Arial"/>
                <w:szCs w:val="24"/>
              </w:rPr>
              <w:t xml:space="preserve"> and </w:t>
            </w:r>
            <w:r w:rsidR="00D7386B">
              <w:rPr>
                <w:rFonts w:ascii="Arial" w:hAnsi="Arial" w:cs="Arial"/>
                <w:szCs w:val="24"/>
              </w:rPr>
              <w:t xml:space="preserve">as outlined </w:t>
            </w:r>
            <w:r w:rsidR="002B4907">
              <w:rPr>
                <w:rFonts w:ascii="Arial" w:hAnsi="Arial" w:cs="Arial"/>
                <w:szCs w:val="24"/>
              </w:rPr>
              <w:t>within the</w:t>
            </w:r>
            <w:r w:rsidR="00504BB8">
              <w:t xml:space="preserve"> </w:t>
            </w:r>
            <w:r w:rsidR="00504BB8" w:rsidRPr="00504BB8">
              <w:rPr>
                <w:rFonts w:ascii="Arial" w:hAnsi="Arial" w:cs="Arial"/>
                <w:szCs w:val="24"/>
              </w:rPr>
              <w:t>objectives</w:t>
            </w:r>
            <w:r w:rsidR="00504BB8">
              <w:rPr>
                <w:rFonts w:ascii="Arial" w:hAnsi="Arial" w:cs="Arial"/>
                <w:szCs w:val="24"/>
              </w:rPr>
              <w:t xml:space="preserve"> detailed within the</w:t>
            </w:r>
            <w:r w:rsidR="002B4907">
              <w:rPr>
                <w:rFonts w:ascii="Arial" w:hAnsi="Arial" w:cs="Arial"/>
                <w:szCs w:val="24"/>
              </w:rPr>
              <w:t xml:space="preserve"> </w:t>
            </w:r>
            <w:r w:rsidR="002B4907" w:rsidRPr="002B4907">
              <w:rPr>
                <w:rFonts w:ascii="Arial" w:hAnsi="Arial" w:cs="Arial"/>
                <w:szCs w:val="24"/>
              </w:rPr>
              <w:t>Environmental Pol</w:t>
            </w:r>
            <w:r w:rsidR="00102390">
              <w:rPr>
                <w:rFonts w:ascii="Arial" w:hAnsi="Arial" w:cs="Arial"/>
                <w:szCs w:val="24"/>
              </w:rPr>
              <w:t>icy.</w:t>
            </w:r>
          </w:p>
          <w:p w14:paraId="4052C9F4" w14:textId="431A73FA" w:rsidR="003F2318" w:rsidRDefault="003F2318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E00B98" w14:textId="0F02CF70" w:rsidR="003F2318" w:rsidRDefault="003F2318" w:rsidP="003B586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key objectives of the proposed policy are:</w:t>
            </w:r>
          </w:p>
          <w:p w14:paraId="79DCBD52" w14:textId="2457F77D" w:rsidR="003F2318" w:rsidRDefault="003F2318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28F063EC" w14:textId="77777777" w:rsidR="003F2318" w:rsidRPr="003F2318" w:rsidRDefault="003F2318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 w:rsidRPr="003F2318">
              <w:rPr>
                <w:rFonts w:ascii="Arial" w:hAnsi="Arial" w:cs="Arial"/>
                <w:szCs w:val="24"/>
              </w:rPr>
              <w:t>To align with Scottish Government and Highland Council’s environment/net zero targets as far as reasonably practicable.</w:t>
            </w:r>
          </w:p>
          <w:p w14:paraId="2936249C" w14:textId="3741F94C" w:rsidR="003F2318" w:rsidRPr="003F2318" w:rsidRDefault="003F0B30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3F2318" w:rsidRPr="003F2318">
              <w:rPr>
                <w:rFonts w:ascii="Arial" w:hAnsi="Arial" w:cs="Arial"/>
                <w:szCs w:val="24"/>
              </w:rPr>
              <w:t>ake the most efficient and effective use of all resources, encouraging its staff and customers within its community to develop a sustainable approach to the activities it undertake</w:t>
            </w:r>
            <w:r w:rsidR="00BB3454">
              <w:rPr>
                <w:rFonts w:ascii="Arial" w:hAnsi="Arial" w:cs="Arial"/>
                <w:szCs w:val="24"/>
              </w:rPr>
              <w:t>s</w:t>
            </w:r>
            <w:r w:rsidR="003F2318" w:rsidRPr="003F2318">
              <w:rPr>
                <w:rFonts w:ascii="Arial" w:hAnsi="Arial" w:cs="Arial"/>
                <w:szCs w:val="24"/>
              </w:rPr>
              <w:t xml:space="preserve">. </w:t>
            </w:r>
          </w:p>
          <w:p w14:paraId="1D274047" w14:textId="051E0DB8" w:rsidR="003F2318" w:rsidRPr="003F2318" w:rsidRDefault="003F0B30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3F2318" w:rsidRPr="003F2318">
              <w:rPr>
                <w:rFonts w:ascii="Arial" w:hAnsi="Arial" w:cs="Arial"/>
                <w:szCs w:val="24"/>
              </w:rPr>
              <w:t xml:space="preserve">ncourage and facilitate sustainable modes of transport whilst on HLH business. </w:t>
            </w:r>
          </w:p>
          <w:p w14:paraId="09225182" w14:textId="04A7D463" w:rsidR="003F2318" w:rsidRPr="00504BB8" w:rsidRDefault="003F0B30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 w:rsidRPr="00504BB8">
              <w:rPr>
                <w:rFonts w:ascii="Arial" w:hAnsi="Arial" w:cs="Arial"/>
                <w:szCs w:val="24"/>
              </w:rPr>
              <w:t>M</w:t>
            </w:r>
            <w:r w:rsidR="003F2318" w:rsidRPr="00504BB8">
              <w:rPr>
                <w:rFonts w:ascii="Arial" w:hAnsi="Arial" w:cs="Arial"/>
                <w:szCs w:val="24"/>
              </w:rPr>
              <w:t>inimise its carbon emissions where viable and develop and implement effective energy and water conservation measures.</w:t>
            </w:r>
          </w:p>
          <w:p w14:paraId="049D95A3" w14:textId="286C62A3" w:rsidR="003F2318" w:rsidRPr="003F2318" w:rsidRDefault="003F0B30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="003F2318" w:rsidRPr="003F2318">
              <w:rPr>
                <w:rFonts w:ascii="Arial" w:hAnsi="Arial" w:cs="Arial"/>
                <w:szCs w:val="24"/>
              </w:rPr>
              <w:t xml:space="preserve">educe overall waste production and increase the reuse and recycle component of its waste stream. </w:t>
            </w:r>
          </w:p>
          <w:p w14:paraId="2C82448A" w14:textId="441F4A50" w:rsidR="003F2318" w:rsidRPr="003F2318" w:rsidRDefault="00504BB8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3F2318" w:rsidRPr="003F2318">
              <w:rPr>
                <w:rFonts w:ascii="Arial" w:hAnsi="Arial" w:cs="Arial"/>
                <w:szCs w:val="24"/>
              </w:rPr>
              <w:t xml:space="preserve">pply and review its Sustainable Procurement Policy and support the principles of fair trade. </w:t>
            </w:r>
          </w:p>
          <w:p w14:paraId="1C8C3010" w14:textId="7114F19A" w:rsidR="003F2318" w:rsidRPr="003F2318" w:rsidRDefault="00504BB8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3F2318" w:rsidRPr="003F2318">
              <w:rPr>
                <w:rFonts w:ascii="Arial" w:hAnsi="Arial" w:cs="Arial"/>
                <w:szCs w:val="24"/>
              </w:rPr>
              <w:t xml:space="preserve">anage its grounds and facilities in an environmentally and biodiversity-sensitive manner. </w:t>
            </w:r>
          </w:p>
          <w:p w14:paraId="491C85B1" w14:textId="5EF192A8" w:rsidR="003F2318" w:rsidRPr="003F2318" w:rsidRDefault="00504BB8" w:rsidP="00BA4B3C">
            <w:pPr>
              <w:numPr>
                <w:ilvl w:val="1"/>
                <w:numId w:val="33"/>
              </w:numPr>
              <w:ind w:left="637" w:hanging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="003F2318" w:rsidRPr="003F2318">
              <w:rPr>
                <w:rFonts w:ascii="Arial" w:hAnsi="Arial" w:cs="Arial"/>
                <w:szCs w:val="24"/>
              </w:rPr>
              <w:t>oster environmental partners to support change.</w:t>
            </w:r>
          </w:p>
          <w:p w14:paraId="5DBE4442" w14:textId="77777777" w:rsidR="003F2318" w:rsidRDefault="003F2318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AC85A2" w14:textId="1AB91978" w:rsidR="00971F86" w:rsidRDefault="00504BB8" w:rsidP="003B586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287337">
              <w:rPr>
                <w:rFonts w:ascii="Arial" w:hAnsi="Arial" w:cs="Arial"/>
                <w:szCs w:val="24"/>
              </w:rPr>
              <w:t xml:space="preserve">t </w:t>
            </w:r>
            <w:r w:rsidR="00EF1D78">
              <w:rPr>
                <w:rFonts w:ascii="Arial" w:hAnsi="Arial" w:cs="Arial"/>
                <w:szCs w:val="24"/>
              </w:rPr>
              <w:t xml:space="preserve">is </w:t>
            </w:r>
            <w:r w:rsidR="000513BC">
              <w:rPr>
                <w:rFonts w:ascii="Arial" w:hAnsi="Arial" w:cs="Arial"/>
                <w:szCs w:val="24"/>
              </w:rPr>
              <w:t>envisaged</w:t>
            </w:r>
            <w:r w:rsidR="00BB3454">
              <w:rPr>
                <w:rFonts w:ascii="Arial" w:hAnsi="Arial" w:cs="Arial"/>
                <w:szCs w:val="24"/>
              </w:rPr>
              <w:t xml:space="preserve"> </w:t>
            </w:r>
            <w:r w:rsidR="00287337">
              <w:rPr>
                <w:rFonts w:ascii="Arial" w:hAnsi="Arial" w:cs="Arial"/>
                <w:szCs w:val="24"/>
              </w:rPr>
              <w:t xml:space="preserve">that </w:t>
            </w:r>
            <w:r w:rsidR="00971F86">
              <w:rPr>
                <w:rFonts w:ascii="Arial" w:hAnsi="Arial" w:cs="Arial"/>
                <w:szCs w:val="24"/>
              </w:rPr>
              <w:t xml:space="preserve">this version of the </w:t>
            </w:r>
            <w:r w:rsidR="00287337" w:rsidRPr="00287337">
              <w:rPr>
                <w:rFonts w:ascii="Arial" w:hAnsi="Arial" w:cs="Arial"/>
                <w:szCs w:val="24"/>
              </w:rPr>
              <w:t xml:space="preserve">Environmental Policy </w:t>
            </w:r>
            <w:r w:rsidR="00971F86">
              <w:rPr>
                <w:rFonts w:ascii="Arial" w:hAnsi="Arial" w:cs="Arial"/>
                <w:szCs w:val="24"/>
              </w:rPr>
              <w:t xml:space="preserve">will be further developed over the next 12 to 18 months as both the Policy and </w:t>
            </w:r>
            <w:r w:rsidR="00971F86" w:rsidRPr="00971F86">
              <w:rPr>
                <w:rFonts w:ascii="Arial" w:hAnsi="Arial" w:cs="Arial"/>
                <w:szCs w:val="24"/>
              </w:rPr>
              <w:t xml:space="preserve">Environmental Strategy </w:t>
            </w:r>
            <w:r w:rsidR="00287337">
              <w:rPr>
                <w:rFonts w:ascii="Arial" w:hAnsi="Arial" w:cs="Arial"/>
                <w:szCs w:val="24"/>
              </w:rPr>
              <w:t>lead</w:t>
            </w:r>
            <w:r w:rsidR="00971F86">
              <w:rPr>
                <w:rFonts w:ascii="Arial" w:hAnsi="Arial" w:cs="Arial"/>
                <w:szCs w:val="24"/>
              </w:rPr>
              <w:t>s</w:t>
            </w:r>
            <w:r w:rsidR="00287337">
              <w:rPr>
                <w:rFonts w:ascii="Arial" w:hAnsi="Arial" w:cs="Arial"/>
                <w:szCs w:val="24"/>
              </w:rPr>
              <w:t xml:space="preserve"> to </w:t>
            </w:r>
            <w:r w:rsidR="003F21C8">
              <w:rPr>
                <w:rFonts w:ascii="Arial" w:hAnsi="Arial" w:cs="Arial"/>
                <w:szCs w:val="24"/>
              </w:rPr>
              <w:t>improvements</w:t>
            </w:r>
            <w:r w:rsidR="00EF1D78">
              <w:rPr>
                <w:rFonts w:ascii="Arial" w:hAnsi="Arial" w:cs="Arial"/>
                <w:szCs w:val="24"/>
              </w:rPr>
              <w:t xml:space="preserve"> to </w:t>
            </w:r>
            <w:r w:rsidR="00971F86">
              <w:rPr>
                <w:rFonts w:ascii="Arial" w:hAnsi="Arial" w:cs="Arial"/>
                <w:szCs w:val="24"/>
              </w:rPr>
              <w:t>the Charity’s</w:t>
            </w:r>
            <w:r w:rsidR="00EF1D78">
              <w:rPr>
                <w:rFonts w:ascii="Arial" w:hAnsi="Arial" w:cs="Arial"/>
                <w:szCs w:val="24"/>
              </w:rPr>
              <w:t xml:space="preserve"> e</w:t>
            </w:r>
            <w:r w:rsidR="00EF1D78" w:rsidRPr="00EF1D78">
              <w:rPr>
                <w:rFonts w:ascii="Arial" w:hAnsi="Arial" w:cs="Arial"/>
                <w:szCs w:val="24"/>
              </w:rPr>
              <w:t xml:space="preserve">nvironmental </w:t>
            </w:r>
            <w:r w:rsidR="00EF1D78">
              <w:rPr>
                <w:rFonts w:ascii="Arial" w:hAnsi="Arial" w:cs="Arial"/>
                <w:szCs w:val="24"/>
              </w:rPr>
              <w:t>performance</w:t>
            </w:r>
            <w:r w:rsidR="00F30DCD">
              <w:rPr>
                <w:rFonts w:ascii="Arial" w:hAnsi="Arial" w:cs="Arial"/>
                <w:szCs w:val="24"/>
              </w:rPr>
              <w:t>.</w:t>
            </w:r>
          </w:p>
          <w:p w14:paraId="3692DC3C" w14:textId="77777777" w:rsidR="00971F86" w:rsidRDefault="00971F86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C51911" w14:textId="746BF1A8" w:rsidR="00EF1D78" w:rsidRDefault="00F30DCD" w:rsidP="003B586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EF1D78">
              <w:rPr>
                <w:rFonts w:ascii="Arial" w:hAnsi="Arial" w:cs="Arial"/>
                <w:szCs w:val="24"/>
              </w:rPr>
              <w:t xml:space="preserve">f </w:t>
            </w:r>
            <w:r w:rsidR="00D7386B">
              <w:rPr>
                <w:rFonts w:ascii="Arial" w:hAnsi="Arial" w:cs="Arial"/>
                <w:szCs w:val="24"/>
              </w:rPr>
              <w:t xml:space="preserve">the policy is </w:t>
            </w:r>
            <w:r w:rsidR="00EF1D78">
              <w:rPr>
                <w:rFonts w:ascii="Arial" w:hAnsi="Arial" w:cs="Arial"/>
                <w:szCs w:val="24"/>
              </w:rPr>
              <w:t>approved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EF1D78">
              <w:rPr>
                <w:rFonts w:ascii="Arial" w:hAnsi="Arial" w:cs="Arial"/>
                <w:szCs w:val="24"/>
              </w:rPr>
              <w:t xml:space="preserve">the </w:t>
            </w:r>
            <w:r w:rsidR="000101C3">
              <w:rPr>
                <w:rFonts w:ascii="Arial" w:hAnsi="Arial" w:cs="Arial"/>
                <w:szCs w:val="24"/>
              </w:rPr>
              <w:t>C</w:t>
            </w:r>
            <w:r w:rsidR="00EF1D78">
              <w:rPr>
                <w:rFonts w:ascii="Arial" w:hAnsi="Arial" w:cs="Arial"/>
                <w:szCs w:val="24"/>
              </w:rPr>
              <w:t xml:space="preserve">harity will look to </w:t>
            </w:r>
            <w:r w:rsidR="003F21C8">
              <w:rPr>
                <w:rFonts w:ascii="Arial" w:hAnsi="Arial" w:cs="Arial"/>
                <w:szCs w:val="24"/>
              </w:rPr>
              <w:t>further</w:t>
            </w:r>
            <w:r w:rsidR="00EF1D78">
              <w:rPr>
                <w:rFonts w:ascii="Arial" w:hAnsi="Arial" w:cs="Arial"/>
                <w:szCs w:val="24"/>
              </w:rPr>
              <w:t xml:space="preserve"> develop an</w:t>
            </w:r>
            <w:r w:rsidR="00D7386B">
              <w:rPr>
                <w:rFonts w:ascii="Arial" w:hAnsi="Arial" w:cs="Arial"/>
                <w:szCs w:val="24"/>
              </w:rPr>
              <w:t xml:space="preserve"> </w:t>
            </w:r>
            <w:r w:rsidR="000513BC">
              <w:rPr>
                <w:rFonts w:ascii="Arial" w:hAnsi="Arial" w:cs="Arial"/>
                <w:szCs w:val="24"/>
              </w:rPr>
              <w:t>accompanying operational</w:t>
            </w:r>
            <w:r w:rsidR="00EF1D78" w:rsidRPr="00EF1D78">
              <w:rPr>
                <w:rFonts w:ascii="Arial" w:hAnsi="Arial" w:cs="Arial"/>
                <w:szCs w:val="24"/>
              </w:rPr>
              <w:t xml:space="preserve"> Environmental Strategy</w:t>
            </w:r>
            <w:r w:rsidR="00EF1D78">
              <w:rPr>
                <w:rFonts w:ascii="Arial" w:hAnsi="Arial" w:cs="Arial"/>
                <w:szCs w:val="24"/>
              </w:rPr>
              <w:t xml:space="preserve"> to support the policy</w:t>
            </w:r>
            <w:r w:rsidR="00AD1FD9">
              <w:rPr>
                <w:rFonts w:ascii="Arial" w:hAnsi="Arial" w:cs="Arial"/>
                <w:szCs w:val="24"/>
              </w:rPr>
              <w:t xml:space="preserve"> and start to </w:t>
            </w:r>
            <w:r w:rsidR="003F21C8">
              <w:rPr>
                <w:rFonts w:ascii="Arial" w:hAnsi="Arial" w:cs="Arial"/>
                <w:szCs w:val="24"/>
              </w:rPr>
              <w:t>gather</w:t>
            </w:r>
            <w:r w:rsidR="00AD1FD9">
              <w:rPr>
                <w:rFonts w:ascii="Arial" w:hAnsi="Arial" w:cs="Arial"/>
                <w:szCs w:val="24"/>
              </w:rPr>
              <w:t xml:space="preserve"> data to support </w:t>
            </w:r>
            <w:r w:rsidR="00D7386B">
              <w:rPr>
                <w:rFonts w:ascii="Arial" w:hAnsi="Arial" w:cs="Arial"/>
                <w:szCs w:val="24"/>
              </w:rPr>
              <w:t xml:space="preserve">its </w:t>
            </w:r>
            <w:r w:rsidR="00AD1FD9">
              <w:rPr>
                <w:rFonts w:ascii="Arial" w:hAnsi="Arial" w:cs="Arial"/>
                <w:szCs w:val="24"/>
              </w:rPr>
              <w:t>and e</w:t>
            </w:r>
            <w:r w:rsidR="00AD1FD9" w:rsidRPr="00AD1FD9">
              <w:rPr>
                <w:rFonts w:ascii="Arial" w:hAnsi="Arial" w:cs="Arial"/>
                <w:szCs w:val="24"/>
              </w:rPr>
              <w:t xml:space="preserve">nvironmental </w:t>
            </w:r>
            <w:r w:rsidR="00AD1FD9">
              <w:rPr>
                <w:rFonts w:ascii="Arial" w:hAnsi="Arial" w:cs="Arial"/>
                <w:szCs w:val="24"/>
              </w:rPr>
              <w:t>reporting</w:t>
            </w:r>
            <w:r w:rsidR="00EF1D78">
              <w:rPr>
                <w:rFonts w:ascii="Arial" w:hAnsi="Arial" w:cs="Arial"/>
                <w:szCs w:val="24"/>
              </w:rPr>
              <w:t>.</w:t>
            </w:r>
          </w:p>
          <w:p w14:paraId="4D29B5BB" w14:textId="77777777" w:rsidR="00EF1D78" w:rsidRDefault="00EF1D78" w:rsidP="003B5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55D261FA" w14:textId="2F04CBC8" w:rsidR="00EF1D78" w:rsidRDefault="00D7386B" w:rsidP="003B586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approved</w:t>
            </w:r>
            <w:r w:rsidR="00CF63F3">
              <w:rPr>
                <w:rFonts w:ascii="Arial" w:hAnsi="Arial" w:cs="Arial"/>
                <w:szCs w:val="24"/>
              </w:rPr>
              <w:t>,</w:t>
            </w:r>
            <w:r w:rsidR="00EF1D78">
              <w:rPr>
                <w:rFonts w:ascii="Arial" w:hAnsi="Arial" w:cs="Arial"/>
                <w:szCs w:val="24"/>
              </w:rPr>
              <w:t xml:space="preserve"> it is </w:t>
            </w:r>
            <w:r>
              <w:rPr>
                <w:rFonts w:ascii="Arial" w:hAnsi="Arial" w:cs="Arial"/>
                <w:szCs w:val="24"/>
              </w:rPr>
              <w:t xml:space="preserve">recommended </w:t>
            </w:r>
            <w:r w:rsidR="00EF1D78">
              <w:rPr>
                <w:rFonts w:ascii="Arial" w:hAnsi="Arial" w:cs="Arial"/>
                <w:szCs w:val="24"/>
              </w:rPr>
              <w:t>that</w:t>
            </w:r>
            <w:r>
              <w:rPr>
                <w:rFonts w:ascii="Arial" w:hAnsi="Arial" w:cs="Arial"/>
                <w:szCs w:val="24"/>
              </w:rPr>
              <w:t xml:space="preserve"> the document is presented to the Senior Management Team early in the New Year, with a view to cascade training taking place and that the “go live” date for</w:t>
            </w:r>
            <w:r w:rsidR="00AD1FD9">
              <w:rPr>
                <w:rFonts w:ascii="Arial" w:hAnsi="Arial" w:cs="Arial"/>
                <w:szCs w:val="24"/>
              </w:rPr>
              <w:t xml:space="preserve"> this </w:t>
            </w:r>
            <w:r w:rsidR="00D91CA3">
              <w:rPr>
                <w:rFonts w:ascii="Arial" w:hAnsi="Arial" w:cs="Arial"/>
                <w:szCs w:val="24"/>
              </w:rPr>
              <w:t xml:space="preserve">Policy </w:t>
            </w:r>
            <w:r>
              <w:rPr>
                <w:rFonts w:ascii="Arial" w:hAnsi="Arial" w:cs="Arial"/>
                <w:szCs w:val="24"/>
              </w:rPr>
              <w:t>will be 1</w:t>
            </w:r>
            <w:r w:rsidR="009F1A2A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April 2022</w:t>
            </w:r>
            <w:r w:rsidR="00102390">
              <w:rPr>
                <w:rFonts w:ascii="Arial" w:hAnsi="Arial" w:cs="Arial"/>
                <w:szCs w:val="24"/>
              </w:rPr>
              <w:t>.</w:t>
            </w:r>
          </w:p>
          <w:p w14:paraId="5ADDC0CF" w14:textId="09BB080B" w:rsidR="00B85146" w:rsidRPr="004F7045" w:rsidRDefault="002B4907" w:rsidP="00B8488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bookmarkEnd w:id="1"/>
          </w:p>
        </w:tc>
      </w:tr>
      <w:bookmarkEnd w:id="0"/>
      <w:tr w:rsidR="00454F56" w:rsidRPr="004F7045" w14:paraId="513E0F33" w14:textId="77777777" w:rsidTr="0086030D">
        <w:tc>
          <w:tcPr>
            <w:tcW w:w="710" w:type="dxa"/>
          </w:tcPr>
          <w:p w14:paraId="4B531B8C" w14:textId="77777777" w:rsidR="00454F56" w:rsidRPr="004F7045" w:rsidRDefault="00454F56" w:rsidP="00454F56">
            <w:pPr>
              <w:rPr>
                <w:rFonts w:ascii="Arial" w:hAnsi="Arial" w:cs="Arial"/>
                <w:b/>
                <w:szCs w:val="24"/>
              </w:rPr>
            </w:pPr>
            <w:r w:rsidRPr="004F7045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9355" w:type="dxa"/>
          </w:tcPr>
          <w:p w14:paraId="55B7D7B7" w14:textId="77777777" w:rsidR="00454F56" w:rsidRPr="00A5032A" w:rsidRDefault="00454F56" w:rsidP="00454F56">
            <w:pPr>
              <w:rPr>
                <w:rFonts w:ascii="Arial" w:hAnsi="Arial" w:cs="Arial"/>
                <w:b/>
                <w:szCs w:val="24"/>
              </w:rPr>
            </w:pPr>
            <w:r w:rsidRPr="00A5032A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201E9B71" w14:textId="77777777" w:rsidR="00454F56" w:rsidRPr="004F7045" w:rsidRDefault="00454F56" w:rsidP="00454F5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F56" w:rsidRPr="004F7045" w14:paraId="7201A902" w14:textId="77777777" w:rsidTr="002600DB">
        <w:tc>
          <w:tcPr>
            <w:tcW w:w="710" w:type="dxa"/>
          </w:tcPr>
          <w:p w14:paraId="54D9E680" w14:textId="77777777" w:rsidR="00454F56" w:rsidRPr="004F7045" w:rsidRDefault="00454F56" w:rsidP="00454F56">
            <w:pPr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4.1</w:t>
            </w:r>
          </w:p>
          <w:p w14:paraId="466CA793" w14:textId="77777777" w:rsidR="00454F56" w:rsidRPr="004F7045" w:rsidRDefault="00454F56" w:rsidP="00454F5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5" w:type="dxa"/>
          </w:tcPr>
          <w:p w14:paraId="08DB79D3" w14:textId="2552DD88" w:rsidR="00454F56" w:rsidRPr="004F7045" w:rsidRDefault="00454F56" w:rsidP="00454F56">
            <w:pPr>
              <w:jc w:val="both"/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Resource Implications – there are no additional resource implications arising from this report</w:t>
            </w:r>
            <w:r w:rsidR="00D91CA3">
              <w:rPr>
                <w:rFonts w:ascii="Arial" w:hAnsi="Arial" w:cs="Arial"/>
                <w:szCs w:val="24"/>
              </w:rPr>
              <w:t xml:space="preserve">, however additional resources may be required at a later point, this will be dependent on an agreed </w:t>
            </w:r>
            <w:r w:rsidR="00D91CA3" w:rsidRPr="00D91CA3">
              <w:rPr>
                <w:rFonts w:ascii="Arial" w:hAnsi="Arial" w:cs="Arial"/>
                <w:szCs w:val="24"/>
              </w:rPr>
              <w:t>Environmental Strategy</w:t>
            </w:r>
            <w:r w:rsidRPr="004F7045">
              <w:rPr>
                <w:rFonts w:ascii="Arial" w:hAnsi="Arial" w:cs="Arial"/>
                <w:szCs w:val="24"/>
              </w:rPr>
              <w:t>.</w:t>
            </w:r>
          </w:p>
          <w:p w14:paraId="72A9AA92" w14:textId="77777777" w:rsidR="00454F56" w:rsidRPr="004F7045" w:rsidRDefault="00454F56" w:rsidP="00454F5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F56" w:rsidRPr="004F7045" w14:paraId="1FBFB79F" w14:textId="77777777" w:rsidTr="00733036">
        <w:tc>
          <w:tcPr>
            <w:tcW w:w="710" w:type="dxa"/>
          </w:tcPr>
          <w:p w14:paraId="1E48BC54" w14:textId="77777777" w:rsidR="00454F56" w:rsidRDefault="00454F56" w:rsidP="00454F56">
            <w:pPr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4.2</w:t>
            </w:r>
          </w:p>
          <w:p w14:paraId="44BDA93D" w14:textId="676D9BC2" w:rsidR="00454F56" w:rsidRPr="004F7045" w:rsidRDefault="00454F56" w:rsidP="00454F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355" w:type="dxa"/>
          </w:tcPr>
          <w:p w14:paraId="66DD4E2B" w14:textId="77777777" w:rsidR="00454F56" w:rsidRPr="004F7045" w:rsidRDefault="00454F56" w:rsidP="00454F56">
            <w:pPr>
              <w:jc w:val="both"/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>Legal Implications – there are no additional legal implications arising from this report.</w:t>
            </w:r>
          </w:p>
          <w:p w14:paraId="49CEDB4B" w14:textId="3BB3E7E2" w:rsidR="00454F56" w:rsidRPr="004F7045" w:rsidRDefault="00454F56" w:rsidP="00454F5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54F56" w:rsidRPr="004F7045" w14:paraId="4644D4F4" w14:textId="77777777" w:rsidTr="00C6209A">
        <w:tc>
          <w:tcPr>
            <w:tcW w:w="710" w:type="dxa"/>
          </w:tcPr>
          <w:p w14:paraId="4EE1C489" w14:textId="23603A2F" w:rsidR="00454F56" w:rsidRPr="004F7045" w:rsidRDefault="00454F56" w:rsidP="00454F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4.3</w:t>
            </w:r>
          </w:p>
        </w:tc>
        <w:tc>
          <w:tcPr>
            <w:tcW w:w="9355" w:type="dxa"/>
          </w:tcPr>
          <w:p w14:paraId="530CC281" w14:textId="77777777" w:rsidR="00454F56" w:rsidRPr="006A2B86" w:rsidRDefault="00454F56" w:rsidP="00454F56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 xml:space="preserve">Equalities Implications – </w:t>
            </w:r>
            <w:r w:rsidRPr="003B586C">
              <w:rPr>
                <w:rFonts w:ascii="Arial" w:hAnsi="Arial" w:cs="Arial"/>
                <w:szCs w:val="24"/>
              </w:rPr>
              <w:t>there are no additional equality implications arising from this report.</w:t>
            </w:r>
          </w:p>
          <w:p w14:paraId="463DA737" w14:textId="77777777" w:rsidR="00454F56" w:rsidRPr="004F7045" w:rsidRDefault="00454F56" w:rsidP="00454F5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F56" w:rsidRPr="004F7045" w14:paraId="60257197" w14:textId="77777777" w:rsidTr="00C6209A">
        <w:tc>
          <w:tcPr>
            <w:tcW w:w="710" w:type="dxa"/>
          </w:tcPr>
          <w:p w14:paraId="59AA64AA" w14:textId="157614B8" w:rsidR="00454F56" w:rsidRPr="00454F56" w:rsidRDefault="00454F56" w:rsidP="00454F56">
            <w:pPr>
              <w:rPr>
                <w:rFonts w:ascii="Arial" w:hAnsi="Arial" w:cs="Arial"/>
                <w:bCs/>
                <w:szCs w:val="24"/>
              </w:rPr>
            </w:pPr>
            <w:r w:rsidRPr="00454F56">
              <w:rPr>
                <w:rFonts w:ascii="Arial" w:hAnsi="Arial" w:cs="Arial"/>
                <w:bCs/>
                <w:szCs w:val="24"/>
              </w:rPr>
              <w:t>4.4</w:t>
            </w:r>
          </w:p>
        </w:tc>
        <w:tc>
          <w:tcPr>
            <w:tcW w:w="9355" w:type="dxa"/>
          </w:tcPr>
          <w:p w14:paraId="2B8EA482" w14:textId="77777777" w:rsidR="00454F56" w:rsidRDefault="00454F56" w:rsidP="00454F56">
            <w:pPr>
              <w:jc w:val="both"/>
              <w:rPr>
                <w:rFonts w:ascii="Arial" w:hAnsi="Arial" w:cs="Arial"/>
                <w:szCs w:val="24"/>
              </w:rPr>
            </w:pPr>
            <w:r w:rsidRPr="004F7045">
              <w:rPr>
                <w:rFonts w:ascii="Arial" w:hAnsi="Arial" w:cs="Arial"/>
                <w:szCs w:val="24"/>
              </w:rPr>
              <w:t xml:space="preserve">Risk Implications - </w:t>
            </w:r>
            <w:r w:rsidRPr="003B586C">
              <w:rPr>
                <w:rFonts w:ascii="Arial" w:hAnsi="Arial" w:cs="Arial"/>
                <w:szCs w:val="24"/>
              </w:rPr>
              <w:t>there are no new risks which require to be added to the risk register arising from this report.</w:t>
            </w:r>
          </w:p>
          <w:p w14:paraId="76F2EAC5" w14:textId="77777777" w:rsidR="00454F56" w:rsidRPr="004F7045" w:rsidDel="00D30A72" w:rsidRDefault="00454F56" w:rsidP="00454F5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F660DF5" w14:textId="77777777" w:rsidR="003A0236" w:rsidRDefault="003A0236">
      <w:pPr>
        <w:rPr>
          <w:rFonts w:ascii="Arial" w:hAnsi="Arial" w:cs="Arial"/>
          <w:szCs w:val="24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BD0989" w:rsidRPr="004F7045" w14:paraId="4D986536" w14:textId="77777777" w:rsidTr="003A0236">
        <w:tc>
          <w:tcPr>
            <w:tcW w:w="10065" w:type="dxa"/>
          </w:tcPr>
          <w:p w14:paraId="393252C3" w14:textId="77777777" w:rsidR="00BD0989" w:rsidRPr="004F7045" w:rsidRDefault="00BD0989" w:rsidP="00BD0989">
            <w:pPr>
              <w:keepNext/>
              <w:outlineLvl w:val="2"/>
              <w:rPr>
                <w:rFonts w:ascii="Arial" w:hAnsi="Arial" w:cs="Arial"/>
                <w:b/>
                <w:szCs w:val="24"/>
              </w:rPr>
            </w:pPr>
            <w:r w:rsidRPr="004F7045">
              <w:rPr>
                <w:rFonts w:ascii="Arial" w:hAnsi="Arial" w:cs="Arial"/>
                <w:b/>
                <w:szCs w:val="24"/>
              </w:rPr>
              <w:t>Recommendation</w:t>
            </w:r>
            <w:r w:rsidR="002B19E5">
              <w:rPr>
                <w:rFonts w:ascii="Arial" w:hAnsi="Arial" w:cs="Arial"/>
                <w:b/>
                <w:szCs w:val="24"/>
              </w:rPr>
              <w:t>s</w:t>
            </w:r>
          </w:p>
          <w:p w14:paraId="5A9DC5E6" w14:textId="77777777" w:rsidR="00BD0989" w:rsidRPr="004F7045" w:rsidRDefault="00BD0989" w:rsidP="00BD0989">
            <w:pPr>
              <w:jc w:val="both"/>
              <w:rPr>
                <w:rFonts w:ascii="Arial" w:hAnsi="Arial" w:cs="Arial"/>
                <w:szCs w:val="24"/>
              </w:rPr>
            </w:pPr>
          </w:p>
          <w:p w14:paraId="71BDF832" w14:textId="77777777" w:rsidR="00786BFA" w:rsidRPr="00D1562C" w:rsidRDefault="00786BFA" w:rsidP="00786BFA">
            <w:pPr>
              <w:jc w:val="both"/>
              <w:rPr>
                <w:rFonts w:ascii="Arial" w:hAnsi="Arial" w:cs="Arial"/>
                <w:szCs w:val="24"/>
              </w:rPr>
            </w:pPr>
            <w:r w:rsidRPr="00D1562C">
              <w:rPr>
                <w:rFonts w:ascii="Arial" w:hAnsi="Arial" w:cs="Arial"/>
                <w:szCs w:val="24"/>
              </w:rPr>
              <w:t>It is recommended that Directors:</w:t>
            </w:r>
          </w:p>
          <w:p w14:paraId="1FE788BB" w14:textId="77777777" w:rsidR="00786BFA" w:rsidRPr="00D1562C" w:rsidRDefault="00786BFA" w:rsidP="00786BF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5826F5" w14:textId="77777777" w:rsidR="00AA7E9E" w:rsidRPr="00AA7E9E" w:rsidRDefault="00AA7E9E" w:rsidP="00AA7E9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1562C">
              <w:rPr>
                <w:rFonts w:ascii="Arial" w:hAnsi="Arial" w:cs="Arial"/>
                <w:sz w:val="24"/>
                <w:szCs w:val="24"/>
              </w:rPr>
              <w:t>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discuss</w:t>
            </w:r>
            <w:r w:rsidRPr="00D1562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contents of the draft </w:t>
            </w:r>
            <w:r w:rsidRPr="00B84881">
              <w:rPr>
                <w:rFonts w:ascii="Arial" w:hAnsi="Arial" w:cs="Arial"/>
                <w:sz w:val="24"/>
                <w:szCs w:val="24"/>
              </w:rPr>
              <w:t xml:space="preserve">Environmental Policy </w:t>
            </w:r>
            <w:r>
              <w:rPr>
                <w:rFonts w:ascii="Arial" w:hAnsi="Arial" w:cs="Arial"/>
                <w:sz w:val="24"/>
                <w:szCs w:val="24"/>
              </w:rPr>
              <w:t xml:space="preserve">as attached within </w:t>
            </w:r>
            <w:r w:rsidRPr="002809D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1562C">
              <w:rPr>
                <w:rFonts w:ascii="Arial" w:hAnsi="Arial" w:cs="Arial"/>
                <w:b/>
                <w:sz w:val="24"/>
                <w:szCs w:val="24"/>
              </w:rPr>
              <w:t>ppendi</w:t>
            </w: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D1562C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Pr="00D1562C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305F2843" w14:textId="070209AE" w:rsidR="00AA7E9E" w:rsidRPr="00AA7E9E" w:rsidRDefault="00AA7E9E" w:rsidP="00AA7E9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 and agree the implementation of the policy from 1 April 2022.</w:t>
            </w:r>
          </w:p>
        </w:tc>
      </w:tr>
    </w:tbl>
    <w:p w14:paraId="6A6F9E68" w14:textId="77777777" w:rsidR="00BD0989" w:rsidRPr="004F7045" w:rsidRDefault="00BD0989">
      <w:pPr>
        <w:rPr>
          <w:rFonts w:ascii="Arial" w:hAnsi="Arial" w:cs="Arial"/>
          <w:szCs w:val="24"/>
        </w:rPr>
      </w:pPr>
    </w:p>
    <w:p w14:paraId="571CFB29" w14:textId="77777777" w:rsidR="00BD0989" w:rsidRPr="004F7045" w:rsidRDefault="00BD0989" w:rsidP="00BD0989">
      <w:pPr>
        <w:tabs>
          <w:tab w:val="left" w:pos="1843"/>
        </w:tabs>
        <w:rPr>
          <w:rFonts w:ascii="Arial" w:hAnsi="Arial" w:cs="Arial"/>
          <w:szCs w:val="24"/>
        </w:rPr>
      </w:pPr>
    </w:p>
    <w:p w14:paraId="0DDC25A5" w14:textId="77777777" w:rsidR="00BD0989" w:rsidRPr="004F7045" w:rsidRDefault="00BD0989" w:rsidP="00BD0989">
      <w:pPr>
        <w:tabs>
          <w:tab w:val="left" w:pos="1843"/>
        </w:tabs>
        <w:rPr>
          <w:rFonts w:ascii="Arial" w:hAnsi="Arial" w:cs="Arial"/>
          <w:szCs w:val="24"/>
        </w:rPr>
      </w:pPr>
      <w:r w:rsidRPr="004F7045">
        <w:rPr>
          <w:rFonts w:ascii="Arial" w:hAnsi="Arial" w:cs="Arial"/>
          <w:szCs w:val="24"/>
        </w:rPr>
        <w:t>Designation:</w:t>
      </w:r>
      <w:r w:rsidRPr="004F7045">
        <w:rPr>
          <w:rFonts w:ascii="Arial" w:hAnsi="Arial" w:cs="Arial"/>
          <w:szCs w:val="24"/>
        </w:rPr>
        <w:tab/>
        <w:t>Chief Executive</w:t>
      </w:r>
    </w:p>
    <w:p w14:paraId="519CE4EF" w14:textId="77777777" w:rsidR="00BD0989" w:rsidRPr="004F7045" w:rsidRDefault="00BD0989" w:rsidP="00BD0989">
      <w:pPr>
        <w:tabs>
          <w:tab w:val="left" w:pos="1843"/>
        </w:tabs>
        <w:rPr>
          <w:rFonts w:ascii="Arial" w:hAnsi="Arial" w:cs="Arial"/>
          <w:szCs w:val="24"/>
        </w:rPr>
      </w:pPr>
    </w:p>
    <w:p w14:paraId="0B07954C" w14:textId="294201FE" w:rsidR="003A0236" w:rsidRDefault="00BD0989" w:rsidP="00621307">
      <w:pPr>
        <w:tabs>
          <w:tab w:val="left" w:pos="1843"/>
        </w:tabs>
        <w:rPr>
          <w:rFonts w:ascii="Arial" w:hAnsi="Arial" w:cs="Arial"/>
          <w:szCs w:val="24"/>
        </w:rPr>
      </w:pPr>
      <w:r w:rsidRPr="004F7045">
        <w:rPr>
          <w:rFonts w:ascii="Arial" w:hAnsi="Arial" w:cs="Arial"/>
          <w:szCs w:val="24"/>
        </w:rPr>
        <w:t>Date:</w:t>
      </w:r>
      <w:r w:rsidRPr="004F7045">
        <w:rPr>
          <w:rFonts w:ascii="Arial" w:hAnsi="Arial" w:cs="Arial"/>
          <w:szCs w:val="24"/>
        </w:rPr>
        <w:tab/>
      </w:r>
      <w:r w:rsidR="00AF7C6C">
        <w:rPr>
          <w:rFonts w:ascii="Arial" w:hAnsi="Arial" w:cs="Arial"/>
          <w:szCs w:val="24"/>
        </w:rPr>
        <w:t>25</w:t>
      </w:r>
      <w:r w:rsidR="00102390">
        <w:rPr>
          <w:rFonts w:ascii="Arial" w:hAnsi="Arial" w:cs="Arial"/>
          <w:szCs w:val="24"/>
        </w:rPr>
        <w:t xml:space="preserve"> November 2021</w:t>
      </w:r>
    </w:p>
    <w:p w14:paraId="1991B87F" w14:textId="065FAE71" w:rsidR="00102390" w:rsidRDefault="00102390" w:rsidP="00621307">
      <w:pPr>
        <w:tabs>
          <w:tab w:val="left" w:pos="1843"/>
        </w:tabs>
        <w:rPr>
          <w:rFonts w:ascii="Arial" w:hAnsi="Arial" w:cs="Arial"/>
          <w:szCs w:val="24"/>
        </w:rPr>
      </w:pPr>
    </w:p>
    <w:p w14:paraId="1FB3D169" w14:textId="50757100" w:rsidR="00102390" w:rsidRDefault="00102390" w:rsidP="00621307">
      <w:pPr>
        <w:tabs>
          <w:tab w:val="left" w:pos="1843"/>
        </w:tabs>
        <w:rPr>
          <w:rFonts w:ascii="Arial" w:hAnsi="Arial" w:cs="Arial"/>
          <w:szCs w:val="24"/>
        </w:rPr>
      </w:pPr>
    </w:p>
    <w:p w14:paraId="447CEE42" w14:textId="77777777" w:rsidR="00102390" w:rsidRDefault="00102390" w:rsidP="00621307">
      <w:pPr>
        <w:tabs>
          <w:tab w:val="left" w:pos="1843"/>
        </w:tabs>
        <w:rPr>
          <w:rFonts w:ascii="Arial" w:hAnsi="Arial" w:cs="Arial"/>
          <w:color w:val="FF0000"/>
          <w:szCs w:val="24"/>
        </w:rPr>
      </w:pPr>
    </w:p>
    <w:sectPr w:rsidR="00102390" w:rsidSect="001B57D8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C8F24" w14:textId="77777777" w:rsidR="00D378DE" w:rsidRDefault="00D378DE" w:rsidP="006000E5">
      <w:r>
        <w:separator/>
      </w:r>
    </w:p>
  </w:endnote>
  <w:endnote w:type="continuationSeparator" w:id="0">
    <w:p w14:paraId="144D5E03" w14:textId="77777777" w:rsidR="00D378DE" w:rsidRDefault="00D378DE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95EBC" w14:textId="77777777" w:rsidR="00D378DE" w:rsidRDefault="00D378DE" w:rsidP="006000E5">
      <w:r>
        <w:separator/>
      </w:r>
    </w:p>
  </w:footnote>
  <w:footnote w:type="continuationSeparator" w:id="0">
    <w:p w14:paraId="7F0CCD29" w14:textId="77777777" w:rsidR="00D378DE" w:rsidRDefault="00D378DE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F79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BF2"/>
    <w:multiLevelType w:val="hybridMultilevel"/>
    <w:tmpl w:val="03DC84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4CC2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594F"/>
    <w:multiLevelType w:val="hybridMultilevel"/>
    <w:tmpl w:val="DCDA45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21C7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7BD4"/>
    <w:multiLevelType w:val="hybridMultilevel"/>
    <w:tmpl w:val="C6B8257E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503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3EC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2158"/>
    <w:multiLevelType w:val="hybridMultilevel"/>
    <w:tmpl w:val="D1B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7F58"/>
    <w:multiLevelType w:val="hybridMultilevel"/>
    <w:tmpl w:val="03DC84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21E4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122B2"/>
    <w:multiLevelType w:val="hybridMultilevel"/>
    <w:tmpl w:val="779AB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219E5"/>
    <w:multiLevelType w:val="hybridMultilevel"/>
    <w:tmpl w:val="006C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177C"/>
    <w:multiLevelType w:val="hybridMultilevel"/>
    <w:tmpl w:val="2A5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362B"/>
    <w:multiLevelType w:val="hybridMultilevel"/>
    <w:tmpl w:val="C102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05D0"/>
    <w:multiLevelType w:val="hybridMultilevel"/>
    <w:tmpl w:val="6DB0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5457"/>
    <w:multiLevelType w:val="hybridMultilevel"/>
    <w:tmpl w:val="A89ACF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6EA6"/>
    <w:multiLevelType w:val="hybridMultilevel"/>
    <w:tmpl w:val="C6B8257E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7C05"/>
    <w:multiLevelType w:val="hybridMultilevel"/>
    <w:tmpl w:val="551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0EE8"/>
    <w:multiLevelType w:val="hybridMultilevel"/>
    <w:tmpl w:val="FA94A7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0903"/>
    <w:multiLevelType w:val="hybridMultilevel"/>
    <w:tmpl w:val="D5DE4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01632"/>
    <w:multiLevelType w:val="hybridMultilevel"/>
    <w:tmpl w:val="73DC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191A"/>
    <w:multiLevelType w:val="hybridMultilevel"/>
    <w:tmpl w:val="3C9A5D1A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6120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455D"/>
    <w:multiLevelType w:val="multilevel"/>
    <w:tmpl w:val="A606A1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42631"/>
    <w:multiLevelType w:val="hybridMultilevel"/>
    <w:tmpl w:val="C6B8257E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D69ED"/>
    <w:multiLevelType w:val="hybridMultilevel"/>
    <w:tmpl w:val="03DC84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679E"/>
    <w:multiLevelType w:val="hybridMultilevel"/>
    <w:tmpl w:val="E0B8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16565"/>
    <w:multiLevelType w:val="hybridMultilevel"/>
    <w:tmpl w:val="2E84E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C710AF"/>
    <w:multiLevelType w:val="hybridMultilevel"/>
    <w:tmpl w:val="CEDC8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45E7"/>
    <w:multiLevelType w:val="hybridMultilevel"/>
    <w:tmpl w:val="D306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E537A"/>
    <w:multiLevelType w:val="hybridMultilevel"/>
    <w:tmpl w:val="B2BED86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"/>
  </w:num>
  <w:num w:numId="2">
    <w:abstractNumId w:val="20"/>
  </w:num>
  <w:num w:numId="3">
    <w:abstractNumId w:val="33"/>
  </w:num>
  <w:num w:numId="4">
    <w:abstractNumId w:val="34"/>
  </w:num>
  <w:num w:numId="5">
    <w:abstractNumId w:val="12"/>
  </w:num>
  <w:num w:numId="6">
    <w:abstractNumId w:val="16"/>
  </w:num>
  <w:num w:numId="7">
    <w:abstractNumId w:val="27"/>
  </w:num>
  <w:num w:numId="8">
    <w:abstractNumId w:val="1"/>
  </w:num>
  <w:num w:numId="9">
    <w:abstractNumId w:val="9"/>
  </w:num>
  <w:num w:numId="10">
    <w:abstractNumId w:val="26"/>
  </w:num>
  <w:num w:numId="11">
    <w:abstractNumId w:val="17"/>
  </w:num>
  <w:num w:numId="12">
    <w:abstractNumId w:val="5"/>
  </w:num>
  <w:num w:numId="13">
    <w:abstractNumId w:val="24"/>
  </w:num>
  <w:num w:numId="14">
    <w:abstractNumId w:val="14"/>
  </w:num>
  <w:num w:numId="15">
    <w:abstractNumId w:val="10"/>
  </w:num>
  <w:num w:numId="16">
    <w:abstractNumId w:val="8"/>
  </w:num>
  <w:num w:numId="17">
    <w:abstractNumId w:val="28"/>
  </w:num>
  <w:num w:numId="18">
    <w:abstractNumId w:val="30"/>
  </w:num>
  <w:num w:numId="19">
    <w:abstractNumId w:val="22"/>
  </w:num>
  <w:num w:numId="20">
    <w:abstractNumId w:val="31"/>
  </w:num>
  <w:num w:numId="21">
    <w:abstractNumId w:val="1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21"/>
  </w:num>
  <w:num w:numId="26">
    <w:abstractNumId w:val="29"/>
  </w:num>
  <w:num w:numId="27">
    <w:abstractNumId w:val="23"/>
  </w:num>
  <w:num w:numId="28">
    <w:abstractNumId w:val="11"/>
  </w:num>
  <w:num w:numId="29">
    <w:abstractNumId w:val="13"/>
  </w:num>
  <w:num w:numId="30">
    <w:abstractNumId w:val="0"/>
  </w:num>
  <w:num w:numId="31">
    <w:abstractNumId w:val="2"/>
  </w:num>
  <w:num w:numId="32">
    <w:abstractNumId w:val="32"/>
  </w:num>
  <w:num w:numId="33">
    <w:abstractNumId w:val="18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9"/>
    <w:rsid w:val="000101C3"/>
    <w:rsid w:val="000124A8"/>
    <w:rsid w:val="00036866"/>
    <w:rsid w:val="000419AE"/>
    <w:rsid w:val="000439C3"/>
    <w:rsid w:val="000513BC"/>
    <w:rsid w:val="000522D4"/>
    <w:rsid w:val="00053610"/>
    <w:rsid w:val="000560DE"/>
    <w:rsid w:val="00057658"/>
    <w:rsid w:val="000762B0"/>
    <w:rsid w:val="00090FB4"/>
    <w:rsid w:val="00095BA7"/>
    <w:rsid w:val="000A034C"/>
    <w:rsid w:val="000A425B"/>
    <w:rsid w:val="000A624F"/>
    <w:rsid w:val="000E270A"/>
    <w:rsid w:val="000E4F5F"/>
    <w:rsid w:val="00102390"/>
    <w:rsid w:val="00103427"/>
    <w:rsid w:val="00106DC1"/>
    <w:rsid w:val="00126707"/>
    <w:rsid w:val="00145F12"/>
    <w:rsid w:val="00146C33"/>
    <w:rsid w:val="00147DCA"/>
    <w:rsid w:val="001546E1"/>
    <w:rsid w:val="00161DC6"/>
    <w:rsid w:val="00164986"/>
    <w:rsid w:val="00164A5A"/>
    <w:rsid w:val="0017705E"/>
    <w:rsid w:val="001815A2"/>
    <w:rsid w:val="001816BD"/>
    <w:rsid w:val="0018573F"/>
    <w:rsid w:val="00195805"/>
    <w:rsid w:val="0019691E"/>
    <w:rsid w:val="001B57D8"/>
    <w:rsid w:val="001C0727"/>
    <w:rsid w:val="001C1D6B"/>
    <w:rsid w:val="001C4A20"/>
    <w:rsid w:val="001D19D4"/>
    <w:rsid w:val="001E48BF"/>
    <w:rsid w:val="002107CA"/>
    <w:rsid w:val="00211DB5"/>
    <w:rsid w:val="00216018"/>
    <w:rsid w:val="0024460D"/>
    <w:rsid w:val="00247473"/>
    <w:rsid w:val="00251256"/>
    <w:rsid w:val="002711AA"/>
    <w:rsid w:val="00271B7D"/>
    <w:rsid w:val="002809DB"/>
    <w:rsid w:val="00281B5D"/>
    <w:rsid w:val="0028451F"/>
    <w:rsid w:val="00287337"/>
    <w:rsid w:val="0028786E"/>
    <w:rsid w:val="002878B2"/>
    <w:rsid w:val="002B19E5"/>
    <w:rsid w:val="002B4907"/>
    <w:rsid w:val="002B5656"/>
    <w:rsid w:val="002C22AB"/>
    <w:rsid w:val="002C39B8"/>
    <w:rsid w:val="002C5A49"/>
    <w:rsid w:val="002D2257"/>
    <w:rsid w:val="002D3BC2"/>
    <w:rsid w:val="002D43FC"/>
    <w:rsid w:val="00303F40"/>
    <w:rsid w:val="00304CE9"/>
    <w:rsid w:val="003061CE"/>
    <w:rsid w:val="003074EF"/>
    <w:rsid w:val="003123CD"/>
    <w:rsid w:val="003167E7"/>
    <w:rsid w:val="003224B7"/>
    <w:rsid w:val="00324CB0"/>
    <w:rsid w:val="00326123"/>
    <w:rsid w:val="003343A6"/>
    <w:rsid w:val="0034246F"/>
    <w:rsid w:val="003475D6"/>
    <w:rsid w:val="00351970"/>
    <w:rsid w:val="00352D16"/>
    <w:rsid w:val="00353057"/>
    <w:rsid w:val="003550C4"/>
    <w:rsid w:val="0035689D"/>
    <w:rsid w:val="0036308E"/>
    <w:rsid w:val="003740E6"/>
    <w:rsid w:val="00380F92"/>
    <w:rsid w:val="00381FA5"/>
    <w:rsid w:val="00385516"/>
    <w:rsid w:val="00386D98"/>
    <w:rsid w:val="0039588D"/>
    <w:rsid w:val="00397911"/>
    <w:rsid w:val="003A0236"/>
    <w:rsid w:val="003A3275"/>
    <w:rsid w:val="003A37CE"/>
    <w:rsid w:val="003A6B60"/>
    <w:rsid w:val="003A6B70"/>
    <w:rsid w:val="003B1F81"/>
    <w:rsid w:val="003B586C"/>
    <w:rsid w:val="003B69F6"/>
    <w:rsid w:val="003B7784"/>
    <w:rsid w:val="003C197E"/>
    <w:rsid w:val="003C40E1"/>
    <w:rsid w:val="003C7209"/>
    <w:rsid w:val="003D5421"/>
    <w:rsid w:val="003E0C10"/>
    <w:rsid w:val="003E28DE"/>
    <w:rsid w:val="003F0B30"/>
    <w:rsid w:val="003F13AB"/>
    <w:rsid w:val="003F1AB8"/>
    <w:rsid w:val="003F21C8"/>
    <w:rsid w:val="003F2318"/>
    <w:rsid w:val="003F3A3E"/>
    <w:rsid w:val="00401E8F"/>
    <w:rsid w:val="00405C65"/>
    <w:rsid w:val="00406C31"/>
    <w:rsid w:val="00410D7D"/>
    <w:rsid w:val="0041267B"/>
    <w:rsid w:val="004205A9"/>
    <w:rsid w:val="00426193"/>
    <w:rsid w:val="00436BD4"/>
    <w:rsid w:val="00442E90"/>
    <w:rsid w:val="00442F73"/>
    <w:rsid w:val="00451F55"/>
    <w:rsid w:val="00453574"/>
    <w:rsid w:val="00454F56"/>
    <w:rsid w:val="0045517B"/>
    <w:rsid w:val="00462A09"/>
    <w:rsid w:val="0046663A"/>
    <w:rsid w:val="0047146C"/>
    <w:rsid w:val="00475694"/>
    <w:rsid w:val="00475B15"/>
    <w:rsid w:val="004765BF"/>
    <w:rsid w:val="004770DE"/>
    <w:rsid w:val="00484EB6"/>
    <w:rsid w:val="00484F31"/>
    <w:rsid w:val="0048701C"/>
    <w:rsid w:val="00496C7D"/>
    <w:rsid w:val="004A571D"/>
    <w:rsid w:val="004A77C8"/>
    <w:rsid w:val="004B44FE"/>
    <w:rsid w:val="004B6906"/>
    <w:rsid w:val="004C0FDF"/>
    <w:rsid w:val="004C2E12"/>
    <w:rsid w:val="004E3360"/>
    <w:rsid w:val="004E3651"/>
    <w:rsid w:val="004E67A8"/>
    <w:rsid w:val="004F1711"/>
    <w:rsid w:val="004F7045"/>
    <w:rsid w:val="004F7E98"/>
    <w:rsid w:val="00502473"/>
    <w:rsid w:val="00504BB8"/>
    <w:rsid w:val="0050611C"/>
    <w:rsid w:val="00507E9D"/>
    <w:rsid w:val="00510A66"/>
    <w:rsid w:val="005126C5"/>
    <w:rsid w:val="00527B2F"/>
    <w:rsid w:val="0053276B"/>
    <w:rsid w:val="00550499"/>
    <w:rsid w:val="00555161"/>
    <w:rsid w:val="00580DDD"/>
    <w:rsid w:val="005819F7"/>
    <w:rsid w:val="0058210B"/>
    <w:rsid w:val="00582530"/>
    <w:rsid w:val="00585535"/>
    <w:rsid w:val="0059093E"/>
    <w:rsid w:val="005A52C0"/>
    <w:rsid w:val="005B038D"/>
    <w:rsid w:val="005B0C68"/>
    <w:rsid w:val="005C0CD0"/>
    <w:rsid w:val="005D056D"/>
    <w:rsid w:val="005D0C04"/>
    <w:rsid w:val="005D381A"/>
    <w:rsid w:val="005D3BA6"/>
    <w:rsid w:val="005E30F8"/>
    <w:rsid w:val="005F5DD5"/>
    <w:rsid w:val="006000E5"/>
    <w:rsid w:val="00601D3D"/>
    <w:rsid w:val="00621307"/>
    <w:rsid w:val="00621C10"/>
    <w:rsid w:val="00623751"/>
    <w:rsid w:val="006328A2"/>
    <w:rsid w:val="00633653"/>
    <w:rsid w:val="00633AF7"/>
    <w:rsid w:val="0064524D"/>
    <w:rsid w:val="00647B00"/>
    <w:rsid w:val="00647EB5"/>
    <w:rsid w:val="00652DC9"/>
    <w:rsid w:val="00671BF9"/>
    <w:rsid w:val="006753A2"/>
    <w:rsid w:val="00676F2E"/>
    <w:rsid w:val="00681715"/>
    <w:rsid w:val="006872DE"/>
    <w:rsid w:val="00695FB7"/>
    <w:rsid w:val="0069605E"/>
    <w:rsid w:val="006A2B86"/>
    <w:rsid w:val="006A4793"/>
    <w:rsid w:val="006B4158"/>
    <w:rsid w:val="006B7B2C"/>
    <w:rsid w:val="006C42F8"/>
    <w:rsid w:val="006C7BF8"/>
    <w:rsid w:val="006D1C27"/>
    <w:rsid w:val="006D29B6"/>
    <w:rsid w:val="006D3897"/>
    <w:rsid w:val="006E0A7B"/>
    <w:rsid w:val="006E5F67"/>
    <w:rsid w:val="006E6444"/>
    <w:rsid w:val="006F5E4E"/>
    <w:rsid w:val="00702514"/>
    <w:rsid w:val="00703CC6"/>
    <w:rsid w:val="0071184B"/>
    <w:rsid w:val="0071239D"/>
    <w:rsid w:val="00712FAB"/>
    <w:rsid w:val="00715131"/>
    <w:rsid w:val="00732FE8"/>
    <w:rsid w:val="00753EDC"/>
    <w:rsid w:val="00756BC2"/>
    <w:rsid w:val="0077326A"/>
    <w:rsid w:val="00776BAB"/>
    <w:rsid w:val="00781447"/>
    <w:rsid w:val="00786BFA"/>
    <w:rsid w:val="007A5BD3"/>
    <w:rsid w:val="007B50C4"/>
    <w:rsid w:val="007B73F4"/>
    <w:rsid w:val="007C46DE"/>
    <w:rsid w:val="007D01EC"/>
    <w:rsid w:val="007E5311"/>
    <w:rsid w:val="007F4A95"/>
    <w:rsid w:val="00816EE3"/>
    <w:rsid w:val="008212ED"/>
    <w:rsid w:val="00825F0E"/>
    <w:rsid w:val="00827124"/>
    <w:rsid w:val="008420C3"/>
    <w:rsid w:val="00846AF3"/>
    <w:rsid w:val="0085111B"/>
    <w:rsid w:val="00852917"/>
    <w:rsid w:val="00862822"/>
    <w:rsid w:val="008725E6"/>
    <w:rsid w:val="00874458"/>
    <w:rsid w:val="00884B83"/>
    <w:rsid w:val="00886099"/>
    <w:rsid w:val="008A767F"/>
    <w:rsid w:val="008B5BCA"/>
    <w:rsid w:val="008C0B8C"/>
    <w:rsid w:val="008D12CF"/>
    <w:rsid w:val="008D53C3"/>
    <w:rsid w:val="008D5811"/>
    <w:rsid w:val="008E0A02"/>
    <w:rsid w:val="008E0D0C"/>
    <w:rsid w:val="008E4F02"/>
    <w:rsid w:val="008E6145"/>
    <w:rsid w:val="008F0E6E"/>
    <w:rsid w:val="008F1556"/>
    <w:rsid w:val="00903EDB"/>
    <w:rsid w:val="0091570A"/>
    <w:rsid w:val="00916FC6"/>
    <w:rsid w:val="009172BA"/>
    <w:rsid w:val="00917B1F"/>
    <w:rsid w:val="00924BCB"/>
    <w:rsid w:val="00924DEC"/>
    <w:rsid w:val="00927805"/>
    <w:rsid w:val="00927D22"/>
    <w:rsid w:val="009374DA"/>
    <w:rsid w:val="00961FED"/>
    <w:rsid w:val="009636EC"/>
    <w:rsid w:val="00964F8B"/>
    <w:rsid w:val="00966EAB"/>
    <w:rsid w:val="00971F86"/>
    <w:rsid w:val="00975A29"/>
    <w:rsid w:val="00982DCE"/>
    <w:rsid w:val="00991F69"/>
    <w:rsid w:val="009923FC"/>
    <w:rsid w:val="00995DAD"/>
    <w:rsid w:val="009A2EB8"/>
    <w:rsid w:val="009A5561"/>
    <w:rsid w:val="009A7465"/>
    <w:rsid w:val="009B25A0"/>
    <w:rsid w:val="009B60C2"/>
    <w:rsid w:val="009B622A"/>
    <w:rsid w:val="009B6ED5"/>
    <w:rsid w:val="009C3014"/>
    <w:rsid w:val="009C623F"/>
    <w:rsid w:val="009D39FF"/>
    <w:rsid w:val="009E08FA"/>
    <w:rsid w:val="009E134A"/>
    <w:rsid w:val="009E16F6"/>
    <w:rsid w:val="009E1896"/>
    <w:rsid w:val="009E3F83"/>
    <w:rsid w:val="009F1A2A"/>
    <w:rsid w:val="009F594F"/>
    <w:rsid w:val="00A05863"/>
    <w:rsid w:val="00A11217"/>
    <w:rsid w:val="00A1127E"/>
    <w:rsid w:val="00A11BAF"/>
    <w:rsid w:val="00A13B30"/>
    <w:rsid w:val="00A255B5"/>
    <w:rsid w:val="00A334B2"/>
    <w:rsid w:val="00A3499B"/>
    <w:rsid w:val="00A34DF7"/>
    <w:rsid w:val="00A42D82"/>
    <w:rsid w:val="00A5032A"/>
    <w:rsid w:val="00A516D4"/>
    <w:rsid w:val="00A56F45"/>
    <w:rsid w:val="00A6092D"/>
    <w:rsid w:val="00A7025C"/>
    <w:rsid w:val="00A70EB8"/>
    <w:rsid w:val="00A73999"/>
    <w:rsid w:val="00A74B7C"/>
    <w:rsid w:val="00A82F2B"/>
    <w:rsid w:val="00A831CB"/>
    <w:rsid w:val="00A862C0"/>
    <w:rsid w:val="00A91531"/>
    <w:rsid w:val="00AA7E9E"/>
    <w:rsid w:val="00AB00E2"/>
    <w:rsid w:val="00AC1C6C"/>
    <w:rsid w:val="00AD1FD9"/>
    <w:rsid w:val="00AD3742"/>
    <w:rsid w:val="00AE558D"/>
    <w:rsid w:val="00AE7B3C"/>
    <w:rsid w:val="00AF024C"/>
    <w:rsid w:val="00AF5ED3"/>
    <w:rsid w:val="00AF7A72"/>
    <w:rsid w:val="00AF7C6C"/>
    <w:rsid w:val="00B14C1A"/>
    <w:rsid w:val="00B162E1"/>
    <w:rsid w:val="00B2129C"/>
    <w:rsid w:val="00B26075"/>
    <w:rsid w:val="00B26998"/>
    <w:rsid w:val="00B307E0"/>
    <w:rsid w:val="00B327DD"/>
    <w:rsid w:val="00B43539"/>
    <w:rsid w:val="00B4556C"/>
    <w:rsid w:val="00B46CE0"/>
    <w:rsid w:val="00B5694F"/>
    <w:rsid w:val="00B60690"/>
    <w:rsid w:val="00B61BEC"/>
    <w:rsid w:val="00B62383"/>
    <w:rsid w:val="00B63181"/>
    <w:rsid w:val="00B73230"/>
    <w:rsid w:val="00B7382A"/>
    <w:rsid w:val="00B84881"/>
    <w:rsid w:val="00B85146"/>
    <w:rsid w:val="00B85D90"/>
    <w:rsid w:val="00BA4B3C"/>
    <w:rsid w:val="00BA4D28"/>
    <w:rsid w:val="00BB3454"/>
    <w:rsid w:val="00BC0601"/>
    <w:rsid w:val="00BC2BED"/>
    <w:rsid w:val="00BC4BA1"/>
    <w:rsid w:val="00BC55BE"/>
    <w:rsid w:val="00BD0989"/>
    <w:rsid w:val="00BE00E8"/>
    <w:rsid w:val="00C00479"/>
    <w:rsid w:val="00C014C6"/>
    <w:rsid w:val="00C03B42"/>
    <w:rsid w:val="00C074ED"/>
    <w:rsid w:val="00C1179A"/>
    <w:rsid w:val="00C25B79"/>
    <w:rsid w:val="00C26E03"/>
    <w:rsid w:val="00C3352A"/>
    <w:rsid w:val="00C463F7"/>
    <w:rsid w:val="00C50944"/>
    <w:rsid w:val="00C56D23"/>
    <w:rsid w:val="00C56F90"/>
    <w:rsid w:val="00C6209A"/>
    <w:rsid w:val="00C621C4"/>
    <w:rsid w:val="00C669F3"/>
    <w:rsid w:val="00C71F65"/>
    <w:rsid w:val="00C80BC0"/>
    <w:rsid w:val="00C84AD5"/>
    <w:rsid w:val="00C922ED"/>
    <w:rsid w:val="00C94836"/>
    <w:rsid w:val="00C9509F"/>
    <w:rsid w:val="00C9575A"/>
    <w:rsid w:val="00C9692F"/>
    <w:rsid w:val="00CA3412"/>
    <w:rsid w:val="00CB22BE"/>
    <w:rsid w:val="00CC0904"/>
    <w:rsid w:val="00CC5FF2"/>
    <w:rsid w:val="00CC64B1"/>
    <w:rsid w:val="00CD17FA"/>
    <w:rsid w:val="00CD281F"/>
    <w:rsid w:val="00CD4CBC"/>
    <w:rsid w:val="00CD758D"/>
    <w:rsid w:val="00CE66DB"/>
    <w:rsid w:val="00CF2025"/>
    <w:rsid w:val="00CF63F3"/>
    <w:rsid w:val="00CF6E3F"/>
    <w:rsid w:val="00D03E5C"/>
    <w:rsid w:val="00D137F3"/>
    <w:rsid w:val="00D1562C"/>
    <w:rsid w:val="00D15BC2"/>
    <w:rsid w:val="00D21EEA"/>
    <w:rsid w:val="00D30A72"/>
    <w:rsid w:val="00D378DE"/>
    <w:rsid w:val="00D4554E"/>
    <w:rsid w:val="00D62AF5"/>
    <w:rsid w:val="00D63BCE"/>
    <w:rsid w:val="00D71159"/>
    <w:rsid w:val="00D7386B"/>
    <w:rsid w:val="00D754F9"/>
    <w:rsid w:val="00D91CA3"/>
    <w:rsid w:val="00DA29DD"/>
    <w:rsid w:val="00DC1C8E"/>
    <w:rsid w:val="00DD1E0C"/>
    <w:rsid w:val="00DD5F08"/>
    <w:rsid w:val="00DD736C"/>
    <w:rsid w:val="00DE0E2B"/>
    <w:rsid w:val="00DE1A79"/>
    <w:rsid w:val="00DE23DD"/>
    <w:rsid w:val="00DE4810"/>
    <w:rsid w:val="00DE5417"/>
    <w:rsid w:val="00DE6225"/>
    <w:rsid w:val="00E0622C"/>
    <w:rsid w:val="00E23E3C"/>
    <w:rsid w:val="00E25A34"/>
    <w:rsid w:val="00E34F0D"/>
    <w:rsid w:val="00E4078B"/>
    <w:rsid w:val="00E40ADA"/>
    <w:rsid w:val="00E42F78"/>
    <w:rsid w:val="00E623A0"/>
    <w:rsid w:val="00E67707"/>
    <w:rsid w:val="00E71AA1"/>
    <w:rsid w:val="00E7262F"/>
    <w:rsid w:val="00E75EB3"/>
    <w:rsid w:val="00E77CBB"/>
    <w:rsid w:val="00E81703"/>
    <w:rsid w:val="00E84818"/>
    <w:rsid w:val="00E87CCA"/>
    <w:rsid w:val="00E9378B"/>
    <w:rsid w:val="00EA0C01"/>
    <w:rsid w:val="00EA7881"/>
    <w:rsid w:val="00EB15C9"/>
    <w:rsid w:val="00EB643B"/>
    <w:rsid w:val="00EB720A"/>
    <w:rsid w:val="00EC54A9"/>
    <w:rsid w:val="00EC56A5"/>
    <w:rsid w:val="00EC7640"/>
    <w:rsid w:val="00ED686A"/>
    <w:rsid w:val="00EE384E"/>
    <w:rsid w:val="00EE64C9"/>
    <w:rsid w:val="00EF1D78"/>
    <w:rsid w:val="00F05C70"/>
    <w:rsid w:val="00F10E96"/>
    <w:rsid w:val="00F153CB"/>
    <w:rsid w:val="00F16BE2"/>
    <w:rsid w:val="00F22E5A"/>
    <w:rsid w:val="00F266AD"/>
    <w:rsid w:val="00F26C92"/>
    <w:rsid w:val="00F30832"/>
    <w:rsid w:val="00F30DCD"/>
    <w:rsid w:val="00F3411B"/>
    <w:rsid w:val="00F377FD"/>
    <w:rsid w:val="00F40C89"/>
    <w:rsid w:val="00F4251D"/>
    <w:rsid w:val="00F506E5"/>
    <w:rsid w:val="00F60EB6"/>
    <w:rsid w:val="00F70014"/>
    <w:rsid w:val="00F96CF6"/>
    <w:rsid w:val="00FA7A4F"/>
    <w:rsid w:val="00FB7FDD"/>
    <w:rsid w:val="00FE2A98"/>
    <w:rsid w:val="00FE7AED"/>
    <w:rsid w:val="00FF283C"/>
    <w:rsid w:val="00FF2E1D"/>
    <w:rsid w:val="00FF42E8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C0E796"/>
  <w15:docId w15:val="{1B69F170-8567-4A57-87B8-541034B8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9A"/>
    <w:pPr>
      <w:spacing w:after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D098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D098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98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D0989"/>
    <w:rPr>
      <w:rFonts w:ascii="Times New Roman" w:eastAsia="Times New Roman" w:hAnsi="Times New Roman" w:cs="Times New Roman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BD098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BD098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BD09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098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D0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374D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0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2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2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20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0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0E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0E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C6209A"/>
    <w:pPr>
      <w:spacing w:after="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C06E327905843A599D86C9C77351B" ma:contentTypeVersion="11" ma:contentTypeDescription="Create a new document." ma:contentTypeScope="" ma:versionID="42e89e7a544e757eb671309428671359">
  <xsd:schema xmlns:xsd="http://www.w3.org/2001/XMLSchema" xmlns:xs="http://www.w3.org/2001/XMLSchema" xmlns:p="http://schemas.microsoft.com/office/2006/metadata/properties" xmlns:ns3="436685da-f720-4d68-b819-38ffd148b0a1" xmlns:ns4="0f965844-3532-42e6-8e6c-3ab4ca621811" targetNamespace="http://schemas.microsoft.com/office/2006/metadata/properties" ma:root="true" ma:fieldsID="5cdb7b9b20df08bd17cdfb6c771bb7d2" ns3:_="" ns4:_="">
    <xsd:import namespace="436685da-f720-4d68-b819-38ffd148b0a1"/>
    <xsd:import namespace="0f965844-3532-42e6-8e6c-3ab4ca621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85da-f720-4d68-b819-38ffd148b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5844-3532-42e6-8e6c-3ab4ca62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18965-E564-4ABD-AFF4-FF0E72DFD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685da-f720-4d68-b819-38ffd148b0a1"/>
    <ds:schemaRef ds:uri="0f965844-3532-42e6-8e6c-3ab4ca62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3F365-02FC-49B7-A67E-912904617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52AD1-046A-4179-B55E-1914C8501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Burgess</dc:creator>
  <cp:lastModifiedBy>Jackie MacKenzie (HLH Corporate Services)</cp:lastModifiedBy>
  <cp:revision>5</cp:revision>
  <cp:lastPrinted>2020-01-27T11:36:00Z</cp:lastPrinted>
  <dcterms:created xsi:type="dcterms:W3CDTF">2021-11-25T09:28:00Z</dcterms:created>
  <dcterms:modified xsi:type="dcterms:W3CDTF">2021-11-26T11:26:00Z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0x01010048FC06E327905843A599D86C9C77351B</vt:lpwstr>
  </property>
</Properties>
</file>