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41A0B" w14:textId="4166CEB5" w:rsidR="00B334B9" w:rsidRPr="001F28B2" w:rsidRDefault="007521A6" w:rsidP="002C28AE">
      <w:pPr>
        <w:jc w:val="right"/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>AGENDA ITEM</w:t>
      </w:r>
      <w:r w:rsidR="001526F3" w:rsidRPr="001F28B2">
        <w:rPr>
          <w:rFonts w:ascii="Arial" w:hAnsi="Arial" w:cs="Arial"/>
          <w:sz w:val="24"/>
          <w:szCs w:val="24"/>
        </w:rPr>
        <w:t xml:space="preserve"> </w:t>
      </w:r>
      <w:r w:rsidR="003D7C22">
        <w:rPr>
          <w:rFonts w:ascii="Arial" w:hAnsi="Arial" w:cs="Arial"/>
          <w:sz w:val="24"/>
          <w:szCs w:val="24"/>
        </w:rPr>
        <w:t xml:space="preserve">    </w:t>
      </w:r>
    </w:p>
    <w:p w14:paraId="768B5FEA" w14:textId="217F3BD8" w:rsidR="004E0C83" w:rsidRPr="001F28B2" w:rsidRDefault="00C06F21" w:rsidP="004E0C83">
      <w:pPr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 xml:space="preserve">Matters Arising </w:t>
      </w:r>
      <w:proofErr w:type="gramStart"/>
      <w:r w:rsidR="00DA1139" w:rsidRPr="001F28B2">
        <w:rPr>
          <w:rFonts w:ascii="Arial" w:hAnsi="Arial" w:cs="Arial"/>
          <w:sz w:val="24"/>
          <w:szCs w:val="24"/>
        </w:rPr>
        <w:t>From</w:t>
      </w:r>
      <w:proofErr w:type="gramEnd"/>
      <w:r w:rsidR="00DA1139" w:rsidRPr="001F28B2">
        <w:rPr>
          <w:rFonts w:ascii="Arial" w:hAnsi="Arial" w:cs="Arial"/>
          <w:sz w:val="24"/>
          <w:szCs w:val="24"/>
        </w:rPr>
        <w:t xml:space="preserve"> HLH Board Meeting</w:t>
      </w:r>
      <w:r w:rsidRPr="001F28B2">
        <w:rPr>
          <w:rFonts w:ascii="Arial" w:hAnsi="Arial" w:cs="Arial"/>
          <w:sz w:val="24"/>
          <w:szCs w:val="24"/>
        </w:rPr>
        <w:t xml:space="preserve"> </w:t>
      </w:r>
      <w:r w:rsidR="00C005FA">
        <w:rPr>
          <w:rFonts w:ascii="Arial" w:hAnsi="Arial" w:cs="Arial"/>
          <w:sz w:val="24"/>
          <w:szCs w:val="24"/>
        </w:rPr>
        <w:t>1 September</w:t>
      </w:r>
      <w:r w:rsidR="00873D88">
        <w:rPr>
          <w:rFonts w:ascii="Arial" w:hAnsi="Arial" w:cs="Arial"/>
          <w:sz w:val="24"/>
          <w:szCs w:val="24"/>
        </w:rPr>
        <w:t xml:space="preserve"> 2021</w:t>
      </w:r>
    </w:p>
    <w:tbl>
      <w:tblPr>
        <w:tblStyle w:val="TableGrid"/>
        <w:tblW w:w="9587" w:type="dxa"/>
        <w:tblLook w:val="04A0" w:firstRow="1" w:lastRow="0" w:firstColumn="1" w:lastColumn="0" w:noHBand="0" w:noVBand="1"/>
      </w:tblPr>
      <w:tblGrid>
        <w:gridCol w:w="990"/>
        <w:gridCol w:w="6209"/>
        <w:gridCol w:w="1064"/>
        <w:gridCol w:w="1324"/>
      </w:tblGrid>
      <w:tr w:rsidR="004E0C83" w:rsidRPr="001F28B2" w14:paraId="3D30BFCF" w14:textId="77777777" w:rsidTr="002C28AE">
        <w:trPr>
          <w:trHeight w:val="410"/>
        </w:trPr>
        <w:tc>
          <w:tcPr>
            <w:tcW w:w="990" w:type="dxa"/>
          </w:tcPr>
          <w:p w14:paraId="5BEB88E5" w14:textId="77777777" w:rsidR="004E0C83" w:rsidRPr="001F28B2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6209" w:type="dxa"/>
          </w:tcPr>
          <w:p w14:paraId="75EFA0D0" w14:textId="77777777" w:rsidR="004E0C83" w:rsidRPr="001F28B2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DETAIL</w:t>
            </w:r>
          </w:p>
        </w:tc>
        <w:tc>
          <w:tcPr>
            <w:tcW w:w="1064" w:type="dxa"/>
          </w:tcPr>
          <w:p w14:paraId="04F953C9" w14:textId="77777777" w:rsidR="004E0C83" w:rsidRPr="001F28B2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LEAD</w:t>
            </w:r>
          </w:p>
        </w:tc>
        <w:tc>
          <w:tcPr>
            <w:tcW w:w="1324" w:type="dxa"/>
          </w:tcPr>
          <w:p w14:paraId="6C10022F" w14:textId="77777777" w:rsidR="004E0C83" w:rsidRPr="001F28B2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DUE DATE</w:t>
            </w:r>
          </w:p>
        </w:tc>
      </w:tr>
      <w:tr w:rsidR="004E0C83" w:rsidRPr="001F28B2" w14:paraId="4947CC9A" w14:textId="77777777" w:rsidTr="002C28AE">
        <w:trPr>
          <w:trHeight w:val="1366"/>
        </w:trPr>
        <w:tc>
          <w:tcPr>
            <w:tcW w:w="990" w:type="dxa"/>
          </w:tcPr>
          <w:p w14:paraId="32ED8253" w14:textId="77777777" w:rsidR="004E0C83" w:rsidRDefault="004E0C83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F6A59" w14:textId="6E30491F" w:rsidR="00C005FA" w:rsidRDefault="00C005FA" w:rsidP="00C6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4i.</w:t>
            </w:r>
          </w:p>
        </w:tc>
        <w:tc>
          <w:tcPr>
            <w:tcW w:w="6209" w:type="dxa"/>
          </w:tcPr>
          <w:p w14:paraId="306F21FF" w14:textId="77777777" w:rsidR="00C005FA" w:rsidRDefault="00C005FA" w:rsidP="004561D7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Confirmation of Minutes</w:t>
            </w:r>
          </w:p>
          <w:p w14:paraId="4B2D35FE" w14:textId="77777777" w:rsidR="00C005FA" w:rsidRDefault="00C005FA" w:rsidP="004561D7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Change to 23 June HLH Board minute requested from “all facilities” to “a number of facilities”.</w:t>
            </w:r>
          </w:p>
          <w:p w14:paraId="7D027626" w14:textId="2EE2275A" w:rsidR="00C005FA" w:rsidRPr="00C005FA" w:rsidRDefault="00C005FA" w:rsidP="004561D7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Change made to June HLH Board minute and amended on external and directors secure web page.</w:t>
            </w:r>
          </w:p>
        </w:tc>
        <w:tc>
          <w:tcPr>
            <w:tcW w:w="1064" w:type="dxa"/>
          </w:tcPr>
          <w:p w14:paraId="3A84C572" w14:textId="77777777" w:rsidR="00873D88" w:rsidRDefault="00873D88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F573C1" w14:textId="77777777" w:rsidR="00C005FA" w:rsidRDefault="00C005FA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D82BB1" w14:textId="77777777" w:rsidR="00C005FA" w:rsidRDefault="00C005FA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6D6D77" w14:textId="4255B990" w:rsidR="00C005FA" w:rsidRPr="001F28B2" w:rsidRDefault="00C005FA" w:rsidP="00C6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</w:t>
            </w:r>
          </w:p>
        </w:tc>
        <w:tc>
          <w:tcPr>
            <w:tcW w:w="1324" w:type="dxa"/>
          </w:tcPr>
          <w:p w14:paraId="7B2D456B" w14:textId="77777777" w:rsidR="00873D88" w:rsidRDefault="00873D88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B00E2A" w14:textId="77777777" w:rsidR="00C005FA" w:rsidRDefault="00C005FA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E01693" w14:textId="77777777" w:rsidR="00C005FA" w:rsidRDefault="00C005FA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47E5CE" w14:textId="68C5A0F2" w:rsidR="00C005FA" w:rsidRPr="001F28B2" w:rsidRDefault="00C005FA" w:rsidP="00C6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</w:t>
            </w:r>
          </w:p>
        </w:tc>
      </w:tr>
      <w:tr w:rsidR="00090B15" w:rsidRPr="001F28B2" w14:paraId="353EBF3F" w14:textId="77777777" w:rsidTr="002C28AE">
        <w:trPr>
          <w:trHeight w:val="1366"/>
        </w:trPr>
        <w:tc>
          <w:tcPr>
            <w:tcW w:w="990" w:type="dxa"/>
          </w:tcPr>
          <w:p w14:paraId="0D2A4122" w14:textId="55F2379C" w:rsidR="00573B30" w:rsidRPr="000B2C42" w:rsidRDefault="00C005FA" w:rsidP="000B2C42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68076944"/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209" w:type="dxa"/>
          </w:tcPr>
          <w:p w14:paraId="7BCBC287" w14:textId="77777777" w:rsidR="0071340D" w:rsidRPr="002C28AE" w:rsidRDefault="00C005FA" w:rsidP="004561D7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28AE">
              <w:rPr>
                <w:rFonts w:ascii="Arial" w:hAnsi="Arial" w:cs="Arial"/>
                <w:sz w:val="24"/>
                <w:szCs w:val="24"/>
              </w:rPr>
              <w:t>HLH Board and Committee Meeting Format</w:t>
            </w:r>
          </w:p>
          <w:p w14:paraId="656AEEDC" w14:textId="33D75D3F" w:rsidR="00C005FA" w:rsidRPr="002C28AE" w:rsidRDefault="00C005FA" w:rsidP="004561D7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28AE">
              <w:rPr>
                <w:rFonts w:ascii="Arial" w:hAnsi="Arial" w:cs="Arial"/>
                <w:sz w:val="24"/>
                <w:szCs w:val="24"/>
              </w:rPr>
              <w:t xml:space="preserve">The points raised during discussion to be </w:t>
            </w:r>
            <w:proofErr w:type="gramStart"/>
            <w:r w:rsidRPr="002C28AE">
              <w:rPr>
                <w:rFonts w:ascii="Arial" w:hAnsi="Arial" w:cs="Arial"/>
                <w:sz w:val="24"/>
                <w:szCs w:val="24"/>
              </w:rPr>
              <w:t>taken into account</w:t>
            </w:r>
            <w:proofErr w:type="gramEnd"/>
            <w:r w:rsidRPr="002C28AE">
              <w:rPr>
                <w:rFonts w:ascii="Arial" w:hAnsi="Arial" w:cs="Arial"/>
                <w:sz w:val="24"/>
                <w:szCs w:val="24"/>
              </w:rPr>
              <w:t xml:space="preserve"> in the preparation of the 2022 Board workplan and meeting calendar.  Namely a) combining same day meetings; b) allow remote participation; c) provide directors with the opportunity to meet</w:t>
            </w:r>
            <w:r w:rsidR="002C28AE" w:rsidRPr="002C28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28AE">
              <w:rPr>
                <w:rFonts w:ascii="Arial" w:hAnsi="Arial" w:cs="Arial"/>
                <w:sz w:val="24"/>
                <w:szCs w:val="24"/>
              </w:rPr>
              <w:t>in person at every third meeting and d) continue to investigate technological requirements of hybrid meeting.</w:t>
            </w:r>
          </w:p>
          <w:p w14:paraId="79232E35" w14:textId="7498E8EC" w:rsidR="00C005FA" w:rsidRPr="002C28AE" w:rsidRDefault="009C685A" w:rsidP="004561D7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C28A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Included on the agenda for the December 2021 Board meeting.  </w:t>
            </w:r>
            <w:r w:rsidR="002C28AE" w:rsidRPr="002C28A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The remaining </w:t>
            </w:r>
            <w:r w:rsidR="005E104D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2021 </w:t>
            </w:r>
            <w:r w:rsidR="00C005FA" w:rsidRPr="002C28AE">
              <w:rPr>
                <w:rFonts w:ascii="Arial" w:hAnsi="Arial" w:cs="Arial"/>
                <w:i/>
                <w:iCs/>
                <w:sz w:val="24"/>
                <w:szCs w:val="24"/>
              </w:rPr>
              <w:t>HSEC and F&amp;A meetings</w:t>
            </w:r>
            <w:r w:rsidR="002C28AE" w:rsidRPr="002C28A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2C28AE" w:rsidRPr="002C28AE">
              <w:rPr>
                <w:rFonts w:ascii="Arial" w:hAnsi="Arial" w:cs="Arial"/>
                <w:i/>
                <w:iCs/>
                <w:sz w:val="24"/>
                <w:szCs w:val="24"/>
              </w:rPr>
              <w:t>in  November</w:t>
            </w:r>
            <w:proofErr w:type="gramEnd"/>
            <w:r w:rsidR="002C28AE" w:rsidRPr="002C28A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were able to be held on the same day.</w:t>
            </w:r>
            <w:r w:rsidR="00C005FA" w:rsidRPr="002C28A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064" w:type="dxa"/>
          </w:tcPr>
          <w:p w14:paraId="55C52D33" w14:textId="77777777" w:rsidR="00873D88" w:rsidRPr="002C28AE" w:rsidRDefault="00873D88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85B210" w14:textId="77777777" w:rsidR="009C685A" w:rsidRPr="002C28AE" w:rsidRDefault="009C685A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3DFD07" w14:textId="77777777" w:rsidR="009C685A" w:rsidRPr="002C28AE" w:rsidRDefault="009C685A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FCBA8A" w14:textId="77777777" w:rsidR="009C685A" w:rsidRPr="002C28AE" w:rsidRDefault="009C685A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EE30DE" w14:textId="77777777" w:rsidR="009C685A" w:rsidRPr="002C28AE" w:rsidRDefault="009C685A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21ED1E" w14:textId="77777777" w:rsidR="009C685A" w:rsidRPr="002C28AE" w:rsidRDefault="009C685A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CFDA25" w14:textId="77777777" w:rsidR="009C685A" w:rsidRPr="002C28AE" w:rsidRDefault="009C685A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DA9A01" w14:textId="77777777" w:rsidR="009C685A" w:rsidRPr="002C28AE" w:rsidRDefault="009C685A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1C2100" w14:textId="2C45A5A2" w:rsidR="009C685A" w:rsidRPr="002C28AE" w:rsidRDefault="00821850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2C28AE">
              <w:rPr>
                <w:rFonts w:ascii="Arial" w:hAnsi="Arial" w:cs="Arial"/>
                <w:sz w:val="24"/>
                <w:szCs w:val="24"/>
              </w:rPr>
              <w:t>SW</w:t>
            </w:r>
          </w:p>
        </w:tc>
        <w:tc>
          <w:tcPr>
            <w:tcW w:w="1324" w:type="dxa"/>
          </w:tcPr>
          <w:p w14:paraId="575338DA" w14:textId="77777777" w:rsidR="00873D88" w:rsidRPr="002C28AE" w:rsidRDefault="00873D88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79CC1D" w14:textId="77777777" w:rsidR="009C685A" w:rsidRPr="002C28AE" w:rsidRDefault="009C685A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B4133A" w14:textId="77777777" w:rsidR="009C685A" w:rsidRPr="002C28AE" w:rsidRDefault="009C685A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F9B186" w14:textId="77777777" w:rsidR="009C685A" w:rsidRPr="002C28AE" w:rsidRDefault="009C685A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AC2275" w14:textId="77777777" w:rsidR="009C685A" w:rsidRPr="002C28AE" w:rsidRDefault="009C685A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EDAAC1" w14:textId="77777777" w:rsidR="009C685A" w:rsidRPr="002C28AE" w:rsidRDefault="009C685A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687377" w14:textId="77777777" w:rsidR="009C685A" w:rsidRPr="002C28AE" w:rsidRDefault="009C685A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0F76B" w14:textId="77777777" w:rsidR="009C685A" w:rsidRPr="002C28AE" w:rsidRDefault="009C685A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8F806D" w14:textId="542B17FF" w:rsidR="009C685A" w:rsidRPr="002C28AE" w:rsidRDefault="009C685A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2C28AE">
              <w:rPr>
                <w:rFonts w:ascii="Arial" w:hAnsi="Arial" w:cs="Arial"/>
                <w:sz w:val="24"/>
                <w:szCs w:val="24"/>
              </w:rPr>
              <w:t>December 2021</w:t>
            </w:r>
          </w:p>
        </w:tc>
      </w:tr>
      <w:tr w:rsidR="009C685A" w:rsidRPr="001F28B2" w14:paraId="41C61B18" w14:textId="77777777" w:rsidTr="002C28AE">
        <w:trPr>
          <w:trHeight w:val="1366"/>
        </w:trPr>
        <w:tc>
          <w:tcPr>
            <w:tcW w:w="990" w:type="dxa"/>
          </w:tcPr>
          <w:p w14:paraId="73FCEDEC" w14:textId="77777777" w:rsidR="009C685A" w:rsidRDefault="009C685A" w:rsidP="000B2C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BC1A63" w14:textId="77777777" w:rsidR="009C685A" w:rsidRDefault="009C685A" w:rsidP="000B2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8i.</w:t>
            </w:r>
          </w:p>
          <w:p w14:paraId="146DC32E" w14:textId="77777777" w:rsidR="009C685A" w:rsidRDefault="009C685A" w:rsidP="000B2C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BD079" w14:textId="53180DD9" w:rsidR="009C685A" w:rsidRDefault="009C685A" w:rsidP="000B2C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D80CA8" w14:textId="77777777" w:rsidR="00C840D5" w:rsidRDefault="00C840D5" w:rsidP="000B2C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F3FEE7" w14:textId="235E5A5E" w:rsidR="009C685A" w:rsidRDefault="009C685A" w:rsidP="000B2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8ii and 8iii.</w:t>
            </w:r>
          </w:p>
        </w:tc>
        <w:tc>
          <w:tcPr>
            <w:tcW w:w="6209" w:type="dxa"/>
          </w:tcPr>
          <w:p w14:paraId="49986181" w14:textId="77777777" w:rsidR="009C685A" w:rsidRDefault="009C685A" w:rsidP="004561D7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Report and Accounts</w:t>
            </w:r>
          </w:p>
          <w:p w14:paraId="336C9E1A" w14:textId="77777777" w:rsidR="009C685A" w:rsidRPr="002C28AE" w:rsidRDefault="009C685A" w:rsidP="004561D7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 and Accounts approved subject to discussions and </w:t>
            </w:r>
            <w:r w:rsidRPr="002C28AE">
              <w:rPr>
                <w:rFonts w:ascii="Arial" w:hAnsi="Arial" w:cs="Arial"/>
                <w:sz w:val="24"/>
                <w:szCs w:val="24"/>
              </w:rPr>
              <w:t>agreement on the Auditor statement.</w:t>
            </w:r>
          </w:p>
          <w:p w14:paraId="79E3ACF7" w14:textId="6091C3F9" w:rsidR="009C685A" w:rsidRPr="002C28AE" w:rsidRDefault="00C840D5" w:rsidP="004561D7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2C28AE">
              <w:rPr>
                <w:rFonts w:ascii="Arial" w:hAnsi="Arial" w:cs="Arial"/>
                <w:i/>
                <w:iCs/>
                <w:sz w:val="24"/>
                <w:szCs w:val="24"/>
              </w:rPr>
              <w:t>Agreed changes to Auditor statement incorporated into final AR and Accounts.</w:t>
            </w:r>
          </w:p>
          <w:p w14:paraId="02283032" w14:textId="5FF9F2AE" w:rsidR="009C685A" w:rsidRDefault="009C685A" w:rsidP="004561D7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Chair, or Vice Chair in his absence, authorised to sign the Accounts, the Directors’ Going Concern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Statement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the Letter of Comfort from HLH to HLH (Trading) CIC.</w:t>
            </w:r>
          </w:p>
          <w:p w14:paraId="12DFE690" w14:textId="6EE1EA4E" w:rsidR="009C685A" w:rsidRPr="003D7C22" w:rsidRDefault="00C840D5" w:rsidP="004561D7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3D7C2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AR and Accounts and related documents signed.  AR and Accounts submitted to Companies House, OSCR </w:t>
            </w:r>
            <w:r w:rsidR="003D7C22" w:rsidRPr="003D7C2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and </w:t>
            </w:r>
            <w:r w:rsidRPr="003D7C2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CIC Regulator </w:t>
            </w:r>
          </w:p>
          <w:p w14:paraId="2086CFBE" w14:textId="021850E2" w:rsidR="009C685A" w:rsidRDefault="009C685A" w:rsidP="004561D7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4" w:type="dxa"/>
          </w:tcPr>
          <w:p w14:paraId="3D75DEF2" w14:textId="77777777" w:rsidR="009C685A" w:rsidRDefault="009C685A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E33EBF" w14:textId="77777777" w:rsidR="00C840D5" w:rsidRDefault="00C840D5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0F96A1" w14:textId="77777777" w:rsidR="00C840D5" w:rsidRDefault="00C840D5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370780" w14:textId="77777777" w:rsidR="00C840D5" w:rsidRDefault="00C840D5" w:rsidP="00C6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</w:t>
            </w:r>
          </w:p>
          <w:p w14:paraId="0BB9D463" w14:textId="77777777" w:rsidR="00C840D5" w:rsidRDefault="00C840D5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0837EA" w14:textId="77777777" w:rsidR="00C840D5" w:rsidRDefault="00C840D5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68A9A5" w14:textId="21C5A415" w:rsidR="00C840D5" w:rsidRDefault="00C840D5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347D84" w14:textId="77777777" w:rsidR="003D7C22" w:rsidRDefault="003D7C22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DC6E2F" w14:textId="05948B63" w:rsidR="00C840D5" w:rsidRDefault="00C840D5" w:rsidP="00C6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</w:t>
            </w:r>
          </w:p>
        </w:tc>
        <w:tc>
          <w:tcPr>
            <w:tcW w:w="1324" w:type="dxa"/>
          </w:tcPr>
          <w:p w14:paraId="4BFC857D" w14:textId="77777777" w:rsidR="009C685A" w:rsidRDefault="009C685A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E082E0" w14:textId="77777777" w:rsidR="00C840D5" w:rsidRDefault="00C840D5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054A47" w14:textId="77777777" w:rsidR="00C840D5" w:rsidRDefault="00C840D5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1E639C" w14:textId="14E100DD" w:rsidR="00C840D5" w:rsidRDefault="002C28AE" w:rsidP="00C6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</w:t>
            </w:r>
          </w:p>
          <w:p w14:paraId="137ED96E" w14:textId="77777777" w:rsidR="00C840D5" w:rsidRDefault="00C840D5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70F185" w14:textId="77777777" w:rsidR="00C840D5" w:rsidRDefault="00C840D5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685B2A" w14:textId="77777777" w:rsidR="00C840D5" w:rsidRDefault="00C840D5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F08EF9" w14:textId="77777777" w:rsidR="00C840D5" w:rsidRDefault="00C840D5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7BE9D4" w14:textId="3A29D07F" w:rsidR="003D7C22" w:rsidRDefault="003D7C22" w:rsidP="00C6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Complete</w:t>
            </w:r>
          </w:p>
        </w:tc>
      </w:tr>
      <w:tr w:rsidR="009C685A" w:rsidRPr="001F28B2" w14:paraId="7B708DA7" w14:textId="77777777" w:rsidTr="002C28AE">
        <w:trPr>
          <w:trHeight w:val="1366"/>
        </w:trPr>
        <w:tc>
          <w:tcPr>
            <w:tcW w:w="990" w:type="dxa"/>
          </w:tcPr>
          <w:p w14:paraId="3A80C920" w14:textId="77777777" w:rsidR="00491F7C" w:rsidRDefault="00491F7C" w:rsidP="000B2C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173855" w14:textId="0AECD8DF" w:rsidR="009C685A" w:rsidRDefault="00491F7C" w:rsidP="000B2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11ii.</w:t>
            </w:r>
          </w:p>
        </w:tc>
        <w:tc>
          <w:tcPr>
            <w:tcW w:w="6209" w:type="dxa"/>
          </w:tcPr>
          <w:p w14:paraId="4FF2A61C" w14:textId="77777777" w:rsidR="009C685A" w:rsidRPr="000C3247" w:rsidRDefault="00491F7C" w:rsidP="004561D7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247">
              <w:rPr>
                <w:rFonts w:ascii="Arial" w:hAnsi="Arial" w:cs="Arial"/>
                <w:sz w:val="24"/>
                <w:szCs w:val="24"/>
              </w:rPr>
              <w:t>Chair/Chief Executive’s Updates</w:t>
            </w:r>
          </w:p>
          <w:p w14:paraId="10B3031B" w14:textId="77777777" w:rsidR="00491F7C" w:rsidRPr="000C3247" w:rsidRDefault="00491F7C" w:rsidP="004561D7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247">
              <w:rPr>
                <w:rFonts w:ascii="Arial" w:hAnsi="Arial" w:cs="Arial"/>
                <w:sz w:val="24"/>
                <w:szCs w:val="24"/>
              </w:rPr>
              <w:t>A briefing outlining how the Scottish Government’s announcement regarding mandatory vaccination requirements for events would impact on the Events and Festivals proposals to be circulated to the Board.</w:t>
            </w:r>
          </w:p>
          <w:p w14:paraId="6C2370D9" w14:textId="0F15F56E" w:rsidR="00491F7C" w:rsidRPr="000C3247" w:rsidRDefault="00A368D9" w:rsidP="004561D7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An e</w:t>
            </w:r>
            <w:r w:rsidR="000C3247" w:rsidRPr="000C3247">
              <w:rPr>
                <w:rFonts w:ascii="Arial" w:hAnsi="Arial" w:cs="Arial"/>
                <w:i/>
                <w:iCs/>
                <w:sz w:val="24"/>
                <w:szCs w:val="24"/>
              </w:rPr>
              <w:t>vents update</w:t>
            </w:r>
            <w:r w:rsidR="000C324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was</w:t>
            </w:r>
            <w:r w:rsidR="000C3247" w:rsidRPr="000C324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circulated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on </w:t>
            </w:r>
            <w:r w:rsidR="000C3247" w:rsidRPr="000C324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18 November 2021, the programme </w:t>
            </w:r>
            <w:r w:rsidR="000C324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of winter events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included </w:t>
            </w:r>
            <w:r w:rsidR="000C324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has been developed </w:t>
            </w:r>
            <w:r w:rsidR="000C3247" w:rsidRPr="000C324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reflecting current </w:t>
            </w:r>
            <w:r w:rsidR="000C324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Scottish Government </w:t>
            </w:r>
            <w:r w:rsidR="000C3247" w:rsidRPr="000C3247">
              <w:rPr>
                <w:rFonts w:ascii="Arial" w:hAnsi="Arial" w:cs="Arial"/>
                <w:i/>
                <w:iCs/>
                <w:sz w:val="24"/>
                <w:szCs w:val="24"/>
              </w:rPr>
              <w:t>guidelines.</w:t>
            </w:r>
            <w:r w:rsidR="000C3247">
              <w:t xml:space="preserve"> </w:t>
            </w:r>
          </w:p>
          <w:p w14:paraId="28D8E01C" w14:textId="047DE0BD" w:rsidR="002C28AE" w:rsidRPr="000C3247" w:rsidRDefault="002C28AE" w:rsidP="004561D7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064" w:type="dxa"/>
          </w:tcPr>
          <w:p w14:paraId="08D4F1ED" w14:textId="77777777" w:rsidR="009C685A" w:rsidRPr="000C3247" w:rsidRDefault="009C685A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562C70" w14:textId="77777777" w:rsidR="00821850" w:rsidRPr="000C3247" w:rsidRDefault="00821850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D6E399" w14:textId="77777777" w:rsidR="00821850" w:rsidRPr="000C3247" w:rsidRDefault="00821850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5F5F97" w14:textId="77777777" w:rsidR="00821850" w:rsidRPr="000C3247" w:rsidRDefault="00821850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14116D" w14:textId="77777777" w:rsidR="00821850" w:rsidRPr="000C3247" w:rsidRDefault="00821850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1A53BC" w14:textId="0378EC71" w:rsidR="00821850" w:rsidRPr="000C3247" w:rsidRDefault="00821850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0C3247">
              <w:rPr>
                <w:rFonts w:ascii="Arial" w:hAnsi="Arial" w:cs="Arial"/>
                <w:sz w:val="24"/>
                <w:szCs w:val="24"/>
              </w:rPr>
              <w:t>FH</w:t>
            </w:r>
          </w:p>
        </w:tc>
        <w:tc>
          <w:tcPr>
            <w:tcW w:w="1324" w:type="dxa"/>
          </w:tcPr>
          <w:p w14:paraId="6F54D041" w14:textId="77777777" w:rsidR="009C685A" w:rsidRPr="000C3247" w:rsidRDefault="009C685A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568018" w14:textId="77777777" w:rsidR="00821850" w:rsidRPr="000C3247" w:rsidRDefault="00821850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0E9336" w14:textId="77777777" w:rsidR="00821850" w:rsidRPr="000C3247" w:rsidRDefault="00821850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5C6D04" w14:textId="77777777" w:rsidR="00821850" w:rsidRPr="000C3247" w:rsidRDefault="00821850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10D1C6" w14:textId="77777777" w:rsidR="00821850" w:rsidRPr="000C3247" w:rsidRDefault="00821850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0B2AAA" w14:textId="43FD0C14" w:rsidR="00821850" w:rsidRPr="000C3247" w:rsidRDefault="000C3247" w:rsidP="00C61B36">
            <w:pPr>
              <w:rPr>
                <w:rFonts w:ascii="Arial" w:hAnsi="Arial" w:cs="Arial"/>
                <w:sz w:val="24"/>
                <w:szCs w:val="24"/>
              </w:rPr>
            </w:pPr>
            <w:r w:rsidRPr="000C3247">
              <w:rPr>
                <w:rFonts w:ascii="Arial" w:hAnsi="Arial" w:cs="Arial"/>
                <w:sz w:val="24"/>
                <w:szCs w:val="24"/>
              </w:rPr>
              <w:t>Complete</w:t>
            </w:r>
          </w:p>
        </w:tc>
      </w:tr>
      <w:tr w:rsidR="00821850" w:rsidRPr="001F28B2" w14:paraId="702766B5" w14:textId="77777777" w:rsidTr="002C28AE">
        <w:trPr>
          <w:trHeight w:val="699"/>
        </w:trPr>
        <w:tc>
          <w:tcPr>
            <w:tcW w:w="990" w:type="dxa"/>
          </w:tcPr>
          <w:p w14:paraId="7AD52A6E" w14:textId="77777777" w:rsidR="00821850" w:rsidRDefault="00821850" w:rsidP="000B2C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747F30" w14:textId="63A76A05" w:rsidR="00821850" w:rsidRDefault="00821850" w:rsidP="000B2C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13iii.</w:t>
            </w:r>
          </w:p>
        </w:tc>
        <w:tc>
          <w:tcPr>
            <w:tcW w:w="6209" w:type="dxa"/>
          </w:tcPr>
          <w:p w14:paraId="3B966AA1" w14:textId="77777777" w:rsidR="00821850" w:rsidRDefault="00821850" w:rsidP="004561D7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and Wellbeing Update</w:t>
            </w:r>
          </w:p>
          <w:p w14:paraId="4DF8CE96" w14:textId="77777777" w:rsidR="00821850" w:rsidRDefault="00821850" w:rsidP="004561D7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and Wellbeing Strategy to be updated in line with the revised HLH Business Plan (22-27).</w:t>
            </w:r>
          </w:p>
          <w:p w14:paraId="6E405037" w14:textId="713065C2" w:rsidR="00821850" w:rsidRPr="00C21C93" w:rsidRDefault="002A3FC3" w:rsidP="004561D7">
            <w:pPr>
              <w:tabs>
                <w:tab w:val="left" w:pos="1134"/>
              </w:tabs>
              <w:suppressAutoHyphens/>
              <w:jc w:val="both"/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bookmarkStart w:id="1" w:name="_Hlk82588509"/>
            <w:r w:rsidRPr="002C28AE">
              <w:rPr>
                <w:rFonts w:ascii="Arial" w:hAnsi="Arial" w:cs="Arial"/>
                <w:i/>
                <w:iCs/>
                <w:sz w:val="24"/>
                <w:szCs w:val="24"/>
              </w:rPr>
              <w:t>The draft revised strategy will be included in the HWB scheduled update to the March 2022 HLH Board with</w:t>
            </w:r>
            <w:r w:rsidR="00821850" w:rsidRPr="002C28A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implementation </w:t>
            </w:r>
            <w:r w:rsidRPr="002C28AE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planned from April 2022 (in alignment with the revised Business Plan 2022-27). </w:t>
            </w:r>
            <w:bookmarkEnd w:id="1"/>
          </w:p>
        </w:tc>
        <w:tc>
          <w:tcPr>
            <w:tcW w:w="1064" w:type="dxa"/>
          </w:tcPr>
          <w:p w14:paraId="5A0C8307" w14:textId="77777777" w:rsidR="00821850" w:rsidRDefault="00821850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E3F29C" w14:textId="77777777" w:rsidR="00821850" w:rsidRDefault="00821850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AE939E" w14:textId="77777777" w:rsidR="00821850" w:rsidRDefault="00821850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5250E2" w14:textId="5CCBB48E" w:rsidR="00821850" w:rsidRDefault="00821850" w:rsidP="00C6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DW</w:t>
            </w:r>
          </w:p>
        </w:tc>
        <w:tc>
          <w:tcPr>
            <w:tcW w:w="1324" w:type="dxa"/>
          </w:tcPr>
          <w:p w14:paraId="145A0B78" w14:textId="77777777" w:rsidR="00821850" w:rsidRDefault="00821850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902CE" w14:textId="77777777" w:rsidR="00821850" w:rsidRDefault="00821850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4766A8" w14:textId="77777777" w:rsidR="00821850" w:rsidRDefault="00821850" w:rsidP="00C61B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F5AE2A" w14:textId="07BC855C" w:rsidR="00821850" w:rsidRDefault="002A3FC3" w:rsidP="00C61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2022</w:t>
            </w:r>
          </w:p>
        </w:tc>
      </w:tr>
      <w:bookmarkEnd w:id="0"/>
    </w:tbl>
    <w:p w14:paraId="4739175A" w14:textId="4BA3E7D2" w:rsidR="004E0C83" w:rsidRPr="006C2017" w:rsidRDefault="004E0C83" w:rsidP="006C2017">
      <w:pPr>
        <w:widowControl w:val="0"/>
        <w:tabs>
          <w:tab w:val="left" w:pos="1134"/>
        </w:tabs>
        <w:suppressAutoHyphens/>
        <w:spacing w:after="0" w:line="240" w:lineRule="auto"/>
        <w:ind w:right="74"/>
        <w:jc w:val="both"/>
        <w:rPr>
          <w:rFonts w:ascii="Arial" w:hAnsi="Arial" w:cs="Arial"/>
          <w:sz w:val="24"/>
          <w:szCs w:val="24"/>
        </w:rPr>
      </w:pPr>
    </w:p>
    <w:sectPr w:rsidR="004E0C83" w:rsidRPr="006C2017" w:rsidSect="005E104D">
      <w:pgSz w:w="12240" w:h="15840"/>
      <w:pgMar w:top="56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6AF9"/>
    <w:multiLevelType w:val="hybridMultilevel"/>
    <w:tmpl w:val="6C00AF88"/>
    <w:lvl w:ilvl="0" w:tplc="EDEC3DB4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3C2D23"/>
    <w:multiLevelType w:val="hybridMultilevel"/>
    <w:tmpl w:val="BA76D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F18D5"/>
    <w:multiLevelType w:val="hybridMultilevel"/>
    <w:tmpl w:val="E01AC904"/>
    <w:lvl w:ilvl="0" w:tplc="6DDE41A6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70D3A"/>
    <w:multiLevelType w:val="hybridMultilevel"/>
    <w:tmpl w:val="0F8CAC76"/>
    <w:lvl w:ilvl="0" w:tplc="462685A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6C24B1"/>
    <w:multiLevelType w:val="hybridMultilevel"/>
    <w:tmpl w:val="A5C62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790622"/>
    <w:multiLevelType w:val="hybridMultilevel"/>
    <w:tmpl w:val="7BAA9C3E"/>
    <w:lvl w:ilvl="0" w:tplc="462685A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9217C3"/>
    <w:multiLevelType w:val="hybridMultilevel"/>
    <w:tmpl w:val="10F27482"/>
    <w:lvl w:ilvl="0" w:tplc="462685A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8E28D3"/>
    <w:multiLevelType w:val="hybridMultilevel"/>
    <w:tmpl w:val="4320701A"/>
    <w:lvl w:ilvl="0" w:tplc="832E1E4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D10AC"/>
    <w:multiLevelType w:val="hybridMultilevel"/>
    <w:tmpl w:val="7B6A236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137329"/>
    <w:multiLevelType w:val="hybridMultilevel"/>
    <w:tmpl w:val="35487F9C"/>
    <w:lvl w:ilvl="0" w:tplc="75BC301A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137CE6"/>
    <w:multiLevelType w:val="hybridMultilevel"/>
    <w:tmpl w:val="15EC670A"/>
    <w:lvl w:ilvl="0" w:tplc="39606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AC4931"/>
    <w:multiLevelType w:val="hybridMultilevel"/>
    <w:tmpl w:val="ADE60262"/>
    <w:lvl w:ilvl="0" w:tplc="A5CE50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C0DD2"/>
    <w:multiLevelType w:val="hybridMultilevel"/>
    <w:tmpl w:val="D520C1EE"/>
    <w:lvl w:ilvl="0" w:tplc="08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9125963"/>
    <w:multiLevelType w:val="hybridMultilevel"/>
    <w:tmpl w:val="1402E6A8"/>
    <w:lvl w:ilvl="0" w:tplc="4970E5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277B7"/>
    <w:multiLevelType w:val="hybridMultilevel"/>
    <w:tmpl w:val="ED6C0366"/>
    <w:lvl w:ilvl="0" w:tplc="0809001B">
      <w:start w:val="1"/>
      <w:numFmt w:val="lowerRoman"/>
      <w:lvlText w:val="%1."/>
      <w:lvlJc w:val="right"/>
      <w:pPr>
        <w:ind w:left="955" w:hanging="360"/>
      </w:pPr>
    </w:lvl>
    <w:lvl w:ilvl="1" w:tplc="08090019" w:tentative="1">
      <w:start w:val="1"/>
      <w:numFmt w:val="lowerLetter"/>
      <w:lvlText w:val="%2."/>
      <w:lvlJc w:val="left"/>
      <w:pPr>
        <w:ind w:left="1675" w:hanging="360"/>
      </w:pPr>
    </w:lvl>
    <w:lvl w:ilvl="2" w:tplc="0809001B" w:tentative="1">
      <w:start w:val="1"/>
      <w:numFmt w:val="lowerRoman"/>
      <w:lvlText w:val="%3."/>
      <w:lvlJc w:val="right"/>
      <w:pPr>
        <w:ind w:left="2395" w:hanging="180"/>
      </w:pPr>
    </w:lvl>
    <w:lvl w:ilvl="3" w:tplc="0809000F" w:tentative="1">
      <w:start w:val="1"/>
      <w:numFmt w:val="decimal"/>
      <w:lvlText w:val="%4."/>
      <w:lvlJc w:val="left"/>
      <w:pPr>
        <w:ind w:left="3115" w:hanging="360"/>
      </w:pPr>
    </w:lvl>
    <w:lvl w:ilvl="4" w:tplc="08090019" w:tentative="1">
      <w:start w:val="1"/>
      <w:numFmt w:val="lowerLetter"/>
      <w:lvlText w:val="%5."/>
      <w:lvlJc w:val="left"/>
      <w:pPr>
        <w:ind w:left="3835" w:hanging="360"/>
      </w:pPr>
    </w:lvl>
    <w:lvl w:ilvl="5" w:tplc="0809001B" w:tentative="1">
      <w:start w:val="1"/>
      <w:numFmt w:val="lowerRoman"/>
      <w:lvlText w:val="%6."/>
      <w:lvlJc w:val="right"/>
      <w:pPr>
        <w:ind w:left="4555" w:hanging="180"/>
      </w:pPr>
    </w:lvl>
    <w:lvl w:ilvl="6" w:tplc="0809000F" w:tentative="1">
      <w:start w:val="1"/>
      <w:numFmt w:val="decimal"/>
      <w:lvlText w:val="%7."/>
      <w:lvlJc w:val="left"/>
      <w:pPr>
        <w:ind w:left="5275" w:hanging="360"/>
      </w:pPr>
    </w:lvl>
    <w:lvl w:ilvl="7" w:tplc="08090019" w:tentative="1">
      <w:start w:val="1"/>
      <w:numFmt w:val="lowerLetter"/>
      <w:lvlText w:val="%8."/>
      <w:lvlJc w:val="left"/>
      <w:pPr>
        <w:ind w:left="5995" w:hanging="360"/>
      </w:pPr>
    </w:lvl>
    <w:lvl w:ilvl="8" w:tplc="08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5" w15:restartNumberingAfterBreak="0">
    <w:nsid w:val="2E9C5AA1"/>
    <w:multiLevelType w:val="hybridMultilevel"/>
    <w:tmpl w:val="33CC7E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37B94"/>
    <w:multiLevelType w:val="hybridMultilevel"/>
    <w:tmpl w:val="A4EC87C2"/>
    <w:lvl w:ilvl="0" w:tplc="B63CCC82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867202"/>
    <w:multiLevelType w:val="hybridMultilevel"/>
    <w:tmpl w:val="D5022A90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491D17"/>
    <w:multiLevelType w:val="hybridMultilevel"/>
    <w:tmpl w:val="3FC60D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42C5C"/>
    <w:multiLevelType w:val="hybridMultilevel"/>
    <w:tmpl w:val="C25CE3FE"/>
    <w:lvl w:ilvl="0" w:tplc="B63CCC82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994B54"/>
    <w:multiLevelType w:val="hybridMultilevel"/>
    <w:tmpl w:val="D47E9E64"/>
    <w:lvl w:ilvl="0" w:tplc="F89864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0F7E1C"/>
    <w:multiLevelType w:val="hybridMultilevel"/>
    <w:tmpl w:val="D4FA1904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1CB488C"/>
    <w:multiLevelType w:val="hybridMultilevel"/>
    <w:tmpl w:val="8DAA4A02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335916"/>
    <w:multiLevelType w:val="hybridMultilevel"/>
    <w:tmpl w:val="23E8C3B4"/>
    <w:lvl w:ilvl="0" w:tplc="462685AE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815252"/>
    <w:multiLevelType w:val="hybridMultilevel"/>
    <w:tmpl w:val="AA2272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949E8"/>
    <w:multiLevelType w:val="hybridMultilevel"/>
    <w:tmpl w:val="F618B18A"/>
    <w:lvl w:ilvl="0" w:tplc="9FBC88A2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87A04"/>
    <w:multiLevelType w:val="hybridMultilevel"/>
    <w:tmpl w:val="59E2C1C6"/>
    <w:lvl w:ilvl="0" w:tplc="AECEB7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7C7DA7"/>
    <w:multiLevelType w:val="hybridMultilevel"/>
    <w:tmpl w:val="70FAA25E"/>
    <w:lvl w:ilvl="0" w:tplc="C8AE3F9E">
      <w:start w:val="1"/>
      <w:numFmt w:val="lowerRoman"/>
      <w:lvlText w:val="%1."/>
      <w:lvlJc w:val="left"/>
      <w:pPr>
        <w:ind w:left="1175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88" w:hanging="360"/>
      </w:pPr>
    </w:lvl>
    <w:lvl w:ilvl="2" w:tplc="0809001B" w:tentative="1">
      <w:start w:val="1"/>
      <w:numFmt w:val="lowerRoman"/>
      <w:lvlText w:val="%3."/>
      <w:lvlJc w:val="right"/>
      <w:pPr>
        <w:ind w:left="2408" w:hanging="180"/>
      </w:pPr>
    </w:lvl>
    <w:lvl w:ilvl="3" w:tplc="0809000F" w:tentative="1">
      <w:start w:val="1"/>
      <w:numFmt w:val="decimal"/>
      <w:lvlText w:val="%4."/>
      <w:lvlJc w:val="left"/>
      <w:pPr>
        <w:ind w:left="3128" w:hanging="360"/>
      </w:pPr>
    </w:lvl>
    <w:lvl w:ilvl="4" w:tplc="08090019" w:tentative="1">
      <w:start w:val="1"/>
      <w:numFmt w:val="lowerLetter"/>
      <w:lvlText w:val="%5."/>
      <w:lvlJc w:val="left"/>
      <w:pPr>
        <w:ind w:left="3848" w:hanging="360"/>
      </w:pPr>
    </w:lvl>
    <w:lvl w:ilvl="5" w:tplc="0809001B" w:tentative="1">
      <w:start w:val="1"/>
      <w:numFmt w:val="lowerRoman"/>
      <w:lvlText w:val="%6."/>
      <w:lvlJc w:val="right"/>
      <w:pPr>
        <w:ind w:left="4568" w:hanging="180"/>
      </w:pPr>
    </w:lvl>
    <w:lvl w:ilvl="6" w:tplc="0809000F" w:tentative="1">
      <w:start w:val="1"/>
      <w:numFmt w:val="decimal"/>
      <w:lvlText w:val="%7."/>
      <w:lvlJc w:val="left"/>
      <w:pPr>
        <w:ind w:left="5288" w:hanging="360"/>
      </w:pPr>
    </w:lvl>
    <w:lvl w:ilvl="7" w:tplc="08090019" w:tentative="1">
      <w:start w:val="1"/>
      <w:numFmt w:val="lowerLetter"/>
      <w:lvlText w:val="%8."/>
      <w:lvlJc w:val="left"/>
      <w:pPr>
        <w:ind w:left="6008" w:hanging="360"/>
      </w:pPr>
    </w:lvl>
    <w:lvl w:ilvl="8" w:tplc="08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8" w15:restartNumberingAfterBreak="0">
    <w:nsid w:val="617C298D"/>
    <w:multiLevelType w:val="hybridMultilevel"/>
    <w:tmpl w:val="DEF84CF4"/>
    <w:lvl w:ilvl="0" w:tplc="B24235F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2112"/>
    <w:multiLevelType w:val="hybridMultilevel"/>
    <w:tmpl w:val="46E2B01A"/>
    <w:lvl w:ilvl="0" w:tplc="C8AE3F9E">
      <w:start w:val="1"/>
      <w:numFmt w:val="lowerRoman"/>
      <w:lvlText w:val="%1."/>
      <w:lvlJc w:val="left"/>
      <w:pPr>
        <w:ind w:left="1021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34" w:hanging="360"/>
      </w:pPr>
    </w:lvl>
    <w:lvl w:ilvl="2" w:tplc="0809001B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0" w15:restartNumberingAfterBreak="0">
    <w:nsid w:val="6921675A"/>
    <w:multiLevelType w:val="hybridMultilevel"/>
    <w:tmpl w:val="8AA68E10"/>
    <w:lvl w:ilvl="0" w:tplc="760AF6C6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47F98"/>
    <w:multiLevelType w:val="hybridMultilevel"/>
    <w:tmpl w:val="6C347374"/>
    <w:lvl w:ilvl="0" w:tplc="1C38E0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0131F"/>
    <w:multiLevelType w:val="hybridMultilevel"/>
    <w:tmpl w:val="3B94F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C373F"/>
    <w:multiLevelType w:val="hybridMultilevel"/>
    <w:tmpl w:val="5F4E96FC"/>
    <w:lvl w:ilvl="0" w:tplc="375E6022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33901"/>
    <w:multiLevelType w:val="hybridMultilevel"/>
    <w:tmpl w:val="0F1C2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B27C2"/>
    <w:multiLevelType w:val="hybridMultilevel"/>
    <w:tmpl w:val="BF825BAA"/>
    <w:lvl w:ilvl="0" w:tplc="E9B8C13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11"/>
  </w:num>
  <w:num w:numId="4">
    <w:abstractNumId w:val="14"/>
  </w:num>
  <w:num w:numId="5">
    <w:abstractNumId w:val="15"/>
  </w:num>
  <w:num w:numId="6">
    <w:abstractNumId w:val="18"/>
  </w:num>
  <w:num w:numId="7">
    <w:abstractNumId w:val="33"/>
  </w:num>
  <w:num w:numId="8">
    <w:abstractNumId w:val="10"/>
  </w:num>
  <w:num w:numId="9">
    <w:abstractNumId w:val="9"/>
  </w:num>
  <w:num w:numId="10">
    <w:abstractNumId w:val="17"/>
  </w:num>
  <w:num w:numId="11">
    <w:abstractNumId w:val="1"/>
  </w:num>
  <w:num w:numId="12">
    <w:abstractNumId w:val="24"/>
  </w:num>
  <w:num w:numId="13">
    <w:abstractNumId w:val="35"/>
  </w:num>
  <w:num w:numId="14">
    <w:abstractNumId w:val="21"/>
  </w:num>
  <w:num w:numId="15">
    <w:abstractNumId w:val="29"/>
  </w:num>
  <w:num w:numId="16">
    <w:abstractNumId w:val="22"/>
  </w:num>
  <w:num w:numId="17">
    <w:abstractNumId w:val="34"/>
  </w:num>
  <w:num w:numId="18">
    <w:abstractNumId w:val="26"/>
  </w:num>
  <w:num w:numId="19">
    <w:abstractNumId w:val="4"/>
  </w:num>
  <w:num w:numId="20">
    <w:abstractNumId w:val="25"/>
  </w:num>
  <w:num w:numId="21">
    <w:abstractNumId w:val="30"/>
  </w:num>
  <w:num w:numId="22">
    <w:abstractNumId w:val="32"/>
  </w:num>
  <w:num w:numId="23">
    <w:abstractNumId w:val="19"/>
  </w:num>
  <w:num w:numId="24">
    <w:abstractNumId w:val="8"/>
  </w:num>
  <w:num w:numId="25">
    <w:abstractNumId w:val="2"/>
  </w:num>
  <w:num w:numId="26">
    <w:abstractNumId w:val="16"/>
  </w:num>
  <w:num w:numId="27">
    <w:abstractNumId w:val="31"/>
  </w:num>
  <w:num w:numId="28">
    <w:abstractNumId w:val="3"/>
  </w:num>
  <w:num w:numId="29">
    <w:abstractNumId w:val="7"/>
  </w:num>
  <w:num w:numId="30">
    <w:abstractNumId w:val="20"/>
  </w:num>
  <w:num w:numId="31">
    <w:abstractNumId w:val="27"/>
  </w:num>
  <w:num w:numId="32">
    <w:abstractNumId w:val="23"/>
  </w:num>
  <w:num w:numId="33">
    <w:abstractNumId w:val="6"/>
  </w:num>
  <w:num w:numId="34">
    <w:abstractNumId w:val="0"/>
  </w:num>
  <w:num w:numId="35">
    <w:abstractNumId w:val="5"/>
  </w:num>
  <w:num w:numId="36">
    <w:abstractNumId w:val="12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21"/>
    <w:rsid w:val="00000CEF"/>
    <w:rsid w:val="000033A4"/>
    <w:rsid w:val="00004371"/>
    <w:rsid w:val="00006EE9"/>
    <w:rsid w:val="000104C2"/>
    <w:rsid w:val="00012953"/>
    <w:rsid w:val="00014761"/>
    <w:rsid w:val="000216F1"/>
    <w:rsid w:val="000231FA"/>
    <w:rsid w:val="00030587"/>
    <w:rsid w:val="00035BB1"/>
    <w:rsid w:val="0003715D"/>
    <w:rsid w:val="00052EF7"/>
    <w:rsid w:val="00063267"/>
    <w:rsid w:val="00071FF4"/>
    <w:rsid w:val="00073290"/>
    <w:rsid w:val="000763E5"/>
    <w:rsid w:val="00083680"/>
    <w:rsid w:val="00085D0D"/>
    <w:rsid w:val="00090B15"/>
    <w:rsid w:val="000A077D"/>
    <w:rsid w:val="000A7A57"/>
    <w:rsid w:val="000B1997"/>
    <w:rsid w:val="000B2C42"/>
    <w:rsid w:val="000B3A34"/>
    <w:rsid w:val="000B6A03"/>
    <w:rsid w:val="000C3247"/>
    <w:rsid w:val="000C7720"/>
    <w:rsid w:val="000D2FA9"/>
    <w:rsid w:val="000D47CD"/>
    <w:rsid w:val="000E1E8D"/>
    <w:rsid w:val="000F0D07"/>
    <w:rsid w:val="000F2078"/>
    <w:rsid w:val="000F2466"/>
    <w:rsid w:val="000F6AD0"/>
    <w:rsid w:val="00103293"/>
    <w:rsid w:val="001122D2"/>
    <w:rsid w:val="00116DFC"/>
    <w:rsid w:val="00127CF6"/>
    <w:rsid w:val="00135CAD"/>
    <w:rsid w:val="001429CF"/>
    <w:rsid w:val="001449DB"/>
    <w:rsid w:val="001505BF"/>
    <w:rsid w:val="001526F3"/>
    <w:rsid w:val="00152D00"/>
    <w:rsid w:val="0015399A"/>
    <w:rsid w:val="00154785"/>
    <w:rsid w:val="00164FF1"/>
    <w:rsid w:val="0016555D"/>
    <w:rsid w:val="0017249F"/>
    <w:rsid w:val="00182560"/>
    <w:rsid w:val="001846AA"/>
    <w:rsid w:val="001847BE"/>
    <w:rsid w:val="0019006C"/>
    <w:rsid w:val="001917AD"/>
    <w:rsid w:val="00197F3A"/>
    <w:rsid w:val="001A201C"/>
    <w:rsid w:val="001A3B6D"/>
    <w:rsid w:val="001A5BCE"/>
    <w:rsid w:val="001B1293"/>
    <w:rsid w:val="001B2BCD"/>
    <w:rsid w:val="001B2D02"/>
    <w:rsid w:val="001C45BD"/>
    <w:rsid w:val="001C57C8"/>
    <w:rsid w:val="001C60A5"/>
    <w:rsid w:val="001D098B"/>
    <w:rsid w:val="001D65CA"/>
    <w:rsid w:val="001D6E6C"/>
    <w:rsid w:val="001E31FC"/>
    <w:rsid w:val="001E3E0C"/>
    <w:rsid w:val="001E452F"/>
    <w:rsid w:val="001F28B2"/>
    <w:rsid w:val="001F679F"/>
    <w:rsid w:val="001F6B15"/>
    <w:rsid w:val="001F6FF7"/>
    <w:rsid w:val="001F78C2"/>
    <w:rsid w:val="00205BD6"/>
    <w:rsid w:val="00210ADB"/>
    <w:rsid w:val="00211E12"/>
    <w:rsid w:val="00213A8C"/>
    <w:rsid w:val="00225F1F"/>
    <w:rsid w:val="0023085C"/>
    <w:rsid w:val="00233CFA"/>
    <w:rsid w:val="002363AE"/>
    <w:rsid w:val="00237C06"/>
    <w:rsid w:val="00246342"/>
    <w:rsid w:val="002537C5"/>
    <w:rsid w:val="00266B80"/>
    <w:rsid w:val="002747D1"/>
    <w:rsid w:val="0027684D"/>
    <w:rsid w:val="00287306"/>
    <w:rsid w:val="002952A1"/>
    <w:rsid w:val="002A3FC3"/>
    <w:rsid w:val="002A7A05"/>
    <w:rsid w:val="002B4499"/>
    <w:rsid w:val="002B78B7"/>
    <w:rsid w:val="002C28AE"/>
    <w:rsid w:val="002C2C69"/>
    <w:rsid w:val="002C3405"/>
    <w:rsid w:val="002C3C6F"/>
    <w:rsid w:val="002C4F8F"/>
    <w:rsid w:val="002D01E9"/>
    <w:rsid w:val="002D662B"/>
    <w:rsid w:val="002E1CE4"/>
    <w:rsid w:val="002E405E"/>
    <w:rsid w:val="002F5339"/>
    <w:rsid w:val="002F5353"/>
    <w:rsid w:val="002F6F5E"/>
    <w:rsid w:val="003069A9"/>
    <w:rsid w:val="00306E7B"/>
    <w:rsid w:val="003118F4"/>
    <w:rsid w:val="00314CA2"/>
    <w:rsid w:val="003170CC"/>
    <w:rsid w:val="00330974"/>
    <w:rsid w:val="00331F7E"/>
    <w:rsid w:val="00335FEA"/>
    <w:rsid w:val="00354078"/>
    <w:rsid w:val="0035545E"/>
    <w:rsid w:val="00362DDA"/>
    <w:rsid w:val="00366C9E"/>
    <w:rsid w:val="003753CF"/>
    <w:rsid w:val="00376F44"/>
    <w:rsid w:val="00380CD1"/>
    <w:rsid w:val="003858C4"/>
    <w:rsid w:val="003922AC"/>
    <w:rsid w:val="00393FEF"/>
    <w:rsid w:val="003A0B11"/>
    <w:rsid w:val="003A222C"/>
    <w:rsid w:val="003A609F"/>
    <w:rsid w:val="003A6F0C"/>
    <w:rsid w:val="003A7161"/>
    <w:rsid w:val="003B03B2"/>
    <w:rsid w:val="003B0D1E"/>
    <w:rsid w:val="003B5B14"/>
    <w:rsid w:val="003B7945"/>
    <w:rsid w:val="003C0B8F"/>
    <w:rsid w:val="003C0DC6"/>
    <w:rsid w:val="003C31BE"/>
    <w:rsid w:val="003C4762"/>
    <w:rsid w:val="003D4866"/>
    <w:rsid w:val="003D7C22"/>
    <w:rsid w:val="003E173A"/>
    <w:rsid w:val="003E243E"/>
    <w:rsid w:val="003E772C"/>
    <w:rsid w:val="003F3238"/>
    <w:rsid w:val="003F3C0E"/>
    <w:rsid w:val="003F5213"/>
    <w:rsid w:val="003F6258"/>
    <w:rsid w:val="00402196"/>
    <w:rsid w:val="00406540"/>
    <w:rsid w:val="00425084"/>
    <w:rsid w:val="00436FCF"/>
    <w:rsid w:val="00440496"/>
    <w:rsid w:val="00440619"/>
    <w:rsid w:val="00444234"/>
    <w:rsid w:val="00446BF3"/>
    <w:rsid w:val="004545DE"/>
    <w:rsid w:val="004561D7"/>
    <w:rsid w:val="0047044E"/>
    <w:rsid w:val="00473AD3"/>
    <w:rsid w:val="00481B26"/>
    <w:rsid w:val="00491F7C"/>
    <w:rsid w:val="00494D8C"/>
    <w:rsid w:val="0049604C"/>
    <w:rsid w:val="004965DB"/>
    <w:rsid w:val="004A1C63"/>
    <w:rsid w:val="004A3E99"/>
    <w:rsid w:val="004A536A"/>
    <w:rsid w:val="004A5705"/>
    <w:rsid w:val="004B4BE3"/>
    <w:rsid w:val="004B6391"/>
    <w:rsid w:val="004B7131"/>
    <w:rsid w:val="004B7775"/>
    <w:rsid w:val="004B7DD9"/>
    <w:rsid w:val="004C1A4D"/>
    <w:rsid w:val="004C23A2"/>
    <w:rsid w:val="004C3E68"/>
    <w:rsid w:val="004D60D2"/>
    <w:rsid w:val="004E0C83"/>
    <w:rsid w:val="004E1315"/>
    <w:rsid w:val="004E4710"/>
    <w:rsid w:val="005005E4"/>
    <w:rsid w:val="00500725"/>
    <w:rsid w:val="00501775"/>
    <w:rsid w:val="00501C71"/>
    <w:rsid w:val="0050302D"/>
    <w:rsid w:val="005045F2"/>
    <w:rsid w:val="00510A3E"/>
    <w:rsid w:val="00510C3B"/>
    <w:rsid w:val="00511172"/>
    <w:rsid w:val="0051386A"/>
    <w:rsid w:val="00531568"/>
    <w:rsid w:val="00532A65"/>
    <w:rsid w:val="005352F3"/>
    <w:rsid w:val="00535BE0"/>
    <w:rsid w:val="00536E2D"/>
    <w:rsid w:val="00540FEE"/>
    <w:rsid w:val="005619DA"/>
    <w:rsid w:val="00562C72"/>
    <w:rsid w:val="00573B30"/>
    <w:rsid w:val="00575A59"/>
    <w:rsid w:val="00587D92"/>
    <w:rsid w:val="00590015"/>
    <w:rsid w:val="005906BB"/>
    <w:rsid w:val="005A15DD"/>
    <w:rsid w:val="005B02E7"/>
    <w:rsid w:val="005B10AD"/>
    <w:rsid w:val="005B5C26"/>
    <w:rsid w:val="005B60A9"/>
    <w:rsid w:val="005B6250"/>
    <w:rsid w:val="005E104D"/>
    <w:rsid w:val="005F29CE"/>
    <w:rsid w:val="005F2C2C"/>
    <w:rsid w:val="0060668F"/>
    <w:rsid w:val="006154DA"/>
    <w:rsid w:val="0061620B"/>
    <w:rsid w:val="00621CF2"/>
    <w:rsid w:val="006403BD"/>
    <w:rsid w:val="00644E6A"/>
    <w:rsid w:val="00652E0E"/>
    <w:rsid w:val="00657124"/>
    <w:rsid w:val="00657EAC"/>
    <w:rsid w:val="00661688"/>
    <w:rsid w:val="00661E17"/>
    <w:rsid w:val="00662149"/>
    <w:rsid w:val="00662BF5"/>
    <w:rsid w:val="00665060"/>
    <w:rsid w:val="00672376"/>
    <w:rsid w:val="00677AA7"/>
    <w:rsid w:val="00683361"/>
    <w:rsid w:val="00687BEA"/>
    <w:rsid w:val="006944C0"/>
    <w:rsid w:val="00696D30"/>
    <w:rsid w:val="00697463"/>
    <w:rsid w:val="006A48C3"/>
    <w:rsid w:val="006B437F"/>
    <w:rsid w:val="006C097E"/>
    <w:rsid w:val="006C2017"/>
    <w:rsid w:val="006C5DA8"/>
    <w:rsid w:val="006C6BE7"/>
    <w:rsid w:val="006E397B"/>
    <w:rsid w:val="006E4E94"/>
    <w:rsid w:val="006F405F"/>
    <w:rsid w:val="00702DC6"/>
    <w:rsid w:val="007046F9"/>
    <w:rsid w:val="0070485C"/>
    <w:rsid w:val="00712FAF"/>
    <w:rsid w:val="0071340D"/>
    <w:rsid w:val="007160F1"/>
    <w:rsid w:val="007209FB"/>
    <w:rsid w:val="00720D0D"/>
    <w:rsid w:val="0072597C"/>
    <w:rsid w:val="00734256"/>
    <w:rsid w:val="00735C20"/>
    <w:rsid w:val="007521A6"/>
    <w:rsid w:val="007604B6"/>
    <w:rsid w:val="007628A8"/>
    <w:rsid w:val="00766A6E"/>
    <w:rsid w:val="00771A16"/>
    <w:rsid w:val="00773C15"/>
    <w:rsid w:val="00784CF5"/>
    <w:rsid w:val="00786C2F"/>
    <w:rsid w:val="00791D59"/>
    <w:rsid w:val="0079658A"/>
    <w:rsid w:val="007A1284"/>
    <w:rsid w:val="007A3A06"/>
    <w:rsid w:val="007D1780"/>
    <w:rsid w:val="007E2C39"/>
    <w:rsid w:val="007F2267"/>
    <w:rsid w:val="007F40AD"/>
    <w:rsid w:val="00807108"/>
    <w:rsid w:val="00811F58"/>
    <w:rsid w:val="00821850"/>
    <w:rsid w:val="00827282"/>
    <w:rsid w:val="008327B2"/>
    <w:rsid w:val="00833CC7"/>
    <w:rsid w:val="008404B0"/>
    <w:rsid w:val="00843830"/>
    <w:rsid w:val="008447CC"/>
    <w:rsid w:val="00844E20"/>
    <w:rsid w:val="00846FFA"/>
    <w:rsid w:val="00854421"/>
    <w:rsid w:val="00854E7B"/>
    <w:rsid w:val="00864109"/>
    <w:rsid w:val="00864133"/>
    <w:rsid w:val="00866BFC"/>
    <w:rsid w:val="00873D88"/>
    <w:rsid w:val="00873F62"/>
    <w:rsid w:val="00874A42"/>
    <w:rsid w:val="00880248"/>
    <w:rsid w:val="00883648"/>
    <w:rsid w:val="00893FAA"/>
    <w:rsid w:val="008A1A0C"/>
    <w:rsid w:val="008A1B8C"/>
    <w:rsid w:val="008A4340"/>
    <w:rsid w:val="008A4440"/>
    <w:rsid w:val="008B4F4C"/>
    <w:rsid w:val="008C51AE"/>
    <w:rsid w:val="008D043F"/>
    <w:rsid w:val="008D06DC"/>
    <w:rsid w:val="008D394A"/>
    <w:rsid w:val="008D5A8A"/>
    <w:rsid w:val="008E13E5"/>
    <w:rsid w:val="008F4E47"/>
    <w:rsid w:val="00906B49"/>
    <w:rsid w:val="00912C06"/>
    <w:rsid w:val="009169CE"/>
    <w:rsid w:val="00917BF9"/>
    <w:rsid w:val="00921223"/>
    <w:rsid w:val="00932F95"/>
    <w:rsid w:val="0094047C"/>
    <w:rsid w:val="0094077B"/>
    <w:rsid w:val="00940E3A"/>
    <w:rsid w:val="0094492F"/>
    <w:rsid w:val="009461E0"/>
    <w:rsid w:val="00947629"/>
    <w:rsid w:val="00977A27"/>
    <w:rsid w:val="0098330F"/>
    <w:rsid w:val="00987187"/>
    <w:rsid w:val="00992173"/>
    <w:rsid w:val="00994324"/>
    <w:rsid w:val="0099799A"/>
    <w:rsid w:val="009A05DA"/>
    <w:rsid w:val="009A2A78"/>
    <w:rsid w:val="009A2AC4"/>
    <w:rsid w:val="009A3157"/>
    <w:rsid w:val="009B1989"/>
    <w:rsid w:val="009B3B48"/>
    <w:rsid w:val="009B4C59"/>
    <w:rsid w:val="009C2BA9"/>
    <w:rsid w:val="009C4998"/>
    <w:rsid w:val="009C685A"/>
    <w:rsid w:val="009D26C8"/>
    <w:rsid w:val="009E09DB"/>
    <w:rsid w:val="009E0F74"/>
    <w:rsid w:val="009F165B"/>
    <w:rsid w:val="009F6BF2"/>
    <w:rsid w:val="00A01986"/>
    <w:rsid w:val="00A13E6C"/>
    <w:rsid w:val="00A25258"/>
    <w:rsid w:val="00A27742"/>
    <w:rsid w:val="00A30DB0"/>
    <w:rsid w:val="00A31911"/>
    <w:rsid w:val="00A345B0"/>
    <w:rsid w:val="00A35CB5"/>
    <w:rsid w:val="00A368D9"/>
    <w:rsid w:val="00A432B5"/>
    <w:rsid w:val="00A45892"/>
    <w:rsid w:val="00A45F14"/>
    <w:rsid w:val="00A53622"/>
    <w:rsid w:val="00A573C2"/>
    <w:rsid w:val="00A615BC"/>
    <w:rsid w:val="00A66C31"/>
    <w:rsid w:val="00A67474"/>
    <w:rsid w:val="00A713A3"/>
    <w:rsid w:val="00A7591F"/>
    <w:rsid w:val="00A772B8"/>
    <w:rsid w:val="00A86218"/>
    <w:rsid w:val="00A909B5"/>
    <w:rsid w:val="00A91910"/>
    <w:rsid w:val="00A91EF6"/>
    <w:rsid w:val="00AA4583"/>
    <w:rsid w:val="00AA4CF1"/>
    <w:rsid w:val="00AB3438"/>
    <w:rsid w:val="00AB3C48"/>
    <w:rsid w:val="00AB439C"/>
    <w:rsid w:val="00AC0FD7"/>
    <w:rsid w:val="00AC58C1"/>
    <w:rsid w:val="00AC755E"/>
    <w:rsid w:val="00AC78B9"/>
    <w:rsid w:val="00AE17B4"/>
    <w:rsid w:val="00AE3956"/>
    <w:rsid w:val="00AE6781"/>
    <w:rsid w:val="00AE7D3D"/>
    <w:rsid w:val="00AF576E"/>
    <w:rsid w:val="00B07CFA"/>
    <w:rsid w:val="00B16CE9"/>
    <w:rsid w:val="00B24E0C"/>
    <w:rsid w:val="00B334B9"/>
    <w:rsid w:val="00B3411F"/>
    <w:rsid w:val="00B34DB3"/>
    <w:rsid w:val="00B36E50"/>
    <w:rsid w:val="00B5143D"/>
    <w:rsid w:val="00B52874"/>
    <w:rsid w:val="00B56332"/>
    <w:rsid w:val="00B648AE"/>
    <w:rsid w:val="00B67BFB"/>
    <w:rsid w:val="00B74BF2"/>
    <w:rsid w:val="00B8704A"/>
    <w:rsid w:val="00B9254B"/>
    <w:rsid w:val="00B9568D"/>
    <w:rsid w:val="00BA0CDB"/>
    <w:rsid w:val="00BB288E"/>
    <w:rsid w:val="00BB4016"/>
    <w:rsid w:val="00BC0CE8"/>
    <w:rsid w:val="00BC1F88"/>
    <w:rsid w:val="00BD15CF"/>
    <w:rsid w:val="00BE087E"/>
    <w:rsid w:val="00BE5F8A"/>
    <w:rsid w:val="00C005FA"/>
    <w:rsid w:val="00C02ADC"/>
    <w:rsid w:val="00C06F21"/>
    <w:rsid w:val="00C10DEA"/>
    <w:rsid w:val="00C134B6"/>
    <w:rsid w:val="00C153C0"/>
    <w:rsid w:val="00C21C93"/>
    <w:rsid w:val="00C21D23"/>
    <w:rsid w:val="00C30771"/>
    <w:rsid w:val="00C33F4C"/>
    <w:rsid w:val="00C41F97"/>
    <w:rsid w:val="00C427AB"/>
    <w:rsid w:val="00C43EA0"/>
    <w:rsid w:val="00C44130"/>
    <w:rsid w:val="00C44CF9"/>
    <w:rsid w:val="00C46AF6"/>
    <w:rsid w:val="00C57229"/>
    <w:rsid w:val="00C6035D"/>
    <w:rsid w:val="00C66D20"/>
    <w:rsid w:val="00C67BFA"/>
    <w:rsid w:val="00C70B7C"/>
    <w:rsid w:val="00C72443"/>
    <w:rsid w:val="00C74E5A"/>
    <w:rsid w:val="00C77B42"/>
    <w:rsid w:val="00C840D5"/>
    <w:rsid w:val="00C851DE"/>
    <w:rsid w:val="00C86DBF"/>
    <w:rsid w:val="00C94BC2"/>
    <w:rsid w:val="00C960A3"/>
    <w:rsid w:val="00CA211B"/>
    <w:rsid w:val="00CB163C"/>
    <w:rsid w:val="00CC063B"/>
    <w:rsid w:val="00CC39C0"/>
    <w:rsid w:val="00CC5600"/>
    <w:rsid w:val="00CD46EE"/>
    <w:rsid w:val="00CD6874"/>
    <w:rsid w:val="00CE2764"/>
    <w:rsid w:val="00CE3FE1"/>
    <w:rsid w:val="00CE4C1E"/>
    <w:rsid w:val="00CF59C2"/>
    <w:rsid w:val="00D02DB3"/>
    <w:rsid w:val="00D07845"/>
    <w:rsid w:val="00D10DFD"/>
    <w:rsid w:val="00D14EC1"/>
    <w:rsid w:val="00D20B18"/>
    <w:rsid w:val="00D438C1"/>
    <w:rsid w:val="00D45860"/>
    <w:rsid w:val="00D47F7D"/>
    <w:rsid w:val="00D53DEA"/>
    <w:rsid w:val="00D540CE"/>
    <w:rsid w:val="00D65C3F"/>
    <w:rsid w:val="00D65C48"/>
    <w:rsid w:val="00D805F2"/>
    <w:rsid w:val="00D8542B"/>
    <w:rsid w:val="00D91ACF"/>
    <w:rsid w:val="00D922B5"/>
    <w:rsid w:val="00D964F3"/>
    <w:rsid w:val="00DA1139"/>
    <w:rsid w:val="00DA76DE"/>
    <w:rsid w:val="00DA7DFB"/>
    <w:rsid w:val="00DB7F4C"/>
    <w:rsid w:val="00DC0A88"/>
    <w:rsid w:val="00DC4099"/>
    <w:rsid w:val="00DC5A03"/>
    <w:rsid w:val="00DD1D6B"/>
    <w:rsid w:val="00DD3714"/>
    <w:rsid w:val="00DD4289"/>
    <w:rsid w:val="00DE3554"/>
    <w:rsid w:val="00DE6212"/>
    <w:rsid w:val="00DF09CE"/>
    <w:rsid w:val="00DF1651"/>
    <w:rsid w:val="00DF1780"/>
    <w:rsid w:val="00E0011C"/>
    <w:rsid w:val="00E204A2"/>
    <w:rsid w:val="00E229D2"/>
    <w:rsid w:val="00E23DD5"/>
    <w:rsid w:val="00E41460"/>
    <w:rsid w:val="00E44804"/>
    <w:rsid w:val="00E45D50"/>
    <w:rsid w:val="00E553E6"/>
    <w:rsid w:val="00E7014B"/>
    <w:rsid w:val="00E7783D"/>
    <w:rsid w:val="00E82A30"/>
    <w:rsid w:val="00E840E8"/>
    <w:rsid w:val="00E85369"/>
    <w:rsid w:val="00E85907"/>
    <w:rsid w:val="00EA796B"/>
    <w:rsid w:val="00EB21D4"/>
    <w:rsid w:val="00EB3190"/>
    <w:rsid w:val="00EB5187"/>
    <w:rsid w:val="00EC7380"/>
    <w:rsid w:val="00ED03CF"/>
    <w:rsid w:val="00ED62F7"/>
    <w:rsid w:val="00ED6371"/>
    <w:rsid w:val="00F01A22"/>
    <w:rsid w:val="00F1046E"/>
    <w:rsid w:val="00F10A6E"/>
    <w:rsid w:val="00F16DB0"/>
    <w:rsid w:val="00F23DCB"/>
    <w:rsid w:val="00F245EA"/>
    <w:rsid w:val="00F34721"/>
    <w:rsid w:val="00F36D9C"/>
    <w:rsid w:val="00F429C2"/>
    <w:rsid w:val="00F441F5"/>
    <w:rsid w:val="00F47972"/>
    <w:rsid w:val="00F51995"/>
    <w:rsid w:val="00F546D2"/>
    <w:rsid w:val="00F65115"/>
    <w:rsid w:val="00F664CB"/>
    <w:rsid w:val="00F7344B"/>
    <w:rsid w:val="00F742C4"/>
    <w:rsid w:val="00F74553"/>
    <w:rsid w:val="00F853F5"/>
    <w:rsid w:val="00F86DBB"/>
    <w:rsid w:val="00FA752C"/>
    <w:rsid w:val="00FC0CA8"/>
    <w:rsid w:val="00FC4157"/>
    <w:rsid w:val="00FE1FBF"/>
    <w:rsid w:val="00FF0A76"/>
    <w:rsid w:val="00FF1FA8"/>
    <w:rsid w:val="00FF2776"/>
    <w:rsid w:val="00FF347C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573B1"/>
  <w15:docId w15:val="{7E90338F-E167-49E8-ADAE-50735CD4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3">
    <w:name w:val="Char Char Char Char Char3"/>
    <w:basedOn w:val="Normal"/>
    <w:rsid w:val="002F6F5E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2">
    <w:name w:val="Char Char Char Char Char2"/>
    <w:basedOn w:val="Normal"/>
    <w:rsid w:val="00006EE9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772B8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72B8"/>
    <w:rPr>
      <w:rFonts w:ascii="Calibri" w:eastAsia="Calibri" w:hAnsi="Calibri" w:cs="Times New Roman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2952A1"/>
    <w:rPr>
      <w:color w:val="0000FF" w:themeColor="hyperlink"/>
      <w:u w:val="single"/>
    </w:rPr>
  </w:style>
  <w:style w:type="paragraph" w:customStyle="1" w:styleId="CharCharCharCharChar1">
    <w:name w:val="Char Char Char Char Char1"/>
    <w:basedOn w:val="Normal"/>
    <w:rsid w:val="002952A1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0">
    <w:name w:val="Char Char Char Char Char"/>
    <w:basedOn w:val="Normal"/>
    <w:rsid w:val="00C94BC2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4">
    <w:name w:val="Char Char Char Char Char"/>
    <w:basedOn w:val="Normal"/>
    <w:rsid w:val="004E0C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5">
    <w:name w:val="Char Char Char Char Char"/>
    <w:basedOn w:val="Normal"/>
    <w:rsid w:val="00535BE0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6">
    <w:name w:val="Char Char Char Char Char"/>
    <w:basedOn w:val="Normal"/>
    <w:rsid w:val="004561D7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6D2EF-461C-4475-8772-3F3CCC4E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jackiema</dc:creator>
  <cp:lastModifiedBy>Jackie MacKenzie (HLH Corporate Services)</cp:lastModifiedBy>
  <cp:revision>26</cp:revision>
  <cp:lastPrinted>2019-12-17T17:13:00Z</cp:lastPrinted>
  <dcterms:created xsi:type="dcterms:W3CDTF">2020-12-16T13:20:00Z</dcterms:created>
  <dcterms:modified xsi:type="dcterms:W3CDTF">2021-11-24T09:43:00Z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