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5"/>
        <w:gridCol w:w="2901"/>
      </w:tblGrid>
      <w:tr w:rsidR="002579EB" w:rsidRPr="00A90AA3" w14:paraId="667D710F" w14:textId="77777777" w:rsidTr="002579EB">
        <w:tc>
          <w:tcPr>
            <w:tcW w:w="6835" w:type="dxa"/>
          </w:tcPr>
          <w:p w14:paraId="67B8000A" w14:textId="77777777" w:rsidR="002579EB" w:rsidRPr="00A90AA3" w:rsidRDefault="002579EB" w:rsidP="002579EB">
            <w:pPr>
              <w:pStyle w:val="NoSpacing"/>
              <w:rPr>
                <w:b/>
                <w:bCs/>
              </w:rPr>
            </w:pPr>
            <w:r w:rsidRPr="00A90AA3">
              <w:rPr>
                <w:b/>
                <w:bCs/>
              </w:rPr>
              <w:t>HIGH LIFE HIGHLAND</w:t>
            </w:r>
          </w:p>
          <w:p w14:paraId="3BD1EF96" w14:textId="77777777" w:rsidR="002579EB" w:rsidRPr="00A90AA3" w:rsidRDefault="002579EB" w:rsidP="002579EB">
            <w:pPr>
              <w:pStyle w:val="NoSpacing"/>
              <w:rPr>
                <w:b/>
                <w:bCs/>
              </w:rPr>
            </w:pPr>
            <w:r w:rsidRPr="00A90AA3">
              <w:rPr>
                <w:b/>
                <w:bCs/>
              </w:rPr>
              <w:t>REPORT TO BOARD OF DIRECTORS</w:t>
            </w:r>
          </w:p>
          <w:p w14:paraId="34E4F720" w14:textId="17FDF8EA" w:rsidR="002579EB" w:rsidRPr="00A90AA3" w:rsidRDefault="006E6ED7" w:rsidP="002579EB">
            <w:pPr>
              <w:pStyle w:val="NoSpacing"/>
              <w:rPr>
                <w:b/>
                <w:bCs/>
              </w:rPr>
            </w:pPr>
            <w:r w:rsidRPr="00A90AA3">
              <w:rPr>
                <w:b/>
                <w:bCs/>
              </w:rPr>
              <w:t>31 March 2022</w:t>
            </w:r>
          </w:p>
        </w:tc>
        <w:tc>
          <w:tcPr>
            <w:tcW w:w="2901" w:type="dxa"/>
          </w:tcPr>
          <w:p w14:paraId="2CD8B8AB" w14:textId="77777777" w:rsidR="002579EB" w:rsidRPr="00A90AA3" w:rsidRDefault="002579EB" w:rsidP="002579EB">
            <w:pPr>
              <w:pStyle w:val="NoSpacing"/>
            </w:pPr>
            <w:r w:rsidRPr="00A90AA3">
              <w:t>AGENDA ITEM:</w:t>
            </w:r>
          </w:p>
          <w:p w14:paraId="4EE94809" w14:textId="7DA638DE" w:rsidR="002579EB" w:rsidRPr="00A90AA3" w:rsidRDefault="002579EB" w:rsidP="002579EB">
            <w:pPr>
              <w:pStyle w:val="NoSpacing"/>
            </w:pPr>
            <w:r w:rsidRPr="00A90AA3">
              <w:t>REPORT No HLH/  /2</w:t>
            </w:r>
            <w:r w:rsidR="00671739" w:rsidRPr="00A90AA3">
              <w:t>2</w:t>
            </w:r>
          </w:p>
        </w:tc>
      </w:tr>
    </w:tbl>
    <w:p w14:paraId="4EC5F4EF" w14:textId="7AD1BEA5" w:rsidR="006C2604" w:rsidRPr="00A90AA3" w:rsidRDefault="006C2604" w:rsidP="002579E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579EB" w:rsidRPr="00A90AA3" w14:paraId="4E22C322" w14:textId="77777777" w:rsidTr="000E18CA">
        <w:tc>
          <w:tcPr>
            <w:tcW w:w="9736" w:type="dxa"/>
          </w:tcPr>
          <w:p w14:paraId="194A3011" w14:textId="514BC397" w:rsidR="002579EB" w:rsidRPr="00A90AA3" w:rsidRDefault="006E6ED7" w:rsidP="006D0D6A">
            <w:pPr>
              <w:pStyle w:val="NoSpacing"/>
              <w:rPr>
                <w:b/>
                <w:bCs/>
              </w:rPr>
            </w:pPr>
            <w:r w:rsidRPr="00A90AA3">
              <w:rPr>
                <w:b/>
                <w:bCs/>
              </w:rPr>
              <w:t>HR UPDATE</w:t>
            </w:r>
            <w:r w:rsidR="00394EBE">
              <w:rPr>
                <w:b/>
                <w:bCs/>
              </w:rPr>
              <w:t xml:space="preserve"> – Report by Chief Executive</w:t>
            </w:r>
          </w:p>
        </w:tc>
      </w:tr>
    </w:tbl>
    <w:p w14:paraId="5B8BC889" w14:textId="4E34867B" w:rsidR="002579EB" w:rsidRPr="00A90AA3" w:rsidRDefault="002579EB" w:rsidP="002579E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D0D6A" w:rsidRPr="00A90AA3" w14:paraId="3D8CDE3D" w14:textId="77777777" w:rsidTr="006D0D6A">
        <w:tc>
          <w:tcPr>
            <w:tcW w:w="9736" w:type="dxa"/>
          </w:tcPr>
          <w:p w14:paraId="77CDDC87" w14:textId="67DB21C5" w:rsidR="006D0D6A" w:rsidRPr="00A90AA3" w:rsidRDefault="00E6244C" w:rsidP="002579EB">
            <w:pPr>
              <w:pStyle w:val="NoSpacing"/>
            </w:pPr>
            <w:bookmarkStart w:id="0" w:name="_Hlk89254243"/>
            <w:r w:rsidRPr="00A90AA3">
              <w:rPr>
                <w:b/>
                <w:bCs/>
              </w:rPr>
              <w:t>Summary</w:t>
            </w:r>
          </w:p>
          <w:p w14:paraId="1406F880" w14:textId="53AD7657" w:rsidR="006D0D6A" w:rsidRPr="00A90AA3" w:rsidRDefault="006D0D6A" w:rsidP="002579EB">
            <w:pPr>
              <w:pStyle w:val="NoSpacing"/>
            </w:pPr>
          </w:p>
          <w:p w14:paraId="70BEF412" w14:textId="264AD562" w:rsidR="00F110B2" w:rsidRPr="00A90AA3" w:rsidRDefault="006E6ED7" w:rsidP="000E18CA">
            <w:pPr>
              <w:pStyle w:val="NoSpacing"/>
              <w:jc w:val="both"/>
            </w:pPr>
            <w:r w:rsidRPr="00A90AA3">
              <w:t xml:space="preserve">The purpose of this report is to update </w:t>
            </w:r>
            <w:r w:rsidR="000E18CA">
              <w:t>Directors</w:t>
            </w:r>
            <w:r w:rsidR="00005ECF" w:rsidRPr="00A90AA3">
              <w:t xml:space="preserve"> on HR related matters for</w:t>
            </w:r>
            <w:r w:rsidR="00394EBE">
              <w:t xml:space="preserve"> </w:t>
            </w:r>
            <w:r w:rsidR="00F110B2" w:rsidRPr="00A90AA3">
              <w:t>Quarter 3</w:t>
            </w:r>
            <w:r w:rsidR="00394EBE">
              <w:t xml:space="preserve">, </w:t>
            </w:r>
            <w:r w:rsidR="00F110B2" w:rsidRPr="00A90AA3">
              <w:t>October to December</w:t>
            </w:r>
            <w:r w:rsidR="006566FB">
              <w:t xml:space="preserve"> 2021</w:t>
            </w:r>
            <w:r w:rsidR="000E18CA">
              <w:t>.</w:t>
            </w:r>
          </w:p>
          <w:p w14:paraId="77DF8143" w14:textId="546EDD80" w:rsidR="007C3ECB" w:rsidRPr="00A90AA3" w:rsidRDefault="007C3ECB" w:rsidP="007C3ECB">
            <w:pPr>
              <w:pStyle w:val="NoSpacing"/>
            </w:pPr>
          </w:p>
          <w:p w14:paraId="508F67B3" w14:textId="7E61D142" w:rsidR="00501A21" w:rsidRDefault="000E18CA" w:rsidP="007C3ECB">
            <w:pPr>
              <w:pStyle w:val="NoSpacing"/>
            </w:pPr>
            <w:r>
              <w:t>It is recommended</w:t>
            </w:r>
            <w:r w:rsidR="00EB433D">
              <w:t xml:space="preserve"> Directors</w:t>
            </w:r>
            <w:r w:rsidR="00501A21">
              <w:t>:</w:t>
            </w:r>
          </w:p>
          <w:p w14:paraId="09A5DB4C" w14:textId="3ADAB213" w:rsidR="000E18CA" w:rsidRDefault="000E18CA" w:rsidP="007C3ECB">
            <w:pPr>
              <w:pStyle w:val="NoSpacing"/>
            </w:pPr>
          </w:p>
          <w:p w14:paraId="72EE56F8" w14:textId="215D247D" w:rsidR="000E18CA" w:rsidRDefault="000E18CA" w:rsidP="00F80CF1">
            <w:pPr>
              <w:pStyle w:val="NoSpacing"/>
              <w:numPr>
                <w:ilvl w:val="0"/>
                <w:numId w:val="9"/>
              </w:numPr>
              <w:jc w:val="both"/>
            </w:pPr>
            <w:r>
              <w:t xml:space="preserve">note the standing HR matters for </w:t>
            </w:r>
            <w:r w:rsidR="00575599">
              <w:t>Q</w:t>
            </w:r>
            <w:r>
              <w:t>3, 2021/22; and</w:t>
            </w:r>
          </w:p>
          <w:p w14:paraId="58889CDA" w14:textId="11C7B96F" w:rsidR="000E18CA" w:rsidRDefault="000E18CA" w:rsidP="00F80CF1">
            <w:pPr>
              <w:pStyle w:val="NoSpacing"/>
              <w:numPr>
                <w:ilvl w:val="0"/>
                <w:numId w:val="9"/>
              </w:numPr>
              <w:jc w:val="both"/>
            </w:pPr>
            <w:r>
              <w:t>agree to an additional public holiday for all staff on Friday 3 June 2022 to commemorate HM The Queen’s Platinum Jubilee.</w:t>
            </w:r>
          </w:p>
          <w:p w14:paraId="7528E958" w14:textId="2F9220F4" w:rsidR="006D0D6A" w:rsidRPr="00A90AA3" w:rsidRDefault="006D0D6A" w:rsidP="000E18CA">
            <w:pPr>
              <w:pStyle w:val="NoSpacing"/>
            </w:pPr>
          </w:p>
        </w:tc>
      </w:tr>
      <w:bookmarkEnd w:id="0"/>
    </w:tbl>
    <w:p w14:paraId="282914E2" w14:textId="77777777" w:rsidR="00E53486" w:rsidRPr="00A90AA3" w:rsidRDefault="00E53486" w:rsidP="002579E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885"/>
      </w:tblGrid>
      <w:tr w:rsidR="006D0D6A" w:rsidRPr="00A90AA3" w14:paraId="64306F6E" w14:textId="77777777" w:rsidTr="000E18CA">
        <w:tc>
          <w:tcPr>
            <w:tcW w:w="851" w:type="dxa"/>
          </w:tcPr>
          <w:p w14:paraId="14A652F0" w14:textId="26E80CD1" w:rsidR="006D0D6A" w:rsidRPr="000E18CA" w:rsidRDefault="000E18CA" w:rsidP="000E18CA">
            <w:pPr>
              <w:pStyle w:val="NoSpacing"/>
              <w:jc w:val="both"/>
              <w:rPr>
                <w:b/>
                <w:bCs/>
              </w:rPr>
            </w:pPr>
            <w:r w:rsidRPr="000E18CA">
              <w:rPr>
                <w:b/>
                <w:bCs/>
              </w:rPr>
              <w:t>1.</w:t>
            </w:r>
          </w:p>
        </w:tc>
        <w:tc>
          <w:tcPr>
            <w:tcW w:w="8885" w:type="dxa"/>
          </w:tcPr>
          <w:p w14:paraId="4AD59B01" w14:textId="77777777" w:rsidR="006D0D6A" w:rsidRPr="00A90AA3" w:rsidRDefault="006D0D6A" w:rsidP="002579EB">
            <w:pPr>
              <w:pStyle w:val="NoSpacing"/>
              <w:rPr>
                <w:b/>
                <w:bCs/>
              </w:rPr>
            </w:pPr>
            <w:r w:rsidRPr="00A90AA3">
              <w:rPr>
                <w:b/>
                <w:bCs/>
              </w:rPr>
              <w:t>Business Plan Contribution</w:t>
            </w:r>
          </w:p>
          <w:p w14:paraId="4BC874AA" w14:textId="4C1488EC" w:rsidR="006D0D6A" w:rsidRPr="00A90AA3" w:rsidRDefault="006D0D6A" w:rsidP="002579EB">
            <w:pPr>
              <w:pStyle w:val="NoSpacing"/>
              <w:rPr>
                <w:b/>
                <w:bCs/>
              </w:rPr>
            </w:pPr>
          </w:p>
        </w:tc>
      </w:tr>
      <w:tr w:rsidR="006D0D6A" w:rsidRPr="00A90AA3" w14:paraId="6E0EB0AB" w14:textId="77777777" w:rsidTr="00F80CF1">
        <w:trPr>
          <w:trHeight w:val="6355"/>
        </w:trPr>
        <w:tc>
          <w:tcPr>
            <w:tcW w:w="851" w:type="dxa"/>
          </w:tcPr>
          <w:p w14:paraId="325D1AF1" w14:textId="5C5CEC63" w:rsidR="006D0D6A" w:rsidRPr="00A90AA3" w:rsidRDefault="000E18CA" w:rsidP="000E18CA">
            <w:pPr>
              <w:pStyle w:val="NoSpacing"/>
              <w:jc w:val="both"/>
            </w:pPr>
            <w:r>
              <w:t>1.1</w:t>
            </w:r>
          </w:p>
        </w:tc>
        <w:tc>
          <w:tcPr>
            <w:tcW w:w="8885" w:type="dxa"/>
          </w:tcPr>
          <w:p w14:paraId="03DA5FA1" w14:textId="77777777" w:rsidR="00D766DD" w:rsidRPr="00A90AA3" w:rsidRDefault="00D766DD" w:rsidP="00D766DD">
            <w:pPr>
              <w:jc w:val="both"/>
              <w:rPr>
                <w:rFonts w:ascii="Arial" w:hAnsi="Arial" w:cs="Arial"/>
                <w:szCs w:val="24"/>
              </w:rPr>
            </w:pPr>
            <w:r w:rsidRPr="00A90AA3">
              <w:rPr>
                <w:rFonts w:ascii="Arial" w:hAnsi="Arial" w:cs="Arial"/>
                <w:szCs w:val="24"/>
              </w:rPr>
              <w:t>This report supports the highlighted Business Outcome from the High Life Highland (HLH) Business Plan:</w:t>
            </w:r>
          </w:p>
          <w:p w14:paraId="6B93584F" w14:textId="77777777" w:rsidR="00D766DD" w:rsidRPr="00A90AA3" w:rsidRDefault="00D766DD" w:rsidP="00D766DD">
            <w:pPr>
              <w:jc w:val="both"/>
              <w:rPr>
                <w:rFonts w:ascii="Arial" w:hAnsi="Arial" w:cs="Arial"/>
                <w:szCs w:val="24"/>
              </w:rPr>
            </w:pPr>
          </w:p>
          <w:p w14:paraId="0EAFD114" w14:textId="77777777" w:rsidR="00D766DD" w:rsidRPr="00A90AA3" w:rsidRDefault="00D766DD" w:rsidP="00D766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AA3">
              <w:rPr>
                <w:rFonts w:ascii="Arial" w:hAnsi="Arial" w:cs="Arial"/>
                <w:sz w:val="24"/>
                <w:szCs w:val="24"/>
              </w:rPr>
              <w:t>Seek to continuously improve standards of health and safety.</w:t>
            </w:r>
          </w:p>
          <w:p w14:paraId="09F4A1D8" w14:textId="77777777" w:rsidR="00D766DD" w:rsidRPr="00A90AA3" w:rsidRDefault="00D766DD" w:rsidP="00D766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AA3">
              <w:rPr>
                <w:rFonts w:ascii="Arial" w:hAnsi="Arial" w:cs="Arial"/>
                <w:sz w:val="24"/>
                <w:szCs w:val="24"/>
              </w:rPr>
              <w:t>Commit to the Scottish Government’s zero carbon targets and maintain the highest standards in environmental compliance.</w:t>
            </w:r>
          </w:p>
          <w:p w14:paraId="08F18A14" w14:textId="77777777" w:rsidR="00D766DD" w:rsidRPr="00A90AA3" w:rsidRDefault="00D766DD" w:rsidP="00D766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AA3">
              <w:rPr>
                <w:rFonts w:ascii="Arial" w:hAnsi="Arial" w:cs="Arial"/>
                <w:sz w:val="24"/>
                <w:szCs w:val="24"/>
              </w:rPr>
              <w:t>Use research and market analysis to develop and improve services to meet customer needs.</w:t>
            </w:r>
          </w:p>
          <w:p w14:paraId="354AD3FE" w14:textId="77777777" w:rsidR="00D766DD" w:rsidRPr="000E18CA" w:rsidRDefault="00D766DD" w:rsidP="00D766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8CA">
              <w:rPr>
                <w:rFonts w:ascii="Arial" w:hAnsi="Arial" w:cs="Arial"/>
                <w:b/>
                <w:bCs/>
                <w:sz w:val="24"/>
                <w:szCs w:val="24"/>
              </w:rPr>
              <w:t>Increase employee satisfaction, engagement and development to improve staff recruitment and retention.</w:t>
            </w:r>
          </w:p>
          <w:p w14:paraId="12B38FFE" w14:textId="77777777" w:rsidR="00D766DD" w:rsidRPr="00A90AA3" w:rsidRDefault="00D766DD" w:rsidP="00D766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AA3">
              <w:rPr>
                <w:rFonts w:ascii="Arial" w:hAnsi="Arial" w:cs="Arial"/>
                <w:sz w:val="24"/>
                <w:szCs w:val="24"/>
              </w:rPr>
              <w:t>Improve the financial sustainability of the company.</w:t>
            </w:r>
          </w:p>
          <w:p w14:paraId="0DA7B926" w14:textId="77777777" w:rsidR="00D766DD" w:rsidRPr="000E18CA" w:rsidRDefault="00D766DD" w:rsidP="00D766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8CA">
              <w:rPr>
                <w:rFonts w:ascii="Arial" w:hAnsi="Arial" w:cs="Arial"/>
                <w:b/>
                <w:bCs/>
                <w:sz w:val="24"/>
                <w:szCs w:val="24"/>
              </w:rPr>
              <w:t>Value and strengthen the relationship with THC.</w:t>
            </w:r>
          </w:p>
          <w:p w14:paraId="7676B148" w14:textId="77777777" w:rsidR="00D766DD" w:rsidRPr="00A90AA3" w:rsidRDefault="00D766DD" w:rsidP="00D766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AA3">
              <w:rPr>
                <w:rFonts w:ascii="Arial" w:hAnsi="Arial" w:cs="Arial"/>
                <w:sz w:val="24"/>
                <w:szCs w:val="24"/>
              </w:rPr>
              <w:t>Develop and deliver the HLH Corporate Programme and seek to attract capital investment.</w:t>
            </w:r>
          </w:p>
          <w:p w14:paraId="427C0620" w14:textId="77777777" w:rsidR="00D766DD" w:rsidRPr="00A90AA3" w:rsidRDefault="00D766DD" w:rsidP="00D766DD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90AA3">
              <w:rPr>
                <w:rFonts w:ascii="Arial" w:hAnsi="Arial" w:cs="Arial"/>
                <w:sz w:val="24"/>
                <w:szCs w:val="24"/>
              </w:rPr>
              <w:t>Use research and market analysis to develop and deliver proactive marketing and promotion of HLH and its services.</w:t>
            </w:r>
          </w:p>
          <w:p w14:paraId="2B03D3EA" w14:textId="77777777" w:rsidR="00D766DD" w:rsidRPr="00A90AA3" w:rsidRDefault="00D766DD" w:rsidP="00D766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AA3">
              <w:rPr>
                <w:rFonts w:ascii="Arial" w:hAnsi="Arial" w:cs="Arial"/>
                <w:sz w:val="24"/>
                <w:szCs w:val="24"/>
              </w:rPr>
              <w:t>Initiate and implement an ICT digital transformation strategy across the charity.</w:t>
            </w:r>
          </w:p>
          <w:p w14:paraId="4CE58D20" w14:textId="77777777" w:rsidR="00D766DD" w:rsidRPr="000E18CA" w:rsidRDefault="00D766DD" w:rsidP="00D766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8CA">
              <w:rPr>
                <w:rFonts w:ascii="Arial" w:hAnsi="Arial" w:cs="Arial"/>
                <w:b/>
                <w:bCs/>
                <w:sz w:val="24"/>
                <w:szCs w:val="24"/>
              </w:rPr>
              <w:t>Develop and strengthen relationships with customers, key stakeholders and partners.</w:t>
            </w:r>
          </w:p>
          <w:p w14:paraId="38DF6ABD" w14:textId="1421573B" w:rsidR="006D0D6A" w:rsidRPr="000E18CA" w:rsidRDefault="00D766DD" w:rsidP="006D0D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AA3">
              <w:rPr>
                <w:rFonts w:ascii="Arial" w:hAnsi="Arial" w:cs="Arial"/>
                <w:sz w:val="24"/>
                <w:szCs w:val="24"/>
              </w:rPr>
              <w:t>Deliver targeted programmes which support and enhance the physical and mental health and wellbeing of the population and which contribute to the prevention agenda</w:t>
            </w:r>
            <w:r w:rsidR="000E18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BAE8B77" w14:textId="1F4AE263" w:rsidR="006D0D6A" w:rsidRDefault="006D0D6A" w:rsidP="002579E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885"/>
      </w:tblGrid>
      <w:tr w:rsidR="006D0D6A" w:rsidRPr="00A90AA3" w14:paraId="34AA3735" w14:textId="77777777" w:rsidTr="000E18CA">
        <w:tc>
          <w:tcPr>
            <w:tcW w:w="851" w:type="dxa"/>
          </w:tcPr>
          <w:p w14:paraId="4CE73AA6" w14:textId="6FBAB5FE" w:rsidR="006D0D6A" w:rsidRPr="000E18CA" w:rsidRDefault="000E18CA" w:rsidP="000E18CA">
            <w:pPr>
              <w:pStyle w:val="NoSpacing"/>
              <w:rPr>
                <w:b/>
                <w:bCs/>
              </w:rPr>
            </w:pPr>
            <w:r w:rsidRPr="000E18CA">
              <w:rPr>
                <w:b/>
                <w:bCs/>
              </w:rPr>
              <w:t>2.</w:t>
            </w:r>
          </w:p>
        </w:tc>
        <w:tc>
          <w:tcPr>
            <w:tcW w:w="8885" w:type="dxa"/>
          </w:tcPr>
          <w:p w14:paraId="5DC1CEB1" w14:textId="47746AC6" w:rsidR="006D0D6A" w:rsidRPr="00A90AA3" w:rsidRDefault="006D0D6A" w:rsidP="006C2604">
            <w:pPr>
              <w:pStyle w:val="NoSpacing"/>
              <w:rPr>
                <w:b/>
                <w:bCs/>
              </w:rPr>
            </w:pPr>
            <w:r w:rsidRPr="00A90AA3">
              <w:rPr>
                <w:b/>
                <w:bCs/>
              </w:rPr>
              <w:t>Background</w:t>
            </w:r>
          </w:p>
          <w:p w14:paraId="6F2334B7" w14:textId="77777777" w:rsidR="006D0D6A" w:rsidRPr="00A90AA3" w:rsidRDefault="006D0D6A" w:rsidP="006C2604">
            <w:pPr>
              <w:pStyle w:val="NoSpacing"/>
              <w:rPr>
                <w:b/>
                <w:bCs/>
              </w:rPr>
            </w:pPr>
          </w:p>
        </w:tc>
      </w:tr>
      <w:tr w:rsidR="006D0D6A" w:rsidRPr="00A90AA3" w14:paraId="4A8CE2EA" w14:textId="77777777" w:rsidTr="000E18CA">
        <w:tc>
          <w:tcPr>
            <w:tcW w:w="851" w:type="dxa"/>
          </w:tcPr>
          <w:p w14:paraId="0114C74C" w14:textId="17B803FB" w:rsidR="006D0D6A" w:rsidRPr="00A90AA3" w:rsidRDefault="000E18CA" w:rsidP="000E18CA">
            <w:pPr>
              <w:pStyle w:val="NoSpacing"/>
            </w:pPr>
            <w:r>
              <w:t>2.1</w:t>
            </w:r>
          </w:p>
        </w:tc>
        <w:tc>
          <w:tcPr>
            <w:tcW w:w="8885" w:type="dxa"/>
          </w:tcPr>
          <w:p w14:paraId="2F3A038F" w14:textId="71772A83" w:rsidR="006D0D6A" w:rsidRPr="00A90AA3" w:rsidRDefault="00E72386" w:rsidP="006D0D6A">
            <w:pPr>
              <w:jc w:val="both"/>
              <w:rPr>
                <w:rFonts w:ascii="Arial" w:hAnsi="Arial" w:cs="Arial"/>
                <w:szCs w:val="24"/>
              </w:rPr>
            </w:pPr>
            <w:r w:rsidRPr="00A90AA3">
              <w:rPr>
                <w:rFonts w:ascii="Arial" w:hAnsi="Arial" w:cs="Arial"/>
                <w:szCs w:val="24"/>
              </w:rPr>
              <w:t>Th</w:t>
            </w:r>
            <w:r w:rsidR="00550B6F" w:rsidRPr="00A90AA3">
              <w:rPr>
                <w:rFonts w:ascii="Arial" w:hAnsi="Arial" w:cs="Arial"/>
                <w:szCs w:val="24"/>
              </w:rPr>
              <w:t xml:space="preserve">is </w:t>
            </w:r>
            <w:r w:rsidR="00975ADA" w:rsidRPr="00A90AA3">
              <w:rPr>
                <w:rFonts w:ascii="Arial" w:hAnsi="Arial" w:cs="Arial"/>
                <w:szCs w:val="24"/>
              </w:rPr>
              <w:t>report will summarise and update on the following</w:t>
            </w:r>
            <w:r w:rsidR="00791E6B" w:rsidRPr="00A90AA3">
              <w:rPr>
                <w:rFonts w:ascii="Arial" w:hAnsi="Arial" w:cs="Arial"/>
                <w:szCs w:val="24"/>
              </w:rPr>
              <w:t xml:space="preserve"> </w:t>
            </w:r>
            <w:r w:rsidR="00782766" w:rsidRPr="00A90AA3">
              <w:rPr>
                <w:rFonts w:ascii="Arial" w:hAnsi="Arial" w:cs="Arial"/>
                <w:szCs w:val="24"/>
              </w:rPr>
              <w:t>standing</w:t>
            </w:r>
            <w:r w:rsidR="00975ADA" w:rsidRPr="00A90AA3">
              <w:rPr>
                <w:rFonts w:ascii="Arial" w:hAnsi="Arial" w:cs="Arial"/>
                <w:szCs w:val="24"/>
              </w:rPr>
              <w:t xml:space="preserve"> HR </w:t>
            </w:r>
            <w:r w:rsidR="009765A8" w:rsidRPr="00A90AA3">
              <w:rPr>
                <w:rFonts w:ascii="Arial" w:hAnsi="Arial" w:cs="Arial"/>
                <w:szCs w:val="24"/>
              </w:rPr>
              <w:t>matters, relating to 2021/22 Q3.</w:t>
            </w:r>
          </w:p>
          <w:p w14:paraId="321D465E" w14:textId="77777777" w:rsidR="009765A8" w:rsidRPr="00A90AA3" w:rsidRDefault="009765A8" w:rsidP="006D0D6A">
            <w:pPr>
              <w:jc w:val="both"/>
              <w:rPr>
                <w:rFonts w:ascii="Arial" w:hAnsi="Arial" w:cs="Arial"/>
                <w:szCs w:val="24"/>
              </w:rPr>
            </w:pPr>
          </w:p>
          <w:p w14:paraId="0BD889B4" w14:textId="77777777" w:rsidR="003A43C1" w:rsidRPr="00A90AA3" w:rsidRDefault="009765A8" w:rsidP="009765A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AA3">
              <w:rPr>
                <w:rFonts w:ascii="Arial" w:hAnsi="Arial" w:cs="Arial"/>
                <w:sz w:val="24"/>
                <w:szCs w:val="24"/>
              </w:rPr>
              <w:t>Staffing</w:t>
            </w:r>
            <w:r w:rsidR="003A43C1" w:rsidRPr="00A90AA3">
              <w:rPr>
                <w:rFonts w:ascii="Arial" w:hAnsi="Arial" w:cs="Arial"/>
                <w:sz w:val="24"/>
                <w:szCs w:val="24"/>
              </w:rPr>
              <w:t xml:space="preserve"> matters:</w:t>
            </w:r>
            <w:r w:rsidRPr="00A90A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7922CE" w14:textId="5F75A931" w:rsidR="00746937" w:rsidRPr="00A90AA3" w:rsidRDefault="003A43C1" w:rsidP="00746937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AA3">
              <w:rPr>
                <w:rFonts w:ascii="Arial" w:hAnsi="Arial" w:cs="Arial"/>
                <w:sz w:val="24"/>
                <w:szCs w:val="24"/>
              </w:rPr>
              <w:t>e</w:t>
            </w:r>
            <w:r w:rsidR="009765A8" w:rsidRPr="00A90AA3">
              <w:rPr>
                <w:rFonts w:ascii="Arial" w:hAnsi="Arial" w:cs="Arial"/>
                <w:sz w:val="24"/>
                <w:szCs w:val="24"/>
              </w:rPr>
              <w:t>stablishment</w:t>
            </w:r>
            <w:r w:rsidR="00746937" w:rsidRPr="00A90AA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C376CDB" w14:textId="77777777" w:rsidR="00746937" w:rsidRPr="00A90AA3" w:rsidRDefault="00FB0020" w:rsidP="00746937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AA3">
              <w:rPr>
                <w:rFonts w:ascii="Arial" w:hAnsi="Arial" w:cs="Arial"/>
                <w:sz w:val="24"/>
                <w:szCs w:val="24"/>
              </w:rPr>
              <w:t>turnover;</w:t>
            </w:r>
          </w:p>
          <w:p w14:paraId="76573EBF" w14:textId="61CF14F3" w:rsidR="009765A8" w:rsidRDefault="00746937" w:rsidP="00746937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AA3">
              <w:rPr>
                <w:rFonts w:ascii="Arial" w:hAnsi="Arial" w:cs="Arial"/>
                <w:sz w:val="24"/>
                <w:szCs w:val="24"/>
              </w:rPr>
              <w:lastRenderedPageBreak/>
              <w:t>a</w:t>
            </w:r>
            <w:r w:rsidR="009765A8" w:rsidRPr="00A90AA3">
              <w:rPr>
                <w:rFonts w:ascii="Arial" w:hAnsi="Arial" w:cs="Arial"/>
                <w:sz w:val="24"/>
                <w:szCs w:val="24"/>
              </w:rPr>
              <w:t>ttendance management;</w:t>
            </w:r>
          </w:p>
          <w:p w14:paraId="60638CD6" w14:textId="744D7011" w:rsidR="006E4CB1" w:rsidRPr="00A90AA3" w:rsidRDefault="006E4CB1" w:rsidP="00746937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External (i.e. Employment Tribunal);</w:t>
            </w:r>
          </w:p>
          <w:p w14:paraId="3569F91A" w14:textId="5D80F831" w:rsidR="009765A8" w:rsidRPr="00A90AA3" w:rsidRDefault="00FB0020" w:rsidP="009765A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AA3">
              <w:rPr>
                <w:rFonts w:ascii="Arial" w:hAnsi="Arial" w:cs="Arial"/>
                <w:sz w:val="24"/>
                <w:szCs w:val="24"/>
              </w:rPr>
              <w:t>Im</w:t>
            </w:r>
            <w:r w:rsidR="00A84B1C" w:rsidRPr="00A90AA3">
              <w:rPr>
                <w:rFonts w:ascii="Arial" w:hAnsi="Arial" w:cs="Arial"/>
                <w:sz w:val="24"/>
                <w:szCs w:val="24"/>
              </w:rPr>
              <w:t>plementation of HR policies/procedures;</w:t>
            </w:r>
          </w:p>
          <w:p w14:paraId="584AD9A8" w14:textId="00BB5645" w:rsidR="00791E6B" w:rsidRPr="00A90AA3" w:rsidRDefault="00A54A90" w:rsidP="00791E6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AA3">
              <w:rPr>
                <w:rFonts w:ascii="Arial" w:hAnsi="Arial" w:cs="Arial"/>
                <w:sz w:val="24"/>
                <w:szCs w:val="24"/>
              </w:rPr>
              <w:t>Industrial relationships</w:t>
            </w:r>
          </w:p>
        </w:tc>
      </w:tr>
      <w:tr w:rsidR="003A43C1" w:rsidRPr="00A90AA3" w14:paraId="40F7DF7C" w14:textId="77777777" w:rsidTr="000E18CA">
        <w:trPr>
          <w:trHeight w:val="1080"/>
        </w:trPr>
        <w:tc>
          <w:tcPr>
            <w:tcW w:w="851" w:type="dxa"/>
          </w:tcPr>
          <w:p w14:paraId="2B6A90E9" w14:textId="6B5C5628" w:rsidR="003A43C1" w:rsidRPr="00A90AA3" w:rsidRDefault="000E18CA" w:rsidP="000E18CA">
            <w:pPr>
              <w:pStyle w:val="NoSpacing"/>
            </w:pPr>
            <w:r>
              <w:lastRenderedPageBreak/>
              <w:t>2.2</w:t>
            </w:r>
          </w:p>
        </w:tc>
        <w:tc>
          <w:tcPr>
            <w:tcW w:w="8885" w:type="dxa"/>
          </w:tcPr>
          <w:p w14:paraId="351643EF" w14:textId="77777777" w:rsidR="003A43C1" w:rsidRPr="00A90AA3" w:rsidRDefault="00791E6B" w:rsidP="006D0D6A">
            <w:pPr>
              <w:jc w:val="both"/>
              <w:rPr>
                <w:rFonts w:ascii="Arial" w:hAnsi="Arial" w:cs="Arial"/>
                <w:szCs w:val="24"/>
              </w:rPr>
            </w:pPr>
            <w:r w:rsidRPr="00A90AA3">
              <w:rPr>
                <w:rFonts w:ascii="Arial" w:hAnsi="Arial" w:cs="Arial"/>
                <w:szCs w:val="24"/>
              </w:rPr>
              <w:t>The report will also cover the following non-standard HR matters:</w:t>
            </w:r>
          </w:p>
          <w:p w14:paraId="4FA88C70" w14:textId="77777777" w:rsidR="009B2B8F" w:rsidRPr="00A90AA3" w:rsidRDefault="009B2B8F" w:rsidP="006D0D6A">
            <w:pPr>
              <w:jc w:val="both"/>
              <w:rPr>
                <w:rFonts w:ascii="Arial" w:hAnsi="Arial" w:cs="Arial"/>
                <w:szCs w:val="24"/>
              </w:rPr>
            </w:pPr>
          </w:p>
          <w:p w14:paraId="2A89883F" w14:textId="77777777" w:rsidR="009B2B8F" w:rsidRPr="00A90AA3" w:rsidRDefault="009B2B8F" w:rsidP="009B2B8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0AA3">
              <w:rPr>
                <w:rFonts w:ascii="Arial" w:hAnsi="Arial" w:cs="Arial"/>
                <w:sz w:val="24"/>
                <w:szCs w:val="24"/>
              </w:rPr>
              <w:t xml:space="preserve">Request to approve an additional public holiday to all staff; </w:t>
            </w:r>
          </w:p>
          <w:p w14:paraId="3245F5EA" w14:textId="03E95FC6" w:rsidR="00AE6A25" w:rsidRPr="00A90AA3" w:rsidRDefault="00A5580F" w:rsidP="009B2B8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Update </w:t>
            </w:r>
            <w:r w:rsidR="000D39C2">
              <w:rPr>
                <w:rFonts w:ascii="Arial" w:hAnsi="Arial" w:cs="Arial"/>
                <w:sz w:val="24"/>
                <w:szCs w:val="24"/>
              </w:rPr>
              <w:t>position relating to Employment Tribunal J Douglas V HLH</w:t>
            </w:r>
            <w:r w:rsidR="00AE6A25" w:rsidRPr="00A90A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A216875" w14:textId="19E024D7" w:rsidR="006D0D6A" w:rsidRPr="00A90AA3" w:rsidRDefault="006D0D6A" w:rsidP="002579E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885"/>
      </w:tblGrid>
      <w:tr w:rsidR="006D0D6A" w:rsidRPr="00A90AA3" w14:paraId="4B54BEF5" w14:textId="77777777" w:rsidTr="000E18CA">
        <w:tc>
          <w:tcPr>
            <w:tcW w:w="851" w:type="dxa"/>
          </w:tcPr>
          <w:p w14:paraId="50A9BD7A" w14:textId="5FA79952" w:rsidR="006D0D6A" w:rsidRPr="000E18CA" w:rsidRDefault="000E18CA" w:rsidP="000E18CA">
            <w:pPr>
              <w:pStyle w:val="NoSpacing"/>
              <w:rPr>
                <w:b/>
                <w:bCs/>
              </w:rPr>
            </w:pPr>
            <w:r w:rsidRPr="000E18CA">
              <w:rPr>
                <w:b/>
                <w:bCs/>
              </w:rPr>
              <w:t>3.</w:t>
            </w:r>
          </w:p>
        </w:tc>
        <w:tc>
          <w:tcPr>
            <w:tcW w:w="8885" w:type="dxa"/>
          </w:tcPr>
          <w:p w14:paraId="1AD6CB3D" w14:textId="4EC18C55" w:rsidR="006D0D6A" w:rsidRPr="00A90AA3" w:rsidRDefault="00E72A3A" w:rsidP="006C2604">
            <w:pPr>
              <w:pStyle w:val="NoSpacing"/>
              <w:rPr>
                <w:b/>
                <w:bCs/>
              </w:rPr>
            </w:pPr>
            <w:r w:rsidRPr="00A90AA3">
              <w:rPr>
                <w:b/>
                <w:bCs/>
              </w:rPr>
              <w:t>Update</w:t>
            </w:r>
            <w:r w:rsidR="006D0D6A" w:rsidRPr="00A90AA3">
              <w:rPr>
                <w:b/>
                <w:bCs/>
              </w:rPr>
              <w:t xml:space="preserve"> </w:t>
            </w:r>
            <w:r w:rsidR="00782766" w:rsidRPr="00A90AA3">
              <w:rPr>
                <w:b/>
                <w:bCs/>
              </w:rPr>
              <w:t>on standing HR matter</w:t>
            </w:r>
            <w:r w:rsidR="00F80CF1">
              <w:rPr>
                <w:b/>
                <w:bCs/>
              </w:rPr>
              <w:t>s</w:t>
            </w:r>
            <w:r w:rsidRPr="00A90AA3">
              <w:rPr>
                <w:b/>
                <w:bCs/>
              </w:rPr>
              <w:t xml:space="preserve"> Q3</w:t>
            </w:r>
            <w:r w:rsidR="00F80CF1">
              <w:rPr>
                <w:b/>
                <w:bCs/>
              </w:rPr>
              <w:t>, October – December 2021</w:t>
            </w:r>
          </w:p>
          <w:p w14:paraId="3D3F9570" w14:textId="77777777" w:rsidR="006D0D6A" w:rsidRPr="00A90AA3" w:rsidRDefault="006D0D6A" w:rsidP="006C2604">
            <w:pPr>
              <w:pStyle w:val="NoSpacing"/>
              <w:rPr>
                <w:b/>
                <w:bCs/>
              </w:rPr>
            </w:pPr>
          </w:p>
        </w:tc>
      </w:tr>
      <w:tr w:rsidR="006D0D6A" w:rsidRPr="00A90AA3" w14:paraId="3AAC68DE" w14:textId="77777777" w:rsidTr="000E18CA">
        <w:tc>
          <w:tcPr>
            <w:tcW w:w="851" w:type="dxa"/>
          </w:tcPr>
          <w:p w14:paraId="0D2E8B9B" w14:textId="72573105" w:rsidR="006D0D6A" w:rsidRPr="00A90AA3" w:rsidRDefault="000E18CA" w:rsidP="000E18CA">
            <w:pPr>
              <w:pStyle w:val="NoSpacing"/>
              <w:ind w:right="-243"/>
            </w:pPr>
            <w:r>
              <w:t>3.1</w:t>
            </w:r>
          </w:p>
        </w:tc>
        <w:tc>
          <w:tcPr>
            <w:tcW w:w="8885" w:type="dxa"/>
          </w:tcPr>
          <w:p w14:paraId="0B1ED35C" w14:textId="4E1C8A1C" w:rsidR="006D0D6A" w:rsidRPr="00A90AA3" w:rsidRDefault="00F662ED" w:rsidP="006C2604">
            <w:pPr>
              <w:jc w:val="both"/>
              <w:rPr>
                <w:rFonts w:ascii="Arial" w:hAnsi="Arial" w:cs="Arial"/>
                <w:szCs w:val="24"/>
              </w:rPr>
            </w:pPr>
            <w:r w:rsidRPr="00A90AA3">
              <w:rPr>
                <w:rFonts w:ascii="Arial" w:hAnsi="Arial" w:cs="Arial"/>
                <w:szCs w:val="24"/>
                <w:u w:val="single"/>
              </w:rPr>
              <w:t>Staffing matters</w:t>
            </w:r>
            <w:r w:rsidR="00EF4209" w:rsidRPr="00A90AA3">
              <w:rPr>
                <w:rFonts w:ascii="Arial" w:hAnsi="Arial" w:cs="Arial"/>
                <w:szCs w:val="24"/>
                <w:u w:val="single"/>
              </w:rPr>
              <w:t xml:space="preserve"> – establishment</w:t>
            </w:r>
          </w:p>
          <w:p w14:paraId="4DAE818A" w14:textId="547E44B6" w:rsidR="00EF4209" w:rsidRPr="00A90AA3" w:rsidRDefault="00EF4209" w:rsidP="006C2604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F4209" w:rsidRPr="00A90AA3" w14:paraId="25E2C41F" w14:textId="77777777" w:rsidTr="000E18CA">
        <w:tc>
          <w:tcPr>
            <w:tcW w:w="851" w:type="dxa"/>
          </w:tcPr>
          <w:p w14:paraId="4EE20392" w14:textId="5EEB133B" w:rsidR="00EF4209" w:rsidRPr="00A90AA3" w:rsidRDefault="000E18CA" w:rsidP="000E18CA">
            <w:pPr>
              <w:pStyle w:val="NoSpacing"/>
              <w:ind w:left="720" w:hanging="683"/>
            </w:pPr>
            <w:r>
              <w:t>3.1.1</w:t>
            </w:r>
          </w:p>
        </w:tc>
        <w:tc>
          <w:tcPr>
            <w:tcW w:w="8885" w:type="dxa"/>
          </w:tcPr>
          <w:p w14:paraId="09DD75D1" w14:textId="3B6578CC" w:rsidR="00EF4209" w:rsidRPr="00A90AA3" w:rsidRDefault="00EE3EB9" w:rsidP="006C2604">
            <w:pPr>
              <w:jc w:val="both"/>
              <w:rPr>
                <w:rFonts w:ascii="Arial" w:hAnsi="Arial" w:cs="Arial"/>
                <w:szCs w:val="24"/>
              </w:rPr>
            </w:pPr>
            <w:r w:rsidRPr="00A90AA3">
              <w:rPr>
                <w:rFonts w:ascii="Arial" w:hAnsi="Arial" w:cs="Arial"/>
                <w:szCs w:val="24"/>
              </w:rPr>
              <w:t>Changes to the charity’s staffing establishment = +19.5FTE</w:t>
            </w:r>
            <w:r w:rsidR="007D5F47" w:rsidRPr="00A90AA3">
              <w:rPr>
                <w:rFonts w:ascii="Arial" w:hAnsi="Arial" w:cs="Arial"/>
                <w:szCs w:val="24"/>
              </w:rPr>
              <w:t>.</w:t>
            </w:r>
            <w:r w:rsidR="00DA3DEC">
              <w:rPr>
                <w:rFonts w:ascii="Arial" w:hAnsi="Arial" w:cs="Arial"/>
                <w:szCs w:val="24"/>
              </w:rPr>
              <w:t xml:space="preserve"> (</w:t>
            </w:r>
            <w:r w:rsidR="00DA3DEC" w:rsidRPr="00E55373">
              <w:rPr>
                <w:rFonts w:ascii="Arial" w:hAnsi="Arial" w:cs="Arial"/>
                <w:b/>
                <w:bCs/>
                <w:szCs w:val="24"/>
              </w:rPr>
              <w:t>Appendix A</w:t>
            </w:r>
            <w:r w:rsidR="00DA3DEC">
              <w:rPr>
                <w:rFonts w:ascii="Arial" w:hAnsi="Arial" w:cs="Arial"/>
                <w:szCs w:val="24"/>
              </w:rPr>
              <w:t>)</w:t>
            </w:r>
          </w:p>
          <w:p w14:paraId="4FAFC9EF" w14:textId="4DD1EF7D" w:rsidR="007D5F47" w:rsidRPr="00A90AA3" w:rsidRDefault="007D5F47" w:rsidP="006C2604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D5F47" w:rsidRPr="00A90AA3" w14:paraId="63B1C652" w14:textId="77777777" w:rsidTr="000E18CA">
        <w:tc>
          <w:tcPr>
            <w:tcW w:w="851" w:type="dxa"/>
          </w:tcPr>
          <w:p w14:paraId="42A6F98D" w14:textId="575FEDB6" w:rsidR="007D5F47" w:rsidRPr="00A90AA3" w:rsidRDefault="000E18CA" w:rsidP="000E18CA">
            <w:pPr>
              <w:pStyle w:val="NoSpacing"/>
              <w:ind w:left="720" w:hanging="720"/>
            </w:pPr>
            <w:r>
              <w:t>3.1.2</w:t>
            </w:r>
          </w:p>
        </w:tc>
        <w:tc>
          <w:tcPr>
            <w:tcW w:w="8885" w:type="dxa"/>
          </w:tcPr>
          <w:p w14:paraId="1029218F" w14:textId="1070E0B6" w:rsidR="007D5F47" w:rsidRDefault="002D3A47" w:rsidP="006C2604">
            <w:pPr>
              <w:jc w:val="both"/>
              <w:rPr>
                <w:rFonts w:ascii="Arial" w:hAnsi="Arial" w:cs="Arial"/>
                <w:szCs w:val="24"/>
              </w:rPr>
            </w:pPr>
            <w:r w:rsidRPr="00A90AA3">
              <w:rPr>
                <w:rFonts w:ascii="Arial" w:hAnsi="Arial" w:cs="Arial"/>
                <w:szCs w:val="24"/>
              </w:rPr>
              <w:t>Quarter 3 establishment = 8</w:t>
            </w:r>
            <w:r w:rsidR="00193FE5" w:rsidRPr="00A90AA3">
              <w:rPr>
                <w:rFonts w:ascii="Arial" w:hAnsi="Arial" w:cs="Arial"/>
                <w:szCs w:val="24"/>
              </w:rPr>
              <w:t>03.5 FTE</w:t>
            </w:r>
          </w:p>
          <w:p w14:paraId="55697338" w14:textId="5941E37F" w:rsidR="001328A9" w:rsidRPr="00A90AA3" w:rsidRDefault="001328A9" w:rsidP="006C260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Quarter 2 establishment = </w:t>
            </w:r>
            <w:r w:rsidR="00FA2B10">
              <w:rPr>
                <w:rFonts w:ascii="Arial" w:hAnsi="Arial" w:cs="Arial"/>
                <w:szCs w:val="24"/>
              </w:rPr>
              <w:t>784</w:t>
            </w:r>
            <w:r w:rsidR="004477D8">
              <w:rPr>
                <w:rFonts w:ascii="Arial" w:hAnsi="Arial" w:cs="Arial"/>
                <w:szCs w:val="24"/>
              </w:rPr>
              <w:t>.0</w:t>
            </w:r>
            <w:r w:rsidR="00FA2B10">
              <w:rPr>
                <w:rFonts w:ascii="Arial" w:hAnsi="Arial" w:cs="Arial"/>
                <w:szCs w:val="24"/>
              </w:rPr>
              <w:t xml:space="preserve"> FTE</w:t>
            </w:r>
          </w:p>
          <w:p w14:paraId="1AC070BD" w14:textId="28318E34" w:rsidR="00193FE5" w:rsidRPr="00A90AA3" w:rsidRDefault="00193FE5" w:rsidP="006C2604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47262" w:rsidRPr="00A90AA3" w14:paraId="26CAB48B" w14:textId="77777777" w:rsidTr="000E18CA">
        <w:tc>
          <w:tcPr>
            <w:tcW w:w="851" w:type="dxa"/>
          </w:tcPr>
          <w:p w14:paraId="32647D66" w14:textId="7DF07A40" w:rsidR="00D47262" w:rsidRPr="00A90AA3" w:rsidRDefault="000E18CA" w:rsidP="000E18CA">
            <w:pPr>
              <w:pStyle w:val="NoSpacing"/>
              <w:ind w:left="720" w:hanging="720"/>
            </w:pPr>
            <w:r>
              <w:t>3.1.3</w:t>
            </w:r>
          </w:p>
        </w:tc>
        <w:tc>
          <w:tcPr>
            <w:tcW w:w="8885" w:type="dxa"/>
          </w:tcPr>
          <w:p w14:paraId="4BF05A4D" w14:textId="0AC1F308" w:rsidR="00D47262" w:rsidRPr="00A90AA3" w:rsidRDefault="00D47262" w:rsidP="006C2604">
            <w:pPr>
              <w:jc w:val="both"/>
              <w:rPr>
                <w:rFonts w:ascii="Arial" w:hAnsi="Arial" w:cs="Arial"/>
                <w:szCs w:val="24"/>
              </w:rPr>
            </w:pPr>
            <w:r w:rsidRPr="00A90AA3">
              <w:rPr>
                <w:rFonts w:ascii="Arial" w:hAnsi="Arial" w:cs="Arial"/>
                <w:szCs w:val="24"/>
              </w:rPr>
              <w:t>The above changes can</w:t>
            </w:r>
            <w:r w:rsidR="00904090" w:rsidRPr="00A90AA3">
              <w:rPr>
                <w:rFonts w:ascii="Arial" w:hAnsi="Arial" w:cs="Arial"/>
                <w:szCs w:val="24"/>
              </w:rPr>
              <w:t xml:space="preserve"> predominantly</w:t>
            </w:r>
            <w:r w:rsidRPr="00A90AA3">
              <w:rPr>
                <w:rFonts w:ascii="Arial" w:hAnsi="Arial" w:cs="Arial"/>
                <w:szCs w:val="24"/>
              </w:rPr>
              <w:t xml:space="preserve"> be attributed to the provision of </w:t>
            </w:r>
            <w:r w:rsidR="00904090" w:rsidRPr="00A90AA3">
              <w:rPr>
                <w:rFonts w:ascii="Arial" w:hAnsi="Arial" w:cs="Arial"/>
                <w:szCs w:val="24"/>
              </w:rPr>
              <w:t>new</w:t>
            </w:r>
            <w:r w:rsidR="004D05D2">
              <w:rPr>
                <w:rFonts w:ascii="Arial" w:hAnsi="Arial" w:cs="Arial"/>
                <w:szCs w:val="24"/>
              </w:rPr>
              <w:t>ly</w:t>
            </w:r>
            <w:r w:rsidR="00904090" w:rsidRPr="00A90AA3">
              <w:rPr>
                <w:rFonts w:ascii="Arial" w:hAnsi="Arial" w:cs="Arial"/>
                <w:szCs w:val="24"/>
              </w:rPr>
              <w:t xml:space="preserve"> </w:t>
            </w:r>
            <w:r w:rsidRPr="00A90AA3">
              <w:rPr>
                <w:rFonts w:ascii="Arial" w:hAnsi="Arial" w:cs="Arial"/>
                <w:szCs w:val="24"/>
              </w:rPr>
              <w:t>contracted positions</w:t>
            </w:r>
            <w:r w:rsidR="004D05D2">
              <w:rPr>
                <w:rFonts w:ascii="Arial" w:hAnsi="Arial" w:cs="Arial"/>
                <w:szCs w:val="24"/>
              </w:rPr>
              <w:t xml:space="preserve"> (some </w:t>
            </w:r>
            <w:r w:rsidR="00B57E9E">
              <w:rPr>
                <w:rFonts w:ascii="Arial" w:hAnsi="Arial" w:cs="Arial"/>
                <w:szCs w:val="24"/>
              </w:rPr>
              <w:t>externally funded</w:t>
            </w:r>
            <w:r w:rsidR="004D05D2">
              <w:rPr>
                <w:rFonts w:ascii="Arial" w:hAnsi="Arial" w:cs="Arial"/>
                <w:szCs w:val="24"/>
              </w:rPr>
              <w:t>)</w:t>
            </w:r>
            <w:r w:rsidR="000F4756" w:rsidRPr="00A90AA3">
              <w:rPr>
                <w:rFonts w:ascii="Arial" w:hAnsi="Arial" w:cs="Arial"/>
                <w:szCs w:val="24"/>
              </w:rPr>
              <w:t xml:space="preserve"> in</w:t>
            </w:r>
            <w:r w:rsidR="00A90AA3" w:rsidRPr="00A90AA3">
              <w:rPr>
                <w:rFonts w:ascii="Arial" w:hAnsi="Arial" w:cs="Arial"/>
                <w:szCs w:val="24"/>
              </w:rPr>
              <w:t>:</w:t>
            </w:r>
          </w:p>
          <w:p w14:paraId="42DFE6ED" w14:textId="12007B2C" w:rsidR="00A90AA3" w:rsidRPr="00A90AA3" w:rsidRDefault="00A90AA3" w:rsidP="006C2604">
            <w:pPr>
              <w:jc w:val="both"/>
              <w:rPr>
                <w:rFonts w:ascii="Arial" w:hAnsi="Arial" w:cs="Arial"/>
                <w:szCs w:val="24"/>
              </w:rPr>
            </w:pPr>
          </w:p>
          <w:p w14:paraId="248D1549" w14:textId="766D0A42" w:rsidR="004D05D2" w:rsidRDefault="004D05D2" w:rsidP="00A90A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 Learning;</w:t>
            </w:r>
          </w:p>
          <w:p w14:paraId="3781F6DD" w14:textId="20B03FD2" w:rsidR="00A90AA3" w:rsidRDefault="004D05D2" w:rsidP="00A90A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Castle;</w:t>
            </w:r>
          </w:p>
          <w:p w14:paraId="25AFC28D" w14:textId="686431E3" w:rsidR="004D05D2" w:rsidRDefault="004D05D2" w:rsidP="00A90A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Leisure; and</w:t>
            </w:r>
          </w:p>
          <w:p w14:paraId="542B939C" w14:textId="07025D24" w:rsidR="00DA3DEC" w:rsidRPr="00130A7A" w:rsidRDefault="004D05D2" w:rsidP="00DA3DEC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Youth work.</w:t>
            </w:r>
          </w:p>
        </w:tc>
      </w:tr>
      <w:tr w:rsidR="00130A7A" w:rsidRPr="00A90AA3" w14:paraId="65186E86" w14:textId="77777777" w:rsidTr="000E18CA">
        <w:tc>
          <w:tcPr>
            <w:tcW w:w="851" w:type="dxa"/>
          </w:tcPr>
          <w:p w14:paraId="31CA7A2B" w14:textId="564EEEDE" w:rsidR="00130A7A" w:rsidRPr="00A90AA3" w:rsidRDefault="00E55373" w:rsidP="000E18CA">
            <w:pPr>
              <w:pStyle w:val="NoSpacing"/>
              <w:ind w:left="792" w:hanging="792"/>
            </w:pPr>
            <w:r>
              <w:t>3.2</w:t>
            </w:r>
          </w:p>
        </w:tc>
        <w:tc>
          <w:tcPr>
            <w:tcW w:w="8885" w:type="dxa"/>
          </w:tcPr>
          <w:p w14:paraId="761B363A" w14:textId="42CB2C98" w:rsidR="00130A7A" w:rsidRDefault="00DF00B6" w:rsidP="006C260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u w:val="single"/>
              </w:rPr>
              <w:t>Staffing matters – turnover</w:t>
            </w:r>
          </w:p>
          <w:p w14:paraId="3FBD8808" w14:textId="7259B254" w:rsidR="00DF00B6" w:rsidRPr="00DF00B6" w:rsidRDefault="00DF00B6" w:rsidP="006C2604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44777" w:rsidRPr="00A90AA3" w14:paraId="5794D4C1" w14:textId="77777777" w:rsidTr="000E18CA">
        <w:tc>
          <w:tcPr>
            <w:tcW w:w="851" w:type="dxa"/>
          </w:tcPr>
          <w:p w14:paraId="21C5979A" w14:textId="5F68FAF7" w:rsidR="00644777" w:rsidRPr="00A90AA3" w:rsidRDefault="00E55373" w:rsidP="000E18CA">
            <w:pPr>
              <w:pStyle w:val="NoSpacing"/>
              <w:ind w:left="720" w:hanging="720"/>
            </w:pPr>
            <w:r>
              <w:t>3.2.</w:t>
            </w:r>
            <w:r w:rsidR="00DF3ED7">
              <w:t>1</w:t>
            </w:r>
          </w:p>
        </w:tc>
        <w:tc>
          <w:tcPr>
            <w:tcW w:w="8885" w:type="dxa"/>
          </w:tcPr>
          <w:p w14:paraId="0A03B053" w14:textId="0CFEE4F8" w:rsidR="00E5383A" w:rsidRPr="003525C5" w:rsidRDefault="00644777" w:rsidP="006C2604">
            <w:pPr>
              <w:jc w:val="both"/>
              <w:rPr>
                <w:rFonts w:ascii="Arial" w:hAnsi="Arial" w:cs="Arial"/>
                <w:szCs w:val="24"/>
              </w:rPr>
            </w:pPr>
            <w:r w:rsidRPr="003525C5">
              <w:rPr>
                <w:rFonts w:ascii="Arial" w:hAnsi="Arial" w:cs="Arial"/>
                <w:szCs w:val="24"/>
              </w:rPr>
              <w:t>The number of resignations</w:t>
            </w:r>
            <w:r w:rsidR="00E5383A" w:rsidRPr="003525C5">
              <w:rPr>
                <w:rFonts w:ascii="Arial" w:hAnsi="Arial" w:cs="Arial"/>
                <w:szCs w:val="24"/>
              </w:rPr>
              <w:t xml:space="preserve"> as a percentage of posts</w:t>
            </w:r>
            <w:r w:rsidR="006E4CB1">
              <w:rPr>
                <w:rFonts w:ascii="Arial" w:hAnsi="Arial" w:cs="Arial"/>
                <w:szCs w:val="24"/>
              </w:rPr>
              <w:t xml:space="preserve"> (number in brackets denotes the number of individual resignations)</w:t>
            </w:r>
            <w:r w:rsidRPr="003525C5">
              <w:rPr>
                <w:rFonts w:ascii="Arial" w:hAnsi="Arial" w:cs="Arial"/>
                <w:szCs w:val="24"/>
              </w:rPr>
              <w:t xml:space="preserve"> </w:t>
            </w:r>
            <w:r w:rsidR="00E5383A" w:rsidRPr="003525C5">
              <w:rPr>
                <w:rFonts w:ascii="Arial" w:hAnsi="Arial" w:cs="Arial"/>
                <w:szCs w:val="24"/>
              </w:rPr>
              <w:t>during</w:t>
            </w:r>
            <w:r w:rsidR="006E4CB1">
              <w:rPr>
                <w:rFonts w:ascii="Arial" w:hAnsi="Arial" w:cs="Arial"/>
                <w:szCs w:val="24"/>
              </w:rPr>
              <w:t xml:space="preserve"> the quarter</w:t>
            </w:r>
            <w:r w:rsidR="00E5383A" w:rsidRPr="003525C5">
              <w:rPr>
                <w:rFonts w:ascii="Arial" w:hAnsi="Arial" w:cs="Arial"/>
                <w:szCs w:val="24"/>
              </w:rPr>
              <w:t xml:space="preserve"> was:</w:t>
            </w:r>
          </w:p>
          <w:p w14:paraId="14E9122E" w14:textId="77777777" w:rsidR="00E5383A" w:rsidRPr="003525C5" w:rsidRDefault="00E5383A" w:rsidP="006C2604">
            <w:pPr>
              <w:jc w:val="both"/>
              <w:rPr>
                <w:rFonts w:ascii="Arial" w:hAnsi="Arial" w:cs="Arial"/>
                <w:szCs w:val="24"/>
              </w:rPr>
            </w:pPr>
          </w:p>
          <w:p w14:paraId="1798C370" w14:textId="29A2C4E7" w:rsidR="00373F17" w:rsidRPr="003525C5" w:rsidRDefault="00373F17" w:rsidP="00E5383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5C5">
              <w:rPr>
                <w:rFonts w:ascii="Arial" w:hAnsi="Arial" w:cs="Arial"/>
                <w:sz w:val="24"/>
                <w:szCs w:val="24"/>
              </w:rPr>
              <w:t>October = 0.9%</w:t>
            </w:r>
            <w:r w:rsidR="00FC54E4">
              <w:rPr>
                <w:rFonts w:ascii="Arial" w:hAnsi="Arial" w:cs="Arial"/>
                <w:sz w:val="24"/>
                <w:szCs w:val="24"/>
              </w:rPr>
              <w:t xml:space="preserve"> (11)</w:t>
            </w:r>
          </w:p>
          <w:p w14:paraId="5D04A617" w14:textId="64689E58" w:rsidR="00373F17" w:rsidRPr="003525C5" w:rsidRDefault="00373F17" w:rsidP="00E5383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5C5">
              <w:rPr>
                <w:rFonts w:ascii="Arial" w:hAnsi="Arial" w:cs="Arial"/>
                <w:sz w:val="24"/>
                <w:szCs w:val="24"/>
              </w:rPr>
              <w:t>November = 0.7%</w:t>
            </w:r>
            <w:r w:rsidR="00FC54E4">
              <w:rPr>
                <w:rFonts w:ascii="Arial" w:hAnsi="Arial" w:cs="Arial"/>
                <w:sz w:val="24"/>
                <w:szCs w:val="24"/>
              </w:rPr>
              <w:t xml:space="preserve"> (8)</w:t>
            </w:r>
          </w:p>
          <w:p w14:paraId="3455B887" w14:textId="1C8F7A4D" w:rsidR="00AA7491" w:rsidRPr="00132BFC" w:rsidRDefault="00373F17" w:rsidP="00AA749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5C5">
              <w:rPr>
                <w:rFonts w:ascii="Arial" w:hAnsi="Arial" w:cs="Arial"/>
                <w:sz w:val="24"/>
                <w:szCs w:val="24"/>
              </w:rPr>
              <w:t>December = 0.7%</w:t>
            </w:r>
            <w:r w:rsidR="00E5383A" w:rsidRPr="003525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54E4">
              <w:rPr>
                <w:rFonts w:ascii="Arial" w:hAnsi="Arial" w:cs="Arial"/>
                <w:sz w:val="24"/>
                <w:szCs w:val="24"/>
              </w:rPr>
              <w:t>(8)</w:t>
            </w:r>
          </w:p>
        </w:tc>
      </w:tr>
      <w:tr w:rsidR="004E1B47" w:rsidRPr="00A90AA3" w14:paraId="6070BDBC" w14:textId="77777777" w:rsidTr="000E18CA">
        <w:tc>
          <w:tcPr>
            <w:tcW w:w="851" w:type="dxa"/>
          </w:tcPr>
          <w:p w14:paraId="7FB5792C" w14:textId="7D1036CF" w:rsidR="004E1B47" w:rsidRPr="00A90AA3" w:rsidRDefault="00E55373" w:rsidP="000E18CA">
            <w:pPr>
              <w:pStyle w:val="NoSpacing"/>
              <w:ind w:left="792" w:hanging="755"/>
            </w:pPr>
            <w:r>
              <w:t>3.3</w:t>
            </w:r>
          </w:p>
        </w:tc>
        <w:tc>
          <w:tcPr>
            <w:tcW w:w="8885" w:type="dxa"/>
          </w:tcPr>
          <w:p w14:paraId="2EBCECBB" w14:textId="492791FB" w:rsidR="004E1B47" w:rsidRDefault="004E1B47" w:rsidP="006C260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u w:val="single"/>
              </w:rPr>
              <w:t>Staff</w:t>
            </w:r>
            <w:r w:rsidR="00F80CF1">
              <w:rPr>
                <w:rFonts w:ascii="Arial" w:hAnsi="Arial" w:cs="Arial"/>
                <w:szCs w:val="24"/>
                <w:u w:val="single"/>
              </w:rPr>
              <w:t>ing</w:t>
            </w:r>
            <w:r>
              <w:rPr>
                <w:rFonts w:ascii="Arial" w:hAnsi="Arial" w:cs="Arial"/>
                <w:szCs w:val="24"/>
                <w:u w:val="single"/>
              </w:rPr>
              <w:t xml:space="preserve"> matters – attendance management</w:t>
            </w:r>
          </w:p>
          <w:p w14:paraId="6FF68C49" w14:textId="3F1BF619" w:rsidR="004E1B47" w:rsidRPr="004E1B47" w:rsidRDefault="004E1B47" w:rsidP="006C2604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94E6A" w:rsidRPr="00A90AA3" w14:paraId="0B9031E2" w14:textId="77777777" w:rsidTr="000E18CA">
        <w:tc>
          <w:tcPr>
            <w:tcW w:w="851" w:type="dxa"/>
          </w:tcPr>
          <w:p w14:paraId="2E842544" w14:textId="68BDE220" w:rsidR="00794E6A" w:rsidRPr="00A90AA3" w:rsidRDefault="00E55373" w:rsidP="000E18CA">
            <w:pPr>
              <w:pStyle w:val="NoSpacing"/>
              <w:ind w:left="720" w:hanging="683"/>
            </w:pPr>
            <w:r>
              <w:t>3.3.1</w:t>
            </w:r>
          </w:p>
        </w:tc>
        <w:tc>
          <w:tcPr>
            <w:tcW w:w="8885" w:type="dxa"/>
          </w:tcPr>
          <w:p w14:paraId="55235983" w14:textId="74FBF30C" w:rsidR="00794E6A" w:rsidRPr="000F140A" w:rsidRDefault="00322420" w:rsidP="006C2604">
            <w:pPr>
              <w:jc w:val="both"/>
              <w:rPr>
                <w:rFonts w:ascii="Arial" w:hAnsi="Arial" w:cs="Arial"/>
                <w:szCs w:val="24"/>
              </w:rPr>
            </w:pPr>
            <w:r w:rsidRPr="000F140A">
              <w:rPr>
                <w:rFonts w:ascii="Arial" w:hAnsi="Arial" w:cs="Arial"/>
                <w:szCs w:val="24"/>
              </w:rPr>
              <w:t>Attendance management</w:t>
            </w:r>
            <w:r w:rsidR="000F140A" w:rsidRPr="000F140A">
              <w:rPr>
                <w:rFonts w:ascii="Arial" w:hAnsi="Arial" w:cs="Arial"/>
                <w:szCs w:val="24"/>
              </w:rPr>
              <w:t xml:space="preserve"> </w:t>
            </w:r>
            <w:r w:rsidRPr="000F140A">
              <w:rPr>
                <w:rFonts w:ascii="Arial" w:hAnsi="Arial" w:cs="Arial"/>
                <w:szCs w:val="24"/>
              </w:rPr>
              <w:t>can be summarised thus:</w:t>
            </w:r>
          </w:p>
          <w:p w14:paraId="1FB6283D" w14:textId="77777777" w:rsidR="00322420" w:rsidRPr="000F140A" w:rsidRDefault="00322420" w:rsidP="006C2604">
            <w:pPr>
              <w:jc w:val="both"/>
              <w:rPr>
                <w:rFonts w:ascii="Arial" w:hAnsi="Arial" w:cs="Arial"/>
                <w:szCs w:val="24"/>
              </w:rPr>
            </w:pPr>
          </w:p>
          <w:p w14:paraId="08DF880D" w14:textId="77777777" w:rsidR="00322420" w:rsidRDefault="000F140A" w:rsidP="0032242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Short-term absence (</w:t>
            </w:r>
            <w:r w:rsidR="00C647DC">
              <w:rPr>
                <w:rFonts w:ascii="Arial" w:hAnsi="Arial" w:cs="Arial"/>
                <w:sz w:val="24"/>
                <w:szCs w:val="24"/>
              </w:rPr>
              <w:t>&lt;10 consecutive working days) = +0.</w:t>
            </w:r>
            <w:r w:rsidR="00511CF7">
              <w:rPr>
                <w:rFonts w:ascii="Arial" w:hAnsi="Arial" w:cs="Arial"/>
                <w:sz w:val="24"/>
                <w:szCs w:val="24"/>
              </w:rPr>
              <w:t>47%</w:t>
            </w:r>
          </w:p>
          <w:p w14:paraId="32F18DD3" w14:textId="77777777" w:rsidR="00511CF7" w:rsidRDefault="00511CF7" w:rsidP="0032242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Long-term absence (&gt;10</w:t>
            </w:r>
            <w:r w:rsidR="004C0156">
              <w:rPr>
                <w:rFonts w:ascii="Arial" w:hAnsi="Arial" w:cs="Arial"/>
                <w:sz w:val="24"/>
                <w:szCs w:val="24"/>
              </w:rPr>
              <w:t xml:space="preserve"> consecutive working days) = +0.08%</w:t>
            </w:r>
          </w:p>
          <w:p w14:paraId="107497D3" w14:textId="7F274A5F" w:rsidR="00E461C2" w:rsidRDefault="00E461C2" w:rsidP="0032242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Long-term absences carried into Q </w:t>
            </w:r>
            <w:r w:rsidR="0046660F">
              <w:rPr>
                <w:rFonts w:ascii="Arial" w:hAnsi="Arial" w:cs="Arial"/>
                <w:sz w:val="24"/>
                <w:szCs w:val="24"/>
              </w:rPr>
              <w:t>4 = 11</w:t>
            </w:r>
            <w:r w:rsidR="004477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233B">
              <w:rPr>
                <w:rFonts w:ascii="Arial" w:hAnsi="Arial" w:cs="Arial"/>
                <w:sz w:val="24"/>
                <w:szCs w:val="24"/>
              </w:rPr>
              <w:t>individuals</w:t>
            </w:r>
          </w:p>
          <w:p w14:paraId="1E966AE9" w14:textId="77D66D66" w:rsidR="00E55373" w:rsidRPr="00DF3ED7" w:rsidRDefault="00AA2E40" w:rsidP="00E553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Average days sick</w:t>
            </w:r>
            <w:r w:rsidR="008C34CF">
              <w:rPr>
                <w:rFonts w:ascii="Arial" w:hAnsi="Arial" w:cs="Arial"/>
                <w:sz w:val="24"/>
                <w:szCs w:val="24"/>
              </w:rPr>
              <w:t xml:space="preserve"> per FTE employee = +</w:t>
            </w:r>
            <w:r w:rsidR="0038233B">
              <w:rPr>
                <w:rFonts w:ascii="Arial" w:hAnsi="Arial" w:cs="Arial"/>
                <w:sz w:val="24"/>
                <w:szCs w:val="24"/>
              </w:rPr>
              <w:t>0.37 days</w:t>
            </w:r>
          </w:p>
        </w:tc>
      </w:tr>
      <w:tr w:rsidR="006E4CB1" w:rsidRPr="00A90AA3" w14:paraId="18D58131" w14:textId="77777777" w:rsidTr="000E18CA">
        <w:tc>
          <w:tcPr>
            <w:tcW w:w="851" w:type="dxa"/>
          </w:tcPr>
          <w:p w14:paraId="50BEAB00" w14:textId="190A9698" w:rsidR="006E4CB1" w:rsidRPr="00A90AA3" w:rsidRDefault="00E55373" w:rsidP="000E18CA">
            <w:pPr>
              <w:pStyle w:val="NoSpacing"/>
              <w:ind w:left="792" w:hanging="755"/>
            </w:pPr>
            <w:r>
              <w:t>3.4</w:t>
            </w:r>
          </w:p>
        </w:tc>
        <w:tc>
          <w:tcPr>
            <w:tcW w:w="8885" w:type="dxa"/>
          </w:tcPr>
          <w:p w14:paraId="44BFE0B1" w14:textId="0CB39E5D" w:rsidR="006E4CB1" w:rsidRPr="00E05D4D" w:rsidRDefault="006E4CB1" w:rsidP="006E4CB1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Staffing matters – External</w:t>
            </w:r>
          </w:p>
          <w:p w14:paraId="3DB30BB9" w14:textId="77777777" w:rsidR="006E4CB1" w:rsidRDefault="006E4CB1" w:rsidP="006C2604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6E4CB1" w:rsidRPr="00A90AA3" w14:paraId="625728AA" w14:textId="77777777" w:rsidTr="000E18CA">
        <w:tc>
          <w:tcPr>
            <w:tcW w:w="851" w:type="dxa"/>
          </w:tcPr>
          <w:p w14:paraId="68961478" w14:textId="67C77FD6" w:rsidR="006E4CB1" w:rsidRPr="00A90AA3" w:rsidRDefault="00E55373" w:rsidP="00E55373">
            <w:pPr>
              <w:pStyle w:val="NoSpacing"/>
              <w:ind w:left="720" w:hanging="683"/>
            </w:pPr>
            <w:r>
              <w:t>3.4.1</w:t>
            </w:r>
          </w:p>
        </w:tc>
        <w:tc>
          <w:tcPr>
            <w:tcW w:w="8885" w:type="dxa"/>
          </w:tcPr>
          <w:p w14:paraId="14730D92" w14:textId="77777777" w:rsidR="006E4CB1" w:rsidRDefault="006E4CB1" w:rsidP="006E4CB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Employment Tribunal (ET) referred to in previous HR Update reports has now been concluded. This individual case will be subject to a verbal update at the Board meeting by the Chief Executive. </w:t>
            </w:r>
          </w:p>
          <w:p w14:paraId="609C2C2A" w14:textId="77777777" w:rsidR="006E4CB1" w:rsidRDefault="006E4CB1" w:rsidP="006C2604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6E4CB1" w:rsidRPr="00A90AA3" w14:paraId="701B56BA" w14:textId="77777777" w:rsidTr="000E18CA">
        <w:tc>
          <w:tcPr>
            <w:tcW w:w="851" w:type="dxa"/>
          </w:tcPr>
          <w:p w14:paraId="3E66634A" w14:textId="4FBAA3FA" w:rsidR="006E4CB1" w:rsidRPr="00A90AA3" w:rsidRDefault="00E55373" w:rsidP="00E55373">
            <w:pPr>
              <w:pStyle w:val="NoSpacing"/>
              <w:ind w:left="720" w:hanging="683"/>
            </w:pPr>
            <w:r>
              <w:lastRenderedPageBreak/>
              <w:t>3.4.2</w:t>
            </w:r>
          </w:p>
        </w:tc>
        <w:tc>
          <w:tcPr>
            <w:tcW w:w="8885" w:type="dxa"/>
          </w:tcPr>
          <w:p w14:paraId="63E4B6C9" w14:textId="5CF48C21" w:rsidR="006E4CB1" w:rsidRDefault="006E4CB1" w:rsidP="006E4CB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At the time of writing this report there are no ETs lodged against HLH. </w:t>
            </w:r>
          </w:p>
          <w:p w14:paraId="78FBD4B0" w14:textId="77777777" w:rsidR="006E4CB1" w:rsidRDefault="006E4CB1" w:rsidP="006E4CB1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73684" w:rsidRPr="00A90AA3" w14:paraId="316F5757" w14:textId="77777777" w:rsidTr="000E18CA">
        <w:tc>
          <w:tcPr>
            <w:tcW w:w="851" w:type="dxa"/>
          </w:tcPr>
          <w:p w14:paraId="2DACC59A" w14:textId="51CFD143" w:rsidR="00B73684" w:rsidRPr="00A90AA3" w:rsidRDefault="00E55373" w:rsidP="00E55373">
            <w:pPr>
              <w:pStyle w:val="NoSpacing"/>
              <w:ind w:left="792" w:hanging="755"/>
            </w:pPr>
            <w:r>
              <w:t>3.5</w:t>
            </w:r>
          </w:p>
        </w:tc>
        <w:tc>
          <w:tcPr>
            <w:tcW w:w="8885" w:type="dxa"/>
          </w:tcPr>
          <w:p w14:paraId="3A0A7FE6" w14:textId="5FB69935" w:rsidR="00B73684" w:rsidRDefault="00B73684" w:rsidP="006C260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u w:val="single"/>
              </w:rPr>
              <w:t xml:space="preserve">Implementation of HR policies or </w:t>
            </w:r>
            <w:r w:rsidR="004535E3">
              <w:rPr>
                <w:rFonts w:ascii="Arial" w:hAnsi="Arial" w:cs="Arial"/>
                <w:szCs w:val="24"/>
                <w:u w:val="single"/>
              </w:rPr>
              <w:t>processes</w:t>
            </w:r>
          </w:p>
          <w:p w14:paraId="58257E69" w14:textId="6D38E087" w:rsidR="00B73684" w:rsidRPr="00B73684" w:rsidRDefault="00B73684" w:rsidP="006C2604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73684" w:rsidRPr="00A90AA3" w14:paraId="3A763C37" w14:textId="77777777" w:rsidTr="000E18CA">
        <w:tc>
          <w:tcPr>
            <w:tcW w:w="851" w:type="dxa"/>
          </w:tcPr>
          <w:p w14:paraId="5356F59A" w14:textId="2D070AC1" w:rsidR="00B73684" w:rsidRPr="00A90AA3" w:rsidRDefault="00E55373" w:rsidP="00E55373">
            <w:pPr>
              <w:pStyle w:val="NoSpacing"/>
              <w:ind w:left="720" w:hanging="683"/>
            </w:pPr>
            <w:r>
              <w:t>3.5.1</w:t>
            </w:r>
          </w:p>
        </w:tc>
        <w:tc>
          <w:tcPr>
            <w:tcW w:w="8885" w:type="dxa"/>
          </w:tcPr>
          <w:p w14:paraId="0D5B77A6" w14:textId="10B46ECC" w:rsidR="00B73684" w:rsidRPr="002F7E38" w:rsidRDefault="00510055" w:rsidP="006C260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="00B73684" w:rsidRPr="002F7E38">
              <w:rPr>
                <w:rFonts w:ascii="Arial" w:hAnsi="Arial" w:cs="Arial"/>
                <w:szCs w:val="24"/>
              </w:rPr>
              <w:t xml:space="preserve">he </w:t>
            </w:r>
            <w:r w:rsidR="004535E3" w:rsidRPr="002F7E38">
              <w:rPr>
                <w:rFonts w:ascii="Arial" w:hAnsi="Arial" w:cs="Arial"/>
                <w:szCs w:val="24"/>
              </w:rPr>
              <w:t>following</w:t>
            </w:r>
            <w:r w:rsidR="0042659A">
              <w:rPr>
                <w:rFonts w:ascii="Arial" w:hAnsi="Arial" w:cs="Arial"/>
                <w:szCs w:val="24"/>
              </w:rPr>
              <w:t xml:space="preserve"> list details the application of</w:t>
            </w:r>
            <w:r w:rsidR="004535E3" w:rsidRPr="002F7E38">
              <w:rPr>
                <w:rFonts w:ascii="Arial" w:hAnsi="Arial" w:cs="Arial"/>
                <w:szCs w:val="24"/>
              </w:rPr>
              <w:t xml:space="preserve"> HR policies or processes:</w:t>
            </w:r>
          </w:p>
          <w:p w14:paraId="59DE2E5A" w14:textId="77777777" w:rsidR="004535E3" w:rsidRPr="002F7E38" w:rsidRDefault="004535E3" w:rsidP="006C2604">
            <w:pPr>
              <w:jc w:val="both"/>
              <w:rPr>
                <w:rFonts w:ascii="Arial" w:hAnsi="Arial" w:cs="Arial"/>
                <w:szCs w:val="24"/>
              </w:rPr>
            </w:pPr>
          </w:p>
          <w:p w14:paraId="070FE534" w14:textId="270D8482" w:rsidR="005F468A" w:rsidRPr="002F7E38" w:rsidRDefault="004535E3" w:rsidP="005F468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E38">
              <w:rPr>
                <w:rFonts w:ascii="Arial" w:hAnsi="Arial" w:cs="Arial"/>
                <w:sz w:val="24"/>
                <w:szCs w:val="24"/>
              </w:rPr>
              <w:t>D</w:t>
            </w:r>
            <w:r w:rsidR="00535529" w:rsidRPr="002F7E38">
              <w:rPr>
                <w:rFonts w:ascii="Arial" w:hAnsi="Arial" w:cs="Arial"/>
                <w:sz w:val="24"/>
                <w:szCs w:val="24"/>
              </w:rPr>
              <w:t>isciplinary procedure = 1</w:t>
            </w:r>
          </w:p>
          <w:p w14:paraId="6EB9D0E4" w14:textId="77777777" w:rsidR="005F468A" w:rsidRPr="002F7E38" w:rsidRDefault="00535529" w:rsidP="005F468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E38">
              <w:rPr>
                <w:rFonts w:ascii="Arial" w:hAnsi="Arial" w:cs="Arial"/>
                <w:sz w:val="24"/>
                <w:szCs w:val="24"/>
              </w:rPr>
              <w:t>Internal resolution process (formerly</w:t>
            </w:r>
            <w:r w:rsidR="005F468A" w:rsidRPr="002F7E38">
              <w:rPr>
                <w:rFonts w:ascii="Arial" w:hAnsi="Arial" w:cs="Arial"/>
                <w:sz w:val="24"/>
                <w:szCs w:val="24"/>
              </w:rPr>
              <w:t xml:space="preserve"> Grievance) = 0</w:t>
            </w:r>
          </w:p>
          <w:p w14:paraId="18566E1F" w14:textId="77777777" w:rsidR="00564C21" w:rsidRPr="002F7E38" w:rsidRDefault="00564C21" w:rsidP="005F468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E38">
              <w:rPr>
                <w:rFonts w:ascii="Arial" w:hAnsi="Arial" w:cs="Arial"/>
                <w:sz w:val="24"/>
                <w:szCs w:val="24"/>
              </w:rPr>
              <w:t>Dignity at Work = 0</w:t>
            </w:r>
          </w:p>
          <w:p w14:paraId="4A18F4DA" w14:textId="2D9EA5E6" w:rsidR="002F7E38" w:rsidRPr="00A27CC6" w:rsidRDefault="002F7E38" w:rsidP="002F7E3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E38">
              <w:rPr>
                <w:rFonts w:ascii="Arial" w:hAnsi="Arial" w:cs="Arial"/>
                <w:sz w:val="24"/>
                <w:szCs w:val="24"/>
              </w:rPr>
              <w:t>Whistleblowing = 0</w:t>
            </w:r>
          </w:p>
        </w:tc>
      </w:tr>
      <w:tr w:rsidR="0071340A" w:rsidRPr="00A90AA3" w14:paraId="357A9243" w14:textId="77777777" w:rsidTr="000E18CA">
        <w:tc>
          <w:tcPr>
            <w:tcW w:w="851" w:type="dxa"/>
          </w:tcPr>
          <w:p w14:paraId="36371B85" w14:textId="17098AD7" w:rsidR="0071340A" w:rsidRPr="00A90AA3" w:rsidRDefault="00E55373" w:rsidP="00E55373">
            <w:pPr>
              <w:pStyle w:val="NoSpacing"/>
              <w:ind w:left="792" w:hanging="755"/>
            </w:pPr>
            <w:r>
              <w:t>3.6</w:t>
            </w:r>
          </w:p>
        </w:tc>
        <w:tc>
          <w:tcPr>
            <w:tcW w:w="8885" w:type="dxa"/>
          </w:tcPr>
          <w:p w14:paraId="5732AB2F" w14:textId="77777777" w:rsidR="0071340A" w:rsidRDefault="0071340A" w:rsidP="006C260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u w:val="single"/>
              </w:rPr>
              <w:t>Industrial relationships</w:t>
            </w:r>
          </w:p>
          <w:p w14:paraId="7B278086" w14:textId="05638D5C" w:rsidR="0071340A" w:rsidRPr="0071340A" w:rsidRDefault="0071340A" w:rsidP="006C2604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1340A" w:rsidRPr="00A90AA3" w14:paraId="6C17E350" w14:textId="77777777" w:rsidTr="000E18CA">
        <w:tc>
          <w:tcPr>
            <w:tcW w:w="851" w:type="dxa"/>
          </w:tcPr>
          <w:p w14:paraId="0537AC1A" w14:textId="1676DFEF" w:rsidR="0071340A" w:rsidRPr="00A90AA3" w:rsidRDefault="00E55373" w:rsidP="00E55373">
            <w:pPr>
              <w:pStyle w:val="NoSpacing"/>
              <w:ind w:left="720" w:hanging="683"/>
            </w:pPr>
            <w:r>
              <w:t>3.6.1</w:t>
            </w:r>
          </w:p>
        </w:tc>
        <w:tc>
          <w:tcPr>
            <w:tcW w:w="8885" w:type="dxa"/>
          </w:tcPr>
          <w:p w14:paraId="410A57A7" w14:textId="77777777" w:rsidR="0071340A" w:rsidRPr="0042659A" w:rsidRDefault="000B3CD9" w:rsidP="006C2604">
            <w:pPr>
              <w:jc w:val="both"/>
              <w:rPr>
                <w:rFonts w:ascii="Arial" w:hAnsi="Arial" w:cs="Arial"/>
                <w:szCs w:val="24"/>
              </w:rPr>
            </w:pPr>
            <w:r w:rsidRPr="0042659A">
              <w:rPr>
                <w:rFonts w:ascii="Arial" w:hAnsi="Arial" w:cs="Arial"/>
                <w:szCs w:val="24"/>
              </w:rPr>
              <w:t xml:space="preserve">The Charity </w:t>
            </w:r>
            <w:r w:rsidR="0074489B" w:rsidRPr="0042659A">
              <w:rPr>
                <w:rFonts w:ascii="Arial" w:hAnsi="Arial" w:cs="Arial"/>
                <w:szCs w:val="24"/>
              </w:rPr>
              <w:t>recognises and engages with the following Unions:</w:t>
            </w:r>
          </w:p>
          <w:p w14:paraId="357BA4E1" w14:textId="77777777" w:rsidR="0074489B" w:rsidRPr="0042659A" w:rsidRDefault="0074489B" w:rsidP="006C2604">
            <w:pPr>
              <w:jc w:val="both"/>
              <w:rPr>
                <w:rFonts w:ascii="Arial" w:hAnsi="Arial" w:cs="Arial"/>
                <w:szCs w:val="24"/>
              </w:rPr>
            </w:pPr>
          </w:p>
          <w:p w14:paraId="717E3F7C" w14:textId="77777777" w:rsidR="005C7961" w:rsidRPr="0042659A" w:rsidRDefault="005C7961" w:rsidP="00E55373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59A">
              <w:rPr>
                <w:rFonts w:ascii="Arial" w:hAnsi="Arial" w:cs="Arial"/>
                <w:sz w:val="24"/>
                <w:szCs w:val="24"/>
              </w:rPr>
              <w:t>EIS (Music instructors)</w:t>
            </w:r>
          </w:p>
          <w:p w14:paraId="7CF14E23" w14:textId="77777777" w:rsidR="005C7961" w:rsidRPr="0042659A" w:rsidRDefault="005C7961" w:rsidP="00E55373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59A">
              <w:rPr>
                <w:rFonts w:ascii="Arial" w:hAnsi="Arial" w:cs="Arial"/>
                <w:sz w:val="24"/>
                <w:szCs w:val="24"/>
              </w:rPr>
              <w:t>GMB</w:t>
            </w:r>
          </w:p>
          <w:p w14:paraId="32984561" w14:textId="77777777" w:rsidR="005C7961" w:rsidRPr="0042659A" w:rsidRDefault="005C7961" w:rsidP="00E55373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59A">
              <w:rPr>
                <w:rFonts w:ascii="Arial" w:hAnsi="Arial" w:cs="Arial"/>
                <w:sz w:val="24"/>
                <w:szCs w:val="24"/>
              </w:rPr>
              <w:t>UNISON</w:t>
            </w:r>
          </w:p>
          <w:p w14:paraId="58A350E4" w14:textId="77777777" w:rsidR="005C7961" w:rsidRPr="0042659A" w:rsidRDefault="005C7961" w:rsidP="00E55373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59A">
              <w:rPr>
                <w:rFonts w:ascii="Arial" w:hAnsi="Arial" w:cs="Arial"/>
                <w:sz w:val="24"/>
                <w:szCs w:val="24"/>
              </w:rPr>
              <w:t>Unite the Union</w:t>
            </w:r>
          </w:p>
          <w:p w14:paraId="13DE41FA" w14:textId="77777777" w:rsidR="007B4229" w:rsidRPr="0042659A" w:rsidRDefault="007B4229" w:rsidP="007B4229">
            <w:pPr>
              <w:jc w:val="both"/>
              <w:rPr>
                <w:rFonts w:ascii="Arial" w:hAnsi="Arial" w:cs="Arial"/>
                <w:szCs w:val="24"/>
              </w:rPr>
            </w:pPr>
            <w:r w:rsidRPr="0042659A">
              <w:rPr>
                <w:rFonts w:ascii="Arial" w:hAnsi="Arial" w:cs="Arial"/>
                <w:szCs w:val="24"/>
              </w:rPr>
              <w:t>Ongoing communication and consultation with the above unions is undertaken through the Joint Con</w:t>
            </w:r>
            <w:r w:rsidR="000F0479" w:rsidRPr="0042659A">
              <w:rPr>
                <w:rFonts w:ascii="Arial" w:hAnsi="Arial" w:cs="Arial"/>
                <w:szCs w:val="24"/>
              </w:rPr>
              <w:t>sultation Forum (JCF), Chaired by the Director of Corporate Services and which meets quarterly.</w:t>
            </w:r>
          </w:p>
          <w:p w14:paraId="43D20BB4" w14:textId="48E1A75C" w:rsidR="000F0479" w:rsidRPr="0042659A" w:rsidRDefault="000F0479" w:rsidP="007B4229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456AA" w:rsidRPr="00A90AA3" w14:paraId="7DAAA51A" w14:textId="77777777" w:rsidTr="000E7F04">
        <w:trPr>
          <w:trHeight w:val="2695"/>
        </w:trPr>
        <w:tc>
          <w:tcPr>
            <w:tcW w:w="851" w:type="dxa"/>
          </w:tcPr>
          <w:p w14:paraId="38F69DFF" w14:textId="6A1E9F6E" w:rsidR="002456AA" w:rsidRPr="00A90AA3" w:rsidRDefault="00E55373" w:rsidP="000E18CA">
            <w:pPr>
              <w:pStyle w:val="NoSpacing"/>
              <w:ind w:left="720" w:hanging="683"/>
            </w:pPr>
            <w:r>
              <w:t>3.6.2</w:t>
            </w:r>
          </w:p>
        </w:tc>
        <w:tc>
          <w:tcPr>
            <w:tcW w:w="8885" w:type="dxa"/>
          </w:tcPr>
          <w:p w14:paraId="02C91B5E" w14:textId="31009A7F" w:rsidR="002456AA" w:rsidRPr="00A67816" w:rsidRDefault="002456AA" w:rsidP="006C2604">
            <w:pPr>
              <w:jc w:val="both"/>
              <w:rPr>
                <w:rFonts w:ascii="Arial" w:hAnsi="Arial" w:cs="Arial"/>
                <w:szCs w:val="24"/>
              </w:rPr>
            </w:pPr>
            <w:r w:rsidRPr="00A67816">
              <w:rPr>
                <w:rFonts w:ascii="Arial" w:hAnsi="Arial" w:cs="Arial"/>
                <w:szCs w:val="24"/>
              </w:rPr>
              <w:t xml:space="preserve">The JCF met virtually on </w:t>
            </w:r>
            <w:r w:rsidR="00C654E0" w:rsidRPr="00A67816">
              <w:rPr>
                <w:rFonts w:ascii="Arial" w:hAnsi="Arial" w:cs="Arial"/>
                <w:szCs w:val="24"/>
              </w:rPr>
              <w:t>9 December 2021</w:t>
            </w:r>
            <w:r w:rsidR="001A2559">
              <w:rPr>
                <w:rFonts w:ascii="Arial" w:hAnsi="Arial" w:cs="Arial"/>
                <w:szCs w:val="24"/>
              </w:rPr>
              <w:t xml:space="preserve"> and on 10 March 2022</w:t>
            </w:r>
            <w:r w:rsidR="00C654E0" w:rsidRPr="00A67816">
              <w:rPr>
                <w:rFonts w:ascii="Arial" w:hAnsi="Arial" w:cs="Arial"/>
                <w:szCs w:val="24"/>
              </w:rPr>
              <w:t>. The following items were discussed:</w:t>
            </w:r>
          </w:p>
          <w:p w14:paraId="39A81987" w14:textId="77777777" w:rsidR="00C654E0" w:rsidRPr="00A67816" w:rsidRDefault="00C654E0" w:rsidP="006C2604">
            <w:pPr>
              <w:jc w:val="both"/>
              <w:rPr>
                <w:rFonts w:ascii="Arial" w:hAnsi="Arial" w:cs="Arial"/>
                <w:szCs w:val="24"/>
              </w:rPr>
            </w:pPr>
          </w:p>
          <w:p w14:paraId="3B8B6099" w14:textId="77777777" w:rsidR="00C654E0" w:rsidRPr="00A67816" w:rsidRDefault="00C654E0" w:rsidP="00E55373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816">
              <w:rPr>
                <w:rFonts w:ascii="Arial" w:hAnsi="Arial" w:cs="Arial"/>
                <w:sz w:val="24"/>
                <w:szCs w:val="24"/>
              </w:rPr>
              <w:t>Enhanced pay for staff;</w:t>
            </w:r>
          </w:p>
          <w:p w14:paraId="6A9FB232" w14:textId="77777777" w:rsidR="00C654E0" w:rsidRPr="00A67816" w:rsidRDefault="00C654E0" w:rsidP="00E55373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816">
              <w:rPr>
                <w:rFonts w:ascii="Arial" w:hAnsi="Arial" w:cs="Arial"/>
                <w:sz w:val="24"/>
                <w:szCs w:val="24"/>
              </w:rPr>
              <w:t>Pay award for 20</w:t>
            </w:r>
            <w:r w:rsidR="00F157DD" w:rsidRPr="00A67816">
              <w:rPr>
                <w:rFonts w:ascii="Arial" w:hAnsi="Arial" w:cs="Arial"/>
                <w:sz w:val="24"/>
                <w:szCs w:val="24"/>
              </w:rPr>
              <w:t>20/21;</w:t>
            </w:r>
          </w:p>
          <w:p w14:paraId="52EF3823" w14:textId="77777777" w:rsidR="00F157DD" w:rsidRPr="00A67816" w:rsidRDefault="00F157DD" w:rsidP="00E55373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816">
              <w:rPr>
                <w:rFonts w:ascii="Arial" w:hAnsi="Arial" w:cs="Arial"/>
                <w:sz w:val="24"/>
                <w:szCs w:val="24"/>
              </w:rPr>
              <w:t>Process for automatically matching trainees into permanent posts;</w:t>
            </w:r>
          </w:p>
          <w:p w14:paraId="5ACEDD19" w14:textId="77777777" w:rsidR="002C653A" w:rsidRPr="00A67816" w:rsidRDefault="002C653A" w:rsidP="00E55373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816">
              <w:rPr>
                <w:rFonts w:ascii="Arial" w:hAnsi="Arial" w:cs="Arial"/>
                <w:sz w:val="24"/>
                <w:szCs w:val="24"/>
              </w:rPr>
              <w:t>Process for managing “notes to file”;</w:t>
            </w:r>
          </w:p>
          <w:p w14:paraId="408ACAD7" w14:textId="77777777" w:rsidR="002C653A" w:rsidRPr="00A67816" w:rsidRDefault="002C653A" w:rsidP="00E55373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816">
              <w:rPr>
                <w:rFonts w:ascii="Arial" w:hAnsi="Arial" w:cs="Arial"/>
                <w:sz w:val="24"/>
                <w:szCs w:val="24"/>
              </w:rPr>
              <w:t xml:space="preserve">Redundancies of </w:t>
            </w:r>
            <w:r w:rsidR="00A80F57" w:rsidRPr="00A67816">
              <w:rPr>
                <w:rFonts w:ascii="Arial" w:hAnsi="Arial" w:cs="Arial"/>
                <w:sz w:val="24"/>
                <w:szCs w:val="24"/>
              </w:rPr>
              <w:t>childcare staff at Averon Centre;</w:t>
            </w:r>
          </w:p>
          <w:p w14:paraId="5D544B67" w14:textId="77777777" w:rsidR="001A2559" w:rsidRDefault="00A80F57" w:rsidP="00E55373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816">
              <w:rPr>
                <w:rFonts w:ascii="Arial" w:hAnsi="Arial" w:cs="Arial"/>
                <w:sz w:val="24"/>
                <w:szCs w:val="24"/>
              </w:rPr>
              <w:t>Working from Home arrangements</w:t>
            </w:r>
            <w:r w:rsidR="001A2559">
              <w:rPr>
                <w:rFonts w:ascii="Arial" w:hAnsi="Arial" w:cs="Arial"/>
                <w:sz w:val="24"/>
                <w:szCs w:val="24"/>
              </w:rPr>
              <w:t>/risk assessments and home assessment visits</w:t>
            </w:r>
            <w:r w:rsidRPr="00A6781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45AB18E" w14:textId="5AC2B855" w:rsidR="00A80F57" w:rsidRPr="00A67816" w:rsidRDefault="001A2559" w:rsidP="00E55373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Potential national campaign by Unite The Union regarding supporting staff where transport links are unavailable to them at end of work (evenings);</w:t>
            </w:r>
            <w:r w:rsidR="00A67816" w:rsidRPr="00A67816">
              <w:rPr>
                <w:rFonts w:ascii="Arial" w:hAnsi="Arial" w:cs="Arial"/>
                <w:sz w:val="24"/>
                <w:szCs w:val="24"/>
              </w:rPr>
              <w:t xml:space="preserve"> and </w:t>
            </w:r>
          </w:p>
          <w:p w14:paraId="68180CA9" w14:textId="5A913915" w:rsidR="00A67816" w:rsidRPr="006E4CB1" w:rsidRDefault="00A67816" w:rsidP="00E55373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816">
              <w:rPr>
                <w:rFonts w:ascii="Arial" w:hAnsi="Arial" w:cs="Arial"/>
                <w:sz w:val="24"/>
                <w:szCs w:val="24"/>
              </w:rPr>
              <w:t xml:space="preserve">Contracts and grading positions for swim teachers. </w:t>
            </w:r>
          </w:p>
        </w:tc>
      </w:tr>
    </w:tbl>
    <w:p w14:paraId="46F218AF" w14:textId="2D77F327" w:rsidR="006D0D6A" w:rsidRDefault="006D0D6A" w:rsidP="002579E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885"/>
      </w:tblGrid>
      <w:tr w:rsidR="004A1367" w:rsidRPr="00A90AA3" w14:paraId="1D49805F" w14:textId="77777777" w:rsidTr="000E18CA">
        <w:tc>
          <w:tcPr>
            <w:tcW w:w="851" w:type="dxa"/>
          </w:tcPr>
          <w:p w14:paraId="6931E7D8" w14:textId="4C13F2B9" w:rsidR="004A1367" w:rsidRPr="00E55373" w:rsidRDefault="00E55373" w:rsidP="00E55373">
            <w:pPr>
              <w:pStyle w:val="NoSpacing"/>
              <w:ind w:left="360" w:hanging="323"/>
              <w:rPr>
                <w:b/>
                <w:bCs/>
              </w:rPr>
            </w:pPr>
            <w:r w:rsidRPr="00E55373">
              <w:rPr>
                <w:b/>
                <w:bCs/>
              </w:rPr>
              <w:t>4.</w:t>
            </w:r>
          </w:p>
        </w:tc>
        <w:tc>
          <w:tcPr>
            <w:tcW w:w="8885" w:type="dxa"/>
          </w:tcPr>
          <w:p w14:paraId="3A984075" w14:textId="29F1A898" w:rsidR="004A1367" w:rsidRPr="00A90AA3" w:rsidRDefault="004A1367" w:rsidP="006C260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Platinum Jubilee</w:t>
            </w:r>
          </w:p>
          <w:p w14:paraId="7DED8D0F" w14:textId="77777777" w:rsidR="004A1367" w:rsidRPr="00A90AA3" w:rsidRDefault="004A1367" w:rsidP="006C2604">
            <w:pPr>
              <w:pStyle w:val="NoSpacing"/>
              <w:rPr>
                <w:b/>
                <w:bCs/>
              </w:rPr>
            </w:pPr>
          </w:p>
        </w:tc>
      </w:tr>
      <w:tr w:rsidR="004A1367" w:rsidRPr="00A90AA3" w14:paraId="5A8A4773" w14:textId="77777777" w:rsidTr="000E18CA">
        <w:tc>
          <w:tcPr>
            <w:tcW w:w="851" w:type="dxa"/>
          </w:tcPr>
          <w:p w14:paraId="27CE832C" w14:textId="21C86821" w:rsidR="004A1367" w:rsidRPr="00A90AA3" w:rsidRDefault="00E55373" w:rsidP="00E55373">
            <w:pPr>
              <w:pStyle w:val="NoSpacing"/>
              <w:ind w:left="792" w:hanging="755"/>
            </w:pPr>
            <w:r>
              <w:t>4.1</w:t>
            </w:r>
          </w:p>
        </w:tc>
        <w:tc>
          <w:tcPr>
            <w:tcW w:w="8885" w:type="dxa"/>
          </w:tcPr>
          <w:p w14:paraId="388AED7A" w14:textId="25585C7E" w:rsidR="004A1367" w:rsidRPr="00A90AA3" w:rsidRDefault="006D2F92" w:rsidP="006C260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Directors will be aware that </w:t>
            </w:r>
            <w:r w:rsidR="004C428E">
              <w:rPr>
                <w:rFonts w:ascii="Arial" w:hAnsi="Arial" w:cs="Arial"/>
                <w:szCs w:val="24"/>
              </w:rPr>
              <w:t xml:space="preserve">this year </w:t>
            </w:r>
            <w:r>
              <w:rPr>
                <w:rFonts w:ascii="Arial" w:hAnsi="Arial" w:cs="Arial"/>
                <w:szCs w:val="24"/>
              </w:rPr>
              <w:t xml:space="preserve">HM The Queen </w:t>
            </w:r>
            <w:r w:rsidR="004C428E">
              <w:rPr>
                <w:rFonts w:ascii="Arial" w:hAnsi="Arial" w:cs="Arial"/>
                <w:szCs w:val="24"/>
              </w:rPr>
              <w:t xml:space="preserve">will have been on </w:t>
            </w:r>
            <w:r w:rsidR="00E55373">
              <w:rPr>
                <w:rFonts w:ascii="Arial" w:hAnsi="Arial" w:cs="Arial"/>
                <w:szCs w:val="24"/>
              </w:rPr>
              <w:t xml:space="preserve">the </w:t>
            </w:r>
            <w:r w:rsidR="004C428E">
              <w:rPr>
                <w:rFonts w:ascii="Arial" w:hAnsi="Arial" w:cs="Arial"/>
                <w:szCs w:val="24"/>
              </w:rPr>
              <w:t>throne for 70</w:t>
            </w:r>
            <w:r w:rsidR="00E55373">
              <w:rPr>
                <w:rFonts w:ascii="Arial" w:hAnsi="Arial" w:cs="Arial"/>
                <w:szCs w:val="24"/>
              </w:rPr>
              <w:t xml:space="preserve"> years</w:t>
            </w:r>
            <w:r w:rsidR="004C428E">
              <w:rPr>
                <w:rFonts w:ascii="Arial" w:hAnsi="Arial" w:cs="Arial"/>
                <w:szCs w:val="24"/>
              </w:rPr>
              <w:t xml:space="preserve">, therefore celebrating her Platinum Jubilee. </w:t>
            </w:r>
            <w:r w:rsidR="00CE6F65">
              <w:rPr>
                <w:rFonts w:ascii="Arial" w:hAnsi="Arial" w:cs="Arial"/>
                <w:szCs w:val="24"/>
              </w:rPr>
              <w:t xml:space="preserve">The UK Government has announced </w:t>
            </w:r>
            <w:r w:rsidR="00A81B12">
              <w:rPr>
                <w:rFonts w:ascii="Arial" w:hAnsi="Arial" w:cs="Arial"/>
                <w:szCs w:val="24"/>
              </w:rPr>
              <w:t>a</w:t>
            </w:r>
            <w:r w:rsidR="009A3584">
              <w:rPr>
                <w:rFonts w:ascii="Arial" w:hAnsi="Arial" w:cs="Arial"/>
                <w:szCs w:val="24"/>
              </w:rPr>
              <w:t xml:space="preserve">n additional bank holiday on Friday 3 June 2022. </w:t>
            </w:r>
          </w:p>
          <w:p w14:paraId="44C52787" w14:textId="77777777" w:rsidR="004A1367" w:rsidRPr="00A90AA3" w:rsidRDefault="004A1367" w:rsidP="006C2604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A3584" w:rsidRPr="00A90AA3" w14:paraId="3C51848B" w14:textId="77777777" w:rsidTr="000E18CA">
        <w:tc>
          <w:tcPr>
            <w:tcW w:w="851" w:type="dxa"/>
          </w:tcPr>
          <w:p w14:paraId="4DEAAA49" w14:textId="37451353" w:rsidR="009A3584" w:rsidRPr="00A90AA3" w:rsidRDefault="00E55373" w:rsidP="00E55373">
            <w:pPr>
              <w:pStyle w:val="NoSpacing"/>
              <w:ind w:left="792" w:hanging="755"/>
            </w:pPr>
            <w:r>
              <w:t>4.2</w:t>
            </w:r>
          </w:p>
        </w:tc>
        <w:tc>
          <w:tcPr>
            <w:tcW w:w="8885" w:type="dxa"/>
          </w:tcPr>
          <w:p w14:paraId="3F2F9108" w14:textId="058DA0A4" w:rsidR="00A3480A" w:rsidRDefault="00F80CF1" w:rsidP="006C260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Directors are</w:t>
            </w:r>
            <w:r w:rsidR="000565A6">
              <w:rPr>
                <w:rFonts w:ascii="Arial" w:hAnsi="Arial" w:cs="Arial"/>
                <w:szCs w:val="24"/>
              </w:rPr>
              <w:t xml:space="preserve"> asked to approve </w:t>
            </w:r>
            <w:r w:rsidR="005A6313">
              <w:rPr>
                <w:rFonts w:ascii="Arial" w:hAnsi="Arial" w:cs="Arial"/>
                <w:szCs w:val="24"/>
              </w:rPr>
              <w:t>an additional one-off</w:t>
            </w:r>
            <w:r w:rsidR="00AE2366">
              <w:rPr>
                <w:rFonts w:ascii="Arial" w:hAnsi="Arial" w:cs="Arial"/>
                <w:szCs w:val="24"/>
              </w:rPr>
              <w:t xml:space="preserve"> special Platinum Jubilee</w:t>
            </w:r>
            <w:r w:rsidR="005A6313">
              <w:rPr>
                <w:rFonts w:ascii="Arial" w:hAnsi="Arial" w:cs="Arial"/>
                <w:szCs w:val="24"/>
              </w:rPr>
              <w:t xml:space="preserve"> public </w:t>
            </w:r>
            <w:r w:rsidR="00AE2366">
              <w:rPr>
                <w:rFonts w:ascii="Arial" w:hAnsi="Arial" w:cs="Arial"/>
                <w:szCs w:val="24"/>
              </w:rPr>
              <w:t xml:space="preserve">holiday </w:t>
            </w:r>
            <w:r w:rsidR="005A6313">
              <w:rPr>
                <w:rFonts w:ascii="Arial" w:hAnsi="Arial" w:cs="Arial"/>
                <w:szCs w:val="24"/>
              </w:rPr>
              <w:t>for all staff on Friday 3 June</w:t>
            </w:r>
            <w:r w:rsidR="00AE2366">
              <w:rPr>
                <w:rFonts w:ascii="Arial" w:hAnsi="Arial" w:cs="Arial"/>
                <w:szCs w:val="24"/>
              </w:rPr>
              <w:t>.</w:t>
            </w:r>
            <w:r w:rsidR="00A3480A">
              <w:rPr>
                <w:rFonts w:ascii="Arial" w:hAnsi="Arial" w:cs="Arial"/>
                <w:szCs w:val="24"/>
              </w:rPr>
              <w:t xml:space="preserve"> Any staff required to work on this date will be paid in accordance with the charit</w:t>
            </w:r>
            <w:r w:rsidR="00E55373">
              <w:rPr>
                <w:rFonts w:ascii="Arial" w:hAnsi="Arial" w:cs="Arial"/>
                <w:szCs w:val="24"/>
              </w:rPr>
              <w:t>y’s</w:t>
            </w:r>
            <w:r w:rsidR="00A3480A">
              <w:rPr>
                <w:rFonts w:ascii="Arial" w:hAnsi="Arial" w:cs="Arial"/>
                <w:szCs w:val="24"/>
              </w:rPr>
              <w:t xml:space="preserve"> existing </w:t>
            </w:r>
            <w:r w:rsidR="00112AA5">
              <w:rPr>
                <w:rFonts w:ascii="Arial" w:hAnsi="Arial" w:cs="Arial"/>
                <w:szCs w:val="24"/>
              </w:rPr>
              <w:t xml:space="preserve">policy relating to enhanced public holiday pay. </w:t>
            </w:r>
          </w:p>
          <w:p w14:paraId="3E938491" w14:textId="046C0605" w:rsidR="00112AA5" w:rsidRDefault="00112AA5" w:rsidP="006C2604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F48F6" w:rsidRPr="00A90AA3" w14:paraId="733874E8" w14:textId="77777777" w:rsidTr="000E18CA">
        <w:tc>
          <w:tcPr>
            <w:tcW w:w="851" w:type="dxa"/>
          </w:tcPr>
          <w:p w14:paraId="2AA81CB8" w14:textId="44C20A55" w:rsidR="00FF48F6" w:rsidRPr="00A90AA3" w:rsidRDefault="00E55373" w:rsidP="00E55373">
            <w:pPr>
              <w:pStyle w:val="NoSpacing"/>
              <w:ind w:left="792" w:hanging="755"/>
            </w:pPr>
            <w:r>
              <w:t>4.3</w:t>
            </w:r>
          </w:p>
        </w:tc>
        <w:tc>
          <w:tcPr>
            <w:tcW w:w="8885" w:type="dxa"/>
          </w:tcPr>
          <w:p w14:paraId="73FF00A0" w14:textId="0638F5EF" w:rsidR="00FF48F6" w:rsidRPr="00E55373" w:rsidRDefault="00602197" w:rsidP="006C2604">
            <w:pPr>
              <w:jc w:val="both"/>
              <w:rPr>
                <w:rFonts w:ascii="Arial" w:hAnsi="Arial" w:cs="Arial"/>
                <w:szCs w:val="24"/>
              </w:rPr>
            </w:pPr>
            <w:r w:rsidRPr="00E55373">
              <w:rPr>
                <w:rFonts w:ascii="Arial" w:hAnsi="Arial" w:cs="Arial"/>
                <w:szCs w:val="24"/>
              </w:rPr>
              <w:t xml:space="preserve">It should be noted that it understood other organisations are moving existing public holiday entitlement in order to extend the Platinum Jubilee weekend. The Board </w:t>
            </w:r>
            <w:r w:rsidRPr="00E55373">
              <w:rPr>
                <w:rFonts w:ascii="Arial" w:hAnsi="Arial" w:cs="Arial"/>
                <w:szCs w:val="24"/>
              </w:rPr>
              <w:lastRenderedPageBreak/>
              <w:t>should not</w:t>
            </w:r>
            <w:r w:rsidR="00E55373" w:rsidRPr="00E55373">
              <w:rPr>
                <w:rFonts w:ascii="Arial" w:hAnsi="Arial" w:cs="Arial"/>
                <w:szCs w:val="24"/>
              </w:rPr>
              <w:t>e</w:t>
            </w:r>
            <w:r w:rsidRPr="00E55373">
              <w:rPr>
                <w:rFonts w:ascii="Arial" w:hAnsi="Arial" w:cs="Arial"/>
                <w:szCs w:val="24"/>
              </w:rPr>
              <w:t xml:space="preserve"> that HLH is not doing this, staff will however be able to apply for additional days leave in the normal way should they wish</w:t>
            </w:r>
            <w:r w:rsidR="00E55373">
              <w:rPr>
                <w:rFonts w:ascii="Arial" w:hAnsi="Arial" w:cs="Arial"/>
                <w:szCs w:val="24"/>
              </w:rPr>
              <w:t xml:space="preserve"> to extend their holiday weekend.</w:t>
            </w:r>
            <w:r w:rsidRPr="00E55373">
              <w:rPr>
                <w:rFonts w:ascii="Arial" w:hAnsi="Arial" w:cs="Arial"/>
                <w:szCs w:val="24"/>
              </w:rPr>
              <w:t xml:space="preserve"> </w:t>
            </w:r>
          </w:p>
          <w:p w14:paraId="0E627BEA" w14:textId="0F6A16F2" w:rsidR="00602197" w:rsidRPr="00E55373" w:rsidRDefault="00602197" w:rsidP="006C2604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12AA5" w:rsidRPr="00A90AA3" w14:paraId="243584B0" w14:textId="77777777" w:rsidTr="000E18CA">
        <w:tc>
          <w:tcPr>
            <w:tcW w:w="851" w:type="dxa"/>
          </w:tcPr>
          <w:p w14:paraId="713EFE10" w14:textId="16FE1873" w:rsidR="00112AA5" w:rsidRPr="00A90AA3" w:rsidRDefault="00E55373" w:rsidP="00E55373">
            <w:pPr>
              <w:pStyle w:val="NoSpacing"/>
              <w:ind w:left="792" w:hanging="755"/>
            </w:pPr>
            <w:r>
              <w:lastRenderedPageBreak/>
              <w:t>4.4</w:t>
            </w:r>
          </w:p>
        </w:tc>
        <w:tc>
          <w:tcPr>
            <w:tcW w:w="8885" w:type="dxa"/>
          </w:tcPr>
          <w:p w14:paraId="18A59AEF" w14:textId="72317111" w:rsidR="00112AA5" w:rsidRDefault="00112AA5" w:rsidP="006C260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cost of implementing the special </w:t>
            </w:r>
            <w:r w:rsidR="006D77E9">
              <w:rPr>
                <w:rFonts w:ascii="Arial" w:hAnsi="Arial" w:cs="Arial"/>
                <w:szCs w:val="24"/>
              </w:rPr>
              <w:t>Platinum Jubilee</w:t>
            </w:r>
            <w:r>
              <w:rPr>
                <w:rFonts w:ascii="Arial" w:hAnsi="Arial" w:cs="Arial"/>
                <w:szCs w:val="24"/>
              </w:rPr>
              <w:t xml:space="preserve"> public holiday will be </w:t>
            </w:r>
            <w:r w:rsidR="00FC54E4">
              <w:rPr>
                <w:rFonts w:ascii="Arial" w:hAnsi="Arial" w:cs="Arial"/>
                <w:szCs w:val="24"/>
              </w:rPr>
              <w:t xml:space="preserve">approximately </w:t>
            </w:r>
            <w:r>
              <w:rPr>
                <w:rFonts w:ascii="Arial" w:hAnsi="Arial" w:cs="Arial"/>
                <w:szCs w:val="24"/>
              </w:rPr>
              <w:t>£</w:t>
            </w:r>
            <w:r w:rsidR="00FC54E4">
              <w:rPr>
                <w:rFonts w:ascii="Arial" w:hAnsi="Arial" w:cs="Arial"/>
                <w:szCs w:val="24"/>
              </w:rPr>
              <w:t>36</w:t>
            </w:r>
            <w:r w:rsidR="004757B4">
              <w:rPr>
                <w:rFonts w:ascii="Arial" w:hAnsi="Arial" w:cs="Arial"/>
                <w:szCs w:val="24"/>
              </w:rPr>
              <w:t>k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</w:tbl>
    <w:p w14:paraId="6A4291C4" w14:textId="77777777" w:rsidR="004A1367" w:rsidRPr="00A90AA3" w:rsidRDefault="004A1367" w:rsidP="002579E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885"/>
      </w:tblGrid>
      <w:tr w:rsidR="006D0D6A" w:rsidRPr="00A90AA3" w14:paraId="0567F364" w14:textId="77777777" w:rsidTr="000E18CA">
        <w:tc>
          <w:tcPr>
            <w:tcW w:w="851" w:type="dxa"/>
          </w:tcPr>
          <w:p w14:paraId="26E27BC8" w14:textId="4639B92E" w:rsidR="006D0D6A" w:rsidRPr="00F80CF1" w:rsidRDefault="00E55373" w:rsidP="000E18CA">
            <w:pPr>
              <w:pStyle w:val="NoSpacing"/>
              <w:rPr>
                <w:b/>
                <w:bCs/>
              </w:rPr>
            </w:pPr>
            <w:bookmarkStart w:id="1" w:name="_Hlk97757709"/>
            <w:r w:rsidRPr="00F80CF1">
              <w:rPr>
                <w:b/>
                <w:bCs/>
              </w:rPr>
              <w:t>5.</w:t>
            </w:r>
          </w:p>
        </w:tc>
        <w:tc>
          <w:tcPr>
            <w:tcW w:w="8885" w:type="dxa"/>
          </w:tcPr>
          <w:p w14:paraId="59B3616D" w14:textId="0E1C2ED1" w:rsidR="006D0D6A" w:rsidRPr="00A90AA3" w:rsidRDefault="006D0D6A" w:rsidP="006C2604">
            <w:pPr>
              <w:pStyle w:val="NoSpacing"/>
              <w:rPr>
                <w:b/>
                <w:bCs/>
              </w:rPr>
            </w:pPr>
            <w:r w:rsidRPr="00A90AA3">
              <w:rPr>
                <w:b/>
                <w:bCs/>
              </w:rPr>
              <w:t>Implications</w:t>
            </w:r>
          </w:p>
          <w:p w14:paraId="51AD6E29" w14:textId="77777777" w:rsidR="006D0D6A" w:rsidRPr="00A90AA3" w:rsidRDefault="006D0D6A" w:rsidP="006C2604">
            <w:pPr>
              <w:pStyle w:val="NoSpacing"/>
              <w:rPr>
                <w:b/>
                <w:bCs/>
              </w:rPr>
            </w:pPr>
          </w:p>
        </w:tc>
      </w:tr>
      <w:tr w:rsidR="006D0D6A" w:rsidRPr="00A90AA3" w14:paraId="73FE3FB2" w14:textId="77777777" w:rsidTr="000E18CA">
        <w:tc>
          <w:tcPr>
            <w:tcW w:w="851" w:type="dxa"/>
          </w:tcPr>
          <w:p w14:paraId="7FF0E44B" w14:textId="2FFAB5A7" w:rsidR="006D0D6A" w:rsidRPr="00A90AA3" w:rsidRDefault="00E55373" w:rsidP="00E55373">
            <w:pPr>
              <w:pStyle w:val="NoSpacing"/>
              <w:ind w:left="792" w:hanging="755"/>
            </w:pPr>
            <w:r>
              <w:t>5.1</w:t>
            </w:r>
          </w:p>
        </w:tc>
        <w:tc>
          <w:tcPr>
            <w:tcW w:w="8885" w:type="dxa"/>
          </w:tcPr>
          <w:p w14:paraId="19288A31" w14:textId="1251DEB5" w:rsidR="006D0D6A" w:rsidRPr="00A90AA3" w:rsidRDefault="006D0D6A" w:rsidP="006C2604">
            <w:pPr>
              <w:jc w:val="both"/>
              <w:rPr>
                <w:rFonts w:ascii="Arial" w:hAnsi="Arial" w:cs="Arial"/>
                <w:szCs w:val="24"/>
              </w:rPr>
            </w:pPr>
            <w:r w:rsidRPr="00A90AA3">
              <w:rPr>
                <w:rFonts w:ascii="Arial" w:hAnsi="Arial" w:cs="Arial"/>
                <w:szCs w:val="24"/>
              </w:rPr>
              <w:t>Resource Implications – there are additional resource implications arising from this report</w:t>
            </w:r>
            <w:r w:rsidR="00022FC7">
              <w:rPr>
                <w:rFonts w:ascii="Arial" w:hAnsi="Arial" w:cs="Arial"/>
                <w:szCs w:val="24"/>
              </w:rPr>
              <w:t xml:space="preserve"> as a result of the compensation agreement r</w:t>
            </w:r>
            <w:r w:rsidR="00AE58DA">
              <w:rPr>
                <w:rFonts w:ascii="Arial" w:hAnsi="Arial" w:cs="Arial"/>
                <w:szCs w:val="24"/>
              </w:rPr>
              <w:t>eached following the Employment Tribunal</w:t>
            </w:r>
            <w:r w:rsidR="00E55373">
              <w:rPr>
                <w:rFonts w:ascii="Arial" w:hAnsi="Arial" w:cs="Arial"/>
                <w:szCs w:val="24"/>
              </w:rPr>
              <w:t xml:space="preserve"> and of implementing the special Platinum Jubilee public holiday.</w:t>
            </w:r>
            <w:r w:rsidR="00AE58DA">
              <w:rPr>
                <w:rFonts w:ascii="Arial" w:hAnsi="Arial" w:cs="Arial"/>
                <w:szCs w:val="24"/>
              </w:rPr>
              <w:t xml:space="preserve"> </w:t>
            </w:r>
          </w:p>
          <w:p w14:paraId="57730E73" w14:textId="63F06A3D" w:rsidR="006D0D6A" w:rsidRPr="00A90AA3" w:rsidRDefault="006D0D6A" w:rsidP="006C2604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D0D6A" w:rsidRPr="00A90AA3" w14:paraId="5C2E0047" w14:textId="77777777" w:rsidTr="000E18CA">
        <w:tc>
          <w:tcPr>
            <w:tcW w:w="851" w:type="dxa"/>
          </w:tcPr>
          <w:p w14:paraId="3882572D" w14:textId="7FDED731" w:rsidR="006D0D6A" w:rsidRPr="00A90AA3" w:rsidRDefault="00E55373" w:rsidP="00E55373">
            <w:pPr>
              <w:pStyle w:val="NoSpacing"/>
              <w:ind w:left="792" w:hanging="755"/>
            </w:pPr>
            <w:r>
              <w:t>5.2</w:t>
            </w:r>
          </w:p>
        </w:tc>
        <w:tc>
          <w:tcPr>
            <w:tcW w:w="8885" w:type="dxa"/>
          </w:tcPr>
          <w:p w14:paraId="02AEA244" w14:textId="77777777" w:rsidR="006D0D6A" w:rsidRPr="00A90AA3" w:rsidRDefault="006D0D6A" w:rsidP="006C2604">
            <w:pPr>
              <w:jc w:val="both"/>
              <w:rPr>
                <w:rFonts w:ascii="Arial" w:hAnsi="Arial" w:cs="Arial"/>
                <w:szCs w:val="24"/>
              </w:rPr>
            </w:pPr>
            <w:r w:rsidRPr="00A90AA3">
              <w:rPr>
                <w:rFonts w:ascii="Arial" w:hAnsi="Arial" w:cs="Arial"/>
                <w:szCs w:val="24"/>
              </w:rPr>
              <w:t>Legal Implications - there are no new legal implications arising from this report.</w:t>
            </w:r>
          </w:p>
          <w:p w14:paraId="7B5738E1" w14:textId="7FB29FEF" w:rsidR="006D0D6A" w:rsidRPr="00A90AA3" w:rsidRDefault="006D0D6A" w:rsidP="006C2604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D0D6A" w:rsidRPr="00A90AA3" w14:paraId="69CCE2DA" w14:textId="77777777" w:rsidTr="000E18CA">
        <w:tc>
          <w:tcPr>
            <w:tcW w:w="851" w:type="dxa"/>
          </w:tcPr>
          <w:p w14:paraId="7DEA9F26" w14:textId="4ECEFED0" w:rsidR="006D0D6A" w:rsidRPr="00A90AA3" w:rsidRDefault="00E55373" w:rsidP="00E55373">
            <w:pPr>
              <w:pStyle w:val="NoSpacing"/>
              <w:ind w:left="792" w:hanging="755"/>
            </w:pPr>
            <w:r>
              <w:t>5.3</w:t>
            </w:r>
          </w:p>
        </w:tc>
        <w:tc>
          <w:tcPr>
            <w:tcW w:w="8885" w:type="dxa"/>
          </w:tcPr>
          <w:p w14:paraId="0A4F4BE1" w14:textId="77777777" w:rsidR="006D0D6A" w:rsidRPr="00A90AA3" w:rsidRDefault="006D0D6A" w:rsidP="006C2604">
            <w:pPr>
              <w:jc w:val="both"/>
              <w:rPr>
                <w:rFonts w:ascii="Arial" w:hAnsi="Arial" w:cs="Arial"/>
                <w:szCs w:val="24"/>
              </w:rPr>
            </w:pPr>
            <w:r w:rsidRPr="00A90AA3">
              <w:rPr>
                <w:rFonts w:ascii="Arial" w:hAnsi="Arial" w:cs="Arial"/>
                <w:szCs w:val="24"/>
              </w:rPr>
              <w:t>Equality Implications – there are no new equality implications arising from this report.</w:t>
            </w:r>
          </w:p>
          <w:p w14:paraId="2CE8608E" w14:textId="25E2D698" w:rsidR="006D0D6A" w:rsidRPr="00A90AA3" w:rsidRDefault="006D0D6A" w:rsidP="006C2604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D0D6A" w:rsidRPr="00A90AA3" w14:paraId="379511D8" w14:textId="77777777" w:rsidTr="000E18CA">
        <w:tc>
          <w:tcPr>
            <w:tcW w:w="851" w:type="dxa"/>
          </w:tcPr>
          <w:p w14:paraId="4D0A9AFC" w14:textId="6DB99D47" w:rsidR="006D0D6A" w:rsidRPr="00A90AA3" w:rsidRDefault="00E55373" w:rsidP="00E55373">
            <w:pPr>
              <w:pStyle w:val="NoSpacing"/>
              <w:ind w:left="792" w:hanging="755"/>
            </w:pPr>
            <w:r>
              <w:t>5.4</w:t>
            </w:r>
          </w:p>
        </w:tc>
        <w:tc>
          <w:tcPr>
            <w:tcW w:w="8885" w:type="dxa"/>
          </w:tcPr>
          <w:p w14:paraId="2AE8947C" w14:textId="0FE3A611" w:rsidR="006D0D6A" w:rsidRPr="00A90AA3" w:rsidRDefault="006D0D6A" w:rsidP="006D0D6A">
            <w:pPr>
              <w:rPr>
                <w:rFonts w:ascii="Arial" w:hAnsi="Arial" w:cs="Arial"/>
                <w:szCs w:val="24"/>
              </w:rPr>
            </w:pPr>
            <w:r w:rsidRPr="00A90AA3">
              <w:rPr>
                <w:rFonts w:ascii="Arial" w:hAnsi="Arial" w:cs="Arial"/>
                <w:szCs w:val="24"/>
              </w:rPr>
              <w:t xml:space="preserve">Risk Implications – there are no new risk implications arising from this report. </w:t>
            </w:r>
          </w:p>
        </w:tc>
      </w:tr>
      <w:bookmarkEnd w:id="1"/>
    </w:tbl>
    <w:p w14:paraId="3B82E045" w14:textId="1D4440C1" w:rsidR="006D0D6A" w:rsidRPr="00A90AA3" w:rsidRDefault="006D0D6A" w:rsidP="002579E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D0D6A" w:rsidRPr="00A90AA3" w14:paraId="30BD85CD" w14:textId="77777777" w:rsidTr="006D0D6A">
        <w:tc>
          <w:tcPr>
            <w:tcW w:w="9736" w:type="dxa"/>
          </w:tcPr>
          <w:p w14:paraId="5B133731" w14:textId="40A4F8A4" w:rsidR="006D0D6A" w:rsidRPr="00A90AA3" w:rsidRDefault="006D0D6A" w:rsidP="002579EB">
            <w:pPr>
              <w:pStyle w:val="NoSpacing"/>
              <w:rPr>
                <w:b/>
                <w:bCs/>
              </w:rPr>
            </w:pPr>
            <w:r w:rsidRPr="00A90AA3">
              <w:rPr>
                <w:b/>
                <w:bCs/>
              </w:rPr>
              <w:t>Recommendation</w:t>
            </w:r>
          </w:p>
          <w:p w14:paraId="2E46C0A9" w14:textId="77777777" w:rsidR="006D0D6A" w:rsidRPr="00A90AA3" w:rsidRDefault="006D0D6A" w:rsidP="002579EB">
            <w:pPr>
              <w:pStyle w:val="NoSpacing"/>
            </w:pPr>
          </w:p>
          <w:p w14:paraId="6AE1F93B" w14:textId="77777777" w:rsidR="000E18CA" w:rsidRDefault="000E18CA" w:rsidP="000E18CA">
            <w:pPr>
              <w:pStyle w:val="NoSpacing"/>
            </w:pPr>
            <w:r>
              <w:t>It is recommended Directors:</w:t>
            </w:r>
          </w:p>
          <w:p w14:paraId="7A23442A" w14:textId="77777777" w:rsidR="000E18CA" w:rsidRDefault="000E18CA" w:rsidP="000E18CA">
            <w:pPr>
              <w:pStyle w:val="NoSpacing"/>
            </w:pPr>
          </w:p>
          <w:p w14:paraId="35FB09A7" w14:textId="6DCB915C" w:rsidR="000E18CA" w:rsidRDefault="000E18CA" w:rsidP="000E18CA">
            <w:pPr>
              <w:pStyle w:val="NoSpacing"/>
              <w:numPr>
                <w:ilvl w:val="0"/>
                <w:numId w:val="11"/>
              </w:numPr>
            </w:pPr>
            <w:r>
              <w:t xml:space="preserve">note the standing HR matters for </w:t>
            </w:r>
            <w:r w:rsidR="004757B4">
              <w:t>Q</w:t>
            </w:r>
            <w:r>
              <w:t>3, 2021/22; and</w:t>
            </w:r>
          </w:p>
          <w:p w14:paraId="7AAE1206" w14:textId="77777777" w:rsidR="000E18CA" w:rsidRDefault="000E18CA" w:rsidP="000E18CA">
            <w:pPr>
              <w:pStyle w:val="NoSpacing"/>
              <w:numPr>
                <w:ilvl w:val="0"/>
                <w:numId w:val="11"/>
              </w:numPr>
            </w:pPr>
            <w:r>
              <w:t>agree to an additional public holiday for all staff on Friday 3 June 2022 to commemorate HM The Queen’s Platinum Jubilee.</w:t>
            </w:r>
          </w:p>
          <w:p w14:paraId="197B7829" w14:textId="40BF4B1F" w:rsidR="00E05D4D" w:rsidRPr="00A90AA3" w:rsidRDefault="00E05D4D" w:rsidP="000E18CA">
            <w:pPr>
              <w:pStyle w:val="NoSpacing"/>
            </w:pPr>
          </w:p>
        </w:tc>
      </w:tr>
    </w:tbl>
    <w:p w14:paraId="5E74F40B" w14:textId="055210F1" w:rsidR="006D0D6A" w:rsidRPr="00A90AA3" w:rsidRDefault="006D0D6A" w:rsidP="002579EB">
      <w:pPr>
        <w:pStyle w:val="NoSpacing"/>
      </w:pPr>
    </w:p>
    <w:p w14:paraId="3860A2E7" w14:textId="6E5637FB" w:rsidR="00E53486" w:rsidRPr="00A90AA3" w:rsidRDefault="00E53486" w:rsidP="002579EB">
      <w:pPr>
        <w:pStyle w:val="NoSpacing"/>
      </w:pPr>
    </w:p>
    <w:p w14:paraId="612F12CE" w14:textId="77777777" w:rsidR="006066A0" w:rsidRPr="00A90AA3" w:rsidRDefault="006066A0" w:rsidP="006066A0">
      <w:pPr>
        <w:pStyle w:val="NoSpacing"/>
      </w:pPr>
      <w:r w:rsidRPr="00A90AA3">
        <w:t>Designation:</w:t>
      </w:r>
      <w:r w:rsidRPr="00A90AA3">
        <w:tab/>
        <w:t>Chief Executive</w:t>
      </w:r>
    </w:p>
    <w:p w14:paraId="65F146DE" w14:textId="77777777" w:rsidR="006066A0" w:rsidRPr="00A90AA3" w:rsidRDefault="006066A0" w:rsidP="006066A0">
      <w:pPr>
        <w:pStyle w:val="NoSpacing"/>
      </w:pPr>
    </w:p>
    <w:p w14:paraId="7438B146" w14:textId="0C8C5248" w:rsidR="006066A0" w:rsidRDefault="006066A0" w:rsidP="006066A0">
      <w:pPr>
        <w:pStyle w:val="NoSpacing"/>
      </w:pPr>
      <w:r w:rsidRPr="00A90AA3">
        <w:t>Date:</w:t>
      </w:r>
      <w:r w:rsidRPr="00A90AA3">
        <w:tab/>
      </w:r>
      <w:r w:rsidR="000E18CA">
        <w:tab/>
      </w:r>
      <w:r w:rsidR="000938E4">
        <w:t>10 March 2022</w:t>
      </w:r>
    </w:p>
    <w:p w14:paraId="7E3D418F" w14:textId="0F090E01" w:rsidR="004757B4" w:rsidRDefault="004757B4" w:rsidP="006066A0">
      <w:pPr>
        <w:pStyle w:val="NoSpacing"/>
      </w:pPr>
    </w:p>
    <w:p w14:paraId="696AE400" w14:textId="6275EDD3" w:rsidR="004757B4" w:rsidRDefault="004757B4" w:rsidP="006066A0">
      <w:pPr>
        <w:pStyle w:val="NoSpacing"/>
      </w:pPr>
      <w:r>
        <w:t>Authors:</w:t>
      </w:r>
      <w:r>
        <w:tab/>
        <w:t>James Martin, Director of Corporate Services</w:t>
      </w:r>
    </w:p>
    <w:p w14:paraId="6D97B0C1" w14:textId="549AAC64" w:rsidR="004757B4" w:rsidRDefault="004757B4" w:rsidP="006066A0">
      <w:pPr>
        <w:pStyle w:val="NoSpacing"/>
      </w:pPr>
      <w:r>
        <w:tab/>
      </w:r>
      <w:r>
        <w:tab/>
      </w:r>
    </w:p>
    <w:p w14:paraId="379B27FF" w14:textId="565A3482" w:rsidR="000938E4" w:rsidRDefault="000938E4" w:rsidP="006066A0">
      <w:pPr>
        <w:pStyle w:val="NoSpacing"/>
      </w:pPr>
    </w:p>
    <w:p w14:paraId="5D9D3505" w14:textId="7307D9D4" w:rsidR="000938E4" w:rsidRDefault="000938E4">
      <w:pPr>
        <w:rPr>
          <w:rFonts w:ascii="Arial" w:eastAsiaTheme="minorHAnsi" w:hAnsi="Arial" w:cs="Arial"/>
          <w:szCs w:val="24"/>
          <w:lang w:eastAsia="en-US"/>
        </w:rPr>
      </w:pPr>
      <w:r>
        <w:br w:type="page"/>
      </w:r>
    </w:p>
    <w:p w14:paraId="5E1B618D" w14:textId="77777777" w:rsidR="004B7F43" w:rsidRPr="004B7F43" w:rsidRDefault="004B7F43" w:rsidP="00A84C65">
      <w:pPr>
        <w:pStyle w:val="NoSpacing"/>
        <w:jc w:val="right"/>
        <w:rPr>
          <w:b/>
          <w:bCs/>
        </w:rPr>
      </w:pPr>
      <w:r w:rsidRPr="004B7F43">
        <w:rPr>
          <w:b/>
          <w:bCs/>
        </w:rPr>
        <w:lastRenderedPageBreak/>
        <w:t>Appendix A</w:t>
      </w:r>
    </w:p>
    <w:p w14:paraId="5B7A5761" w14:textId="77777777" w:rsidR="004B7F43" w:rsidRPr="004B7F43" w:rsidRDefault="004B7F43" w:rsidP="004B7F43">
      <w:pPr>
        <w:pStyle w:val="NoSpacing"/>
      </w:pPr>
    </w:p>
    <w:p w14:paraId="7F77196C" w14:textId="4BEEF34C" w:rsidR="004B7F43" w:rsidRPr="004B7F43" w:rsidRDefault="004B7F43" w:rsidP="004B7F43">
      <w:pPr>
        <w:pStyle w:val="NoSpacing"/>
        <w:rPr>
          <w:b/>
        </w:rPr>
      </w:pPr>
      <w:r w:rsidRPr="004B7F43">
        <w:rPr>
          <w:b/>
        </w:rPr>
        <w:t>CHANGES TO STAFFING ESTABLISHMENT IN Q</w:t>
      </w:r>
      <w:r w:rsidR="004757B4">
        <w:rPr>
          <w:b/>
        </w:rPr>
        <w:t>3</w:t>
      </w:r>
    </w:p>
    <w:p w14:paraId="584D0BDF" w14:textId="25656EA0" w:rsidR="004B7F43" w:rsidRDefault="004B7F43" w:rsidP="004B7F43">
      <w:pPr>
        <w:pStyle w:val="NoSpacing"/>
        <w:rPr>
          <w:b/>
        </w:rPr>
      </w:pPr>
      <w:r w:rsidRPr="004B7F43">
        <w:rPr>
          <w:b/>
        </w:rPr>
        <w:t>(</w:t>
      </w:r>
      <w:r w:rsidR="00667289">
        <w:rPr>
          <w:b/>
        </w:rPr>
        <w:t>October - December</w:t>
      </w:r>
      <w:r w:rsidRPr="004B7F43">
        <w:rPr>
          <w:b/>
        </w:rPr>
        <w:t xml:space="preserve"> 2021)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972"/>
        <w:gridCol w:w="2274"/>
        <w:gridCol w:w="992"/>
        <w:gridCol w:w="4253"/>
      </w:tblGrid>
      <w:tr w:rsidR="006C2604" w:rsidRPr="004B7F43" w14:paraId="6ADB4BF3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210289F6" w14:textId="77777777" w:rsidR="006C2604" w:rsidRPr="004B7F43" w:rsidRDefault="006C2604" w:rsidP="006C2604">
            <w:pPr>
              <w:pStyle w:val="NoSpacing"/>
              <w:jc w:val="center"/>
              <w:rPr>
                <w:b/>
                <w:bCs/>
              </w:rPr>
            </w:pPr>
            <w:r w:rsidRPr="004B7F43">
              <w:rPr>
                <w:b/>
                <w:bCs/>
              </w:rPr>
              <w:t>Post Title</w:t>
            </w:r>
          </w:p>
        </w:tc>
        <w:tc>
          <w:tcPr>
            <w:tcW w:w="2274" w:type="dxa"/>
            <w:noWrap/>
            <w:hideMark/>
          </w:tcPr>
          <w:p w14:paraId="79735CF5" w14:textId="77777777" w:rsidR="006C2604" w:rsidRPr="004B7F43" w:rsidRDefault="006C2604" w:rsidP="006C2604">
            <w:pPr>
              <w:pStyle w:val="NoSpacing"/>
              <w:jc w:val="center"/>
              <w:rPr>
                <w:b/>
                <w:bCs/>
              </w:rPr>
            </w:pPr>
            <w:r w:rsidRPr="004B7F43">
              <w:rPr>
                <w:b/>
                <w:bCs/>
              </w:rPr>
              <w:t>Location</w:t>
            </w:r>
          </w:p>
        </w:tc>
        <w:tc>
          <w:tcPr>
            <w:tcW w:w="992" w:type="dxa"/>
            <w:noWrap/>
            <w:hideMark/>
          </w:tcPr>
          <w:p w14:paraId="59C224DA" w14:textId="77777777" w:rsidR="006C2604" w:rsidRPr="004B7F43" w:rsidRDefault="006C2604" w:rsidP="006E4CB1">
            <w:pPr>
              <w:pStyle w:val="NoSpacing"/>
              <w:jc w:val="center"/>
              <w:rPr>
                <w:b/>
                <w:bCs/>
              </w:rPr>
            </w:pPr>
            <w:r w:rsidRPr="004B7F43">
              <w:rPr>
                <w:b/>
                <w:bCs/>
              </w:rPr>
              <w:t>FTE</w:t>
            </w:r>
          </w:p>
        </w:tc>
        <w:tc>
          <w:tcPr>
            <w:tcW w:w="4253" w:type="dxa"/>
            <w:noWrap/>
            <w:hideMark/>
          </w:tcPr>
          <w:p w14:paraId="080CB729" w14:textId="720F0FE6" w:rsidR="006C2604" w:rsidRPr="004B7F43" w:rsidRDefault="006C2604" w:rsidP="006C2604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Additional comments</w:t>
            </w:r>
          </w:p>
        </w:tc>
      </w:tr>
      <w:tr w:rsidR="006C2604" w:rsidRPr="006C2604" w14:paraId="74AF0F1F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410B042D" w14:textId="77777777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Library Assistant</w:t>
            </w:r>
          </w:p>
        </w:tc>
        <w:tc>
          <w:tcPr>
            <w:tcW w:w="2274" w:type="dxa"/>
            <w:noWrap/>
            <w:hideMark/>
          </w:tcPr>
          <w:p w14:paraId="5EABF808" w14:textId="77777777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Fortrose</w:t>
            </w:r>
          </w:p>
        </w:tc>
        <w:tc>
          <w:tcPr>
            <w:tcW w:w="992" w:type="dxa"/>
            <w:noWrap/>
            <w:hideMark/>
          </w:tcPr>
          <w:p w14:paraId="4AAF43A0" w14:textId="372007EB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0.04</w:t>
            </w:r>
          </w:p>
        </w:tc>
        <w:tc>
          <w:tcPr>
            <w:tcW w:w="4253" w:type="dxa"/>
            <w:noWrap/>
            <w:hideMark/>
          </w:tcPr>
          <w:p w14:paraId="40C22FC2" w14:textId="46E1D9F9" w:rsidR="006C2604" w:rsidRPr="006C2604" w:rsidRDefault="006C2604" w:rsidP="006C2604">
            <w:pPr>
              <w:pStyle w:val="NoSpacing"/>
              <w:rPr>
                <w:bCs/>
              </w:rPr>
            </w:pPr>
          </w:p>
        </w:tc>
      </w:tr>
      <w:tr w:rsidR="006C2604" w:rsidRPr="006C2604" w14:paraId="0039757B" w14:textId="77777777" w:rsidTr="000B339E">
        <w:trPr>
          <w:trHeight w:val="300"/>
        </w:trPr>
        <w:tc>
          <w:tcPr>
            <w:tcW w:w="2972" w:type="dxa"/>
            <w:noWrap/>
          </w:tcPr>
          <w:p w14:paraId="5B672372" w14:textId="7C0F7209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Outdoor Education Officer</w:t>
            </w:r>
          </w:p>
        </w:tc>
        <w:tc>
          <w:tcPr>
            <w:tcW w:w="2274" w:type="dxa"/>
            <w:noWrap/>
          </w:tcPr>
          <w:p w14:paraId="1EC7AE59" w14:textId="7796BD53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Inverness</w:t>
            </w:r>
          </w:p>
        </w:tc>
        <w:tc>
          <w:tcPr>
            <w:tcW w:w="992" w:type="dxa"/>
            <w:noWrap/>
          </w:tcPr>
          <w:p w14:paraId="61B4EC7C" w14:textId="6CEA154E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0.51</w:t>
            </w:r>
          </w:p>
        </w:tc>
        <w:tc>
          <w:tcPr>
            <w:tcW w:w="4253" w:type="dxa"/>
            <w:noWrap/>
          </w:tcPr>
          <w:p w14:paraId="74E13EF7" w14:textId="7FB120B4" w:rsidR="006C2604" w:rsidRPr="006C2604" w:rsidRDefault="006C2604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>Temporary contract until 31.3.22</w:t>
            </w:r>
          </w:p>
        </w:tc>
      </w:tr>
      <w:tr w:rsidR="006C2604" w:rsidRPr="006C2604" w14:paraId="2D725066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0A67EFBD" w14:textId="233A9D06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A</w:t>
            </w:r>
            <w:r>
              <w:rPr>
                <w:bCs/>
              </w:rPr>
              <w:t>ssistant Youth Worker (x 2)</w:t>
            </w:r>
          </w:p>
        </w:tc>
        <w:tc>
          <w:tcPr>
            <w:tcW w:w="2274" w:type="dxa"/>
            <w:noWrap/>
            <w:hideMark/>
          </w:tcPr>
          <w:p w14:paraId="5064CB6C" w14:textId="18D8E57D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Millburn</w:t>
            </w:r>
            <w:r>
              <w:rPr>
                <w:bCs/>
              </w:rPr>
              <w:t>, Inverness</w:t>
            </w:r>
          </w:p>
        </w:tc>
        <w:tc>
          <w:tcPr>
            <w:tcW w:w="992" w:type="dxa"/>
            <w:noWrap/>
            <w:hideMark/>
          </w:tcPr>
          <w:p w14:paraId="16ECB4C0" w14:textId="5E8B765C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0.0</w:t>
            </w:r>
            <w:r>
              <w:rPr>
                <w:bCs/>
              </w:rPr>
              <w:t>6</w:t>
            </w:r>
          </w:p>
        </w:tc>
        <w:tc>
          <w:tcPr>
            <w:tcW w:w="4253" w:type="dxa"/>
            <w:noWrap/>
            <w:hideMark/>
          </w:tcPr>
          <w:p w14:paraId="11DEDA88" w14:textId="06EDB0B9" w:rsidR="006C2604" w:rsidRPr="006C2604" w:rsidRDefault="006C2604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>Temporary contract until 31.3.22</w:t>
            </w:r>
          </w:p>
        </w:tc>
      </w:tr>
      <w:tr w:rsidR="006C2604" w:rsidRPr="006C2604" w14:paraId="1A3D454A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11532B1C" w14:textId="7BC46D99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Leisure Manager</w:t>
            </w:r>
          </w:p>
        </w:tc>
        <w:tc>
          <w:tcPr>
            <w:tcW w:w="2274" w:type="dxa"/>
            <w:noWrap/>
            <w:hideMark/>
          </w:tcPr>
          <w:p w14:paraId="3EA97969" w14:textId="4EAE9A7F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Sunart Centre</w:t>
            </w:r>
          </w:p>
        </w:tc>
        <w:tc>
          <w:tcPr>
            <w:tcW w:w="992" w:type="dxa"/>
            <w:noWrap/>
            <w:hideMark/>
          </w:tcPr>
          <w:p w14:paraId="129A32E0" w14:textId="1FDB8D5D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-0.5</w:t>
            </w:r>
            <w:r w:rsidR="004B0DA4">
              <w:rPr>
                <w:bCs/>
              </w:rPr>
              <w:t>0</w:t>
            </w:r>
          </w:p>
        </w:tc>
        <w:tc>
          <w:tcPr>
            <w:tcW w:w="4253" w:type="dxa"/>
            <w:noWrap/>
            <w:hideMark/>
          </w:tcPr>
          <w:p w14:paraId="409E76B8" w14:textId="6A5CB6C8" w:rsidR="006C2604" w:rsidRPr="006C2604" w:rsidRDefault="004B0DA4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>Delete post</w:t>
            </w:r>
          </w:p>
        </w:tc>
      </w:tr>
      <w:tr w:rsidR="006C2604" w:rsidRPr="006C2604" w14:paraId="159C798C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6D8E1E00" w14:textId="1F4820AB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Leisure Supervisor</w:t>
            </w:r>
          </w:p>
        </w:tc>
        <w:tc>
          <w:tcPr>
            <w:tcW w:w="2274" w:type="dxa"/>
            <w:noWrap/>
            <w:hideMark/>
          </w:tcPr>
          <w:p w14:paraId="0021CBC2" w14:textId="5AC2224D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Sunart Centre</w:t>
            </w:r>
          </w:p>
        </w:tc>
        <w:tc>
          <w:tcPr>
            <w:tcW w:w="992" w:type="dxa"/>
            <w:noWrap/>
            <w:hideMark/>
          </w:tcPr>
          <w:p w14:paraId="0517B979" w14:textId="44CADE22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0.5</w:t>
            </w:r>
            <w:r w:rsidR="004B0DA4">
              <w:rPr>
                <w:bCs/>
              </w:rPr>
              <w:t>0</w:t>
            </w:r>
          </w:p>
        </w:tc>
        <w:tc>
          <w:tcPr>
            <w:tcW w:w="4253" w:type="dxa"/>
            <w:noWrap/>
            <w:hideMark/>
          </w:tcPr>
          <w:p w14:paraId="7A331AEA" w14:textId="77777777" w:rsidR="006C2604" w:rsidRPr="006C2604" w:rsidRDefault="006C2604" w:rsidP="006C2604">
            <w:pPr>
              <w:pStyle w:val="NoSpacing"/>
              <w:rPr>
                <w:bCs/>
              </w:rPr>
            </w:pPr>
          </w:p>
        </w:tc>
      </w:tr>
      <w:tr w:rsidR="006C2604" w:rsidRPr="006C2604" w14:paraId="7F562725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7F324196" w14:textId="59A4BC60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Disability Sport</w:t>
            </w:r>
            <w:r w:rsidR="004B0DA4">
              <w:rPr>
                <w:bCs/>
              </w:rPr>
              <w:t>s</w:t>
            </w:r>
            <w:r w:rsidRPr="006C2604">
              <w:rPr>
                <w:bCs/>
              </w:rPr>
              <w:t xml:space="preserve"> Officer</w:t>
            </w:r>
          </w:p>
        </w:tc>
        <w:tc>
          <w:tcPr>
            <w:tcW w:w="2274" w:type="dxa"/>
            <w:noWrap/>
            <w:hideMark/>
          </w:tcPr>
          <w:p w14:paraId="460B0DCE" w14:textId="5FC32894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Drummond School</w:t>
            </w:r>
          </w:p>
        </w:tc>
        <w:tc>
          <w:tcPr>
            <w:tcW w:w="992" w:type="dxa"/>
            <w:noWrap/>
            <w:hideMark/>
          </w:tcPr>
          <w:p w14:paraId="5D888883" w14:textId="35B8A4C8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0.2</w:t>
            </w:r>
            <w:r w:rsidR="004B0DA4">
              <w:rPr>
                <w:bCs/>
              </w:rPr>
              <w:t>0</w:t>
            </w:r>
          </w:p>
        </w:tc>
        <w:tc>
          <w:tcPr>
            <w:tcW w:w="4253" w:type="dxa"/>
            <w:noWrap/>
            <w:hideMark/>
          </w:tcPr>
          <w:p w14:paraId="59E9F483" w14:textId="72346593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 xml:space="preserve">Temporary </w:t>
            </w:r>
            <w:r>
              <w:rPr>
                <w:bCs/>
              </w:rPr>
              <w:t xml:space="preserve">contract </w:t>
            </w:r>
            <w:r w:rsidRPr="006C2604">
              <w:rPr>
                <w:bCs/>
              </w:rPr>
              <w:t>un</w:t>
            </w:r>
            <w:r>
              <w:rPr>
                <w:bCs/>
              </w:rPr>
              <w:t xml:space="preserve">til </w:t>
            </w:r>
            <w:r w:rsidRPr="006C2604">
              <w:rPr>
                <w:bCs/>
              </w:rPr>
              <w:t>30.6.22</w:t>
            </w:r>
          </w:p>
        </w:tc>
      </w:tr>
      <w:tr w:rsidR="006C2604" w:rsidRPr="006C2604" w14:paraId="211F5B4C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4A064A66" w14:textId="692DD58A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Clerical 2</w:t>
            </w:r>
          </w:p>
        </w:tc>
        <w:tc>
          <w:tcPr>
            <w:tcW w:w="2274" w:type="dxa"/>
            <w:noWrap/>
            <w:hideMark/>
          </w:tcPr>
          <w:p w14:paraId="6E61117B" w14:textId="4255E4C0" w:rsidR="006C2604" w:rsidRPr="006C2604" w:rsidRDefault="004B0DA4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>Inverness Botanic Gardens</w:t>
            </w:r>
          </w:p>
        </w:tc>
        <w:tc>
          <w:tcPr>
            <w:tcW w:w="992" w:type="dxa"/>
            <w:noWrap/>
            <w:hideMark/>
          </w:tcPr>
          <w:p w14:paraId="03BB9A6E" w14:textId="42D5FA3C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0.29</w:t>
            </w:r>
          </w:p>
        </w:tc>
        <w:tc>
          <w:tcPr>
            <w:tcW w:w="4253" w:type="dxa"/>
            <w:noWrap/>
            <w:hideMark/>
          </w:tcPr>
          <w:p w14:paraId="4F2031B2" w14:textId="25ED9D80" w:rsidR="006C2604" w:rsidRPr="006C2604" w:rsidRDefault="006C2604" w:rsidP="006C2604">
            <w:pPr>
              <w:pStyle w:val="NoSpacing"/>
              <w:rPr>
                <w:bCs/>
              </w:rPr>
            </w:pPr>
          </w:p>
        </w:tc>
      </w:tr>
      <w:tr w:rsidR="006C2604" w:rsidRPr="006C2604" w14:paraId="5D52485C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3F77E064" w14:textId="0ABA1292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Digital Archivist (or Trainee)</w:t>
            </w:r>
          </w:p>
        </w:tc>
        <w:tc>
          <w:tcPr>
            <w:tcW w:w="2274" w:type="dxa"/>
            <w:noWrap/>
            <w:hideMark/>
          </w:tcPr>
          <w:p w14:paraId="74E82DB3" w14:textId="52B417FE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HARC</w:t>
            </w:r>
          </w:p>
        </w:tc>
        <w:tc>
          <w:tcPr>
            <w:tcW w:w="992" w:type="dxa"/>
            <w:noWrap/>
            <w:hideMark/>
          </w:tcPr>
          <w:p w14:paraId="63DB2DFF" w14:textId="00261EA0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1</w:t>
            </w:r>
            <w:r w:rsidR="004B0DA4">
              <w:rPr>
                <w:bCs/>
              </w:rPr>
              <w:t>.00</w:t>
            </w:r>
          </w:p>
        </w:tc>
        <w:tc>
          <w:tcPr>
            <w:tcW w:w="4253" w:type="dxa"/>
            <w:noWrap/>
            <w:hideMark/>
          </w:tcPr>
          <w:p w14:paraId="6A807696" w14:textId="77777777" w:rsidR="006C2604" w:rsidRPr="006C2604" w:rsidRDefault="006C2604" w:rsidP="006C2604">
            <w:pPr>
              <w:pStyle w:val="NoSpacing"/>
              <w:rPr>
                <w:bCs/>
              </w:rPr>
            </w:pPr>
          </w:p>
        </w:tc>
      </w:tr>
      <w:tr w:rsidR="006C2604" w:rsidRPr="006C2604" w14:paraId="7681FBE9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6C86EF93" w14:textId="1B8590B1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Archive Assistant</w:t>
            </w:r>
          </w:p>
        </w:tc>
        <w:tc>
          <w:tcPr>
            <w:tcW w:w="2274" w:type="dxa"/>
            <w:noWrap/>
            <w:hideMark/>
          </w:tcPr>
          <w:p w14:paraId="0FA1D031" w14:textId="726D44B2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HARC</w:t>
            </w:r>
          </w:p>
        </w:tc>
        <w:tc>
          <w:tcPr>
            <w:tcW w:w="992" w:type="dxa"/>
            <w:noWrap/>
            <w:hideMark/>
          </w:tcPr>
          <w:p w14:paraId="11F733F4" w14:textId="51719BB1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-0.2</w:t>
            </w:r>
            <w:r w:rsidR="004B0DA4">
              <w:rPr>
                <w:bCs/>
              </w:rPr>
              <w:t>0</w:t>
            </w:r>
          </w:p>
        </w:tc>
        <w:tc>
          <w:tcPr>
            <w:tcW w:w="4253" w:type="dxa"/>
            <w:noWrap/>
            <w:hideMark/>
          </w:tcPr>
          <w:p w14:paraId="5390D681" w14:textId="7792AB44" w:rsidR="006C2604" w:rsidRPr="006C2604" w:rsidRDefault="004B0DA4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>Delete part of post</w:t>
            </w:r>
          </w:p>
        </w:tc>
      </w:tr>
      <w:tr w:rsidR="006C2604" w:rsidRPr="006C2604" w14:paraId="605CC1C8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26F70B52" w14:textId="6729003D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Assistant Archivist</w:t>
            </w:r>
          </w:p>
        </w:tc>
        <w:tc>
          <w:tcPr>
            <w:tcW w:w="2274" w:type="dxa"/>
            <w:noWrap/>
            <w:hideMark/>
          </w:tcPr>
          <w:p w14:paraId="6E7A0FBE" w14:textId="7E084877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HARC</w:t>
            </w:r>
          </w:p>
        </w:tc>
        <w:tc>
          <w:tcPr>
            <w:tcW w:w="992" w:type="dxa"/>
            <w:noWrap/>
            <w:hideMark/>
          </w:tcPr>
          <w:p w14:paraId="08D22DF0" w14:textId="6EFD2AAC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-1</w:t>
            </w:r>
            <w:r w:rsidR="004B0DA4">
              <w:rPr>
                <w:bCs/>
              </w:rPr>
              <w:t>.00</w:t>
            </w:r>
          </w:p>
        </w:tc>
        <w:tc>
          <w:tcPr>
            <w:tcW w:w="4253" w:type="dxa"/>
            <w:noWrap/>
            <w:hideMark/>
          </w:tcPr>
          <w:p w14:paraId="0239040B" w14:textId="3AB2022E" w:rsidR="006C2604" w:rsidRPr="006C2604" w:rsidRDefault="004B0DA4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>Delete post</w:t>
            </w:r>
          </w:p>
        </w:tc>
      </w:tr>
      <w:tr w:rsidR="006C2604" w:rsidRPr="006C2604" w14:paraId="52B11D96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1AD17C6E" w14:textId="6F9DFB93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Collections Assistant</w:t>
            </w:r>
            <w:r w:rsidR="004B0DA4">
              <w:rPr>
                <w:bCs/>
              </w:rPr>
              <w:t xml:space="preserve"> (Kickstart Scheme)</w:t>
            </w:r>
          </w:p>
        </w:tc>
        <w:tc>
          <w:tcPr>
            <w:tcW w:w="2274" w:type="dxa"/>
            <w:noWrap/>
            <w:hideMark/>
          </w:tcPr>
          <w:p w14:paraId="719F52BD" w14:textId="67843F13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HFM</w:t>
            </w:r>
          </w:p>
        </w:tc>
        <w:tc>
          <w:tcPr>
            <w:tcW w:w="992" w:type="dxa"/>
            <w:noWrap/>
            <w:hideMark/>
          </w:tcPr>
          <w:p w14:paraId="15E9F2C9" w14:textId="32086483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0.71</w:t>
            </w:r>
          </w:p>
        </w:tc>
        <w:tc>
          <w:tcPr>
            <w:tcW w:w="4253" w:type="dxa"/>
            <w:noWrap/>
            <w:hideMark/>
          </w:tcPr>
          <w:p w14:paraId="4B13D3CC" w14:textId="1AC92E37" w:rsidR="006C2604" w:rsidRPr="006C2604" w:rsidRDefault="004B0DA4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Temporary contract for 26 weeks (subject to start date) </w:t>
            </w:r>
          </w:p>
        </w:tc>
      </w:tr>
      <w:tr w:rsidR="006C2604" w:rsidRPr="006C2604" w14:paraId="2084EA53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2E9EE25B" w14:textId="2DE0E99F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Group Fitness Coordinator (Gym)</w:t>
            </w:r>
          </w:p>
        </w:tc>
        <w:tc>
          <w:tcPr>
            <w:tcW w:w="2274" w:type="dxa"/>
            <w:noWrap/>
            <w:hideMark/>
          </w:tcPr>
          <w:p w14:paraId="205E7A94" w14:textId="70FA67B0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 xml:space="preserve">Inverness </w:t>
            </w:r>
            <w:r w:rsidR="004B0DA4">
              <w:rPr>
                <w:bCs/>
              </w:rPr>
              <w:t>L</w:t>
            </w:r>
            <w:r w:rsidRPr="006C2604">
              <w:rPr>
                <w:bCs/>
              </w:rPr>
              <w:t>eisure</w:t>
            </w:r>
          </w:p>
        </w:tc>
        <w:tc>
          <w:tcPr>
            <w:tcW w:w="992" w:type="dxa"/>
            <w:noWrap/>
            <w:hideMark/>
          </w:tcPr>
          <w:p w14:paraId="328608FE" w14:textId="3B4CB9E5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-1</w:t>
            </w:r>
            <w:r w:rsidR="004B0DA4">
              <w:rPr>
                <w:bCs/>
              </w:rPr>
              <w:t>.00</w:t>
            </w:r>
          </w:p>
        </w:tc>
        <w:tc>
          <w:tcPr>
            <w:tcW w:w="4253" w:type="dxa"/>
            <w:noWrap/>
            <w:hideMark/>
          </w:tcPr>
          <w:p w14:paraId="5B13C54C" w14:textId="0819B384" w:rsidR="006C2604" w:rsidRPr="006C2604" w:rsidRDefault="004B0DA4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>Delete post</w:t>
            </w:r>
          </w:p>
        </w:tc>
      </w:tr>
      <w:tr w:rsidR="006C2604" w:rsidRPr="006C2604" w14:paraId="791A7644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0D6A14DB" w14:textId="3D70B0F2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Gym Supervisor</w:t>
            </w:r>
          </w:p>
        </w:tc>
        <w:tc>
          <w:tcPr>
            <w:tcW w:w="2274" w:type="dxa"/>
            <w:noWrap/>
            <w:hideMark/>
          </w:tcPr>
          <w:p w14:paraId="39AEC2AB" w14:textId="39605731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 xml:space="preserve">Inverness </w:t>
            </w:r>
            <w:r w:rsidR="004B0DA4">
              <w:rPr>
                <w:bCs/>
              </w:rPr>
              <w:t>L</w:t>
            </w:r>
            <w:r w:rsidRPr="006C2604">
              <w:rPr>
                <w:bCs/>
              </w:rPr>
              <w:t>eisure</w:t>
            </w:r>
          </w:p>
        </w:tc>
        <w:tc>
          <w:tcPr>
            <w:tcW w:w="992" w:type="dxa"/>
            <w:noWrap/>
            <w:hideMark/>
          </w:tcPr>
          <w:p w14:paraId="55219725" w14:textId="26DE727E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1</w:t>
            </w:r>
            <w:r w:rsidR="004B0DA4">
              <w:rPr>
                <w:bCs/>
              </w:rPr>
              <w:t>.00</w:t>
            </w:r>
          </w:p>
        </w:tc>
        <w:tc>
          <w:tcPr>
            <w:tcW w:w="4253" w:type="dxa"/>
            <w:noWrap/>
            <w:hideMark/>
          </w:tcPr>
          <w:p w14:paraId="04B04382" w14:textId="77777777" w:rsidR="006C2604" w:rsidRPr="006C2604" w:rsidRDefault="006C2604" w:rsidP="006C2604">
            <w:pPr>
              <w:pStyle w:val="NoSpacing"/>
              <w:rPr>
                <w:bCs/>
              </w:rPr>
            </w:pPr>
          </w:p>
        </w:tc>
      </w:tr>
      <w:tr w:rsidR="006C2604" w:rsidRPr="006C2604" w14:paraId="44BE5302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45D994A3" w14:textId="05F6E8E2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 xml:space="preserve">Assistant Youth Worker </w:t>
            </w:r>
            <w:r w:rsidR="004B0DA4">
              <w:rPr>
                <w:bCs/>
              </w:rPr>
              <w:t>(</w:t>
            </w:r>
            <w:r w:rsidRPr="006C2604">
              <w:rPr>
                <w:bCs/>
              </w:rPr>
              <w:t>x 3</w:t>
            </w:r>
            <w:r w:rsidR="004B0DA4">
              <w:rPr>
                <w:bCs/>
              </w:rPr>
              <w:t>)</w:t>
            </w:r>
          </w:p>
        </w:tc>
        <w:tc>
          <w:tcPr>
            <w:tcW w:w="2274" w:type="dxa"/>
            <w:noWrap/>
            <w:hideMark/>
          </w:tcPr>
          <w:p w14:paraId="472815EB" w14:textId="397C6DF0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Mallaig</w:t>
            </w:r>
          </w:p>
        </w:tc>
        <w:tc>
          <w:tcPr>
            <w:tcW w:w="992" w:type="dxa"/>
            <w:noWrap/>
            <w:hideMark/>
          </w:tcPr>
          <w:p w14:paraId="4E51F3A2" w14:textId="0CF1C09B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0.26</w:t>
            </w:r>
          </w:p>
        </w:tc>
        <w:tc>
          <w:tcPr>
            <w:tcW w:w="4253" w:type="dxa"/>
            <w:noWrap/>
            <w:hideMark/>
          </w:tcPr>
          <w:p w14:paraId="38FC5E66" w14:textId="00E1DF83" w:rsidR="006C2604" w:rsidRPr="006C2604" w:rsidRDefault="004B0DA4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>Temporary contract until 31.3.22</w:t>
            </w:r>
          </w:p>
        </w:tc>
      </w:tr>
      <w:tr w:rsidR="006C2604" w:rsidRPr="006C2604" w14:paraId="6C748135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54F38778" w14:textId="4C499332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 xml:space="preserve">Assistant Youth Worker </w:t>
            </w:r>
          </w:p>
        </w:tc>
        <w:tc>
          <w:tcPr>
            <w:tcW w:w="2274" w:type="dxa"/>
            <w:noWrap/>
            <w:hideMark/>
          </w:tcPr>
          <w:p w14:paraId="1DA0E561" w14:textId="5C4AA9D5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Ft William</w:t>
            </w:r>
          </w:p>
        </w:tc>
        <w:tc>
          <w:tcPr>
            <w:tcW w:w="992" w:type="dxa"/>
            <w:noWrap/>
            <w:hideMark/>
          </w:tcPr>
          <w:p w14:paraId="6DCFB8D2" w14:textId="50026996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0.09</w:t>
            </w:r>
          </w:p>
        </w:tc>
        <w:tc>
          <w:tcPr>
            <w:tcW w:w="4253" w:type="dxa"/>
            <w:noWrap/>
            <w:hideMark/>
          </w:tcPr>
          <w:p w14:paraId="54F23F55" w14:textId="18A35C1E" w:rsidR="006C2604" w:rsidRPr="006C2604" w:rsidRDefault="004B0DA4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>Temporary contract until 31.3.22</w:t>
            </w:r>
          </w:p>
        </w:tc>
      </w:tr>
      <w:tr w:rsidR="006C2604" w:rsidRPr="006C2604" w14:paraId="0E57B383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4EC5AABF" w14:textId="61435149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 xml:space="preserve">Project </w:t>
            </w:r>
            <w:r w:rsidR="004B0DA4">
              <w:rPr>
                <w:bCs/>
              </w:rPr>
              <w:t>M</w:t>
            </w:r>
            <w:r w:rsidRPr="006C2604">
              <w:rPr>
                <w:bCs/>
              </w:rPr>
              <w:t>anager (Asset Management)</w:t>
            </w:r>
          </w:p>
        </w:tc>
        <w:tc>
          <w:tcPr>
            <w:tcW w:w="2274" w:type="dxa"/>
            <w:noWrap/>
            <w:hideMark/>
          </w:tcPr>
          <w:p w14:paraId="10344725" w14:textId="07006B66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Inverness</w:t>
            </w:r>
          </w:p>
        </w:tc>
        <w:tc>
          <w:tcPr>
            <w:tcW w:w="992" w:type="dxa"/>
            <w:noWrap/>
            <w:hideMark/>
          </w:tcPr>
          <w:p w14:paraId="70F2C2CB" w14:textId="42EDE5C0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1</w:t>
            </w:r>
            <w:r w:rsidR="000B339E">
              <w:rPr>
                <w:bCs/>
              </w:rPr>
              <w:t>.00</w:t>
            </w:r>
          </w:p>
        </w:tc>
        <w:tc>
          <w:tcPr>
            <w:tcW w:w="4253" w:type="dxa"/>
            <w:noWrap/>
            <w:hideMark/>
          </w:tcPr>
          <w:p w14:paraId="2C27CFB2" w14:textId="7CD843B7" w:rsidR="006C2604" w:rsidRPr="006C2604" w:rsidRDefault="004B0DA4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>Temporary contract for 23 months (subject to start date)</w:t>
            </w:r>
          </w:p>
        </w:tc>
      </w:tr>
      <w:tr w:rsidR="006C2604" w:rsidRPr="006C2604" w14:paraId="75CF7C5A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17F25A7F" w14:textId="3EE95EA6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Clerical Assistant 2</w:t>
            </w:r>
            <w:r w:rsidR="004B0DA4">
              <w:rPr>
                <w:bCs/>
              </w:rPr>
              <w:t xml:space="preserve"> (Recruitment)</w:t>
            </w:r>
          </w:p>
        </w:tc>
        <w:tc>
          <w:tcPr>
            <w:tcW w:w="2274" w:type="dxa"/>
            <w:noWrap/>
            <w:hideMark/>
          </w:tcPr>
          <w:p w14:paraId="478684EA" w14:textId="5FD9802C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Inverness</w:t>
            </w:r>
          </w:p>
        </w:tc>
        <w:tc>
          <w:tcPr>
            <w:tcW w:w="992" w:type="dxa"/>
            <w:noWrap/>
            <w:hideMark/>
          </w:tcPr>
          <w:p w14:paraId="62B39AA1" w14:textId="3B93E1AC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0.5</w:t>
            </w:r>
            <w:r w:rsidR="000B339E">
              <w:rPr>
                <w:bCs/>
              </w:rPr>
              <w:t>0</w:t>
            </w:r>
          </w:p>
        </w:tc>
        <w:tc>
          <w:tcPr>
            <w:tcW w:w="4253" w:type="dxa"/>
            <w:noWrap/>
            <w:hideMark/>
          </w:tcPr>
          <w:p w14:paraId="1F400368" w14:textId="786C7CED" w:rsidR="006C2604" w:rsidRPr="006C2604" w:rsidRDefault="006C2604" w:rsidP="006C2604">
            <w:pPr>
              <w:pStyle w:val="NoSpacing"/>
              <w:rPr>
                <w:bCs/>
              </w:rPr>
            </w:pPr>
          </w:p>
        </w:tc>
      </w:tr>
      <w:tr w:rsidR="006C2604" w:rsidRPr="006C2604" w14:paraId="618504B5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3B7E57D8" w14:textId="585D07E5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Leisure Assistant (Gym)</w:t>
            </w:r>
          </w:p>
        </w:tc>
        <w:tc>
          <w:tcPr>
            <w:tcW w:w="2274" w:type="dxa"/>
            <w:noWrap/>
            <w:hideMark/>
          </w:tcPr>
          <w:p w14:paraId="78FCDC39" w14:textId="3B69DB66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 xml:space="preserve">Inverness </w:t>
            </w:r>
            <w:r w:rsidR="004B0DA4">
              <w:rPr>
                <w:bCs/>
              </w:rPr>
              <w:t>L</w:t>
            </w:r>
            <w:r w:rsidRPr="006C2604">
              <w:rPr>
                <w:bCs/>
              </w:rPr>
              <w:t>eisure</w:t>
            </w:r>
          </w:p>
        </w:tc>
        <w:tc>
          <w:tcPr>
            <w:tcW w:w="992" w:type="dxa"/>
            <w:noWrap/>
            <w:hideMark/>
          </w:tcPr>
          <w:p w14:paraId="1C2C21FF" w14:textId="2DFEFCC8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0.77</w:t>
            </w:r>
          </w:p>
        </w:tc>
        <w:tc>
          <w:tcPr>
            <w:tcW w:w="4253" w:type="dxa"/>
            <w:noWrap/>
            <w:hideMark/>
          </w:tcPr>
          <w:p w14:paraId="64210335" w14:textId="3A4512A8" w:rsidR="006C2604" w:rsidRPr="006C2604" w:rsidRDefault="004B0DA4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>Temporary contract until 30.6.22</w:t>
            </w:r>
          </w:p>
        </w:tc>
      </w:tr>
      <w:tr w:rsidR="004B0DA4" w:rsidRPr="006C2604" w14:paraId="7DF6C98C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3A0D38C5" w14:textId="11274525" w:rsidR="004B0DA4" w:rsidRPr="006C2604" w:rsidRDefault="004B0DA4" w:rsidP="004B0DA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Assistant Youth Worker</w:t>
            </w:r>
          </w:p>
        </w:tc>
        <w:tc>
          <w:tcPr>
            <w:tcW w:w="2274" w:type="dxa"/>
            <w:noWrap/>
            <w:hideMark/>
          </w:tcPr>
          <w:p w14:paraId="2847A413" w14:textId="18268C66" w:rsidR="004B0DA4" w:rsidRPr="006C2604" w:rsidRDefault="004B0DA4" w:rsidP="004B0DA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IRA</w:t>
            </w:r>
          </w:p>
        </w:tc>
        <w:tc>
          <w:tcPr>
            <w:tcW w:w="992" w:type="dxa"/>
            <w:noWrap/>
            <w:hideMark/>
          </w:tcPr>
          <w:p w14:paraId="1092D568" w14:textId="7B454BB9" w:rsidR="004B0DA4" w:rsidRPr="006C2604" w:rsidRDefault="004B0DA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0.11</w:t>
            </w:r>
          </w:p>
        </w:tc>
        <w:tc>
          <w:tcPr>
            <w:tcW w:w="4253" w:type="dxa"/>
            <w:noWrap/>
            <w:hideMark/>
          </w:tcPr>
          <w:p w14:paraId="6C11B26C" w14:textId="45AAFCED" w:rsidR="004B0DA4" w:rsidRPr="006C2604" w:rsidRDefault="004B0DA4" w:rsidP="004B0DA4">
            <w:pPr>
              <w:pStyle w:val="NoSpacing"/>
              <w:rPr>
                <w:bCs/>
              </w:rPr>
            </w:pPr>
            <w:r w:rsidRPr="00B857CD">
              <w:rPr>
                <w:bCs/>
              </w:rPr>
              <w:t>Temporary contract until 31.3.22</w:t>
            </w:r>
          </w:p>
        </w:tc>
      </w:tr>
      <w:tr w:rsidR="004B0DA4" w:rsidRPr="006C2604" w14:paraId="5DC34B5B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22BB22E0" w14:textId="2FACFC61" w:rsidR="004B0DA4" w:rsidRPr="006C2604" w:rsidRDefault="004B0DA4" w:rsidP="004B0DA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Assistant Youth Worker</w:t>
            </w:r>
          </w:p>
        </w:tc>
        <w:tc>
          <w:tcPr>
            <w:tcW w:w="2274" w:type="dxa"/>
            <w:noWrap/>
            <w:hideMark/>
          </w:tcPr>
          <w:p w14:paraId="0035AAFE" w14:textId="2D3987F3" w:rsidR="004B0DA4" w:rsidRPr="006C2604" w:rsidRDefault="004B0DA4" w:rsidP="004B0DA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Culloden</w:t>
            </w:r>
          </w:p>
        </w:tc>
        <w:tc>
          <w:tcPr>
            <w:tcW w:w="992" w:type="dxa"/>
            <w:noWrap/>
            <w:hideMark/>
          </w:tcPr>
          <w:p w14:paraId="4B34E59F" w14:textId="7BF9D0B4" w:rsidR="004B0DA4" w:rsidRPr="006C2604" w:rsidRDefault="004B0DA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0.14</w:t>
            </w:r>
          </w:p>
        </w:tc>
        <w:tc>
          <w:tcPr>
            <w:tcW w:w="4253" w:type="dxa"/>
            <w:noWrap/>
            <w:hideMark/>
          </w:tcPr>
          <w:p w14:paraId="4759DEC0" w14:textId="1A612A71" w:rsidR="004B0DA4" w:rsidRPr="006C2604" w:rsidRDefault="004B0DA4" w:rsidP="004B0DA4">
            <w:pPr>
              <w:pStyle w:val="NoSpacing"/>
              <w:rPr>
                <w:bCs/>
              </w:rPr>
            </w:pPr>
            <w:r w:rsidRPr="00B857CD">
              <w:rPr>
                <w:bCs/>
              </w:rPr>
              <w:t>Temporary contract until 31.3.22</w:t>
            </w:r>
          </w:p>
        </w:tc>
      </w:tr>
      <w:tr w:rsidR="004B0DA4" w:rsidRPr="006C2604" w14:paraId="62BB1B49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6280A763" w14:textId="3A47056E" w:rsidR="004B0DA4" w:rsidRPr="006C2604" w:rsidRDefault="004B0DA4" w:rsidP="004B0DA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Assistant Youth Worker</w:t>
            </w:r>
          </w:p>
        </w:tc>
        <w:tc>
          <w:tcPr>
            <w:tcW w:w="2274" w:type="dxa"/>
            <w:noWrap/>
            <w:hideMark/>
          </w:tcPr>
          <w:p w14:paraId="7CA26597" w14:textId="3BB72EB4" w:rsidR="004B0DA4" w:rsidRPr="006C2604" w:rsidRDefault="004B0DA4" w:rsidP="004B0DA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Portree</w:t>
            </w:r>
          </w:p>
        </w:tc>
        <w:tc>
          <w:tcPr>
            <w:tcW w:w="992" w:type="dxa"/>
            <w:noWrap/>
            <w:hideMark/>
          </w:tcPr>
          <w:p w14:paraId="5B322BAA" w14:textId="54800468" w:rsidR="004B0DA4" w:rsidRPr="006C2604" w:rsidRDefault="004B0DA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0.07</w:t>
            </w:r>
          </w:p>
        </w:tc>
        <w:tc>
          <w:tcPr>
            <w:tcW w:w="4253" w:type="dxa"/>
            <w:noWrap/>
            <w:hideMark/>
          </w:tcPr>
          <w:p w14:paraId="2EC1FAB1" w14:textId="276D107A" w:rsidR="004B0DA4" w:rsidRPr="006C2604" w:rsidRDefault="004B0DA4" w:rsidP="004B0DA4">
            <w:pPr>
              <w:pStyle w:val="NoSpacing"/>
              <w:rPr>
                <w:bCs/>
              </w:rPr>
            </w:pPr>
            <w:r w:rsidRPr="00B857CD">
              <w:rPr>
                <w:bCs/>
              </w:rPr>
              <w:t>Temporary contract until 31.3.22</w:t>
            </w:r>
          </w:p>
        </w:tc>
      </w:tr>
      <w:tr w:rsidR="004B0DA4" w:rsidRPr="006C2604" w14:paraId="459E5938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5D34228B" w14:textId="16F93ED0" w:rsidR="004B0DA4" w:rsidRPr="006C2604" w:rsidRDefault="004B0DA4" w:rsidP="004B0DA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Assistant Youth Worker</w:t>
            </w:r>
          </w:p>
        </w:tc>
        <w:tc>
          <w:tcPr>
            <w:tcW w:w="2274" w:type="dxa"/>
            <w:noWrap/>
            <w:hideMark/>
          </w:tcPr>
          <w:p w14:paraId="341E19DF" w14:textId="4FE59062" w:rsidR="004B0DA4" w:rsidRPr="006C2604" w:rsidRDefault="004B0DA4" w:rsidP="004B0DA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Broadford</w:t>
            </w:r>
          </w:p>
        </w:tc>
        <w:tc>
          <w:tcPr>
            <w:tcW w:w="992" w:type="dxa"/>
            <w:noWrap/>
            <w:hideMark/>
          </w:tcPr>
          <w:p w14:paraId="16F8AA42" w14:textId="3404F310" w:rsidR="004B0DA4" w:rsidRPr="006C2604" w:rsidRDefault="004B0DA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0.09</w:t>
            </w:r>
          </w:p>
        </w:tc>
        <w:tc>
          <w:tcPr>
            <w:tcW w:w="4253" w:type="dxa"/>
            <w:noWrap/>
            <w:hideMark/>
          </w:tcPr>
          <w:p w14:paraId="5CA87506" w14:textId="7D6A05DE" w:rsidR="004B0DA4" w:rsidRPr="006C2604" w:rsidRDefault="004B0DA4" w:rsidP="004B0DA4">
            <w:pPr>
              <w:pStyle w:val="NoSpacing"/>
              <w:rPr>
                <w:bCs/>
              </w:rPr>
            </w:pPr>
            <w:r w:rsidRPr="00B857CD">
              <w:rPr>
                <w:bCs/>
              </w:rPr>
              <w:t>Temporary contract until 31.3.22</w:t>
            </w:r>
          </w:p>
        </w:tc>
      </w:tr>
      <w:tr w:rsidR="004B0DA4" w:rsidRPr="006C2604" w14:paraId="4925A18D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1AC022F8" w14:textId="3810498C" w:rsidR="004B0DA4" w:rsidRPr="006C2604" w:rsidRDefault="004B0DA4" w:rsidP="004B0DA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Assistant Youth Worker</w:t>
            </w:r>
          </w:p>
        </w:tc>
        <w:tc>
          <w:tcPr>
            <w:tcW w:w="2274" w:type="dxa"/>
            <w:noWrap/>
            <w:hideMark/>
          </w:tcPr>
          <w:p w14:paraId="580A3D6A" w14:textId="7B1E2640" w:rsidR="004B0DA4" w:rsidRPr="006C2604" w:rsidRDefault="004B0DA4" w:rsidP="004B0DA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Nairn</w:t>
            </w:r>
          </w:p>
        </w:tc>
        <w:tc>
          <w:tcPr>
            <w:tcW w:w="992" w:type="dxa"/>
            <w:noWrap/>
            <w:hideMark/>
          </w:tcPr>
          <w:p w14:paraId="0D4909AE" w14:textId="121DF469" w:rsidR="004B0DA4" w:rsidRPr="006C2604" w:rsidRDefault="004B0DA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0.09</w:t>
            </w:r>
          </w:p>
        </w:tc>
        <w:tc>
          <w:tcPr>
            <w:tcW w:w="4253" w:type="dxa"/>
            <w:noWrap/>
            <w:hideMark/>
          </w:tcPr>
          <w:p w14:paraId="460501DF" w14:textId="4E852616" w:rsidR="004B0DA4" w:rsidRPr="006C2604" w:rsidRDefault="004B0DA4" w:rsidP="004B0DA4">
            <w:pPr>
              <w:pStyle w:val="NoSpacing"/>
              <w:rPr>
                <w:bCs/>
              </w:rPr>
            </w:pPr>
            <w:r w:rsidRPr="00B857CD">
              <w:rPr>
                <w:bCs/>
              </w:rPr>
              <w:t>Temporary contract until 31.3.22</w:t>
            </w:r>
          </w:p>
        </w:tc>
      </w:tr>
      <w:tr w:rsidR="004B0DA4" w:rsidRPr="006C2604" w14:paraId="0C5BDDC6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79E8CA32" w14:textId="46DA8BFE" w:rsidR="004B0DA4" w:rsidRPr="006C2604" w:rsidRDefault="004B0DA4" w:rsidP="004B0DA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Assistant Youth Worker</w:t>
            </w:r>
          </w:p>
        </w:tc>
        <w:tc>
          <w:tcPr>
            <w:tcW w:w="2274" w:type="dxa"/>
            <w:noWrap/>
            <w:hideMark/>
          </w:tcPr>
          <w:p w14:paraId="72A1D832" w14:textId="3948FD4E" w:rsidR="004B0DA4" w:rsidRPr="006C2604" w:rsidRDefault="004B0DA4" w:rsidP="004B0DA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Nairn</w:t>
            </w:r>
          </w:p>
        </w:tc>
        <w:tc>
          <w:tcPr>
            <w:tcW w:w="992" w:type="dxa"/>
            <w:noWrap/>
            <w:hideMark/>
          </w:tcPr>
          <w:p w14:paraId="04E5A485" w14:textId="35D3CB11" w:rsidR="004B0DA4" w:rsidRPr="006C2604" w:rsidRDefault="004B0DA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0.09</w:t>
            </w:r>
          </w:p>
        </w:tc>
        <w:tc>
          <w:tcPr>
            <w:tcW w:w="4253" w:type="dxa"/>
            <w:noWrap/>
            <w:hideMark/>
          </w:tcPr>
          <w:p w14:paraId="78E5362A" w14:textId="256889CD" w:rsidR="004B0DA4" w:rsidRPr="006C2604" w:rsidRDefault="004B0DA4" w:rsidP="004B0DA4">
            <w:pPr>
              <w:pStyle w:val="NoSpacing"/>
              <w:rPr>
                <w:bCs/>
              </w:rPr>
            </w:pPr>
            <w:r w:rsidRPr="00B857CD">
              <w:rPr>
                <w:bCs/>
              </w:rPr>
              <w:t>Temporary contract until 31.3.22</w:t>
            </w:r>
          </w:p>
        </w:tc>
      </w:tr>
      <w:tr w:rsidR="006C2604" w:rsidRPr="006C2604" w14:paraId="44BABF11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255574AD" w14:textId="50E91F2A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Tutor/Coach (LIVE IT) x 2</w:t>
            </w:r>
          </w:p>
        </w:tc>
        <w:tc>
          <w:tcPr>
            <w:tcW w:w="2274" w:type="dxa"/>
            <w:noWrap/>
            <w:hideMark/>
          </w:tcPr>
          <w:p w14:paraId="5A69D136" w14:textId="0FF8D005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Online</w:t>
            </w:r>
          </w:p>
        </w:tc>
        <w:tc>
          <w:tcPr>
            <w:tcW w:w="992" w:type="dxa"/>
            <w:noWrap/>
            <w:hideMark/>
          </w:tcPr>
          <w:p w14:paraId="6E9BAEED" w14:textId="3345650B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0.8</w:t>
            </w:r>
            <w:r w:rsidR="000B339E">
              <w:rPr>
                <w:bCs/>
              </w:rPr>
              <w:t>0</w:t>
            </w:r>
          </w:p>
        </w:tc>
        <w:tc>
          <w:tcPr>
            <w:tcW w:w="4253" w:type="dxa"/>
            <w:noWrap/>
            <w:hideMark/>
          </w:tcPr>
          <w:p w14:paraId="65929DC0" w14:textId="19CAEA38" w:rsidR="006C2604" w:rsidRPr="006C2604" w:rsidRDefault="004B0DA4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Temporary contract for </w:t>
            </w:r>
            <w:r w:rsidR="006C2604" w:rsidRPr="006C2604">
              <w:rPr>
                <w:bCs/>
              </w:rPr>
              <w:t>36 weeks</w:t>
            </w:r>
            <w:r>
              <w:rPr>
                <w:bCs/>
              </w:rPr>
              <w:t xml:space="preserve"> (subject to start date)</w:t>
            </w:r>
          </w:p>
        </w:tc>
      </w:tr>
      <w:tr w:rsidR="006C2604" w:rsidRPr="006C2604" w14:paraId="5513415B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216915AD" w14:textId="4083353C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Tutor Coach (Yoga)</w:t>
            </w:r>
          </w:p>
        </w:tc>
        <w:tc>
          <w:tcPr>
            <w:tcW w:w="2274" w:type="dxa"/>
            <w:noWrap/>
            <w:hideMark/>
          </w:tcPr>
          <w:p w14:paraId="577154BB" w14:textId="3FD09AA3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Fingal Centre</w:t>
            </w:r>
          </w:p>
        </w:tc>
        <w:tc>
          <w:tcPr>
            <w:tcW w:w="992" w:type="dxa"/>
            <w:noWrap/>
            <w:hideMark/>
          </w:tcPr>
          <w:p w14:paraId="65ACED07" w14:textId="0336F8E8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0.03</w:t>
            </w:r>
          </w:p>
        </w:tc>
        <w:tc>
          <w:tcPr>
            <w:tcW w:w="4253" w:type="dxa"/>
            <w:noWrap/>
            <w:hideMark/>
          </w:tcPr>
          <w:p w14:paraId="360E139D" w14:textId="6EF79B12" w:rsidR="006C2604" w:rsidRPr="006C2604" w:rsidRDefault="006C2604" w:rsidP="006C2604">
            <w:pPr>
              <w:pStyle w:val="NoSpacing"/>
              <w:rPr>
                <w:bCs/>
              </w:rPr>
            </w:pPr>
          </w:p>
        </w:tc>
      </w:tr>
      <w:tr w:rsidR="006C2604" w:rsidRPr="006C2604" w14:paraId="2271BA68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0253EB79" w14:textId="7065CE97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Marketing Officer</w:t>
            </w:r>
            <w:r w:rsidR="004B0DA4">
              <w:rPr>
                <w:bCs/>
              </w:rPr>
              <w:t xml:space="preserve"> (Castle Project)</w:t>
            </w:r>
          </w:p>
        </w:tc>
        <w:tc>
          <w:tcPr>
            <w:tcW w:w="2274" w:type="dxa"/>
            <w:noWrap/>
            <w:hideMark/>
          </w:tcPr>
          <w:p w14:paraId="687D4284" w14:textId="03D7BF3D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Inverness</w:t>
            </w:r>
          </w:p>
        </w:tc>
        <w:tc>
          <w:tcPr>
            <w:tcW w:w="992" w:type="dxa"/>
            <w:noWrap/>
            <w:hideMark/>
          </w:tcPr>
          <w:p w14:paraId="1893EC20" w14:textId="2A8E2B1C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1</w:t>
            </w:r>
            <w:r w:rsidR="000B339E">
              <w:rPr>
                <w:bCs/>
              </w:rPr>
              <w:t>.00</w:t>
            </w:r>
          </w:p>
        </w:tc>
        <w:tc>
          <w:tcPr>
            <w:tcW w:w="4253" w:type="dxa"/>
            <w:noWrap/>
            <w:hideMark/>
          </w:tcPr>
          <w:p w14:paraId="7DD6546C" w14:textId="77777777" w:rsidR="006C2604" w:rsidRPr="006C2604" w:rsidRDefault="006C2604" w:rsidP="006C2604">
            <w:pPr>
              <w:pStyle w:val="NoSpacing"/>
              <w:rPr>
                <w:bCs/>
              </w:rPr>
            </w:pPr>
          </w:p>
        </w:tc>
      </w:tr>
      <w:tr w:rsidR="006C2604" w:rsidRPr="006C2604" w14:paraId="2183A19F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0CC8282B" w14:textId="0D74289B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Ambitious Highland Team Leader</w:t>
            </w:r>
          </w:p>
        </w:tc>
        <w:tc>
          <w:tcPr>
            <w:tcW w:w="2274" w:type="dxa"/>
            <w:noWrap/>
            <w:hideMark/>
          </w:tcPr>
          <w:p w14:paraId="75B9AA52" w14:textId="74302810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Inverness</w:t>
            </w:r>
          </w:p>
        </w:tc>
        <w:tc>
          <w:tcPr>
            <w:tcW w:w="992" w:type="dxa"/>
            <w:noWrap/>
            <w:hideMark/>
          </w:tcPr>
          <w:p w14:paraId="7239D837" w14:textId="55AB5D72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0.6</w:t>
            </w:r>
          </w:p>
        </w:tc>
        <w:tc>
          <w:tcPr>
            <w:tcW w:w="4253" w:type="dxa"/>
            <w:noWrap/>
            <w:hideMark/>
          </w:tcPr>
          <w:p w14:paraId="30289FB5" w14:textId="6373058C" w:rsidR="006C2604" w:rsidRPr="006C2604" w:rsidRDefault="004B0DA4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>Temporary contract until 23.3.22</w:t>
            </w:r>
          </w:p>
        </w:tc>
      </w:tr>
      <w:tr w:rsidR="006C2604" w:rsidRPr="006C2604" w14:paraId="16B8F286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4A9391F5" w14:textId="6D15680B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YMI Tutor</w:t>
            </w:r>
          </w:p>
        </w:tc>
        <w:tc>
          <w:tcPr>
            <w:tcW w:w="2274" w:type="dxa"/>
            <w:noWrap/>
            <w:hideMark/>
          </w:tcPr>
          <w:p w14:paraId="1A532E69" w14:textId="2376FC2E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Inverness</w:t>
            </w:r>
          </w:p>
        </w:tc>
        <w:tc>
          <w:tcPr>
            <w:tcW w:w="992" w:type="dxa"/>
            <w:noWrap/>
            <w:hideMark/>
          </w:tcPr>
          <w:p w14:paraId="2DBE6608" w14:textId="1310FF5F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0.06</w:t>
            </w:r>
          </w:p>
        </w:tc>
        <w:tc>
          <w:tcPr>
            <w:tcW w:w="4253" w:type="dxa"/>
            <w:noWrap/>
            <w:hideMark/>
          </w:tcPr>
          <w:p w14:paraId="7C5CFF3E" w14:textId="23CB6477" w:rsidR="006C2604" w:rsidRPr="006C2604" w:rsidRDefault="004B0DA4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>Temporary contract until 30.6.22</w:t>
            </w:r>
          </w:p>
        </w:tc>
      </w:tr>
      <w:tr w:rsidR="006C2604" w:rsidRPr="006C2604" w14:paraId="3C365AC0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44B6615E" w14:textId="666C5A1E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YMI Tutor</w:t>
            </w:r>
          </w:p>
        </w:tc>
        <w:tc>
          <w:tcPr>
            <w:tcW w:w="2274" w:type="dxa"/>
            <w:noWrap/>
            <w:hideMark/>
          </w:tcPr>
          <w:p w14:paraId="23C23395" w14:textId="145B1734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Grantown</w:t>
            </w:r>
          </w:p>
        </w:tc>
        <w:tc>
          <w:tcPr>
            <w:tcW w:w="992" w:type="dxa"/>
            <w:noWrap/>
            <w:hideMark/>
          </w:tcPr>
          <w:p w14:paraId="0F61BC98" w14:textId="632AC103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0.09</w:t>
            </w:r>
          </w:p>
        </w:tc>
        <w:tc>
          <w:tcPr>
            <w:tcW w:w="4253" w:type="dxa"/>
            <w:noWrap/>
            <w:hideMark/>
          </w:tcPr>
          <w:p w14:paraId="338CD0E3" w14:textId="7A64E2FC" w:rsidR="006C2604" w:rsidRPr="006C2604" w:rsidRDefault="004B0DA4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>Temporary contract until 30.6.22</w:t>
            </w:r>
          </w:p>
        </w:tc>
      </w:tr>
      <w:tr w:rsidR="006C2604" w:rsidRPr="006C2604" w14:paraId="6EFA86D1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2DEA2B12" w14:textId="7E8049C8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Library Assistant (term time)</w:t>
            </w:r>
          </w:p>
        </w:tc>
        <w:tc>
          <w:tcPr>
            <w:tcW w:w="2274" w:type="dxa"/>
            <w:noWrap/>
            <w:hideMark/>
          </w:tcPr>
          <w:p w14:paraId="0B8324A3" w14:textId="57C58EDC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Thurso High School</w:t>
            </w:r>
          </w:p>
        </w:tc>
        <w:tc>
          <w:tcPr>
            <w:tcW w:w="992" w:type="dxa"/>
            <w:noWrap/>
            <w:hideMark/>
          </w:tcPr>
          <w:p w14:paraId="2CF308AE" w14:textId="0128AE97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0.16</w:t>
            </w:r>
          </w:p>
        </w:tc>
        <w:tc>
          <w:tcPr>
            <w:tcW w:w="4253" w:type="dxa"/>
            <w:noWrap/>
            <w:hideMark/>
          </w:tcPr>
          <w:p w14:paraId="02A0D43B" w14:textId="10BE7D12" w:rsidR="006C2604" w:rsidRPr="006C2604" w:rsidRDefault="006C2604" w:rsidP="006C2604">
            <w:pPr>
              <w:pStyle w:val="NoSpacing"/>
              <w:rPr>
                <w:bCs/>
              </w:rPr>
            </w:pPr>
          </w:p>
        </w:tc>
      </w:tr>
      <w:tr w:rsidR="006C2604" w:rsidRPr="006C2604" w14:paraId="129F5415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14DF4465" w14:textId="474BBF77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Tutor Coach (Yoga)</w:t>
            </w:r>
          </w:p>
        </w:tc>
        <w:tc>
          <w:tcPr>
            <w:tcW w:w="2274" w:type="dxa"/>
            <w:noWrap/>
            <w:hideMark/>
          </w:tcPr>
          <w:p w14:paraId="544FA344" w14:textId="6CB076EE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Culloden Lesiure</w:t>
            </w:r>
          </w:p>
        </w:tc>
        <w:tc>
          <w:tcPr>
            <w:tcW w:w="992" w:type="dxa"/>
            <w:noWrap/>
            <w:hideMark/>
          </w:tcPr>
          <w:p w14:paraId="05353D7F" w14:textId="5ABB0A86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0.03</w:t>
            </w:r>
          </w:p>
        </w:tc>
        <w:tc>
          <w:tcPr>
            <w:tcW w:w="4253" w:type="dxa"/>
            <w:noWrap/>
            <w:hideMark/>
          </w:tcPr>
          <w:p w14:paraId="6684E057" w14:textId="77777777" w:rsidR="006C2604" w:rsidRPr="006C2604" w:rsidRDefault="006C2604" w:rsidP="006C2604">
            <w:pPr>
              <w:pStyle w:val="NoSpacing"/>
              <w:rPr>
                <w:bCs/>
              </w:rPr>
            </w:pPr>
          </w:p>
        </w:tc>
      </w:tr>
      <w:tr w:rsidR="006C2604" w:rsidRPr="006C2604" w14:paraId="5BD40B91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7F3800AF" w14:textId="24545CB9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lastRenderedPageBreak/>
              <w:t>Spirit of Highlands - Content Development Officer</w:t>
            </w:r>
          </w:p>
        </w:tc>
        <w:tc>
          <w:tcPr>
            <w:tcW w:w="2274" w:type="dxa"/>
            <w:noWrap/>
            <w:hideMark/>
          </w:tcPr>
          <w:p w14:paraId="227F22DA" w14:textId="70758D65" w:rsidR="006C2604" w:rsidRPr="006C2604" w:rsidRDefault="004B0DA4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>Inverness</w:t>
            </w:r>
          </w:p>
        </w:tc>
        <w:tc>
          <w:tcPr>
            <w:tcW w:w="992" w:type="dxa"/>
            <w:noWrap/>
            <w:hideMark/>
          </w:tcPr>
          <w:p w14:paraId="55DC8372" w14:textId="1D2B4F27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1</w:t>
            </w:r>
            <w:r w:rsidR="000B339E">
              <w:rPr>
                <w:bCs/>
              </w:rPr>
              <w:t>.00</w:t>
            </w:r>
          </w:p>
        </w:tc>
        <w:tc>
          <w:tcPr>
            <w:tcW w:w="4253" w:type="dxa"/>
            <w:noWrap/>
            <w:hideMark/>
          </w:tcPr>
          <w:p w14:paraId="07AB9086" w14:textId="07EF257F" w:rsidR="006C2604" w:rsidRPr="006C2604" w:rsidRDefault="004B0DA4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>Temporary contract until 31.12.23</w:t>
            </w:r>
          </w:p>
        </w:tc>
      </w:tr>
      <w:tr w:rsidR="006C2604" w:rsidRPr="006C2604" w14:paraId="32BB019D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6DA9A94E" w14:textId="45939FF2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Graduate Data Curation Officer</w:t>
            </w:r>
          </w:p>
        </w:tc>
        <w:tc>
          <w:tcPr>
            <w:tcW w:w="2274" w:type="dxa"/>
            <w:noWrap/>
            <w:hideMark/>
          </w:tcPr>
          <w:p w14:paraId="20D11398" w14:textId="6FE45D1F" w:rsidR="006C2604" w:rsidRPr="006C2604" w:rsidRDefault="004B0DA4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Inverness </w:t>
            </w:r>
          </w:p>
        </w:tc>
        <w:tc>
          <w:tcPr>
            <w:tcW w:w="992" w:type="dxa"/>
            <w:noWrap/>
            <w:hideMark/>
          </w:tcPr>
          <w:p w14:paraId="47E7DAF8" w14:textId="180CB614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-1</w:t>
            </w:r>
            <w:r w:rsidR="000B339E">
              <w:rPr>
                <w:bCs/>
              </w:rPr>
              <w:t>.00</w:t>
            </w:r>
          </w:p>
        </w:tc>
        <w:tc>
          <w:tcPr>
            <w:tcW w:w="4253" w:type="dxa"/>
            <w:noWrap/>
            <w:hideMark/>
          </w:tcPr>
          <w:p w14:paraId="24C84991" w14:textId="728EDB56" w:rsidR="006C2604" w:rsidRPr="006C2604" w:rsidRDefault="004B0DA4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>Delete post</w:t>
            </w:r>
          </w:p>
        </w:tc>
      </w:tr>
      <w:tr w:rsidR="006C2604" w:rsidRPr="006C2604" w14:paraId="73121906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626BE0C1" w14:textId="62695AAA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 xml:space="preserve">Head of </w:t>
            </w:r>
            <w:r w:rsidR="004B0DA4">
              <w:rPr>
                <w:bCs/>
              </w:rPr>
              <w:t>L</w:t>
            </w:r>
            <w:r w:rsidRPr="006C2604">
              <w:rPr>
                <w:bCs/>
              </w:rPr>
              <w:t>evelling Up Fund</w:t>
            </w:r>
          </w:p>
        </w:tc>
        <w:tc>
          <w:tcPr>
            <w:tcW w:w="2274" w:type="dxa"/>
            <w:noWrap/>
            <w:hideMark/>
          </w:tcPr>
          <w:p w14:paraId="5F9A3370" w14:textId="032B5E9E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Inverness</w:t>
            </w:r>
          </w:p>
        </w:tc>
        <w:tc>
          <w:tcPr>
            <w:tcW w:w="992" w:type="dxa"/>
            <w:noWrap/>
            <w:hideMark/>
          </w:tcPr>
          <w:p w14:paraId="7409E551" w14:textId="317AD639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1</w:t>
            </w:r>
            <w:r w:rsidR="000B339E">
              <w:rPr>
                <w:bCs/>
              </w:rPr>
              <w:t>.00</w:t>
            </w:r>
          </w:p>
        </w:tc>
        <w:tc>
          <w:tcPr>
            <w:tcW w:w="4253" w:type="dxa"/>
            <w:noWrap/>
            <w:hideMark/>
          </w:tcPr>
          <w:p w14:paraId="3AAF530E" w14:textId="1E8B0E97" w:rsidR="006C2604" w:rsidRPr="006C2604" w:rsidRDefault="004B0DA4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>Temporary contract until 31.1.24</w:t>
            </w:r>
          </w:p>
        </w:tc>
      </w:tr>
      <w:tr w:rsidR="006C2604" w:rsidRPr="006C2604" w14:paraId="398522C0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53AC8F8A" w14:textId="3AFCCDCF" w:rsidR="006C2604" w:rsidRPr="006C2604" w:rsidRDefault="004B0DA4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Youth </w:t>
            </w:r>
            <w:r w:rsidR="006C2604" w:rsidRPr="006C2604">
              <w:rPr>
                <w:bCs/>
              </w:rPr>
              <w:t>Support Worker</w:t>
            </w:r>
          </w:p>
        </w:tc>
        <w:tc>
          <w:tcPr>
            <w:tcW w:w="2274" w:type="dxa"/>
            <w:noWrap/>
            <w:hideMark/>
          </w:tcPr>
          <w:p w14:paraId="1E0B7EF2" w14:textId="55FF5DFB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Thurso High School</w:t>
            </w:r>
          </w:p>
        </w:tc>
        <w:tc>
          <w:tcPr>
            <w:tcW w:w="992" w:type="dxa"/>
            <w:noWrap/>
            <w:hideMark/>
          </w:tcPr>
          <w:p w14:paraId="591A798A" w14:textId="50792578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0.5</w:t>
            </w:r>
            <w:r w:rsidR="000B339E">
              <w:rPr>
                <w:bCs/>
              </w:rPr>
              <w:t>0</w:t>
            </w:r>
          </w:p>
        </w:tc>
        <w:tc>
          <w:tcPr>
            <w:tcW w:w="4253" w:type="dxa"/>
            <w:noWrap/>
            <w:hideMark/>
          </w:tcPr>
          <w:p w14:paraId="67B58390" w14:textId="1728C855" w:rsidR="006C2604" w:rsidRPr="006C2604" w:rsidRDefault="004B0DA4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>Temporary</w:t>
            </w:r>
            <w:r w:rsidR="000B339E">
              <w:rPr>
                <w:bCs/>
              </w:rPr>
              <w:t xml:space="preserve"> contract</w:t>
            </w:r>
            <w:r>
              <w:rPr>
                <w:bCs/>
              </w:rPr>
              <w:t xml:space="preserve"> until 31.3.22</w:t>
            </w:r>
          </w:p>
        </w:tc>
      </w:tr>
      <w:tr w:rsidR="006C2604" w:rsidRPr="006C2604" w14:paraId="12D6ABFA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358C835E" w14:textId="3D9F803E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Tutor</w:t>
            </w:r>
          </w:p>
        </w:tc>
        <w:tc>
          <w:tcPr>
            <w:tcW w:w="2274" w:type="dxa"/>
            <w:noWrap/>
            <w:hideMark/>
          </w:tcPr>
          <w:p w14:paraId="6A987A06" w14:textId="5DBB06A8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Joss Street</w:t>
            </w:r>
          </w:p>
        </w:tc>
        <w:tc>
          <w:tcPr>
            <w:tcW w:w="992" w:type="dxa"/>
            <w:noWrap/>
            <w:hideMark/>
          </w:tcPr>
          <w:p w14:paraId="2098C36A" w14:textId="43BD6E73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0.29</w:t>
            </w:r>
          </w:p>
        </w:tc>
        <w:tc>
          <w:tcPr>
            <w:tcW w:w="4253" w:type="dxa"/>
            <w:noWrap/>
            <w:hideMark/>
          </w:tcPr>
          <w:p w14:paraId="1F8D8291" w14:textId="35D1021D" w:rsidR="006C2604" w:rsidRPr="006C2604" w:rsidRDefault="000B339E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Temporary contract until </w:t>
            </w:r>
            <w:r w:rsidR="006C2604" w:rsidRPr="006C2604">
              <w:rPr>
                <w:bCs/>
              </w:rPr>
              <w:t>28.2.22</w:t>
            </w:r>
          </w:p>
        </w:tc>
      </w:tr>
      <w:tr w:rsidR="006C2604" w:rsidRPr="006C2604" w14:paraId="704B4C61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71A62F5B" w14:textId="54F0D577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Tutor</w:t>
            </w:r>
          </w:p>
        </w:tc>
        <w:tc>
          <w:tcPr>
            <w:tcW w:w="2274" w:type="dxa"/>
            <w:noWrap/>
            <w:hideMark/>
          </w:tcPr>
          <w:p w14:paraId="0F73997E" w14:textId="6C64D5C3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Portree Library</w:t>
            </w:r>
          </w:p>
        </w:tc>
        <w:tc>
          <w:tcPr>
            <w:tcW w:w="992" w:type="dxa"/>
            <w:noWrap/>
            <w:hideMark/>
          </w:tcPr>
          <w:p w14:paraId="100A52E9" w14:textId="311FD998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0.09</w:t>
            </w:r>
          </w:p>
        </w:tc>
        <w:tc>
          <w:tcPr>
            <w:tcW w:w="4253" w:type="dxa"/>
            <w:noWrap/>
            <w:hideMark/>
          </w:tcPr>
          <w:p w14:paraId="771B6053" w14:textId="4DBEDD79" w:rsidR="006C2604" w:rsidRPr="006C2604" w:rsidRDefault="000B339E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Temporary contract until </w:t>
            </w:r>
            <w:r w:rsidR="006C2604" w:rsidRPr="006C2604">
              <w:rPr>
                <w:bCs/>
              </w:rPr>
              <w:t>31.3.22</w:t>
            </w:r>
          </w:p>
        </w:tc>
      </w:tr>
      <w:tr w:rsidR="006C2604" w:rsidRPr="006C2604" w14:paraId="6DBD1AB4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7197F9BB" w14:textId="27DA1961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Tutor</w:t>
            </w:r>
          </w:p>
        </w:tc>
        <w:tc>
          <w:tcPr>
            <w:tcW w:w="2274" w:type="dxa"/>
            <w:noWrap/>
            <w:hideMark/>
          </w:tcPr>
          <w:p w14:paraId="6E545DA6" w14:textId="777661D2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Brora Learning Zone</w:t>
            </w:r>
          </w:p>
        </w:tc>
        <w:tc>
          <w:tcPr>
            <w:tcW w:w="992" w:type="dxa"/>
            <w:noWrap/>
            <w:hideMark/>
          </w:tcPr>
          <w:p w14:paraId="6E697190" w14:textId="2410FB3F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0.11</w:t>
            </w:r>
          </w:p>
        </w:tc>
        <w:tc>
          <w:tcPr>
            <w:tcW w:w="4253" w:type="dxa"/>
            <w:noWrap/>
            <w:hideMark/>
          </w:tcPr>
          <w:p w14:paraId="5E368C9C" w14:textId="68E0932E" w:rsidR="006C2604" w:rsidRPr="006C2604" w:rsidRDefault="000B339E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Temporary contract until </w:t>
            </w:r>
            <w:r w:rsidR="006C2604" w:rsidRPr="006C2604">
              <w:rPr>
                <w:bCs/>
              </w:rPr>
              <w:t>31.3.22</w:t>
            </w:r>
          </w:p>
        </w:tc>
      </w:tr>
      <w:tr w:rsidR="006C2604" w:rsidRPr="006C2604" w14:paraId="72A149D6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755E5517" w14:textId="21E2C2E4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YDO</w:t>
            </w:r>
          </w:p>
        </w:tc>
        <w:tc>
          <w:tcPr>
            <w:tcW w:w="2274" w:type="dxa"/>
            <w:noWrap/>
            <w:hideMark/>
          </w:tcPr>
          <w:p w14:paraId="3EF34373" w14:textId="32F872C4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Kinlochleven</w:t>
            </w:r>
          </w:p>
        </w:tc>
        <w:tc>
          <w:tcPr>
            <w:tcW w:w="992" w:type="dxa"/>
            <w:noWrap/>
            <w:hideMark/>
          </w:tcPr>
          <w:p w14:paraId="7BE52F2E" w14:textId="3CEE707B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0.14</w:t>
            </w:r>
          </w:p>
        </w:tc>
        <w:tc>
          <w:tcPr>
            <w:tcW w:w="4253" w:type="dxa"/>
            <w:noWrap/>
            <w:hideMark/>
          </w:tcPr>
          <w:p w14:paraId="22500374" w14:textId="34BD9CF8" w:rsidR="006C2604" w:rsidRPr="006C2604" w:rsidRDefault="000B339E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Temporary contract until </w:t>
            </w:r>
            <w:r w:rsidR="006C2604" w:rsidRPr="006C2604">
              <w:rPr>
                <w:bCs/>
              </w:rPr>
              <w:t>31.3.22</w:t>
            </w:r>
          </w:p>
        </w:tc>
      </w:tr>
      <w:tr w:rsidR="006C2604" w:rsidRPr="006C2604" w14:paraId="55F9EBD0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5AA56799" w14:textId="65EBBC81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YDO</w:t>
            </w:r>
          </w:p>
        </w:tc>
        <w:tc>
          <w:tcPr>
            <w:tcW w:w="2274" w:type="dxa"/>
            <w:noWrap/>
            <w:hideMark/>
          </w:tcPr>
          <w:p w14:paraId="168438CB" w14:textId="12B7043C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Fort William</w:t>
            </w:r>
          </w:p>
        </w:tc>
        <w:tc>
          <w:tcPr>
            <w:tcW w:w="992" w:type="dxa"/>
            <w:noWrap/>
            <w:hideMark/>
          </w:tcPr>
          <w:p w14:paraId="09726F50" w14:textId="77FB680B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0.14</w:t>
            </w:r>
          </w:p>
        </w:tc>
        <w:tc>
          <w:tcPr>
            <w:tcW w:w="4253" w:type="dxa"/>
            <w:noWrap/>
            <w:hideMark/>
          </w:tcPr>
          <w:p w14:paraId="062509E9" w14:textId="2FDC6C63" w:rsidR="006C2604" w:rsidRPr="006C2604" w:rsidRDefault="000B339E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Temporary contract until </w:t>
            </w:r>
            <w:r w:rsidR="006C2604" w:rsidRPr="006C2604">
              <w:rPr>
                <w:bCs/>
              </w:rPr>
              <w:t>31.3.22</w:t>
            </w:r>
          </w:p>
        </w:tc>
      </w:tr>
      <w:tr w:rsidR="006C2604" w:rsidRPr="006C2604" w14:paraId="59D4712B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37FCAAAE" w14:textId="45E6FC4B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High Life Systems Manager</w:t>
            </w:r>
          </w:p>
        </w:tc>
        <w:tc>
          <w:tcPr>
            <w:tcW w:w="2274" w:type="dxa"/>
            <w:noWrap/>
            <w:hideMark/>
          </w:tcPr>
          <w:p w14:paraId="732CB7BD" w14:textId="7292DC5B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Dingwall</w:t>
            </w:r>
          </w:p>
        </w:tc>
        <w:tc>
          <w:tcPr>
            <w:tcW w:w="992" w:type="dxa"/>
            <w:noWrap/>
            <w:hideMark/>
          </w:tcPr>
          <w:p w14:paraId="1FCBDDE6" w14:textId="56033181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1</w:t>
            </w:r>
            <w:r w:rsidR="000B339E">
              <w:rPr>
                <w:bCs/>
              </w:rPr>
              <w:t>.00</w:t>
            </w:r>
          </w:p>
        </w:tc>
        <w:tc>
          <w:tcPr>
            <w:tcW w:w="4253" w:type="dxa"/>
            <w:noWrap/>
            <w:hideMark/>
          </w:tcPr>
          <w:p w14:paraId="6B0C8197" w14:textId="0C02A539" w:rsidR="006C2604" w:rsidRPr="006C2604" w:rsidRDefault="006C2604" w:rsidP="006C2604">
            <w:pPr>
              <w:pStyle w:val="NoSpacing"/>
              <w:rPr>
                <w:bCs/>
              </w:rPr>
            </w:pPr>
          </w:p>
        </w:tc>
      </w:tr>
      <w:tr w:rsidR="006C2604" w:rsidRPr="006C2604" w14:paraId="21935C09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3622DEC1" w14:textId="13D3078C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ICT Senior Officer (Leisure)</w:t>
            </w:r>
          </w:p>
        </w:tc>
        <w:tc>
          <w:tcPr>
            <w:tcW w:w="2274" w:type="dxa"/>
            <w:noWrap/>
            <w:hideMark/>
          </w:tcPr>
          <w:p w14:paraId="72C8704C" w14:textId="0A9B3A36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Inverness</w:t>
            </w:r>
          </w:p>
        </w:tc>
        <w:tc>
          <w:tcPr>
            <w:tcW w:w="992" w:type="dxa"/>
            <w:noWrap/>
            <w:hideMark/>
          </w:tcPr>
          <w:p w14:paraId="5254684D" w14:textId="1C56A168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-1</w:t>
            </w:r>
            <w:r w:rsidR="000B339E">
              <w:rPr>
                <w:bCs/>
              </w:rPr>
              <w:t>.00</w:t>
            </w:r>
          </w:p>
        </w:tc>
        <w:tc>
          <w:tcPr>
            <w:tcW w:w="4253" w:type="dxa"/>
            <w:noWrap/>
            <w:hideMark/>
          </w:tcPr>
          <w:p w14:paraId="0B323E79" w14:textId="5405EFCB" w:rsidR="006C2604" w:rsidRPr="006C2604" w:rsidRDefault="000B339E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>Delete post</w:t>
            </w:r>
          </w:p>
        </w:tc>
      </w:tr>
      <w:tr w:rsidR="006C2604" w:rsidRPr="006C2604" w14:paraId="363A4BD3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15D25846" w14:textId="71FC510B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Ambitious Highland Co-ordinators x 8</w:t>
            </w:r>
          </w:p>
        </w:tc>
        <w:tc>
          <w:tcPr>
            <w:tcW w:w="2274" w:type="dxa"/>
            <w:noWrap/>
            <w:hideMark/>
          </w:tcPr>
          <w:p w14:paraId="41913605" w14:textId="52779753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Thurso, Invergordon, Dingwall, Inverness (2), Ft William, Nairn, Portree</w:t>
            </w:r>
          </w:p>
        </w:tc>
        <w:tc>
          <w:tcPr>
            <w:tcW w:w="992" w:type="dxa"/>
            <w:noWrap/>
            <w:hideMark/>
          </w:tcPr>
          <w:p w14:paraId="683F45C0" w14:textId="14746B43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8</w:t>
            </w:r>
            <w:r w:rsidR="000B339E">
              <w:rPr>
                <w:bCs/>
              </w:rPr>
              <w:t>.00</w:t>
            </w:r>
          </w:p>
        </w:tc>
        <w:tc>
          <w:tcPr>
            <w:tcW w:w="4253" w:type="dxa"/>
            <w:noWrap/>
            <w:hideMark/>
          </w:tcPr>
          <w:p w14:paraId="5E63D048" w14:textId="39CDDAC5" w:rsidR="006C2604" w:rsidRPr="006C2604" w:rsidRDefault="000B339E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Temporary contract until </w:t>
            </w:r>
            <w:r w:rsidRPr="006C2604">
              <w:rPr>
                <w:bCs/>
              </w:rPr>
              <w:t>31.3.2</w:t>
            </w:r>
            <w:r>
              <w:rPr>
                <w:bCs/>
              </w:rPr>
              <w:t>3</w:t>
            </w:r>
          </w:p>
        </w:tc>
      </w:tr>
      <w:tr w:rsidR="006C2604" w:rsidRPr="006C2604" w14:paraId="01CBFFCE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73F2C217" w14:textId="573CF99B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Ambitious Highland Co-ordinators x 2</w:t>
            </w:r>
          </w:p>
        </w:tc>
        <w:tc>
          <w:tcPr>
            <w:tcW w:w="2274" w:type="dxa"/>
            <w:noWrap/>
            <w:hideMark/>
          </w:tcPr>
          <w:p w14:paraId="430CE238" w14:textId="1D589747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Golspie, Ullapool</w:t>
            </w:r>
          </w:p>
        </w:tc>
        <w:tc>
          <w:tcPr>
            <w:tcW w:w="992" w:type="dxa"/>
            <w:noWrap/>
            <w:hideMark/>
          </w:tcPr>
          <w:p w14:paraId="43072FBA" w14:textId="5097DAD6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1</w:t>
            </w:r>
            <w:r w:rsidR="000B339E">
              <w:rPr>
                <w:bCs/>
              </w:rPr>
              <w:t>.00</w:t>
            </w:r>
          </w:p>
        </w:tc>
        <w:tc>
          <w:tcPr>
            <w:tcW w:w="4253" w:type="dxa"/>
            <w:noWrap/>
            <w:hideMark/>
          </w:tcPr>
          <w:p w14:paraId="05BEBFAD" w14:textId="648F34AD" w:rsidR="006C2604" w:rsidRPr="006C2604" w:rsidRDefault="000B339E" w:rsidP="006C2604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Temporary contract until </w:t>
            </w:r>
            <w:r w:rsidRPr="006C2604">
              <w:rPr>
                <w:bCs/>
              </w:rPr>
              <w:t>31.3.2</w:t>
            </w:r>
            <w:r>
              <w:rPr>
                <w:bCs/>
              </w:rPr>
              <w:t>3</w:t>
            </w:r>
          </w:p>
        </w:tc>
      </w:tr>
      <w:tr w:rsidR="006C2604" w:rsidRPr="006C2604" w14:paraId="23456F8B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5503FC67" w14:textId="361E34F6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 xml:space="preserve">Assistant Youth Workers </w:t>
            </w:r>
            <w:r w:rsidR="000B339E">
              <w:rPr>
                <w:bCs/>
              </w:rPr>
              <w:t>(</w:t>
            </w:r>
            <w:r w:rsidRPr="006C2604">
              <w:rPr>
                <w:bCs/>
              </w:rPr>
              <w:t>x 3</w:t>
            </w:r>
            <w:r w:rsidR="000B339E">
              <w:rPr>
                <w:bCs/>
              </w:rPr>
              <w:t>)</w:t>
            </w:r>
          </w:p>
        </w:tc>
        <w:tc>
          <w:tcPr>
            <w:tcW w:w="2274" w:type="dxa"/>
            <w:noWrap/>
            <w:hideMark/>
          </w:tcPr>
          <w:p w14:paraId="14F6CF7E" w14:textId="6C631775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Tain</w:t>
            </w:r>
          </w:p>
        </w:tc>
        <w:tc>
          <w:tcPr>
            <w:tcW w:w="992" w:type="dxa"/>
            <w:noWrap/>
            <w:hideMark/>
          </w:tcPr>
          <w:p w14:paraId="0885302C" w14:textId="66F576FC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0.34</w:t>
            </w:r>
          </w:p>
        </w:tc>
        <w:tc>
          <w:tcPr>
            <w:tcW w:w="4253" w:type="dxa"/>
            <w:noWrap/>
            <w:hideMark/>
          </w:tcPr>
          <w:p w14:paraId="7895BB75" w14:textId="71E2831A" w:rsidR="006C2604" w:rsidRPr="006C2604" w:rsidRDefault="006C2604" w:rsidP="006C2604">
            <w:pPr>
              <w:pStyle w:val="NoSpacing"/>
              <w:rPr>
                <w:bCs/>
              </w:rPr>
            </w:pPr>
          </w:p>
        </w:tc>
      </w:tr>
      <w:tr w:rsidR="006C2604" w:rsidRPr="006C2604" w14:paraId="06D8F1D1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5C71C9A7" w14:textId="51F11F6B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High Life Support Assistant</w:t>
            </w:r>
          </w:p>
        </w:tc>
        <w:tc>
          <w:tcPr>
            <w:tcW w:w="2274" w:type="dxa"/>
            <w:noWrap/>
            <w:hideMark/>
          </w:tcPr>
          <w:p w14:paraId="1451E583" w14:textId="38BCF06C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Inverness</w:t>
            </w:r>
          </w:p>
        </w:tc>
        <w:tc>
          <w:tcPr>
            <w:tcW w:w="992" w:type="dxa"/>
            <w:noWrap/>
            <w:hideMark/>
          </w:tcPr>
          <w:p w14:paraId="4BC7FBD5" w14:textId="6CB32AC4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0.6</w:t>
            </w:r>
            <w:r w:rsidR="000B339E">
              <w:rPr>
                <w:bCs/>
              </w:rPr>
              <w:t>0</w:t>
            </w:r>
          </w:p>
        </w:tc>
        <w:tc>
          <w:tcPr>
            <w:tcW w:w="4253" w:type="dxa"/>
            <w:noWrap/>
            <w:hideMark/>
          </w:tcPr>
          <w:p w14:paraId="5214E66E" w14:textId="77777777" w:rsidR="006C2604" w:rsidRPr="006C2604" w:rsidRDefault="006C2604" w:rsidP="006C2604">
            <w:pPr>
              <w:pStyle w:val="NoSpacing"/>
              <w:rPr>
                <w:bCs/>
              </w:rPr>
            </w:pPr>
          </w:p>
        </w:tc>
      </w:tr>
      <w:tr w:rsidR="006C2604" w:rsidRPr="006C2604" w14:paraId="6FE24D4E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6AAB1610" w14:textId="50761B04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 xml:space="preserve">Clerical Assistant </w:t>
            </w:r>
          </w:p>
        </w:tc>
        <w:tc>
          <w:tcPr>
            <w:tcW w:w="2274" w:type="dxa"/>
            <w:noWrap/>
            <w:hideMark/>
          </w:tcPr>
          <w:p w14:paraId="407A454B" w14:textId="737494DF" w:rsidR="006C2604" w:rsidRPr="006C2604" w:rsidRDefault="006C2604" w:rsidP="006C2604">
            <w:pPr>
              <w:pStyle w:val="NoSpacing"/>
              <w:rPr>
                <w:bCs/>
              </w:rPr>
            </w:pPr>
            <w:r w:rsidRPr="006C2604">
              <w:rPr>
                <w:bCs/>
              </w:rPr>
              <w:t>Thurso</w:t>
            </w:r>
          </w:p>
        </w:tc>
        <w:tc>
          <w:tcPr>
            <w:tcW w:w="992" w:type="dxa"/>
            <w:noWrap/>
            <w:hideMark/>
          </w:tcPr>
          <w:p w14:paraId="4764A4AD" w14:textId="7ED1AE7E" w:rsidR="006C2604" w:rsidRPr="006C2604" w:rsidRDefault="006C2604" w:rsidP="006E4CB1">
            <w:pPr>
              <w:pStyle w:val="NoSpacing"/>
              <w:jc w:val="center"/>
              <w:rPr>
                <w:bCs/>
              </w:rPr>
            </w:pPr>
            <w:r w:rsidRPr="006C2604">
              <w:rPr>
                <w:bCs/>
              </w:rPr>
              <w:t>-0.65</w:t>
            </w:r>
          </w:p>
        </w:tc>
        <w:tc>
          <w:tcPr>
            <w:tcW w:w="4253" w:type="dxa"/>
            <w:noWrap/>
            <w:hideMark/>
          </w:tcPr>
          <w:p w14:paraId="7B0E5510" w14:textId="77777777" w:rsidR="006C2604" w:rsidRPr="006C2604" w:rsidRDefault="006C2604" w:rsidP="006C2604">
            <w:pPr>
              <w:pStyle w:val="NoSpacing"/>
              <w:rPr>
                <w:bCs/>
              </w:rPr>
            </w:pPr>
          </w:p>
        </w:tc>
      </w:tr>
      <w:tr w:rsidR="006C2604" w:rsidRPr="006C2604" w14:paraId="12F4BACD" w14:textId="77777777" w:rsidTr="000B339E">
        <w:trPr>
          <w:trHeight w:val="300"/>
        </w:trPr>
        <w:tc>
          <w:tcPr>
            <w:tcW w:w="2972" w:type="dxa"/>
            <w:noWrap/>
            <w:hideMark/>
          </w:tcPr>
          <w:p w14:paraId="637C4A33" w14:textId="1748C5B9" w:rsidR="006C2604" w:rsidRPr="000B339E" w:rsidRDefault="000B339E" w:rsidP="006C2604">
            <w:pPr>
              <w:pStyle w:val="NoSpacing"/>
              <w:rPr>
                <w:b/>
              </w:rPr>
            </w:pPr>
            <w:r w:rsidRPr="000B339E">
              <w:rPr>
                <w:b/>
              </w:rPr>
              <w:t>Total</w:t>
            </w:r>
          </w:p>
        </w:tc>
        <w:tc>
          <w:tcPr>
            <w:tcW w:w="2274" w:type="dxa"/>
            <w:noWrap/>
            <w:hideMark/>
          </w:tcPr>
          <w:p w14:paraId="32377F2A" w14:textId="5FD7EB16" w:rsidR="006C2604" w:rsidRPr="006C2604" w:rsidRDefault="006C2604" w:rsidP="006C2604">
            <w:pPr>
              <w:pStyle w:val="NoSpacing"/>
              <w:rPr>
                <w:bCs/>
              </w:rPr>
            </w:pPr>
          </w:p>
        </w:tc>
        <w:tc>
          <w:tcPr>
            <w:tcW w:w="992" w:type="dxa"/>
            <w:noWrap/>
            <w:hideMark/>
          </w:tcPr>
          <w:p w14:paraId="1649922D" w14:textId="307C980A" w:rsidR="006C2604" w:rsidRPr="000B339E" w:rsidRDefault="006C2604" w:rsidP="006E4CB1">
            <w:pPr>
              <w:pStyle w:val="NoSpacing"/>
              <w:jc w:val="center"/>
              <w:rPr>
                <w:b/>
              </w:rPr>
            </w:pPr>
            <w:r w:rsidRPr="000B339E">
              <w:rPr>
                <w:b/>
              </w:rPr>
              <w:t>19.5</w:t>
            </w:r>
            <w:r w:rsidR="000B339E" w:rsidRPr="000B339E">
              <w:rPr>
                <w:b/>
              </w:rPr>
              <w:t>0</w:t>
            </w:r>
          </w:p>
        </w:tc>
        <w:tc>
          <w:tcPr>
            <w:tcW w:w="4253" w:type="dxa"/>
            <w:noWrap/>
            <w:hideMark/>
          </w:tcPr>
          <w:p w14:paraId="1F797E73" w14:textId="77777777" w:rsidR="006C2604" w:rsidRPr="006C2604" w:rsidRDefault="006C2604" w:rsidP="006C2604">
            <w:pPr>
              <w:pStyle w:val="NoSpacing"/>
              <w:rPr>
                <w:bCs/>
              </w:rPr>
            </w:pPr>
          </w:p>
        </w:tc>
      </w:tr>
    </w:tbl>
    <w:p w14:paraId="1ECD44C1" w14:textId="77777777" w:rsidR="004B7F43" w:rsidRPr="004B7F43" w:rsidRDefault="004B7F43" w:rsidP="004B7F43">
      <w:pPr>
        <w:pStyle w:val="NoSpacing"/>
        <w:rPr>
          <w:b/>
        </w:rPr>
      </w:pPr>
    </w:p>
    <w:p w14:paraId="1FCB87BC" w14:textId="306588A6" w:rsidR="004B7F43" w:rsidRPr="004B7F43" w:rsidRDefault="002E7BD0" w:rsidP="002E7BD0">
      <w:pPr>
        <w:pStyle w:val="NoSpacing"/>
        <w:jc w:val="right"/>
        <w:rPr>
          <w:sz w:val="20"/>
          <w:szCs w:val="20"/>
        </w:rPr>
      </w:pPr>
      <w:r w:rsidRPr="0089793E">
        <w:rPr>
          <w:sz w:val="20"/>
          <w:szCs w:val="20"/>
        </w:rPr>
        <w:t>Table 1</w:t>
      </w:r>
    </w:p>
    <w:p w14:paraId="0F3C9221" w14:textId="77777777" w:rsidR="000938E4" w:rsidRPr="00A90AA3" w:rsidRDefault="000938E4" w:rsidP="006066A0">
      <w:pPr>
        <w:pStyle w:val="NoSpacing"/>
      </w:pPr>
    </w:p>
    <w:p w14:paraId="7CAE7DA2" w14:textId="5D6291EB" w:rsidR="00FF0A61" w:rsidRDefault="00FF0A61">
      <w:pPr>
        <w:rPr>
          <w:rFonts w:ascii="Arial" w:eastAsiaTheme="minorHAnsi" w:hAnsi="Arial" w:cs="Arial"/>
          <w:szCs w:val="24"/>
          <w:lang w:eastAsia="en-US"/>
        </w:rPr>
      </w:pPr>
      <w:r>
        <w:br w:type="page"/>
      </w:r>
    </w:p>
    <w:p w14:paraId="2984CB79" w14:textId="330305A0" w:rsidR="00E53486" w:rsidRPr="002F5657" w:rsidRDefault="002F5657" w:rsidP="002F5657">
      <w:pPr>
        <w:pStyle w:val="NoSpacing"/>
        <w:jc w:val="right"/>
        <w:rPr>
          <w:b/>
          <w:bCs/>
        </w:rPr>
      </w:pPr>
      <w:r>
        <w:rPr>
          <w:b/>
          <w:bCs/>
        </w:rPr>
        <w:lastRenderedPageBreak/>
        <w:t>Appendix B</w:t>
      </w:r>
    </w:p>
    <w:p w14:paraId="5F5FE118" w14:textId="7C4B407D" w:rsidR="002F5657" w:rsidRDefault="002F5657" w:rsidP="002579EB">
      <w:pPr>
        <w:pStyle w:val="NoSpacing"/>
      </w:pPr>
    </w:p>
    <w:p w14:paraId="6DF5F564" w14:textId="1855B0F8" w:rsidR="002F5657" w:rsidRDefault="002F5657" w:rsidP="002579EB">
      <w:pPr>
        <w:pStyle w:val="NoSpacing"/>
      </w:pPr>
      <w:r>
        <w:rPr>
          <w:b/>
          <w:bCs/>
        </w:rPr>
        <w:t>Attendance Management Tables</w:t>
      </w:r>
    </w:p>
    <w:p w14:paraId="2A72CE18" w14:textId="11594ACF" w:rsidR="002F5657" w:rsidRDefault="002F5657" w:rsidP="002579EB">
      <w:pPr>
        <w:pStyle w:val="NoSpacing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013"/>
        <w:gridCol w:w="2011"/>
        <w:gridCol w:w="2011"/>
        <w:gridCol w:w="2010"/>
      </w:tblGrid>
      <w:tr w:rsidR="007A7B37" w:rsidRPr="00792FAC" w14:paraId="090286D8" w14:textId="77777777" w:rsidTr="00E4510B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6131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SHORT-TERM ABSENCE RATES</w:t>
            </w:r>
          </w:p>
        </w:tc>
      </w:tr>
      <w:tr w:rsidR="007A7B37" w:rsidRPr="00792FAC" w14:paraId="12F6C6B7" w14:textId="77777777" w:rsidTr="00E4510B">
        <w:trPr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D1A1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17A5DA11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8A14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5FDCFB2E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Quarter 1</w:t>
            </w:r>
          </w:p>
          <w:p w14:paraId="3B9CEC5A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(Apr–Jun)</w:t>
            </w:r>
          </w:p>
          <w:p w14:paraId="0E240DF8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%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8B55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4C46041C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Quarter 2</w:t>
            </w:r>
          </w:p>
          <w:p w14:paraId="351883E8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(Jul–Sep)</w:t>
            </w:r>
          </w:p>
          <w:p w14:paraId="08893E0A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%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C88C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55A35E34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Quarter 3</w:t>
            </w:r>
          </w:p>
          <w:p w14:paraId="7761C555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(Oct–Dec)</w:t>
            </w:r>
          </w:p>
          <w:p w14:paraId="7CDC42EA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%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00B9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00287A79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Quarter 4</w:t>
            </w:r>
          </w:p>
          <w:p w14:paraId="2BEF2F74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(Jan–Mar)</w:t>
            </w:r>
          </w:p>
          <w:p w14:paraId="11FC312A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%</w:t>
            </w:r>
          </w:p>
        </w:tc>
      </w:tr>
      <w:tr w:rsidR="007A7B37" w:rsidRPr="00792FAC" w14:paraId="7DB36341" w14:textId="77777777" w:rsidTr="00E4510B">
        <w:trPr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225A3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2019/20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98CF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0.90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18AF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1.00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E976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1.58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91F51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1.33</w:t>
            </w:r>
          </w:p>
        </w:tc>
      </w:tr>
      <w:tr w:rsidR="007A7B37" w:rsidRPr="00792FAC" w14:paraId="48277433" w14:textId="77777777" w:rsidTr="00E4510B">
        <w:trPr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3A621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2020/21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92105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0.01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49F45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0.15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F0DD4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0.42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7034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0.11</w:t>
            </w:r>
          </w:p>
        </w:tc>
      </w:tr>
      <w:tr w:rsidR="007A7B37" w:rsidRPr="00792FAC" w14:paraId="6C1AC249" w14:textId="77777777" w:rsidTr="00E4510B">
        <w:trPr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A55D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2021/22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1BCA6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0.66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EFA4E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0.66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55F8C" w14:textId="77777777" w:rsidR="007A7B37" w:rsidRPr="00792FAC" w:rsidRDefault="007A7B37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1.13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5633" w14:textId="1047CBA0" w:rsidR="007A7B37" w:rsidRPr="00792FAC" w:rsidRDefault="006E4CB1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-</w:t>
            </w:r>
          </w:p>
        </w:tc>
      </w:tr>
    </w:tbl>
    <w:p w14:paraId="2997A3BE" w14:textId="736C3B72" w:rsidR="002F5657" w:rsidRPr="002E7BD0" w:rsidRDefault="002E7BD0" w:rsidP="002E7BD0">
      <w:pPr>
        <w:pStyle w:val="NoSpacing"/>
        <w:jc w:val="right"/>
        <w:rPr>
          <w:sz w:val="20"/>
          <w:szCs w:val="20"/>
        </w:rPr>
      </w:pPr>
      <w:r w:rsidRPr="002E7BD0">
        <w:rPr>
          <w:sz w:val="20"/>
          <w:szCs w:val="20"/>
        </w:rPr>
        <w:t>Table 2</w:t>
      </w:r>
    </w:p>
    <w:p w14:paraId="1A317B07" w14:textId="77777777" w:rsidR="002E7BD0" w:rsidRDefault="002E7BD0" w:rsidP="002E7BD0">
      <w:pPr>
        <w:pStyle w:val="NoSpacing"/>
        <w:jc w:val="right"/>
      </w:pPr>
    </w:p>
    <w:p w14:paraId="5BC645DB" w14:textId="6072CD1B" w:rsidR="007A7B37" w:rsidRDefault="007A7B37" w:rsidP="002579EB">
      <w:pPr>
        <w:pStyle w:val="NoSpacing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013"/>
        <w:gridCol w:w="2011"/>
        <w:gridCol w:w="2011"/>
        <w:gridCol w:w="2010"/>
      </w:tblGrid>
      <w:tr w:rsidR="0056302B" w:rsidRPr="009C1F2A" w14:paraId="4362F69C" w14:textId="77777777" w:rsidTr="00E4510B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896EE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LONG-TERM ABSENCE RATES</w:t>
            </w:r>
          </w:p>
        </w:tc>
      </w:tr>
      <w:tr w:rsidR="0056302B" w:rsidRPr="009C1F2A" w14:paraId="6E6777E9" w14:textId="77777777" w:rsidTr="00E4510B">
        <w:trPr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A9D2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5CCEAD63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8F78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1832ED00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9C1F2A">
              <w:rPr>
                <w:rFonts w:ascii="Arial" w:eastAsia="Calibri" w:hAnsi="Arial" w:cs="Arial"/>
                <w:b/>
                <w:bCs/>
                <w:szCs w:val="24"/>
              </w:rPr>
              <w:t>Quarter 1</w:t>
            </w:r>
          </w:p>
          <w:p w14:paraId="74BADCF5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(</w:t>
            </w:r>
            <w:r w:rsidRPr="009C1F2A">
              <w:rPr>
                <w:rFonts w:ascii="Arial" w:eastAsia="Calibri" w:hAnsi="Arial" w:cs="Arial"/>
                <w:b/>
                <w:bCs/>
                <w:szCs w:val="24"/>
              </w:rPr>
              <w:t>Apr</w:t>
            </w:r>
            <w:r>
              <w:rPr>
                <w:rFonts w:ascii="Arial" w:eastAsia="Calibri" w:hAnsi="Arial" w:cs="Arial"/>
                <w:b/>
                <w:bCs/>
                <w:szCs w:val="24"/>
              </w:rPr>
              <w:t>–</w:t>
            </w:r>
            <w:r w:rsidRPr="009C1F2A">
              <w:rPr>
                <w:rFonts w:ascii="Arial" w:eastAsia="Calibri" w:hAnsi="Arial" w:cs="Arial"/>
                <w:b/>
                <w:bCs/>
                <w:szCs w:val="24"/>
              </w:rPr>
              <w:t>Jun</w:t>
            </w:r>
            <w:r>
              <w:rPr>
                <w:rFonts w:ascii="Arial" w:eastAsia="Calibri" w:hAnsi="Arial" w:cs="Arial"/>
                <w:b/>
                <w:bCs/>
                <w:szCs w:val="24"/>
              </w:rPr>
              <w:t>)</w:t>
            </w:r>
          </w:p>
          <w:p w14:paraId="3FBB998A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%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2AC3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23BB3656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9C1F2A">
              <w:rPr>
                <w:rFonts w:ascii="Arial" w:eastAsia="Calibri" w:hAnsi="Arial" w:cs="Arial"/>
                <w:b/>
                <w:bCs/>
                <w:szCs w:val="24"/>
              </w:rPr>
              <w:t>Quarter 2</w:t>
            </w:r>
          </w:p>
          <w:p w14:paraId="60203D42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(</w:t>
            </w:r>
            <w:r w:rsidRPr="009C1F2A">
              <w:rPr>
                <w:rFonts w:ascii="Arial" w:eastAsia="Calibri" w:hAnsi="Arial" w:cs="Arial"/>
                <w:b/>
                <w:bCs/>
                <w:szCs w:val="24"/>
              </w:rPr>
              <w:t>Jul</w:t>
            </w:r>
            <w:r>
              <w:rPr>
                <w:rFonts w:ascii="Arial" w:eastAsia="Calibri" w:hAnsi="Arial" w:cs="Arial"/>
                <w:b/>
                <w:bCs/>
                <w:szCs w:val="24"/>
              </w:rPr>
              <w:t>–</w:t>
            </w:r>
            <w:r w:rsidRPr="009C1F2A">
              <w:rPr>
                <w:rFonts w:ascii="Arial" w:eastAsia="Calibri" w:hAnsi="Arial" w:cs="Arial"/>
                <w:b/>
                <w:bCs/>
                <w:szCs w:val="24"/>
              </w:rPr>
              <w:t>Sep</w:t>
            </w:r>
            <w:r>
              <w:rPr>
                <w:rFonts w:ascii="Arial" w:eastAsia="Calibri" w:hAnsi="Arial" w:cs="Arial"/>
                <w:b/>
                <w:bCs/>
                <w:szCs w:val="24"/>
              </w:rPr>
              <w:t>)</w:t>
            </w:r>
          </w:p>
          <w:p w14:paraId="4FDAF9C6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%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F0E1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6BA1BA4F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9C1F2A">
              <w:rPr>
                <w:rFonts w:ascii="Arial" w:eastAsia="Calibri" w:hAnsi="Arial" w:cs="Arial"/>
                <w:b/>
                <w:bCs/>
                <w:szCs w:val="24"/>
              </w:rPr>
              <w:t>Quarter 3</w:t>
            </w:r>
          </w:p>
          <w:p w14:paraId="367548FC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(</w:t>
            </w:r>
            <w:r w:rsidRPr="009C1F2A">
              <w:rPr>
                <w:rFonts w:ascii="Arial" w:eastAsia="Calibri" w:hAnsi="Arial" w:cs="Arial"/>
                <w:b/>
                <w:bCs/>
                <w:szCs w:val="24"/>
              </w:rPr>
              <w:t>Oct</w:t>
            </w:r>
            <w:r>
              <w:rPr>
                <w:rFonts w:ascii="Arial" w:eastAsia="Calibri" w:hAnsi="Arial" w:cs="Arial"/>
                <w:b/>
                <w:bCs/>
                <w:szCs w:val="24"/>
              </w:rPr>
              <w:t>–</w:t>
            </w:r>
            <w:r w:rsidRPr="009C1F2A">
              <w:rPr>
                <w:rFonts w:ascii="Arial" w:eastAsia="Calibri" w:hAnsi="Arial" w:cs="Arial"/>
                <w:b/>
                <w:bCs/>
                <w:szCs w:val="24"/>
              </w:rPr>
              <w:t>Dec</w:t>
            </w:r>
            <w:r>
              <w:rPr>
                <w:rFonts w:ascii="Arial" w:eastAsia="Calibri" w:hAnsi="Arial" w:cs="Arial"/>
                <w:b/>
                <w:bCs/>
                <w:szCs w:val="24"/>
              </w:rPr>
              <w:t>)</w:t>
            </w:r>
          </w:p>
          <w:p w14:paraId="4C7DAEC2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%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1FB2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5C1AB39F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9C1F2A">
              <w:rPr>
                <w:rFonts w:ascii="Arial" w:eastAsia="Calibri" w:hAnsi="Arial" w:cs="Arial"/>
                <w:b/>
                <w:bCs/>
                <w:szCs w:val="24"/>
              </w:rPr>
              <w:t>Quarter 4</w:t>
            </w:r>
          </w:p>
          <w:p w14:paraId="0769D14D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(</w:t>
            </w:r>
            <w:r w:rsidRPr="009C1F2A">
              <w:rPr>
                <w:rFonts w:ascii="Arial" w:eastAsia="Calibri" w:hAnsi="Arial" w:cs="Arial"/>
                <w:b/>
                <w:bCs/>
                <w:szCs w:val="24"/>
              </w:rPr>
              <w:t>Jan</w:t>
            </w:r>
            <w:r>
              <w:rPr>
                <w:rFonts w:ascii="Arial" w:eastAsia="Calibri" w:hAnsi="Arial" w:cs="Arial"/>
                <w:b/>
                <w:bCs/>
                <w:szCs w:val="24"/>
              </w:rPr>
              <w:t>–</w:t>
            </w:r>
            <w:r w:rsidRPr="009C1F2A">
              <w:rPr>
                <w:rFonts w:ascii="Arial" w:eastAsia="Calibri" w:hAnsi="Arial" w:cs="Arial"/>
                <w:b/>
                <w:bCs/>
                <w:szCs w:val="24"/>
              </w:rPr>
              <w:t>Mar</w:t>
            </w:r>
            <w:r>
              <w:rPr>
                <w:rFonts w:ascii="Arial" w:eastAsia="Calibri" w:hAnsi="Arial" w:cs="Arial"/>
                <w:b/>
                <w:bCs/>
                <w:szCs w:val="24"/>
              </w:rPr>
              <w:t>)</w:t>
            </w:r>
          </w:p>
          <w:p w14:paraId="018F3817" w14:textId="77777777" w:rsidR="0056302B" w:rsidRPr="009C1F2A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%</w:t>
            </w:r>
          </w:p>
        </w:tc>
      </w:tr>
      <w:tr w:rsidR="0056302B" w14:paraId="2DCF7C0A" w14:textId="77777777" w:rsidTr="00E4510B">
        <w:trPr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1046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2019/20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CF85C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3.37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E4B3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2.55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637F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1.27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FC904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1.64</w:t>
            </w:r>
          </w:p>
        </w:tc>
      </w:tr>
      <w:tr w:rsidR="0056302B" w14:paraId="03D73F4D" w14:textId="77777777" w:rsidTr="00E4510B">
        <w:trPr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66075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2020/21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0D4B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0.05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DD735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0.78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5C162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2.22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877C3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1.13</w:t>
            </w:r>
          </w:p>
        </w:tc>
      </w:tr>
      <w:tr w:rsidR="0056302B" w14:paraId="6FB586BF" w14:textId="77777777" w:rsidTr="00E4510B">
        <w:trPr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40DB7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Cs w:val="24"/>
              </w:rPr>
              <w:t>2021/22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0DC7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1.93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8581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2.88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633B" w14:textId="77777777" w:rsidR="0056302B" w:rsidRDefault="0056302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2.96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19F35" w14:textId="2D5B694E" w:rsidR="0056302B" w:rsidRDefault="006E4CB1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-</w:t>
            </w:r>
          </w:p>
        </w:tc>
      </w:tr>
    </w:tbl>
    <w:p w14:paraId="2F3369E3" w14:textId="196BC868" w:rsidR="007A7B37" w:rsidRPr="002E7BD0" w:rsidRDefault="002E7BD0" w:rsidP="002E7BD0">
      <w:pPr>
        <w:pStyle w:val="NoSpacing"/>
        <w:jc w:val="right"/>
        <w:rPr>
          <w:sz w:val="20"/>
          <w:szCs w:val="20"/>
        </w:rPr>
      </w:pPr>
      <w:r w:rsidRPr="002E7BD0">
        <w:rPr>
          <w:sz w:val="20"/>
          <w:szCs w:val="20"/>
        </w:rPr>
        <w:t>Table 3</w:t>
      </w:r>
    </w:p>
    <w:p w14:paraId="56F40F14" w14:textId="77777777" w:rsidR="002E7BD0" w:rsidRDefault="002E7BD0" w:rsidP="002E7BD0">
      <w:pPr>
        <w:pStyle w:val="NoSpacing"/>
        <w:jc w:val="right"/>
      </w:pPr>
    </w:p>
    <w:p w14:paraId="5A3C4C6E" w14:textId="564D0E32" w:rsidR="0056302B" w:rsidRDefault="0056302B" w:rsidP="002579EB">
      <w:pPr>
        <w:pStyle w:val="NoSpacing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013"/>
        <w:gridCol w:w="2011"/>
        <w:gridCol w:w="2011"/>
        <w:gridCol w:w="2010"/>
      </w:tblGrid>
      <w:tr w:rsidR="00E4510B" w:rsidRPr="00792FAC" w14:paraId="73EC086F" w14:textId="77777777" w:rsidTr="00E4510B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AEFD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AVERAGE SICKNESS ABSENCE DAYS PER EMPLOYEE</w:t>
            </w:r>
          </w:p>
        </w:tc>
      </w:tr>
      <w:tr w:rsidR="00E4510B" w:rsidRPr="00792FAC" w14:paraId="6E527E11" w14:textId="77777777" w:rsidTr="00E4510B">
        <w:trPr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7313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7759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549A43D5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Quarter 1</w:t>
            </w:r>
          </w:p>
          <w:p w14:paraId="3D292C8E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(Apr–Jun)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05D2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42AF3902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Quarter 2</w:t>
            </w:r>
          </w:p>
          <w:p w14:paraId="572AD4F9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(Jul–Sep)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926BB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288F9858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Quarter 3</w:t>
            </w:r>
          </w:p>
          <w:p w14:paraId="27D43B97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(Oct–Dec)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DE9C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</w:p>
          <w:p w14:paraId="33AEB67A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Quarter 4</w:t>
            </w:r>
          </w:p>
          <w:p w14:paraId="509B3BD0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(Jan–Mar)</w:t>
            </w:r>
          </w:p>
        </w:tc>
      </w:tr>
      <w:tr w:rsidR="00E4510B" w:rsidRPr="00792FAC" w14:paraId="0D5911CE" w14:textId="77777777" w:rsidTr="00E4510B">
        <w:trPr>
          <w:trHeight w:val="288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B3468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2019/20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58B7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2.82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43B7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2.34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9827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1.74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CD62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1.81</w:t>
            </w:r>
          </w:p>
        </w:tc>
      </w:tr>
      <w:tr w:rsidR="00E4510B" w:rsidRPr="00792FAC" w14:paraId="2BD2F4F2" w14:textId="77777777" w:rsidTr="00E4510B">
        <w:trPr>
          <w:trHeight w:val="288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CC036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2020/21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6B02E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0.04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1C961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0.64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73A99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1.64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C770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0.78</w:t>
            </w:r>
          </w:p>
        </w:tc>
      </w:tr>
      <w:tr w:rsidR="00E4510B" w:rsidRPr="00792FAC" w14:paraId="56D9A3C3" w14:textId="77777777" w:rsidTr="00E4510B">
        <w:trPr>
          <w:trHeight w:val="288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BB8E9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24"/>
              </w:rPr>
            </w:pPr>
            <w:r w:rsidRPr="00792FAC">
              <w:rPr>
                <w:rFonts w:ascii="Arial" w:eastAsia="Calibri" w:hAnsi="Arial" w:cs="Arial"/>
                <w:b/>
                <w:bCs/>
                <w:szCs w:val="24"/>
              </w:rPr>
              <w:t>2021/22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AA0B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1.63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55B4F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2.33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D484" w14:textId="77777777" w:rsidR="00E4510B" w:rsidRPr="00792FAC" w:rsidRDefault="00E4510B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792FAC">
              <w:rPr>
                <w:rFonts w:ascii="Arial" w:eastAsia="Calibri" w:hAnsi="Arial" w:cs="Arial"/>
                <w:szCs w:val="24"/>
              </w:rPr>
              <w:t>2.70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1BE99" w14:textId="26E3A74F" w:rsidR="00E4510B" w:rsidRPr="00792FAC" w:rsidRDefault="006E4CB1" w:rsidP="006C2604">
            <w:pPr>
              <w:spacing w:line="276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-</w:t>
            </w:r>
          </w:p>
        </w:tc>
      </w:tr>
    </w:tbl>
    <w:p w14:paraId="65268621" w14:textId="32B254CA" w:rsidR="0056302B" w:rsidRPr="002E7BD0" w:rsidRDefault="002E7BD0" w:rsidP="002E7BD0">
      <w:pPr>
        <w:pStyle w:val="NoSpacing"/>
        <w:jc w:val="right"/>
        <w:rPr>
          <w:sz w:val="20"/>
          <w:szCs w:val="20"/>
        </w:rPr>
      </w:pPr>
      <w:r w:rsidRPr="002E7BD0">
        <w:rPr>
          <w:sz w:val="20"/>
          <w:szCs w:val="20"/>
        </w:rPr>
        <w:t>Table 4</w:t>
      </w:r>
    </w:p>
    <w:sectPr w:rsidR="0056302B" w:rsidRPr="002E7BD0" w:rsidSect="00A703A5">
      <w:pgSz w:w="11906" w:h="16838"/>
      <w:pgMar w:top="108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0869"/>
    <w:multiLevelType w:val="hybridMultilevel"/>
    <w:tmpl w:val="94980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640BA"/>
    <w:multiLevelType w:val="hybridMultilevel"/>
    <w:tmpl w:val="988230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C7605"/>
    <w:multiLevelType w:val="hybridMultilevel"/>
    <w:tmpl w:val="BE8215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2010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F85335"/>
    <w:multiLevelType w:val="hybridMultilevel"/>
    <w:tmpl w:val="99AE0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F63C8"/>
    <w:multiLevelType w:val="hybridMultilevel"/>
    <w:tmpl w:val="B522570E"/>
    <w:lvl w:ilvl="0" w:tplc="665AE6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16E14"/>
    <w:multiLevelType w:val="hybridMultilevel"/>
    <w:tmpl w:val="8D1CC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739A6"/>
    <w:multiLevelType w:val="hybridMultilevel"/>
    <w:tmpl w:val="988230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A54E2"/>
    <w:multiLevelType w:val="multilevel"/>
    <w:tmpl w:val="26A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718A1C0A"/>
    <w:multiLevelType w:val="hybridMultilevel"/>
    <w:tmpl w:val="988230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70822"/>
    <w:multiLevelType w:val="hybridMultilevel"/>
    <w:tmpl w:val="4058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87736"/>
    <w:multiLevelType w:val="hybridMultilevel"/>
    <w:tmpl w:val="1846A1E4"/>
    <w:lvl w:ilvl="0" w:tplc="56660C6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1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EB"/>
    <w:rsid w:val="00005ECF"/>
    <w:rsid w:val="00006750"/>
    <w:rsid w:val="00022FC7"/>
    <w:rsid w:val="00025285"/>
    <w:rsid w:val="00044C06"/>
    <w:rsid w:val="000465E7"/>
    <w:rsid w:val="000565A6"/>
    <w:rsid w:val="0008384A"/>
    <w:rsid w:val="000845E9"/>
    <w:rsid w:val="000938E4"/>
    <w:rsid w:val="00096B74"/>
    <w:rsid w:val="000B339E"/>
    <w:rsid w:val="000B3CD9"/>
    <w:rsid w:val="000C5004"/>
    <w:rsid w:val="000D39C2"/>
    <w:rsid w:val="000D721D"/>
    <w:rsid w:val="000E18CA"/>
    <w:rsid w:val="000E7F04"/>
    <w:rsid w:val="000F0479"/>
    <w:rsid w:val="000F140A"/>
    <w:rsid w:val="000F4756"/>
    <w:rsid w:val="001018A7"/>
    <w:rsid w:val="001115E3"/>
    <w:rsid w:val="00112AA5"/>
    <w:rsid w:val="00117E64"/>
    <w:rsid w:val="00127194"/>
    <w:rsid w:val="00130A7A"/>
    <w:rsid w:val="001328A9"/>
    <w:rsid w:val="00132BFC"/>
    <w:rsid w:val="00153138"/>
    <w:rsid w:val="0015693A"/>
    <w:rsid w:val="001868D7"/>
    <w:rsid w:val="00191642"/>
    <w:rsid w:val="00193FE5"/>
    <w:rsid w:val="001A2559"/>
    <w:rsid w:val="001A7E3C"/>
    <w:rsid w:val="001D488A"/>
    <w:rsid w:val="001F42CF"/>
    <w:rsid w:val="00205711"/>
    <w:rsid w:val="002144D9"/>
    <w:rsid w:val="002456AA"/>
    <w:rsid w:val="00254613"/>
    <w:rsid w:val="002579EB"/>
    <w:rsid w:val="002762E1"/>
    <w:rsid w:val="00283441"/>
    <w:rsid w:val="00285EEC"/>
    <w:rsid w:val="002A7712"/>
    <w:rsid w:val="002C653A"/>
    <w:rsid w:val="002D1047"/>
    <w:rsid w:val="002D27D0"/>
    <w:rsid w:val="002D3A47"/>
    <w:rsid w:val="002E7BD0"/>
    <w:rsid w:val="002F5657"/>
    <w:rsid w:val="002F7E38"/>
    <w:rsid w:val="003037E5"/>
    <w:rsid w:val="00322420"/>
    <w:rsid w:val="00334457"/>
    <w:rsid w:val="00336862"/>
    <w:rsid w:val="003525C5"/>
    <w:rsid w:val="003702A9"/>
    <w:rsid w:val="00373F17"/>
    <w:rsid w:val="00380DFE"/>
    <w:rsid w:val="0038233B"/>
    <w:rsid w:val="00394EBE"/>
    <w:rsid w:val="003A1E31"/>
    <w:rsid w:val="003A43C1"/>
    <w:rsid w:val="003B3442"/>
    <w:rsid w:val="003B693D"/>
    <w:rsid w:val="00410832"/>
    <w:rsid w:val="0042659A"/>
    <w:rsid w:val="00442F00"/>
    <w:rsid w:val="004477D8"/>
    <w:rsid w:val="004535E3"/>
    <w:rsid w:val="00457D63"/>
    <w:rsid w:val="0046660F"/>
    <w:rsid w:val="004757B4"/>
    <w:rsid w:val="00491C76"/>
    <w:rsid w:val="004949A0"/>
    <w:rsid w:val="004A1367"/>
    <w:rsid w:val="004A651A"/>
    <w:rsid w:val="004B0DA4"/>
    <w:rsid w:val="004B55E6"/>
    <w:rsid w:val="004B7F43"/>
    <w:rsid w:val="004C0156"/>
    <w:rsid w:val="004C428E"/>
    <w:rsid w:val="004D05D2"/>
    <w:rsid w:val="004E1B47"/>
    <w:rsid w:val="004E4360"/>
    <w:rsid w:val="004F73A1"/>
    <w:rsid w:val="00501A21"/>
    <w:rsid w:val="0050262C"/>
    <w:rsid w:val="00510055"/>
    <w:rsid w:val="00511CF7"/>
    <w:rsid w:val="00512279"/>
    <w:rsid w:val="00535529"/>
    <w:rsid w:val="005430ED"/>
    <w:rsid w:val="00547C9E"/>
    <w:rsid w:val="00550B6F"/>
    <w:rsid w:val="00560ED8"/>
    <w:rsid w:val="0056302B"/>
    <w:rsid w:val="0056354F"/>
    <w:rsid w:val="00564C21"/>
    <w:rsid w:val="005702C2"/>
    <w:rsid w:val="00575599"/>
    <w:rsid w:val="00590975"/>
    <w:rsid w:val="005A5188"/>
    <w:rsid w:val="005A6313"/>
    <w:rsid w:val="005C1B4A"/>
    <w:rsid w:val="005C7961"/>
    <w:rsid w:val="005D341E"/>
    <w:rsid w:val="005D635E"/>
    <w:rsid w:val="005F468A"/>
    <w:rsid w:val="00602197"/>
    <w:rsid w:val="006066A0"/>
    <w:rsid w:val="00616ACA"/>
    <w:rsid w:val="00633802"/>
    <w:rsid w:val="00644777"/>
    <w:rsid w:val="00650EE5"/>
    <w:rsid w:val="006549BB"/>
    <w:rsid w:val="006566FB"/>
    <w:rsid w:val="00656E3B"/>
    <w:rsid w:val="00667289"/>
    <w:rsid w:val="00671739"/>
    <w:rsid w:val="00683A34"/>
    <w:rsid w:val="00687B2E"/>
    <w:rsid w:val="0069472D"/>
    <w:rsid w:val="006A13E0"/>
    <w:rsid w:val="006C2604"/>
    <w:rsid w:val="006D0D6A"/>
    <w:rsid w:val="006D2F92"/>
    <w:rsid w:val="006D77E9"/>
    <w:rsid w:val="006E01CB"/>
    <w:rsid w:val="006E4CB1"/>
    <w:rsid w:val="006E6ED7"/>
    <w:rsid w:val="00706DE7"/>
    <w:rsid w:val="0071340A"/>
    <w:rsid w:val="00713A86"/>
    <w:rsid w:val="00727863"/>
    <w:rsid w:val="007369D1"/>
    <w:rsid w:val="0074489B"/>
    <w:rsid w:val="00746937"/>
    <w:rsid w:val="00760EE3"/>
    <w:rsid w:val="00782766"/>
    <w:rsid w:val="00783889"/>
    <w:rsid w:val="007902AF"/>
    <w:rsid w:val="00791E6B"/>
    <w:rsid w:val="00794E6A"/>
    <w:rsid w:val="00796E99"/>
    <w:rsid w:val="007A1C8A"/>
    <w:rsid w:val="007A7B37"/>
    <w:rsid w:val="007B4229"/>
    <w:rsid w:val="007C38F5"/>
    <w:rsid w:val="007C3ECB"/>
    <w:rsid w:val="007D5F47"/>
    <w:rsid w:val="007F5A5A"/>
    <w:rsid w:val="007F6312"/>
    <w:rsid w:val="00800392"/>
    <w:rsid w:val="008502E0"/>
    <w:rsid w:val="0086279D"/>
    <w:rsid w:val="00867241"/>
    <w:rsid w:val="0087608A"/>
    <w:rsid w:val="00885726"/>
    <w:rsid w:val="0089793E"/>
    <w:rsid w:val="008C34CF"/>
    <w:rsid w:val="008D49B9"/>
    <w:rsid w:val="008F690D"/>
    <w:rsid w:val="008F6C17"/>
    <w:rsid w:val="00904090"/>
    <w:rsid w:val="009100A8"/>
    <w:rsid w:val="00915A55"/>
    <w:rsid w:val="00920D2A"/>
    <w:rsid w:val="00965624"/>
    <w:rsid w:val="00972BE8"/>
    <w:rsid w:val="0097363F"/>
    <w:rsid w:val="00975ADA"/>
    <w:rsid w:val="009765A8"/>
    <w:rsid w:val="00983788"/>
    <w:rsid w:val="009A3584"/>
    <w:rsid w:val="009B2B8F"/>
    <w:rsid w:val="009B43DD"/>
    <w:rsid w:val="009E02FD"/>
    <w:rsid w:val="009E2F9F"/>
    <w:rsid w:val="009E5217"/>
    <w:rsid w:val="00A27CC6"/>
    <w:rsid w:val="00A30E32"/>
    <w:rsid w:val="00A3480A"/>
    <w:rsid w:val="00A5234A"/>
    <w:rsid w:val="00A54A90"/>
    <w:rsid w:val="00A5580F"/>
    <w:rsid w:val="00A56BB9"/>
    <w:rsid w:val="00A6400D"/>
    <w:rsid w:val="00A67816"/>
    <w:rsid w:val="00A703A5"/>
    <w:rsid w:val="00A802AB"/>
    <w:rsid w:val="00A80F57"/>
    <w:rsid w:val="00A81B12"/>
    <w:rsid w:val="00A84B1C"/>
    <w:rsid w:val="00A84C65"/>
    <w:rsid w:val="00A90AA3"/>
    <w:rsid w:val="00AA2E40"/>
    <w:rsid w:val="00AA7491"/>
    <w:rsid w:val="00AB41A0"/>
    <w:rsid w:val="00AC5D26"/>
    <w:rsid w:val="00AD2C69"/>
    <w:rsid w:val="00AE2366"/>
    <w:rsid w:val="00AE3C3C"/>
    <w:rsid w:val="00AE58DA"/>
    <w:rsid w:val="00AE6A25"/>
    <w:rsid w:val="00AF42BB"/>
    <w:rsid w:val="00AF61F9"/>
    <w:rsid w:val="00B07274"/>
    <w:rsid w:val="00B26FF4"/>
    <w:rsid w:val="00B57E9E"/>
    <w:rsid w:val="00B62969"/>
    <w:rsid w:val="00B73684"/>
    <w:rsid w:val="00B80080"/>
    <w:rsid w:val="00B94FCD"/>
    <w:rsid w:val="00BA6AC8"/>
    <w:rsid w:val="00BB09CC"/>
    <w:rsid w:val="00BB3744"/>
    <w:rsid w:val="00BE38E5"/>
    <w:rsid w:val="00C038D2"/>
    <w:rsid w:val="00C2095D"/>
    <w:rsid w:val="00C229FF"/>
    <w:rsid w:val="00C647DC"/>
    <w:rsid w:val="00C654E0"/>
    <w:rsid w:val="00C87506"/>
    <w:rsid w:val="00C922FE"/>
    <w:rsid w:val="00CE6F65"/>
    <w:rsid w:val="00D47262"/>
    <w:rsid w:val="00D60C65"/>
    <w:rsid w:val="00D64B7A"/>
    <w:rsid w:val="00D72FF6"/>
    <w:rsid w:val="00D766DD"/>
    <w:rsid w:val="00DA32B8"/>
    <w:rsid w:val="00DA3DEC"/>
    <w:rsid w:val="00DA7A98"/>
    <w:rsid w:val="00DB4266"/>
    <w:rsid w:val="00DB4F5B"/>
    <w:rsid w:val="00DE1174"/>
    <w:rsid w:val="00DE5498"/>
    <w:rsid w:val="00DF00B6"/>
    <w:rsid w:val="00DF3ED7"/>
    <w:rsid w:val="00E05D4D"/>
    <w:rsid w:val="00E4510B"/>
    <w:rsid w:val="00E461C2"/>
    <w:rsid w:val="00E53486"/>
    <w:rsid w:val="00E5383A"/>
    <w:rsid w:val="00E55373"/>
    <w:rsid w:val="00E55A03"/>
    <w:rsid w:val="00E6244C"/>
    <w:rsid w:val="00E672E0"/>
    <w:rsid w:val="00E72386"/>
    <w:rsid w:val="00E724A3"/>
    <w:rsid w:val="00E72A3A"/>
    <w:rsid w:val="00E8478C"/>
    <w:rsid w:val="00E97A89"/>
    <w:rsid w:val="00EB433D"/>
    <w:rsid w:val="00EE3EB9"/>
    <w:rsid w:val="00EF4209"/>
    <w:rsid w:val="00EF68F7"/>
    <w:rsid w:val="00F110B2"/>
    <w:rsid w:val="00F157DD"/>
    <w:rsid w:val="00F34945"/>
    <w:rsid w:val="00F410E6"/>
    <w:rsid w:val="00F662ED"/>
    <w:rsid w:val="00F80CF1"/>
    <w:rsid w:val="00F815BD"/>
    <w:rsid w:val="00F932EC"/>
    <w:rsid w:val="00FA2B10"/>
    <w:rsid w:val="00FA736E"/>
    <w:rsid w:val="00FA7997"/>
    <w:rsid w:val="00FB0020"/>
    <w:rsid w:val="00FB3600"/>
    <w:rsid w:val="00FC54E4"/>
    <w:rsid w:val="00FF0A61"/>
    <w:rsid w:val="00FF274E"/>
    <w:rsid w:val="00FF48F6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8D538"/>
  <w15:chartTrackingRefBased/>
  <w15:docId w15:val="{A7CC4166-7968-443A-8F20-EB51A5DD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D6A"/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750"/>
  </w:style>
  <w:style w:type="table" w:styleId="TableGrid">
    <w:name w:val="Table Grid"/>
    <w:basedOn w:val="TableNormal"/>
    <w:uiPriority w:val="39"/>
    <w:rsid w:val="00257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D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2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5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5C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5C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Martin (HLH Director of Corporate Services)</dc:creator>
  <cp:keywords/>
  <dc:description/>
  <cp:lastModifiedBy>Lorraine Hendry (HLH Corporate Services)</cp:lastModifiedBy>
  <cp:revision>16</cp:revision>
  <dcterms:created xsi:type="dcterms:W3CDTF">2022-03-14T10:38:00Z</dcterms:created>
  <dcterms:modified xsi:type="dcterms:W3CDTF">2022-03-21T10:40:00Z</dcterms:modified>
</cp:coreProperties>
</file>