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4" w:type="dxa"/>
        <w:tblLayout w:type="fixed"/>
        <w:tblLook w:val="0000" w:firstRow="0" w:lastRow="0" w:firstColumn="0" w:lastColumn="0" w:noHBand="0" w:noVBand="0"/>
      </w:tblPr>
      <w:tblGrid>
        <w:gridCol w:w="6629"/>
        <w:gridCol w:w="2835"/>
      </w:tblGrid>
      <w:tr w:rsidR="00B84929" w:rsidRPr="001E6023" w14:paraId="568A6F17" w14:textId="77777777" w:rsidTr="00DE1E6C">
        <w:trPr>
          <w:cantSplit/>
          <w:trHeight w:val="993"/>
        </w:trPr>
        <w:tc>
          <w:tcPr>
            <w:tcW w:w="6629" w:type="dxa"/>
          </w:tcPr>
          <w:p w14:paraId="45B88BAC" w14:textId="77777777" w:rsidR="00DE1E6C" w:rsidRPr="001E6023" w:rsidRDefault="00B84929" w:rsidP="002B7DC4">
            <w:pPr>
              <w:pStyle w:val="BodyText"/>
              <w:jc w:val="left"/>
              <w:rPr>
                <w:rFonts w:ascii="Arial" w:hAnsi="Arial" w:cs="Arial"/>
                <w:szCs w:val="24"/>
              </w:rPr>
            </w:pPr>
            <w:r w:rsidRPr="001E6023">
              <w:rPr>
                <w:rFonts w:ascii="Arial" w:hAnsi="Arial" w:cs="Arial"/>
                <w:szCs w:val="24"/>
              </w:rPr>
              <w:t xml:space="preserve">HIGH LIFE HIGHLAND </w:t>
            </w:r>
          </w:p>
          <w:p w14:paraId="53D31F3F" w14:textId="77777777" w:rsidR="002B7DC4" w:rsidRPr="001E6023" w:rsidRDefault="00DE1E6C" w:rsidP="002B7DC4">
            <w:pPr>
              <w:pStyle w:val="BodyText"/>
              <w:jc w:val="left"/>
              <w:rPr>
                <w:rFonts w:ascii="Arial" w:hAnsi="Arial" w:cs="Arial"/>
                <w:szCs w:val="24"/>
              </w:rPr>
            </w:pPr>
            <w:r w:rsidRPr="001E6023">
              <w:rPr>
                <w:rFonts w:ascii="Arial" w:hAnsi="Arial" w:cs="Arial"/>
                <w:szCs w:val="24"/>
              </w:rPr>
              <w:t>REPORT TO BOARD OF DIRECTORS</w:t>
            </w:r>
          </w:p>
          <w:p w14:paraId="6562A4F4" w14:textId="3668455D" w:rsidR="002B7DC4" w:rsidRPr="001E6023" w:rsidRDefault="000C2040" w:rsidP="002B7DC4">
            <w:pPr>
              <w:pStyle w:val="BodyText"/>
              <w:jc w:val="left"/>
              <w:rPr>
                <w:rFonts w:ascii="Arial" w:hAnsi="Arial" w:cs="Arial"/>
                <w:szCs w:val="24"/>
              </w:rPr>
            </w:pPr>
            <w:r w:rsidRPr="001E6023">
              <w:rPr>
                <w:rFonts w:ascii="Arial" w:hAnsi="Arial" w:cs="Arial"/>
                <w:szCs w:val="24"/>
              </w:rPr>
              <w:t>31 MARCH 2022</w:t>
            </w:r>
          </w:p>
          <w:p w14:paraId="145F0227" w14:textId="77777777" w:rsidR="00B84929" w:rsidRPr="001E6023" w:rsidRDefault="00B84929" w:rsidP="002B7DC4">
            <w:pPr>
              <w:pStyle w:val="BodyText"/>
              <w:jc w:val="left"/>
              <w:rPr>
                <w:rFonts w:ascii="Arial" w:hAnsi="Arial" w:cs="Arial"/>
                <w:szCs w:val="24"/>
              </w:rPr>
            </w:pPr>
            <w:r w:rsidRPr="001E6023">
              <w:rPr>
                <w:rFonts w:ascii="Arial" w:hAnsi="Arial" w:cs="Arial"/>
                <w:szCs w:val="24"/>
              </w:rPr>
              <w:fldChar w:fldCharType="begin"/>
            </w:r>
            <w:r w:rsidRPr="001E6023">
              <w:rPr>
                <w:rFonts w:ascii="Arial" w:hAnsi="Arial" w:cs="Arial"/>
                <w:szCs w:val="24"/>
              </w:rPr>
              <w:instrText xml:space="preserve">  </w:instrText>
            </w:r>
            <w:r w:rsidRPr="001E6023">
              <w:rPr>
                <w:rFonts w:ascii="Arial" w:hAnsi="Arial" w:cs="Arial"/>
                <w:szCs w:val="24"/>
              </w:rPr>
              <w:fldChar w:fldCharType="end"/>
            </w:r>
          </w:p>
        </w:tc>
        <w:tc>
          <w:tcPr>
            <w:tcW w:w="2835" w:type="dxa"/>
          </w:tcPr>
          <w:p w14:paraId="1BE26005" w14:textId="194057EC" w:rsidR="00B84929" w:rsidRPr="001E6023" w:rsidRDefault="00B84929" w:rsidP="00615DE0">
            <w:pPr>
              <w:rPr>
                <w:rFonts w:ascii="Arial" w:hAnsi="Arial" w:cs="Arial"/>
                <w:szCs w:val="24"/>
              </w:rPr>
            </w:pPr>
            <w:r w:rsidRPr="001E6023">
              <w:rPr>
                <w:rFonts w:ascii="Arial" w:hAnsi="Arial" w:cs="Arial"/>
                <w:szCs w:val="24"/>
              </w:rPr>
              <w:t>AGENDA ITEM</w:t>
            </w:r>
            <w:r w:rsidR="00306BAA" w:rsidRPr="001E6023">
              <w:rPr>
                <w:rFonts w:ascii="Arial" w:hAnsi="Arial" w:cs="Arial"/>
                <w:szCs w:val="24"/>
              </w:rPr>
              <w:t xml:space="preserve"> </w:t>
            </w:r>
            <w:r w:rsidR="00615DE0" w:rsidRPr="001E6023">
              <w:rPr>
                <w:rFonts w:ascii="Arial" w:hAnsi="Arial" w:cs="Arial"/>
                <w:szCs w:val="24"/>
              </w:rPr>
              <w:t xml:space="preserve"> </w:t>
            </w:r>
            <w:r w:rsidRPr="001E6023">
              <w:rPr>
                <w:rFonts w:ascii="Arial" w:hAnsi="Arial" w:cs="Arial"/>
                <w:szCs w:val="24"/>
              </w:rPr>
              <w:t xml:space="preserve">    REPORT No HLH</w:t>
            </w:r>
            <w:r w:rsidR="00403D5C" w:rsidRPr="001E6023">
              <w:rPr>
                <w:rFonts w:ascii="Arial" w:hAnsi="Arial" w:cs="Arial"/>
                <w:szCs w:val="24"/>
              </w:rPr>
              <w:t xml:space="preserve">/ </w:t>
            </w:r>
            <w:r w:rsidR="00615DE0" w:rsidRPr="001E6023">
              <w:rPr>
                <w:rFonts w:ascii="Arial" w:hAnsi="Arial" w:cs="Arial"/>
                <w:szCs w:val="24"/>
              </w:rPr>
              <w:t xml:space="preserve">  </w:t>
            </w:r>
            <w:r w:rsidRPr="001E6023">
              <w:rPr>
                <w:rFonts w:ascii="Arial" w:hAnsi="Arial" w:cs="Arial"/>
                <w:szCs w:val="24"/>
              </w:rPr>
              <w:t>/</w:t>
            </w:r>
            <w:r w:rsidR="00257BA7" w:rsidRPr="001E6023">
              <w:rPr>
                <w:rFonts w:ascii="Arial" w:hAnsi="Arial" w:cs="Arial"/>
                <w:szCs w:val="24"/>
              </w:rPr>
              <w:t>2</w:t>
            </w:r>
            <w:r w:rsidR="000C2040" w:rsidRPr="001E6023">
              <w:rPr>
                <w:rFonts w:ascii="Arial" w:hAnsi="Arial" w:cs="Arial"/>
                <w:szCs w:val="24"/>
              </w:rPr>
              <w:t>2</w:t>
            </w:r>
          </w:p>
        </w:tc>
      </w:tr>
    </w:tbl>
    <w:p w14:paraId="17D4A5F1" w14:textId="048C936F" w:rsidR="0039450A" w:rsidRPr="001E6023" w:rsidRDefault="00C4678C" w:rsidP="00DE1E6C">
      <w:pPr>
        <w:pStyle w:val="Heading2"/>
        <w:rPr>
          <w:rFonts w:ascii="Arial" w:hAnsi="Arial" w:cs="Arial"/>
          <w:b/>
          <w:szCs w:val="24"/>
          <w:u w:val="none"/>
        </w:rPr>
      </w:pPr>
      <w:r w:rsidRPr="001E6023">
        <w:rPr>
          <w:rFonts w:ascii="Arial" w:hAnsi="Arial" w:cs="Arial"/>
          <w:b/>
          <w:caps/>
          <w:szCs w:val="24"/>
          <w:u w:val="none"/>
        </w:rPr>
        <w:t xml:space="preserve">INVERNESS CASTLE </w:t>
      </w:r>
      <w:r w:rsidR="00BC43CA" w:rsidRPr="001E6023">
        <w:rPr>
          <w:rFonts w:ascii="Arial" w:hAnsi="Arial" w:cs="Arial"/>
          <w:b/>
          <w:caps/>
          <w:szCs w:val="24"/>
          <w:u w:val="none"/>
        </w:rPr>
        <w:t>– Managing agent</w:t>
      </w:r>
      <w:r w:rsidR="00050D22" w:rsidRPr="001E6023">
        <w:rPr>
          <w:rFonts w:ascii="Arial" w:hAnsi="Arial" w:cs="Arial"/>
          <w:b/>
          <w:caps/>
          <w:szCs w:val="24"/>
          <w:u w:val="none"/>
        </w:rPr>
        <w:t xml:space="preserve"> </w:t>
      </w:r>
      <w:r w:rsidR="00DE1E6C" w:rsidRPr="001E6023">
        <w:rPr>
          <w:rFonts w:ascii="Arial" w:hAnsi="Arial" w:cs="Arial"/>
          <w:b/>
          <w:szCs w:val="24"/>
          <w:u w:val="none"/>
        </w:rPr>
        <w:t>-</w:t>
      </w:r>
      <w:r w:rsidR="00050D22" w:rsidRPr="001E6023">
        <w:rPr>
          <w:rFonts w:ascii="Arial" w:hAnsi="Arial" w:cs="Arial"/>
          <w:b/>
          <w:szCs w:val="24"/>
          <w:u w:val="none"/>
        </w:rPr>
        <w:t xml:space="preserve"> </w:t>
      </w:r>
      <w:r w:rsidR="0039450A" w:rsidRPr="001E6023">
        <w:rPr>
          <w:rFonts w:ascii="Arial" w:hAnsi="Arial" w:cs="Arial"/>
          <w:b/>
          <w:szCs w:val="24"/>
          <w:u w:val="none"/>
        </w:rPr>
        <w:t xml:space="preserve">Report </w:t>
      </w:r>
      <w:r w:rsidR="00A8159A" w:rsidRPr="001E6023">
        <w:rPr>
          <w:rFonts w:ascii="Arial" w:hAnsi="Arial" w:cs="Arial"/>
          <w:b/>
          <w:szCs w:val="24"/>
          <w:u w:val="none"/>
        </w:rPr>
        <w:t>by</w:t>
      </w:r>
      <w:r w:rsidR="002B7DC4" w:rsidRPr="001E6023">
        <w:rPr>
          <w:rFonts w:ascii="Arial" w:hAnsi="Arial" w:cs="Arial"/>
          <w:b/>
          <w:szCs w:val="24"/>
          <w:u w:val="none"/>
        </w:rPr>
        <w:t xml:space="preserve"> Chief Executive</w:t>
      </w:r>
    </w:p>
    <w:p w14:paraId="53EEC732" w14:textId="77777777" w:rsidR="0039450A" w:rsidRPr="001E6023" w:rsidRDefault="0039450A" w:rsidP="00416BFF">
      <w:pPr>
        <w:jc w:val="both"/>
        <w:rPr>
          <w:rFonts w:ascii="Arial" w:hAnsi="Arial" w:cs="Arial"/>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18"/>
      </w:tblGrid>
      <w:tr w:rsidR="0039450A" w:rsidRPr="001E6023" w14:paraId="04FEA71B" w14:textId="77777777" w:rsidTr="00F31E49">
        <w:trPr>
          <w:cantSplit/>
        </w:trPr>
        <w:tc>
          <w:tcPr>
            <w:tcW w:w="9469" w:type="dxa"/>
            <w:gridSpan w:val="2"/>
          </w:tcPr>
          <w:p w14:paraId="0A5CAF4C" w14:textId="77777777" w:rsidR="0039450A" w:rsidRPr="001E6023" w:rsidRDefault="002B7DC4" w:rsidP="00416BFF">
            <w:pPr>
              <w:pStyle w:val="Heading2"/>
              <w:rPr>
                <w:rFonts w:ascii="Arial" w:hAnsi="Arial" w:cs="Arial"/>
                <w:b/>
                <w:szCs w:val="24"/>
                <w:u w:val="none"/>
              </w:rPr>
            </w:pPr>
            <w:r w:rsidRPr="001E6023">
              <w:rPr>
                <w:rFonts w:ascii="Arial" w:hAnsi="Arial" w:cs="Arial"/>
                <w:b/>
                <w:szCs w:val="24"/>
                <w:u w:val="none"/>
              </w:rPr>
              <w:t>Summary</w:t>
            </w:r>
          </w:p>
          <w:p w14:paraId="20BD99D4" w14:textId="77777777" w:rsidR="002B7DC4" w:rsidRPr="001E6023" w:rsidRDefault="002B7DC4" w:rsidP="002B7DC4">
            <w:pPr>
              <w:rPr>
                <w:rFonts w:ascii="Arial" w:hAnsi="Arial" w:cs="Arial"/>
                <w:szCs w:val="24"/>
              </w:rPr>
            </w:pPr>
          </w:p>
          <w:p w14:paraId="24C31BBB" w14:textId="3DF4A9BB" w:rsidR="005C13D9" w:rsidRPr="001E6023" w:rsidRDefault="00050D22" w:rsidP="00050D22">
            <w:pPr>
              <w:jc w:val="both"/>
              <w:rPr>
                <w:rFonts w:ascii="Arial" w:hAnsi="Arial" w:cs="Arial"/>
                <w:szCs w:val="24"/>
              </w:rPr>
            </w:pPr>
            <w:r w:rsidRPr="001E6023">
              <w:rPr>
                <w:rFonts w:ascii="Arial" w:hAnsi="Arial" w:cs="Arial"/>
                <w:szCs w:val="24"/>
              </w:rPr>
              <w:t>The purpose of this report is</w:t>
            </w:r>
            <w:r w:rsidR="00E87C1B" w:rsidRPr="001E6023">
              <w:rPr>
                <w:rFonts w:ascii="Arial" w:hAnsi="Arial" w:cs="Arial"/>
                <w:szCs w:val="24"/>
              </w:rPr>
              <w:t xml:space="preserve"> </w:t>
            </w:r>
            <w:r w:rsidR="001F0A13" w:rsidRPr="001E6023">
              <w:rPr>
                <w:rFonts w:ascii="Arial" w:hAnsi="Arial" w:cs="Arial"/>
                <w:szCs w:val="24"/>
              </w:rPr>
              <w:t xml:space="preserve">to </w:t>
            </w:r>
            <w:r w:rsidR="00E87C1B" w:rsidRPr="001E6023">
              <w:rPr>
                <w:rFonts w:ascii="Arial" w:hAnsi="Arial" w:cs="Arial"/>
                <w:szCs w:val="24"/>
              </w:rPr>
              <w:t xml:space="preserve">provide </w:t>
            </w:r>
            <w:r w:rsidR="00183013" w:rsidRPr="001E6023">
              <w:rPr>
                <w:rFonts w:ascii="Arial" w:hAnsi="Arial" w:cs="Arial"/>
                <w:szCs w:val="24"/>
              </w:rPr>
              <w:t xml:space="preserve">Directors with a summary of the </w:t>
            </w:r>
            <w:r w:rsidR="005D2DBD" w:rsidRPr="001E6023">
              <w:rPr>
                <w:rFonts w:ascii="Arial" w:hAnsi="Arial" w:cs="Arial"/>
                <w:szCs w:val="24"/>
              </w:rPr>
              <w:t>key points within</w:t>
            </w:r>
            <w:r w:rsidR="00183013" w:rsidRPr="001E6023">
              <w:rPr>
                <w:rFonts w:ascii="Arial" w:hAnsi="Arial" w:cs="Arial"/>
                <w:szCs w:val="24"/>
              </w:rPr>
              <w:t xml:space="preserve"> a report presented to </w:t>
            </w:r>
            <w:r w:rsidR="003E1CDA" w:rsidRPr="001E6023">
              <w:rPr>
                <w:rFonts w:ascii="Arial" w:hAnsi="Arial" w:cs="Arial"/>
                <w:szCs w:val="24"/>
              </w:rPr>
              <w:t>T</w:t>
            </w:r>
            <w:r w:rsidR="00183013" w:rsidRPr="001E6023">
              <w:rPr>
                <w:rFonts w:ascii="Arial" w:hAnsi="Arial" w:cs="Arial"/>
                <w:szCs w:val="24"/>
              </w:rPr>
              <w:t>he Highland Counci</w:t>
            </w:r>
            <w:r w:rsidR="005A1F1B" w:rsidRPr="001E6023">
              <w:rPr>
                <w:rFonts w:ascii="Arial" w:hAnsi="Arial" w:cs="Arial"/>
                <w:szCs w:val="24"/>
              </w:rPr>
              <w:t>l</w:t>
            </w:r>
            <w:r w:rsidR="001301BE">
              <w:rPr>
                <w:rFonts w:ascii="Arial" w:hAnsi="Arial" w:cs="Arial"/>
                <w:szCs w:val="24"/>
              </w:rPr>
              <w:t>’s</w:t>
            </w:r>
            <w:r w:rsidR="005A1F1B" w:rsidRPr="001E6023">
              <w:rPr>
                <w:rFonts w:ascii="Arial" w:hAnsi="Arial" w:cs="Arial"/>
                <w:szCs w:val="24"/>
              </w:rPr>
              <w:t xml:space="preserve"> </w:t>
            </w:r>
            <w:r w:rsidR="001301BE">
              <w:rPr>
                <w:rFonts w:ascii="Arial" w:hAnsi="Arial" w:cs="Arial"/>
                <w:szCs w:val="24"/>
              </w:rPr>
              <w:t xml:space="preserve">Corporate </w:t>
            </w:r>
            <w:r w:rsidR="005A1F1B" w:rsidRPr="001E6023">
              <w:rPr>
                <w:rFonts w:ascii="Arial" w:hAnsi="Arial" w:cs="Arial"/>
                <w:szCs w:val="24"/>
              </w:rPr>
              <w:t>Resource</w:t>
            </w:r>
            <w:r w:rsidR="001301BE">
              <w:rPr>
                <w:rFonts w:ascii="Arial" w:hAnsi="Arial" w:cs="Arial"/>
                <w:szCs w:val="24"/>
              </w:rPr>
              <w:t>s</w:t>
            </w:r>
            <w:r w:rsidR="005A1F1B" w:rsidRPr="001E6023">
              <w:rPr>
                <w:rFonts w:ascii="Arial" w:hAnsi="Arial" w:cs="Arial"/>
                <w:szCs w:val="24"/>
              </w:rPr>
              <w:t xml:space="preserve"> Committee on </w:t>
            </w:r>
            <w:r w:rsidR="003E1CDA" w:rsidRPr="001E6023">
              <w:rPr>
                <w:rFonts w:ascii="Arial" w:hAnsi="Arial" w:cs="Arial"/>
                <w:szCs w:val="24"/>
              </w:rPr>
              <w:t>26</w:t>
            </w:r>
            <w:r w:rsidR="004C6D9D">
              <w:rPr>
                <w:rFonts w:ascii="Arial" w:hAnsi="Arial" w:cs="Arial"/>
                <w:szCs w:val="24"/>
              </w:rPr>
              <w:t> </w:t>
            </w:r>
            <w:r w:rsidR="003E1CDA" w:rsidRPr="001E6023">
              <w:rPr>
                <w:rFonts w:ascii="Arial" w:hAnsi="Arial" w:cs="Arial"/>
                <w:szCs w:val="24"/>
              </w:rPr>
              <w:t xml:space="preserve">January 2022 in respect of </w:t>
            </w:r>
            <w:r w:rsidR="00CE5FAD" w:rsidRPr="001E6023">
              <w:rPr>
                <w:rFonts w:ascii="Arial" w:hAnsi="Arial" w:cs="Arial"/>
                <w:szCs w:val="24"/>
              </w:rPr>
              <w:t>de</w:t>
            </w:r>
            <w:r w:rsidR="00134F39" w:rsidRPr="001E6023">
              <w:rPr>
                <w:rFonts w:ascii="Arial" w:hAnsi="Arial" w:cs="Arial"/>
                <w:szCs w:val="24"/>
              </w:rPr>
              <w:t xml:space="preserve">velopments at </w:t>
            </w:r>
            <w:r w:rsidR="003E1CDA" w:rsidRPr="001E6023">
              <w:rPr>
                <w:rFonts w:ascii="Arial" w:hAnsi="Arial" w:cs="Arial"/>
                <w:szCs w:val="24"/>
              </w:rPr>
              <w:t xml:space="preserve">Inverness Castle </w:t>
            </w:r>
            <w:r w:rsidR="00134F39" w:rsidRPr="001E6023">
              <w:rPr>
                <w:rFonts w:ascii="Arial" w:hAnsi="Arial" w:cs="Arial"/>
                <w:szCs w:val="24"/>
              </w:rPr>
              <w:t>and to set out recommendations in re</w:t>
            </w:r>
            <w:r w:rsidR="00E2260A" w:rsidRPr="001E6023">
              <w:rPr>
                <w:rFonts w:ascii="Arial" w:hAnsi="Arial" w:cs="Arial"/>
                <w:szCs w:val="24"/>
              </w:rPr>
              <w:t>lation to</w:t>
            </w:r>
            <w:r w:rsidR="00134F39" w:rsidRPr="001E6023">
              <w:rPr>
                <w:rFonts w:ascii="Arial" w:hAnsi="Arial" w:cs="Arial"/>
                <w:szCs w:val="24"/>
              </w:rPr>
              <w:t xml:space="preserve"> the proposed role of High Life Highland when the castle opens in 2025.</w:t>
            </w:r>
          </w:p>
          <w:p w14:paraId="6C0B93DF" w14:textId="77777777" w:rsidR="00790E27" w:rsidRPr="001E6023" w:rsidRDefault="00790E27" w:rsidP="00050D22">
            <w:pPr>
              <w:jc w:val="both"/>
              <w:rPr>
                <w:rFonts w:ascii="Arial" w:hAnsi="Arial" w:cs="Arial"/>
                <w:szCs w:val="24"/>
              </w:rPr>
            </w:pPr>
          </w:p>
          <w:p w14:paraId="5123139D" w14:textId="3A805D27" w:rsidR="007630B9" w:rsidRPr="001E6023" w:rsidRDefault="00690507" w:rsidP="00762379">
            <w:pPr>
              <w:jc w:val="both"/>
              <w:rPr>
                <w:rFonts w:ascii="Arial" w:hAnsi="Arial" w:cs="Arial"/>
                <w:szCs w:val="24"/>
              </w:rPr>
            </w:pPr>
            <w:r w:rsidRPr="001E6023">
              <w:rPr>
                <w:rFonts w:ascii="Arial" w:hAnsi="Arial" w:cs="Arial"/>
                <w:szCs w:val="24"/>
              </w:rPr>
              <w:t>It is recommended Directors</w:t>
            </w:r>
            <w:r w:rsidR="00DF72EA" w:rsidRPr="001E6023">
              <w:rPr>
                <w:rFonts w:ascii="Arial" w:hAnsi="Arial" w:cs="Arial"/>
                <w:szCs w:val="24"/>
              </w:rPr>
              <w:t xml:space="preserve"> agree</w:t>
            </w:r>
            <w:r w:rsidR="009B60C0" w:rsidRPr="001E6023">
              <w:rPr>
                <w:rFonts w:ascii="Arial" w:hAnsi="Arial" w:cs="Arial"/>
                <w:szCs w:val="24"/>
              </w:rPr>
              <w:t xml:space="preserve"> that</w:t>
            </w:r>
            <w:r w:rsidR="007630B9" w:rsidRPr="001E6023">
              <w:rPr>
                <w:rFonts w:ascii="Arial" w:hAnsi="Arial" w:cs="Arial"/>
                <w:szCs w:val="24"/>
              </w:rPr>
              <w:t>:</w:t>
            </w:r>
          </w:p>
          <w:p w14:paraId="69826773" w14:textId="77777777" w:rsidR="00E87C1B" w:rsidRPr="001E6023" w:rsidRDefault="00E87C1B" w:rsidP="001950D2">
            <w:pPr>
              <w:jc w:val="both"/>
              <w:rPr>
                <w:rFonts w:ascii="Arial" w:hAnsi="Arial" w:cs="Arial"/>
                <w:szCs w:val="24"/>
              </w:rPr>
            </w:pPr>
          </w:p>
          <w:p w14:paraId="40657E72" w14:textId="2EB0AA30" w:rsidR="009B60C0" w:rsidRPr="001E6023" w:rsidRDefault="00D42810" w:rsidP="001950D2">
            <w:pPr>
              <w:pStyle w:val="ListParagraph"/>
              <w:numPr>
                <w:ilvl w:val="0"/>
                <w:numId w:val="24"/>
              </w:numPr>
              <w:spacing w:line="240" w:lineRule="auto"/>
              <w:ind w:left="604" w:hanging="244"/>
              <w:jc w:val="both"/>
              <w:rPr>
                <w:rFonts w:ascii="Arial" w:hAnsi="Arial" w:cs="Arial"/>
                <w:sz w:val="24"/>
                <w:szCs w:val="24"/>
              </w:rPr>
            </w:pPr>
            <w:r w:rsidRPr="001E6023">
              <w:rPr>
                <w:rFonts w:ascii="Arial" w:hAnsi="Arial" w:cs="Arial"/>
                <w:sz w:val="24"/>
                <w:szCs w:val="24"/>
              </w:rPr>
              <w:t xml:space="preserve">High Life Highland accept the </w:t>
            </w:r>
            <w:r w:rsidR="00005BDC">
              <w:rPr>
                <w:rFonts w:ascii="Arial" w:hAnsi="Arial" w:cs="Arial"/>
                <w:sz w:val="24"/>
                <w:szCs w:val="24"/>
              </w:rPr>
              <w:t xml:space="preserve">request from </w:t>
            </w:r>
            <w:r w:rsidRPr="001E6023">
              <w:rPr>
                <w:rFonts w:ascii="Arial" w:hAnsi="Arial" w:cs="Arial"/>
                <w:sz w:val="24"/>
                <w:szCs w:val="24"/>
              </w:rPr>
              <w:t xml:space="preserve">The Highland Council to become the Managing Agent of </w:t>
            </w:r>
            <w:r w:rsidR="00C96E82" w:rsidRPr="001E6023">
              <w:rPr>
                <w:rFonts w:ascii="Arial" w:hAnsi="Arial" w:cs="Arial"/>
                <w:sz w:val="24"/>
                <w:szCs w:val="24"/>
              </w:rPr>
              <w:t>Inverness Castle when it opens in 20</w:t>
            </w:r>
            <w:r w:rsidR="001950D2">
              <w:rPr>
                <w:rFonts w:ascii="Arial" w:hAnsi="Arial" w:cs="Arial"/>
                <w:sz w:val="24"/>
                <w:szCs w:val="24"/>
              </w:rPr>
              <w:t>2</w:t>
            </w:r>
            <w:r w:rsidR="00D062FB">
              <w:rPr>
                <w:rFonts w:ascii="Arial" w:hAnsi="Arial" w:cs="Arial"/>
                <w:sz w:val="24"/>
                <w:szCs w:val="24"/>
              </w:rPr>
              <w:t>5</w:t>
            </w:r>
            <w:r w:rsidR="001950D2">
              <w:rPr>
                <w:rFonts w:ascii="Arial" w:hAnsi="Arial" w:cs="Arial"/>
                <w:sz w:val="24"/>
                <w:szCs w:val="24"/>
              </w:rPr>
              <w:t>;</w:t>
            </w:r>
            <w:r w:rsidR="00C96E82" w:rsidRPr="001E6023">
              <w:rPr>
                <w:rFonts w:ascii="Arial" w:hAnsi="Arial" w:cs="Arial"/>
                <w:sz w:val="24"/>
                <w:szCs w:val="24"/>
              </w:rPr>
              <w:t xml:space="preserve"> and</w:t>
            </w:r>
          </w:p>
          <w:p w14:paraId="77A80CC4" w14:textId="6D2D124E" w:rsidR="00690507" w:rsidRPr="001950D2" w:rsidRDefault="00EC4DF1" w:rsidP="00762379">
            <w:pPr>
              <w:pStyle w:val="ListParagraph"/>
              <w:numPr>
                <w:ilvl w:val="0"/>
                <w:numId w:val="24"/>
              </w:numPr>
              <w:spacing w:line="240" w:lineRule="auto"/>
              <w:ind w:left="604" w:hanging="244"/>
              <w:jc w:val="both"/>
              <w:rPr>
                <w:rFonts w:ascii="Arial" w:eastAsia="Times New Roman" w:hAnsi="Arial" w:cs="Arial"/>
                <w:sz w:val="24"/>
                <w:szCs w:val="24"/>
                <w:lang w:eastAsia="en-GB"/>
              </w:rPr>
            </w:pPr>
            <w:r w:rsidRPr="001E6023">
              <w:rPr>
                <w:rFonts w:ascii="Arial" w:hAnsi="Arial" w:cs="Arial"/>
                <w:sz w:val="24"/>
                <w:szCs w:val="24"/>
              </w:rPr>
              <w:t>H</w:t>
            </w:r>
            <w:r w:rsidR="009B60C0" w:rsidRPr="001E6023">
              <w:rPr>
                <w:rFonts w:ascii="Arial" w:hAnsi="Arial" w:cs="Arial"/>
                <w:sz w:val="24"/>
                <w:szCs w:val="24"/>
              </w:rPr>
              <w:t xml:space="preserve">igh Life Highland </w:t>
            </w:r>
            <w:r w:rsidR="006431E3" w:rsidRPr="001E6023">
              <w:rPr>
                <w:rFonts w:ascii="Arial" w:hAnsi="Arial" w:cs="Arial"/>
                <w:sz w:val="24"/>
                <w:szCs w:val="24"/>
              </w:rPr>
              <w:t xml:space="preserve">accept the </w:t>
            </w:r>
            <w:r w:rsidR="00AE383C">
              <w:rPr>
                <w:rFonts w:ascii="Arial" w:hAnsi="Arial" w:cs="Arial"/>
                <w:sz w:val="24"/>
                <w:szCs w:val="24"/>
              </w:rPr>
              <w:t xml:space="preserve">proposal </w:t>
            </w:r>
            <w:r w:rsidR="006431E3" w:rsidRPr="001E6023">
              <w:rPr>
                <w:rFonts w:ascii="Arial" w:hAnsi="Arial" w:cs="Arial"/>
                <w:sz w:val="24"/>
                <w:szCs w:val="24"/>
              </w:rPr>
              <w:t xml:space="preserve">to </w:t>
            </w:r>
            <w:r w:rsidR="00C96E82" w:rsidRPr="001E6023">
              <w:rPr>
                <w:rFonts w:ascii="Arial" w:hAnsi="Arial" w:cs="Arial"/>
                <w:sz w:val="24"/>
                <w:szCs w:val="24"/>
              </w:rPr>
              <w:t xml:space="preserve">manage the </w:t>
            </w:r>
            <w:r w:rsidR="008B774D" w:rsidRPr="001E6023">
              <w:rPr>
                <w:rFonts w:ascii="Arial" w:hAnsi="Arial" w:cs="Arial"/>
                <w:sz w:val="24"/>
                <w:szCs w:val="24"/>
              </w:rPr>
              <w:t xml:space="preserve">programme to reinvest </w:t>
            </w:r>
            <w:r w:rsidRPr="001E6023">
              <w:rPr>
                <w:rFonts w:ascii="Arial" w:hAnsi="Arial" w:cs="Arial"/>
                <w:bCs/>
                <w:color w:val="000000"/>
                <w:sz w:val="24"/>
                <w:szCs w:val="24"/>
                <w:lang w:eastAsia="en-GB"/>
              </w:rPr>
              <w:t xml:space="preserve">50% of the profit share </w:t>
            </w:r>
            <w:r w:rsidR="00D75F32" w:rsidRPr="001E6023">
              <w:rPr>
                <w:rFonts w:ascii="Arial" w:hAnsi="Arial" w:cs="Arial"/>
                <w:bCs/>
                <w:color w:val="000000"/>
                <w:sz w:val="24"/>
                <w:szCs w:val="24"/>
                <w:lang w:eastAsia="en-GB"/>
              </w:rPr>
              <w:t xml:space="preserve">from the operation of Inverness Castle </w:t>
            </w:r>
            <w:r w:rsidR="00E87C1B" w:rsidRPr="001E6023">
              <w:rPr>
                <w:rFonts w:ascii="Arial" w:hAnsi="Arial" w:cs="Arial"/>
                <w:bCs/>
                <w:color w:val="000000"/>
                <w:sz w:val="24"/>
                <w:szCs w:val="24"/>
                <w:lang w:eastAsia="en-GB"/>
              </w:rPr>
              <w:t xml:space="preserve">to support </w:t>
            </w:r>
            <w:r w:rsidR="00236158" w:rsidRPr="001E6023">
              <w:rPr>
                <w:rFonts w:ascii="Arial" w:hAnsi="Arial" w:cs="Arial"/>
                <w:color w:val="000000"/>
                <w:sz w:val="24"/>
                <w:szCs w:val="24"/>
                <w:lang w:eastAsia="en-GB"/>
              </w:rPr>
              <w:t xml:space="preserve">the development of leisure, cultural and tourism </w:t>
            </w:r>
            <w:r w:rsidR="00132782" w:rsidRPr="001E6023">
              <w:rPr>
                <w:rFonts w:ascii="Arial" w:hAnsi="Arial" w:cs="Arial"/>
                <w:color w:val="000000"/>
                <w:sz w:val="24"/>
                <w:szCs w:val="24"/>
                <w:lang w:eastAsia="en-GB"/>
              </w:rPr>
              <w:t xml:space="preserve">facilities and services </w:t>
            </w:r>
            <w:r w:rsidR="00236158" w:rsidRPr="001E6023">
              <w:rPr>
                <w:rFonts w:ascii="Arial" w:hAnsi="Arial" w:cs="Arial"/>
                <w:color w:val="000000"/>
                <w:sz w:val="24"/>
                <w:szCs w:val="24"/>
                <w:lang w:eastAsia="en-GB"/>
              </w:rPr>
              <w:t>throughout the Highlands (outside the Inverness City centre boundary) on behalf of The Highland Council.</w:t>
            </w:r>
          </w:p>
        </w:tc>
      </w:tr>
      <w:tr w:rsidR="00A53534" w:rsidRPr="001E6023" w14:paraId="3341E083"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460AE449" w14:textId="77777777" w:rsidR="00F36EEF" w:rsidRPr="001E6023" w:rsidRDefault="00F36EEF" w:rsidP="006D4204">
            <w:pPr>
              <w:rPr>
                <w:rFonts w:ascii="Arial" w:hAnsi="Arial" w:cs="Arial"/>
                <w:b/>
                <w:szCs w:val="24"/>
              </w:rPr>
            </w:pPr>
          </w:p>
          <w:p w14:paraId="703F6128" w14:textId="07403A58" w:rsidR="00A53534" w:rsidRPr="001E6023" w:rsidRDefault="008B4D54" w:rsidP="006D4204">
            <w:pPr>
              <w:rPr>
                <w:rFonts w:ascii="Arial" w:hAnsi="Arial" w:cs="Arial"/>
                <w:b/>
                <w:szCs w:val="24"/>
              </w:rPr>
            </w:pPr>
            <w:r w:rsidRPr="001E6023">
              <w:rPr>
                <w:rFonts w:ascii="Arial" w:hAnsi="Arial" w:cs="Arial"/>
                <w:b/>
                <w:szCs w:val="24"/>
              </w:rPr>
              <w:t>1</w:t>
            </w:r>
            <w:r w:rsidR="00A53534" w:rsidRPr="001E6023">
              <w:rPr>
                <w:rFonts w:ascii="Arial" w:hAnsi="Arial" w:cs="Arial"/>
                <w:b/>
                <w:szCs w:val="24"/>
              </w:rPr>
              <w:t>.</w:t>
            </w:r>
          </w:p>
        </w:tc>
        <w:tc>
          <w:tcPr>
            <w:tcW w:w="8618" w:type="dxa"/>
          </w:tcPr>
          <w:p w14:paraId="20B5B46C" w14:textId="77777777" w:rsidR="00F36EEF" w:rsidRPr="001E6023" w:rsidRDefault="00F36EEF" w:rsidP="006D4204">
            <w:pPr>
              <w:rPr>
                <w:rFonts w:ascii="Arial" w:hAnsi="Arial" w:cs="Arial"/>
                <w:b/>
                <w:szCs w:val="24"/>
              </w:rPr>
            </w:pPr>
          </w:p>
          <w:p w14:paraId="4A7F3DAE" w14:textId="2AE4A5B4" w:rsidR="00A53534" w:rsidRPr="001E6023" w:rsidRDefault="00A53534" w:rsidP="006D4204">
            <w:pPr>
              <w:rPr>
                <w:rFonts w:ascii="Arial" w:hAnsi="Arial" w:cs="Arial"/>
                <w:b/>
                <w:szCs w:val="24"/>
              </w:rPr>
            </w:pPr>
            <w:r w:rsidRPr="001E6023">
              <w:rPr>
                <w:rFonts w:ascii="Arial" w:hAnsi="Arial" w:cs="Arial"/>
                <w:b/>
                <w:szCs w:val="24"/>
              </w:rPr>
              <w:t>Business Plan Contribution</w:t>
            </w:r>
          </w:p>
          <w:p w14:paraId="0E6E29AF" w14:textId="77777777" w:rsidR="00A53534" w:rsidRPr="001E6023" w:rsidRDefault="00A53534" w:rsidP="006D4204">
            <w:pPr>
              <w:rPr>
                <w:rFonts w:ascii="Arial" w:hAnsi="Arial" w:cs="Arial"/>
                <w:szCs w:val="24"/>
              </w:rPr>
            </w:pPr>
          </w:p>
        </w:tc>
      </w:tr>
      <w:tr w:rsidR="00A53534" w:rsidRPr="001E6023" w14:paraId="07DE4C72"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14ED570" w14:textId="77777777" w:rsidR="00A53534" w:rsidRPr="001E6023" w:rsidRDefault="008B4D54" w:rsidP="006D4204">
            <w:pPr>
              <w:rPr>
                <w:rFonts w:ascii="Arial" w:hAnsi="Arial" w:cs="Arial"/>
                <w:szCs w:val="24"/>
              </w:rPr>
            </w:pPr>
            <w:r w:rsidRPr="001E6023">
              <w:rPr>
                <w:rFonts w:ascii="Arial" w:hAnsi="Arial" w:cs="Arial"/>
                <w:szCs w:val="24"/>
              </w:rPr>
              <w:t>1</w:t>
            </w:r>
            <w:r w:rsidR="00A53534" w:rsidRPr="001E6023">
              <w:rPr>
                <w:rFonts w:ascii="Arial" w:hAnsi="Arial" w:cs="Arial"/>
                <w:szCs w:val="24"/>
              </w:rPr>
              <w:t>.1</w:t>
            </w:r>
          </w:p>
        </w:tc>
        <w:tc>
          <w:tcPr>
            <w:tcW w:w="8618" w:type="dxa"/>
          </w:tcPr>
          <w:p w14:paraId="485EE6FB" w14:textId="77777777" w:rsidR="00B26FE3" w:rsidRPr="001E6023" w:rsidRDefault="00B26FE3" w:rsidP="00B176A2">
            <w:pPr>
              <w:jc w:val="both"/>
              <w:rPr>
                <w:rFonts w:ascii="Arial" w:hAnsi="Arial" w:cs="Arial"/>
                <w:szCs w:val="24"/>
              </w:rPr>
            </w:pPr>
            <w:r w:rsidRPr="001E6023">
              <w:rPr>
                <w:rFonts w:ascii="Arial" w:hAnsi="Arial" w:cs="Arial"/>
                <w:szCs w:val="24"/>
              </w:rPr>
              <w:t xml:space="preserve">This report supports the </w:t>
            </w:r>
            <w:r w:rsidR="004973CD" w:rsidRPr="001E6023">
              <w:rPr>
                <w:rFonts w:ascii="Arial" w:hAnsi="Arial" w:cs="Arial"/>
                <w:szCs w:val="24"/>
              </w:rPr>
              <w:t xml:space="preserve">highlighted </w:t>
            </w:r>
            <w:r w:rsidRPr="001E6023">
              <w:rPr>
                <w:rFonts w:ascii="Arial" w:hAnsi="Arial" w:cs="Arial"/>
                <w:szCs w:val="24"/>
              </w:rPr>
              <w:t>Business Outcomes from the High Life Highland (HLH) Business Plan:</w:t>
            </w:r>
          </w:p>
          <w:p w14:paraId="7BCFF4FC" w14:textId="77777777" w:rsidR="00B26FE3" w:rsidRPr="001E6023" w:rsidRDefault="00B26FE3" w:rsidP="00B176A2">
            <w:pPr>
              <w:jc w:val="both"/>
              <w:rPr>
                <w:rFonts w:ascii="Arial" w:hAnsi="Arial" w:cs="Arial"/>
                <w:szCs w:val="24"/>
              </w:rPr>
            </w:pPr>
          </w:p>
          <w:p w14:paraId="7D7945CA" w14:textId="77777777" w:rsidR="000C2040" w:rsidRPr="001E6023" w:rsidRDefault="000C2040" w:rsidP="000C2040">
            <w:pPr>
              <w:pStyle w:val="ListParagraph"/>
              <w:numPr>
                <w:ilvl w:val="0"/>
                <w:numId w:val="16"/>
              </w:numPr>
              <w:spacing w:after="0" w:line="240" w:lineRule="auto"/>
              <w:jc w:val="both"/>
              <w:rPr>
                <w:rFonts w:ascii="Arial" w:hAnsi="Arial" w:cs="Arial"/>
                <w:sz w:val="24"/>
                <w:szCs w:val="24"/>
              </w:rPr>
            </w:pPr>
            <w:r w:rsidRPr="001E6023">
              <w:rPr>
                <w:rFonts w:ascii="Arial" w:hAnsi="Arial" w:cs="Arial"/>
                <w:sz w:val="24"/>
                <w:szCs w:val="24"/>
              </w:rPr>
              <w:t>Seek to continuously improve standards of health and safety.</w:t>
            </w:r>
          </w:p>
          <w:p w14:paraId="30774594" w14:textId="77777777" w:rsidR="000C2040" w:rsidRPr="001E6023" w:rsidRDefault="000C2040" w:rsidP="000C2040">
            <w:pPr>
              <w:pStyle w:val="ListParagraph"/>
              <w:numPr>
                <w:ilvl w:val="0"/>
                <w:numId w:val="16"/>
              </w:numPr>
              <w:spacing w:after="0" w:line="240" w:lineRule="auto"/>
              <w:jc w:val="both"/>
              <w:rPr>
                <w:rFonts w:ascii="Arial" w:hAnsi="Arial" w:cs="Arial"/>
                <w:b/>
                <w:bCs/>
                <w:sz w:val="24"/>
                <w:szCs w:val="24"/>
              </w:rPr>
            </w:pPr>
            <w:r w:rsidRPr="001E6023">
              <w:rPr>
                <w:rFonts w:ascii="Arial" w:hAnsi="Arial" w:cs="Arial"/>
                <w:b/>
                <w:bCs/>
                <w:sz w:val="24"/>
                <w:szCs w:val="24"/>
              </w:rPr>
              <w:t>Commit to the Scottish Government’s zero carbon targets and maintain the highest standards in environmental compliance.</w:t>
            </w:r>
          </w:p>
          <w:p w14:paraId="6AB50785" w14:textId="77777777" w:rsidR="000C2040" w:rsidRPr="001E6023" w:rsidRDefault="000C2040" w:rsidP="000C2040">
            <w:pPr>
              <w:pStyle w:val="ListParagraph"/>
              <w:numPr>
                <w:ilvl w:val="0"/>
                <w:numId w:val="16"/>
              </w:numPr>
              <w:spacing w:after="0" w:line="240" w:lineRule="auto"/>
              <w:jc w:val="both"/>
              <w:rPr>
                <w:rFonts w:ascii="Arial" w:hAnsi="Arial" w:cs="Arial"/>
                <w:b/>
                <w:bCs/>
                <w:sz w:val="24"/>
                <w:szCs w:val="24"/>
              </w:rPr>
            </w:pPr>
            <w:r w:rsidRPr="001E6023">
              <w:rPr>
                <w:rFonts w:ascii="Arial" w:hAnsi="Arial" w:cs="Arial"/>
                <w:b/>
                <w:bCs/>
                <w:sz w:val="24"/>
                <w:szCs w:val="24"/>
              </w:rPr>
              <w:t>Use research and market analysis to develop and improve services to meet customer needs.</w:t>
            </w:r>
          </w:p>
          <w:p w14:paraId="3DEE6178" w14:textId="77777777" w:rsidR="000C2040" w:rsidRPr="001E6023" w:rsidRDefault="000C2040" w:rsidP="000C2040">
            <w:pPr>
              <w:pStyle w:val="ListParagraph"/>
              <w:numPr>
                <w:ilvl w:val="0"/>
                <w:numId w:val="16"/>
              </w:numPr>
              <w:spacing w:after="0" w:line="240" w:lineRule="auto"/>
              <w:jc w:val="both"/>
              <w:rPr>
                <w:rFonts w:ascii="Arial" w:hAnsi="Arial" w:cs="Arial"/>
                <w:b/>
                <w:bCs/>
                <w:sz w:val="24"/>
                <w:szCs w:val="24"/>
              </w:rPr>
            </w:pPr>
            <w:r w:rsidRPr="001E6023">
              <w:rPr>
                <w:rFonts w:ascii="Arial" w:hAnsi="Arial" w:cs="Arial"/>
                <w:b/>
                <w:bCs/>
                <w:sz w:val="24"/>
                <w:szCs w:val="24"/>
              </w:rPr>
              <w:t>Increase employee satisfaction, engagement and development to improve staff recruitment and retention.</w:t>
            </w:r>
          </w:p>
          <w:p w14:paraId="7D1DFE80" w14:textId="77777777" w:rsidR="000C2040" w:rsidRPr="001E6023" w:rsidRDefault="000C2040" w:rsidP="000C2040">
            <w:pPr>
              <w:pStyle w:val="ListParagraph"/>
              <w:numPr>
                <w:ilvl w:val="0"/>
                <w:numId w:val="16"/>
              </w:numPr>
              <w:spacing w:after="0" w:line="240" w:lineRule="auto"/>
              <w:jc w:val="both"/>
              <w:rPr>
                <w:rFonts w:ascii="Arial" w:hAnsi="Arial" w:cs="Arial"/>
                <w:b/>
                <w:bCs/>
                <w:sz w:val="24"/>
                <w:szCs w:val="24"/>
              </w:rPr>
            </w:pPr>
            <w:r w:rsidRPr="001E6023">
              <w:rPr>
                <w:rFonts w:ascii="Arial" w:hAnsi="Arial" w:cs="Arial"/>
                <w:b/>
                <w:bCs/>
                <w:sz w:val="24"/>
                <w:szCs w:val="24"/>
              </w:rPr>
              <w:t>Improve the financial sustainability of the company.</w:t>
            </w:r>
          </w:p>
          <w:p w14:paraId="02B96067" w14:textId="77777777" w:rsidR="000C2040" w:rsidRPr="001E6023" w:rsidRDefault="000C2040" w:rsidP="000C2040">
            <w:pPr>
              <w:pStyle w:val="ListParagraph"/>
              <w:numPr>
                <w:ilvl w:val="0"/>
                <w:numId w:val="16"/>
              </w:numPr>
              <w:spacing w:after="0" w:line="240" w:lineRule="auto"/>
              <w:jc w:val="both"/>
              <w:rPr>
                <w:rFonts w:ascii="Arial" w:hAnsi="Arial" w:cs="Arial"/>
                <w:b/>
                <w:bCs/>
                <w:sz w:val="24"/>
                <w:szCs w:val="24"/>
              </w:rPr>
            </w:pPr>
            <w:r w:rsidRPr="001E6023">
              <w:rPr>
                <w:rFonts w:ascii="Arial" w:hAnsi="Arial" w:cs="Arial"/>
                <w:b/>
                <w:bCs/>
                <w:sz w:val="24"/>
                <w:szCs w:val="24"/>
              </w:rPr>
              <w:t>Value and strengthen the relationship with THC.</w:t>
            </w:r>
          </w:p>
          <w:p w14:paraId="1CB3F21D" w14:textId="77777777" w:rsidR="000C2040" w:rsidRPr="001E6023" w:rsidRDefault="000C2040" w:rsidP="000C2040">
            <w:pPr>
              <w:pStyle w:val="ListParagraph"/>
              <w:numPr>
                <w:ilvl w:val="0"/>
                <w:numId w:val="16"/>
              </w:numPr>
              <w:spacing w:after="0" w:line="240" w:lineRule="auto"/>
              <w:jc w:val="both"/>
              <w:rPr>
                <w:rFonts w:ascii="Arial" w:hAnsi="Arial" w:cs="Arial"/>
                <w:b/>
                <w:bCs/>
                <w:sz w:val="24"/>
                <w:szCs w:val="24"/>
              </w:rPr>
            </w:pPr>
            <w:r w:rsidRPr="001E6023">
              <w:rPr>
                <w:rFonts w:ascii="Arial" w:hAnsi="Arial" w:cs="Arial"/>
                <w:b/>
                <w:bCs/>
                <w:sz w:val="24"/>
                <w:szCs w:val="24"/>
              </w:rPr>
              <w:t>Develop and deliver the HLH Corporate Programme and seek to attract capital investment.</w:t>
            </w:r>
          </w:p>
          <w:p w14:paraId="3E5BF9D6" w14:textId="77777777" w:rsidR="000C2040" w:rsidRPr="001E6023" w:rsidRDefault="000C2040" w:rsidP="000C2040">
            <w:pPr>
              <w:pStyle w:val="ListParagraph"/>
              <w:numPr>
                <w:ilvl w:val="0"/>
                <w:numId w:val="16"/>
              </w:numPr>
              <w:tabs>
                <w:tab w:val="left" w:pos="0"/>
              </w:tabs>
              <w:spacing w:after="0" w:line="240" w:lineRule="auto"/>
              <w:jc w:val="both"/>
              <w:rPr>
                <w:rFonts w:ascii="Arial" w:hAnsi="Arial" w:cs="Arial"/>
                <w:b/>
                <w:bCs/>
                <w:sz w:val="24"/>
                <w:szCs w:val="24"/>
              </w:rPr>
            </w:pPr>
            <w:r w:rsidRPr="001E6023">
              <w:rPr>
                <w:rFonts w:ascii="Arial" w:hAnsi="Arial" w:cs="Arial"/>
                <w:b/>
                <w:bCs/>
                <w:sz w:val="24"/>
                <w:szCs w:val="24"/>
              </w:rPr>
              <w:t>Use research and market analysis to develop and deliver proactive marketing and promotion of HLH and its services.</w:t>
            </w:r>
          </w:p>
          <w:p w14:paraId="698C532B" w14:textId="77777777" w:rsidR="000C2040" w:rsidRPr="001E6023" w:rsidRDefault="000C2040" w:rsidP="000C2040">
            <w:pPr>
              <w:pStyle w:val="ListParagraph"/>
              <w:numPr>
                <w:ilvl w:val="0"/>
                <w:numId w:val="16"/>
              </w:numPr>
              <w:spacing w:after="0" w:line="240" w:lineRule="auto"/>
              <w:jc w:val="both"/>
              <w:rPr>
                <w:rFonts w:ascii="Arial" w:hAnsi="Arial" w:cs="Arial"/>
                <w:sz w:val="24"/>
                <w:szCs w:val="24"/>
              </w:rPr>
            </w:pPr>
            <w:r w:rsidRPr="001E6023">
              <w:rPr>
                <w:rFonts w:ascii="Arial" w:hAnsi="Arial" w:cs="Arial"/>
                <w:sz w:val="24"/>
                <w:szCs w:val="24"/>
              </w:rPr>
              <w:t>Initiate and implement an ICT digital transformation strategy across the charity.</w:t>
            </w:r>
          </w:p>
          <w:p w14:paraId="475F7CF3" w14:textId="77777777" w:rsidR="000C2040" w:rsidRPr="001E6023" w:rsidRDefault="000C2040" w:rsidP="000C2040">
            <w:pPr>
              <w:pStyle w:val="ListParagraph"/>
              <w:numPr>
                <w:ilvl w:val="0"/>
                <w:numId w:val="16"/>
              </w:numPr>
              <w:spacing w:after="0" w:line="240" w:lineRule="auto"/>
              <w:jc w:val="both"/>
              <w:rPr>
                <w:rFonts w:ascii="Arial" w:hAnsi="Arial" w:cs="Arial"/>
                <w:b/>
                <w:bCs/>
                <w:sz w:val="24"/>
                <w:szCs w:val="24"/>
              </w:rPr>
            </w:pPr>
            <w:r w:rsidRPr="001E6023">
              <w:rPr>
                <w:rFonts w:ascii="Arial" w:hAnsi="Arial" w:cs="Arial"/>
                <w:b/>
                <w:bCs/>
                <w:sz w:val="24"/>
                <w:szCs w:val="24"/>
              </w:rPr>
              <w:t>Develop and strengthen relationships with customers, key stakeholders and partners.</w:t>
            </w:r>
          </w:p>
          <w:p w14:paraId="3549586F" w14:textId="77777777" w:rsidR="000C2040" w:rsidRPr="001E6023" w:rsidRDefault="000C2040" w:rsidP="000C2040">
            <w:pPr>
              <w:pStyle w:val="ListParagraph"/>
              <w:numPr>
                <w:ilvl w:val="0"/>
                <w:numId w:val="16"/>
              </w:numPr>
              <w:spacing w:after="0" w:line="240" w:lineRule="auto"/>
              <w:jc w:val="both"/>
              <w:rPr>
                <w:rFonts w:ascii="Arial" w:hAnsi="Arial" w:cs="Arial"/>
                <w:b/>
                <w:bCs/>
                <w:sz w:val="24"/>
                <w:szCs w:val="24"/>
              </w:rPr>
            </w:pPr>
            <w:r w:rsidRPr="001E6023">
              <w:rPr>
                <w:rFonts w:ascii="Arial" w:hAnsi="Arial" w:cs="Arial"/>
                <w:b/>
                <w:bCs/>
                <w:sz w:val="24"/>
                <w:szCs w:val="24"/>
              </w:rPr>
              <w:t>Deliver targeted programmes which support and enhance the physical and mental health and wellbeing of the population and which contribute to the prevention agenda.</w:t>
            </w:r>
          </w:p>
          <w:p w14:paraId="05C4C17A" w14:textId="77777777" w:rsidR="002A11C0" w:rsidRDefault="002A11C0" w:rsidP="000C2040">
            <w:pPr>
              <w:jc w:val="both"/>
              <w:rPr>
                <w:rFonts w:ascii="Arial" w:hAnsi="Arial" w:cs="Arial"/>
                <w:b/>
                <w:szCs w:val="24"/>
              </w:rPr>
            </w:pPr>
          </w:p>
          <w:p w14:paraId="72C843CF" w14:textId="75241EF6" w:rsidR="001950D2" w:rsidRPr="001E6023" w:rsidRDefault="001950D2" w:rsidP="000C2040">
            <w:pPr>
              <w:jc w:val="both"/>
              <w:rPr>
                <w:rFonts w:ascii="Arial" w:hAnsi="Arial" w:cs="Arial"/>
                <w:b/>
                <w:szCs w:val="24"/>
              </w:rPr>
            </w:pPr>
          </w:p>
        </w:tc>
      </w:tr>
      <w:tr w:rsidR="0024270C" w:rsidRPr="001E6023" w14:paraId="77C56686"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D0EBD9C" w14:textId="3FBB06BF" w:rsidR="0024270C" w:rsidRPr="001E6023" w:rsidRDefault="0024270C" w:rsidP="00416BFF">
            <w:pPr>
              <w:rPr>
                <w:rFonts w:ascii="Arial" w:hAnsi="Arial" w:cs="Arial"/>
                <w:b/>
                <w:szCs w:val="24"/>
              </w:rPr>
            </w:pPr>
            <w:r w:rsidRPr="001E6023">
              <w:rPr>
                <w:rFonts w:ascii="Arial" w:hAnsi="Arial" w:cs="Arial"/>
                <w:b/>
                <w:szCs w:val="24"/>
              </w:rPr>
              <w:lastRenderedPageBreak/>
              <w:t>2.</w:t>
            </w:r>
          </w:p>
        </w:tc>
        <w:tc>
          <w:tcPr>
            <w:tcW w:w="8618" w:type="dxa"/>
          </w:tcPr>
          <w:p w14:paraId="55F22F70" w14:textId="77777777" w:rsidR="0024270C" w:rsidRDefault="00C4678C" w:rsidP="0004312D">
            <w:pPr>
              <w:autoSpaceDE w:val="0"/>
              <w:autoSpaceDN w:val="0"/>
              <w:adjustRightInd w:val="0"/>
              <w:jc w:val="both"/>
              <w:rPr>
                <w:rFonts w:ascii="Arial" w:hAnsi="Arial" w:cs="Arial"/>
                <w:b/>
                <w:szCs w:val="24"/>
              </w:rPr>
            </w:pPr>
            <w:r w:rsidRPr="001E6023">
              <w:rPr>
                <w:rFonts w:ascii="Arial" w:hAnsi="Arial" w:cs="Arial"/>
                <w:b/>
                <w:szCs w:val="24"/>
              </w:rPr>
              <w:t>Background</w:t>
            </w:r>
          </w:p>
          <w:p w14:paraId="098CC099" w14:textId="683F0D68" w:rsidR="001950D2" w:rsidRPr="001E6023" w:rsidRDefault="001950D2" w:rsidP="0004312D">
            <w:pPr>
              <w:autoSpaceDE w:val="0"/>
              <w:autoSpaceDN w:val="0"/>
              <w:adjustRightInd w:val="0"/>
              <w:jc w:val="both"/>
              <w:rPr>
                <w:rFonts w:ascii="Arial" w:hAnsi="Arial" w:cs="Arial"/>
                <w:b/>
                <w:szCs w:val="24"/>
              </w:rPr>
            </w:pPr>
          </w:p>
        </w:tc>
      </w:tr>
      <w:tr w:rsidR="0024270C" w:rsidRPr="001E6023" w14:paraId="1408EDBF"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42779AD" w14:textId="7061F223" w:rsidR="0024270C" w:rsidRPr="001E6023" w:rsidRDefault="0024270C" w:rsidP="00416BFF">
            <w:pPr>
              <w:rPr>
                <w:rFonts w:ascii="Arial" w:hAnsi="Arial" w:cs="Arial"/>
                <w:bCs/>
                <w:szCs w:val="24"/>
              </w:rPr>
            </w:pPr>
            <w:r w:rsidRPr="001E6023">
              <w:rPr>
                <w:rFonts w:ascii="Arial" w:hAnsi="Arial" w:cs="Arial"/>
                <w:bCs/>
                <w:szCs w:val="24"/>
              </w:rPr>
              <w:t>2.1</w:t>
            </w:r>
          </w:p>
        </w:tc>
        <w:tc>
          <w:tcPr>
            <w:tcW w:w="8618" w:type="dxa"/>
          </w:tcPr>
          <w:p w14:paraId="2EBA0DD4" w14:textId="31BD7969" w:rsidR="00834155" w:rsidRPr="001E6023" w:rsidRDefault="00834155" w:rsidP="009B7C03">
            <w:pPr>
              <w:autoSpaceDE w:val="0"/>
              <w:autoSpaceDN w:val="0"/>
              <w:adjustRightInd w:val="0"/>
              <w:jc w:val="both"/>
              <w:rPr>
                <w:rFonts w:ascii="Arial" w:hAnsi="Arial" w:cs="Arial"/>
                <w:bCs/>
                <w:color w:val="000000" w:themeColor="text1"/>
                <w:szCs w:val="24"/>
              </w:rPr>
            </w:pPr>
            <w:r w:rsidRPr="001E6023">
              <w:rPr>
                <w:rFonts w:ascii="Arial" w:hAnsi="Arial" w:cs="Arial"/>
                <w:bCs/>
                <w:szCs w:val="24"/>
              </w:rPr>
              <w:t>On 26 January</w:t>
            </w:r>
            <w:r w:rsidR="001950D2">
              <w:rPr>
                <w:rFonts w:ascii="Arial" w:hAnsi="Arial" w:cs="Arial"/>
                <w:bCs/>
                <w:szCs w:val="24"/>
              </w:rPr>
              <w:t xml:space="preserve"> 2022</w:t>
            </w:r>
            <w:r w:rsidRPr="001E6023">
              <w:rPr>
                <w:rFonts w:ascii="Arial" w:hAnsi="Arial" w:cs="Arial"/>
                <w:bCs/>
                <w:szCs w:val="24"/>
              </w:rPr>
              <w:t xml:space="preserve"> a report was presented to The Highland Council’s </w:t>
            </w:r>
            <w:r w:rsidR="001301BE">
              <w:rPr>
                <w:rFonts w:ascii="Arial" w:hAnsi="Arial" w:cs="Arial"/>
                <w:bCs/>
                <w:szCs w:val="24"/>
              </w:rPr>
              <w:t xml:space="preserve">Corporate </w:t>
            </w:r>
            <w:r w:rsidRPr="001E6023">
              <w:rPr>
                <w:rFonts w:ascii="Arial" w:hAnsi="Arial" w:cs="Arial"/>
                <w:bCs/>
                <w:szCs w:val="24"/>
              </w:rPr>
              <w:t xml:space="preserve">Resources Committee </w:t>
            </w:r>
            <w:r w:rsidR="00CE684A" w:rsidRPr="001E6023">
              <w:rPr>
                <w:rFonts w:ascii="Arial" w:hAnsi="Arial" w:cs="Arial"/>
                <w:bCs/>
                <w:szCs w:val="24"/>
              </w:rPr>
              <w:t xml:space="preserve">by the Executive Chief Officer of Performance and Governance.  </w:t>
            </w:r>
            <w:r w:rsidR="00CE684A" w:rsidRPr="001E6023">
              <w:rPr>
                <w:rFonts w:ascii="Arial" w:hAnsi="Arial" w:cs="Arial"/>
                <w:bCs/>
                <w:color w:val="000000" w:themeColor="text1"/>
                <w:szCs w:val="24"/>
              </w:rPr>
              <w:t>The purpose of this report was to provide Members with an update on the progress of the Inverness Castle Project, summarising the tender negotiations of the main construction contract, outlining the project’s current funding position</w:t>
            </w:r>
            <w:r w:rsidR="00033EB1">
              <w:rPr>
                <w:rFonts w:ascii="Arial" w:hAnsi="Arial" w:cs="Arial"/>
                <w:bCs/>
                <w:color w:val="000000" w:themeColor="text1"/>
                <w:szCs w:val="24"/>
              </w:rPr>
              <w:t xml:space="preserve">, </w:t>
            </w:r>
            <w:r w:rsidR="00CE684A" w:rsidRPr="001E6023">
              <w:rPr>
                <w:rFonts w:ascii="Arial" w:hAnsi="Arial" w:cs="Arial"/>
                <w:bCs/>
                <w:color w:val="000000" w:themeColor="text1"/>
                <w:szCs w:val="24"/>
              </w:rPr>
              <w:t>seeking approval to proceed with the award of the main construction contract</w:t>
            </w:r>
            <w:r w:rsidR="00996886" w:rsidRPr="001E6023">
              <w:rPr>
                <w:rFonts w:ascii="Arial" w:hAnsi="Arial" w:cs="Arial"/>
                <w:bCs/>
                <w:color w:val="000000" w:themeColor="text1"/>
                <w:szCs w:val="24"/>
              </w:rPr>
              <w:t xml:space="preserve"> and setting out proposals for the operating model of the new visitor attraction.</w:t>
            </w:r>
          </w:p>
          <w:p w14:paraId="6973A189" w14:textId="75A0A3D5" w:rsidR="0006222A" w:rsidRPr="001E6023" w:rsidRDefault="0006222A" w:rsidP="009B7C03">
            <w:pPr>
              <w:autoSpaceDE w:val="0"/>
              <w:autoSpaceDN w:val="0"/>
              <w:adjustRightInd w:val="0"/>
              <w:jc w:val="both"/>
              <w:rPr>
                <w:rFonts w:ascii="Arial" w:hAnsi="Arial" w:cs="Arial"/>
                <w:bCs/>
                <w:szCs w:val="24"/>
              </w:rPr>
            </w:pPr>
          </w:p>
        </w:tc>
      </w:tr>
      <w:tr w:rsidR="0024270C" w:rsidRPr="001E6023" w14:paraId="0BE01C4A"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C0B0E9A" w14:textId="268D0A04" w:rsidR="0024270C" w:rsidRPr="001E6023" w:rsidRDefault="0024270C" w:rsidP="00416BFF">
            <w:pPr>
              <w:rPr>
                <w:rFonts w:ascii="Arial" w:hAnsi="Arial" w:cs="Arial"/>
                <w:bCs/>
                <w:szCs w:val="24"/>
              </w:rPr>
            </w:pPr>
            <w:r w:rsidRPr="001E6023">
              <w:rPr>
                <w:rFonts w:ascii="Arial" w:hAnsi="Arial" w:cs="Arial"/>
                <w:bCs/>
                <w:szCs w:val="24"/>
              </w:rPr>
              <w:t>2.2</w:t>
            </w:r>
          </w:p>
        </w:tc>
        <w:tc>
          <w:tcPr>
            <w:tcW w:w="8618" w:type="dxa"/>
          </w:tcPr>
          <w:p w14:paraId="5F454908" w14:textId="26BD877A" w:rsidR="000C2040" w:rsidRPr="001E6023" w:rsidRDefault="008A1C28" w:rsidP="0004312D">
            <w:pPr>
              <w:autoSpaceDE w:val="0"/>
              <w:autoSpaceDN w:val="0"/>
              <w:adjustRightInd w:val="0"/>
              <w:jc w:val="both"/>
              <w:rPr>
                <w:rFonts w:ascii="Arial" w:hAnsi="Arial" w:cs="Arial"/>
                <w:bCs/>
                <w:szCs w:val="24"/>
              </w:rPr>
            </w:pPr>
            <w:r w:rsidRPr="001E6023">
              <w:rPr>
                <w:rFonts w:ascii="Arial" w:hAnsi="Arial" w:cs="Arial"/>
                <w:bCs/>
                <w:szCs w:val="24"/>
              </w:rPr>
              <w:t xml:space="preserve">The following </w:t>
            </w:r>
            <w:r w:rsidR="00F63D6F" w:rsidRPr="001E6023">
              <w:rPr>
                <w:rFonts w:ascii="Arial" w:hAnsi="Arial" w:cs="Arial"/>
                <w:bCs/>
                <w:szCs w:val="24"/>
              </w:rPr>
              <w:t xml:space="preserve">three </w:t>
            </w:r>
            <w:r w:rsidRPr="001E6023">
              <w:rPr>
                <w:rFonts w:ascii="Arial" w:hAnsi="Arial" w:cs="Arial"/>
                <w:bCs/>
                <w:szCs w:val="24"/>
              </w:rPr>
              <w:t xml:space="preserve">recommendations </w:t>
            </w:r>
            <w:r w:rsidR="00F63D6F" w:rsidRPr="001E6023">
              <w:rPr>
                <w:rFonts w:ascii="Arial" w:hAnsi="Arial" w:cs="Arial"/>
                <w:bCs/>
                <w:szCs w:val="24"/>
              </w:rPr>
              <w:t>in relation to High Life Highland w</w:t>
            </w:r>
            <w:r w:rsidRPr="001E6023">
              <w:rPr>
                <w:rFonts w:ascii="Arial" w:hAnsi="Arial" w:cs="Arial"/>
                <w:bCs/>
                <w:szCs w:val="24"/>
              </w:rPr>
              <w:t>ere presented</w:t>
            </w:r>
            <w:r w:rsidR="00D62050" w:rsidRPr="001E6023">
              <w:rPr>
                <w:rFonts w:ascii="Arial" w:hAnsi="Arial" w:cs="Arial"/>
                <w:bCs/>
                <w:szCs w:val="24"/>
              </w:rPr>
              <w:t xml:space="preserve"> and approved</w:t>
            </w:r>
            <w:r w:rsidR="00E27903" w:rsidRPr="001E6023">
              <w:rPr>
                <w:rFonts w:ascii="Arial" w:hAnsi="Arial" w:cs="Arial"/>
                <w:bCs/>
                <w:szCs w:val="24"/>
              </w:rPr>
              <w:t xml:space="preserve"> during the meeting</w:t>
            </w:r>
            <w:r w:rsidR="00D62050" w:rsidRPr="001E6023">
              <w:rPr>
                <w:rFonts w:ascii="Arial" w:hAnsi="Arial" w:cs="Arial"/>
                <w:bCs/>
                <w:szCs w:val="24"/>
              </w:rPr>
              <w:t>.</w:t>
            </w:r>
          </w:p>
          <w:p w14:paraId="7281E519" w14:textId="77777777" w:rsidR="00D62050" w:rsidRPr="001E6023" w:rsidRDefault="00D62050" w:rsidP="0004312D">
            <w:pPr>
              <w:autoSpaceDE w:val="0"/>
              <w:autoSpaceDN w:val="0"/>
              <w:adjustRightInd w:val="0"/>
              <w:jc w:val="both"/>
              <w:rPr>
                <w:rFonts w:ascii="Arial" w:hAnsi="Arial" w:cs="Arial"/>
                <w:bCs/>
                <w:szCs w:val="24"/>
              </w:rPr>
            </w:pPr>
          </w:p>
          <w:p w14:paraId="49E8C102" w14:textId="1E6F7E6A" w:rsidR="00551FBC" w:rsidRPr="001E6023" w:rsidRDefault="00CF0E84" w:rsidP="001950D2">
            <w:pPr>
              <w:pStyle w:val="NoSpacing"/>
              <w:numPr>
                <w:ilvl w:val="0"/>
                <w:numId w:val="25"/>
              </w:numPr>
              <w:jc w:val="both"/>
              <w:rPr>
                <w:rFonts w:ascii="Arial" w:hAnsi="Arial" w:cs="Arial"/>
                <w:color w:val="000000" w:themeColor="text1"/>
                <w:sz w:val="24"/>
                <w:szCs w:val="24"/>
                <w:lang w:eastAsia="en-GB"/>
              </w:rPr>
            </w:pPr>
            <w:r w:rsidRPr="001E6023">
              <w:rPr>
                <w:rFonts w:ascii="Arial" w:hAnsi="Arial" w:cs="Arial"/>
                <w:color w:val="000000" w:themeColor="text1"/>
                <w:sz w:val="24"/>
                <w:szCs w:val="24"/>
                <w:lang w:eastAsia="en-GB"/>
              </w:rPr>
              <w:t>‘</w:t>
            </w:r>
            <w:r w:rsidR="00551FBC" w:rsidRPr="001E6023">
              <w:rPr>
                <w:rFonts w:ascii="Arial" w:hAnsi="Arial" w:cs="Arial"/>
                <w:color w:val="000000" w:themeColor="text1"/>
                <w:sz w:val="24"/>
                <w:szCs w:val="24"/>
                <w:lang w:eastAsia="en-GB"/>
              </w:rPr>
              <w:t>Agree that High Life Highland will be the Managing Agent of the new visitor attraction on behalf of The Highland Council</w:t>
            </w:r>
            <w:r w:rsidRPr="001E6023">
              <w:rPr>
                <w:rFonts w:ascii="Arial" w:hAnsi="Arial" w:cs="Arial"/>
                <w:color w:val="000000" w:themeColor="text1"/>
                <w:sz w:val="24"/>
                <w:szCs w:val="24"/>
                <w:lang w:eastAsia="en-GB"/>
              </w:rPr>
              <w:t>’</w:t>
            </w:r>
            <w:r w:rsidR="00551FBC" w:rsidRPr="001E6023">
              <w:rPr>
                <w:rFonts w:ascii="Arial" w:hAnsi="Arial" w:cs="Arial"/>
                <w:color w:val="000000" w:themeColor="text1"/>
                <w:sz w:val="24"/>
                <w:szCs w:val="24"/>
                <w:lang w:eastAsia="en-GB"/>
              </w:rPr>
              <w:t>;</w:t>
            </w:r>
          </w:p>
          <w:p w14:paraId="6912D130" w14:textId="77777777" w:rsidR="00F153E5" w:rsidRPr="001E6023" w:rsidRDefault="00F153E5" w:rsidP="001950D2">
            <w:pPr>
              <w:pStyle w:val="NoSpacing"/>
              <w:ind w:left="600"/>
              <w:jc w:val="both"/>
              <w:rPr>
                <w:rFonts w:ascii="Arial" w:hAnsi="Arial" w:cs="Arial"/>
                <w:color w:val="000000" w:themeColor="text1"/>
                <w:sz w:val="24"/>
                <w:szCs w:val="24"/>
                <w:lang w:eastAsia="en-GB"/>
              </w:rPr>
            </w:pPr>
          </w:p>
          <w:p w14:paraId="6FED3991" w14:textId="1B18C197" w:rsidR="00F153E5" w:rsidRPr="001E6023" w:rsidRDefault="00CF0E84" w:rsidP="001950D2">
            <w:pPr>
              <w:pStyle w:val="NoSpacing"/>
              <w:numPr>
                <w:ilvl w:val="0"/>
                <w:numId w:val="25"/>
              </w:numPr>
              <w:jc w:val="both"/>
              <w:rPr>
                <w:rFonts w:ascii="Arial" w:hAnsi="Arial" w:cs="Arial"/>
                <w:color w:val="000000" w:themeColor="text1"/>
                <w:sz w:val="24"/>
                <w:szCs w:val="24"/>
                <w:lang w:eastAsia="en-GB"/>
              </w:rPr>
            </w:pPr>
            <w:r w:rsidRPr="001E6023">
              <w:rPr>
                <w:rFonts w:ascii="Arial" w:hAnsi="Arial" w:cs="Arial"/>
                <w:color w:val="000000" w:themeColor="text1"/>
                <w:sz w:val="24"/>
                <w:szCs w:val="24"/>
                <w:lang w:eastAsia="en-GB"/>
              </w:rPr>
              <w:t>‘</w:t>
            </w:r>
            <w:r w:rsidR="00551FBC" w:rsidRPr="001E6023">
              <w:rPr>
                <w:rFonts w:ascii="Arial" w:hAnsi="Arial" w:cs="Arial"/>
                <w:color w:val="000000" w:themeColor="text1"/>
                <w:sz w:val="24"/>
                <w:szCs w:val="24"/>
                <w:lang w:eastAsia="en-GB"/>
              </w:rPr>
              <w:t>Agree that a stand-alone Service Level Agreement be devised between The Highland Council and High Life Highland and that the financial model operates on the basis of an equal profit sharing split, once all operating costs and loan repayment charges are met</w:t>
            </w:r>
            <w:r w:rsidRPr="001E6023">
              <w:rPr>
                <w:rFonts w:ascii="Arial" w:hAnsi="Arial" w:cs="Arial"/>
                <w:color w:val="000000" w:themeColor="text1"/>
                <w:sz w:val="24"/>
                <w:szCs w:val="24"/>
                <w:lang w:eastAsia="en-GB"/>
              </w:rPr>
              <w:t>’</w:t>
            </w:r>
            <w:r w:rsidR="00551FBC" w:rsidRPr="001E6023">
              <w:rPr>
                <w:rFonts w:ascii="Arial" w:hAnsi="Arial" w:cs="Arial"/>
                <w:color w:val="000000" w:themeColor="text1"/>
                <w:sz w:val="24"/>
                <w:szCs w:val="24"/>
                <w:lang w:eastAsia="en-GB"/>
              </w:rPr>
              <w:t>; and</w:t>
            </w:r>
          </w:p>
          <w:p w14:paraId="1350AB6D" w14:textId="77777777" w:rsidR="00F153E5" w:rsidRPr="001E6023" w:rsidRDefault="00F153E5" w:rsidP="001950D2">
            <w:pPr>
              <w:pStyle w:val="NoSpacing"/>
              <w:jc w:val="both"/>
              <w:rPr>
                <w:rFonts w:ascii="Arial" w:hAnsi="Arial" w:cs="Arial"/>
                <w:color w:val="000000" w:themeColor="text1"/>
                <w:sz w:val="24"/>
                <w:szCs w:val="24"/>
                <w:lang w:eastAsia="en-GB"/>
              </w:rPr>
            </w:pPr>
          </w:p>
          <w:p w14:paraId="74C061B4" w14:textId="6C747404" w:rsidR="00150287" w:rsidRPr="00353EE7" w:rsidRDefault="00CF0E84" w:rsidP="001950D2">
            <w:pPr>
              <w:pStyle w:val="NoSpacing"/>
              <w:numPr>
                <w:ilvl w:val="0"/>
                <w:numId w:val="25"/>
              </w:numPr>
              <w:jc w:val="both"/>
              <w:rPr>
                <w:rFonts w:ascii="Arial" w:eastAsia="Times New Roman" w:hAnsi="Arial" w:cs="Arial"/>
                <w:sz w:val="24"/>
                <w:szCs w:val="24"/>
                <w:lang w:eastAsia="en-GB"/>
              </w:rPr>
            </w:pPr>
            <w:r w:rsidRPr="00353EE7">
              <w:rPr>
                <w:rFonts w:ascii="Arial" w:hAnsi="Arial" w:cs="Arial"/>
                <w:bCs/>
                <w:color w:val="000000"/>
                <w:sz w:val="24"/>
                <w:szCs w:val="24"/>
                <w:lang w:eastAsia="en-GB"/>
              </w:rPr>
              <w:t>‘</w:t>
            </w:r>
            <w:r w:rsidR="00551FBC" w:rsidRPr="00353EE7">
              <w:rPr>
                <w:rFonts w:ascii="Arial" w:hAnsi="Arial" w:cs="Arial"/>
                <w:bCs/>
                <w:color w:val="000000"/>
                <w:sz w:val="24"/>
                <w:szCs w:val="24"/>
                <w:lang w:eastAsia="en-GB"/>
              </w:rPr>
              <w:t>To ensure that the funding support from the Inverness and Highland City Region Deal is used to the benefit of the wider Highlands and not just Inverness</w:t>
            </w:r>
            <w:r w:rsidR="00551FBC" w:rsidRPr="00353EE7">
              <w:rPr>
                <w:rFonts w:ascii="Arial" w:hAnsi="Arial" w:cs="Arial"/>
                <w:color w:val="000000"/>
                <w:sz w:val="24"/>
                <w:szCs w:val="24"/>
                <w:lang w:eastAsia="en-GB"/>
              </w:rPr>
              <w:t xml:space="preserve">, agree that </w:t>
            </w:r>
            <w:r w:rsidR="00551FBC" w:rsidRPr="00353EE7">
              <w:rPr>
                <w:rFonts w:ascii="Arial" w:hAnsi="Arial" w:cs="Arial"/>
                <w:bCs/>
                <w:color w:val="000000"/>
                <w:sz w:val="24"/>
                <w:szCs w:val="24"/>
                <w:lang w:eastAsia="en-GB"/>
              </w:rPr>
              <w:t xml:space="preserve">the 50% profit retained by High Life Highland be restricted to supporting </w:t>
            </w:r>
            <w:r w:rsidR="00551FBC" w:rsidRPr="00353EE7">
              <w:rPr>
                <w:rFonts w:ascii="Arial" w:hAnsi="Arial" w:cs="Arial"/>
                <w:color w:val="000000"/>
                <w:sz w:val="24"/>
                <w:szCs w:val="24"/>
                <w:lang w:eastAsia="en-GB"/>
              </w:rPr>
              <w:t xml:space="preserve">the development of leisure, cultural and tourism </w:t>
            </w:r>
            <w:r w:rsidR="007E5D23" w:rsidRPr="00353EE7">
              <w:rPr>
                <w:rFonts w:ascii="Arial" w:hAnsi="Arial" w:cs="Arial"/>
                <w:color w:val="000000"/>
                <w:sz w:val="24"/>
                <w:szCs w:val="24"/>
                <w:lang w:eastAsia="en-GB"/>
              </w:rPr>
              <w:t xml:space="preserve">facilities and services </w:t>
            </w:r>
            <w:r w:rsidR="00551FBC" w:rsidRPr="00353EE7">
              <w:rPr>
                <w:rFonts w:ascii="Arial" w:hAnsi="Arial" w:cs="Arial"/>
                <w:color w:val="000000"/>
                <w:sz w:val="24"/>
                <w:szCs w:val="24"/>
                <w:lang w:eastAsia="en-GB"/>
              </w:rPr>
              <w:t>throughout the Highlands (outside the Inverness City centre boundary) on behalf of The Highland Council.</w:t>
            </w:r>
            <w:r w:rsidR="001950D2">
              <w:rPr>
                <w:rFonts w:ascii="Arial" w:hAnsi="Arial" w:cs="Arial"/>
                <w:color w:val="000000"/>
                <w:sz w:val="24"/>
                <w:szCs w:val="24"/>
                <w:lang w:eastAsia="en-GB"/>
              </w:rPr>
              <w:t>’</w:t>
            </w:r>
          </w:p>
          <w:p w14:paraId="0F3C0031" w14:textId="000FA036" w:rsidR="00D62050" w:rsidRPr="001E6023" w:rsidRDefault="00D62050" w:rsidP="0004312D">
            <w:pPr>
              <w:autoSpaceDE w:val="0"/>
              <w:autoSpaceDN w:val="0"/>
              <w:adjustRightInd w:val="0"/>
              <w:jc w:val="both"/>
              <w:rPr>
                <w:rFonts w:ascii="Arial" w:hAnsi="Arial" w:cs="Arial"/>
                <w:bCs/>
                <w:szCs w:val="24"/>
              </w:rPr>
            </w:pPr>
          </w:p>
        </w:tc>
      </w:tr>
      <w:tr w:rsidR="00B176A2" w:rsidRPr="001E6023" w14:paraId="71A2CFEB"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1F4B7BCB" w14:textId="4F678251" w:rsidR="00B176A2" w:rsidRPr="001E6023" w:rsidRDefault="0024270C" w:rsidP="00416BFF">
            <w:pPr>
              <w:rPr>
                <w:rFonts w:ascii="Arial" w:hAnsi="Arial" w:cs="Arial"/>
                <w:b/>
                <w:szCs w:val="24"/>
              </w:rPr>
            </w:pPr>
            <w:r w:rsidRPr="001E6023">
              <w:rPr>
                <w:rFonts w:ascii="Arial" w:hAnsi="Arial" w:cs="Arial"/>
                <w:b/>
                <w:szCs w:val="24"/>
              </w:rPr>
              <w:t>3</w:t>
            </w:r>
            <w:r w:rsidR="00B176A2" w:rsidRPr="001E6023">
              <w:rPr>
                <w:rFonts w:ascii="Arial" w:hAnsi="Arial" w:cs="Arial"/>
                <w:b/>
                <w:szCs w:val="24"/>
              </w:rPr>
              <w:t>.</w:t>
            </w:r>
          </w:p>
        </w:tc>
        <w:tc>
          <w:tcPr>
            <w:tcW w:w="8618" w:type="dxa"/>
          </w:tcPr>
          <w:p w14:paraId="1BD501EC" w14:textId="77777777" w:rsidR="00B176A2" w:rsidRDefault="00EA1C60" w:rsidP="00C4678C">
            <w:pPr>
              <w:autoSpaceDE w:val="0"/>
              <w:autoSpaceDN w:val="0"/>
              <w:adjustRightInd w:val="0"/>
              <w:jc w:val="both"/>
              <w:rPr>
                <w:rFonts w:ascii="Arial" w:hAnsi="Arial" w:cs="Arial"/>
                <w:b/>
                <w:szCs w:val="24"/>
              </w:rPr>
            </w:pPr>
            <w:r w:rsidRPr="001E6023">
              <w:rPr>
                <w:rFonts w:ascii="Arial" w:hAnsi="Arial" w:cs="Arial"/>
                <w:b/>
                <w:szCs w:val="24"/>
              </w:rPr>
              <w:t>Managing Agent</w:t>
            </w:r>
          </w:p>
          <w:p w14:paraId="2DD8CFA6" w14:textId="4A939C03" w:rsidR="001950D2" w:rsidRPr="001E6023" w:rsidRDefault="001950D2" w:rsidP="00C4678C">
            <w:pPr>
              <w:autoSpaceDE w:val="0"/>
              <w:autoSpaceDN w:val="0"/>
              <w:adjustRightInd w:val="0"/>
              <w:jc w:val="both"/>
              <w:rPr>
                <w:rFonts w:ascii="Arial" w:hAnsi="Arial" w:cs="Arial"/>
                <w:b/>
                <w:szCs w:val="24"/>
              </w:rPr>
            </w:pPr>
          </w:p>
        </w:tc>
      </w:tr>
      <w:tr w:rsidR="0003223B" w:rsidRPr="001E6023" w14:paraId="699378FA" w14:textId="77777777" w:rsidTr="00073C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2"/>
        </w:trPr>
        <w:tc>
          <w:tcPr>
            <w:tcW w:w="851" w:type="dxa"/>
          </w:tcPr>
          <w:p w14:paraId="7705B6EC" w14:textId="3146A511" w:rsidR="00465D71" w:rsidRPr="001E6023" w:rsidRDefault="0024270C" w:rsidP="00416BFF">
            <w:pPr>
              <w:rPr>
                <w:rFonts w:ascii="Arial" w:hAnsi="Arial" w:cs="Arial"/>
                <w:bCs/>
                <w:szCs w:val="24"/>
              </w:rPr>
            </w:pPr>
            <w:r w:rsidRPr="001E6023">
              <w:rPr>
                <w:rFonts w:ascii="Arial" w:hAnsi="Arial" w:cs="Arial"/>
                <w:bCs/>
                <w:szCs w:val="24"/>
              </w:rPr>
              <w:t>3.1</w:t>
            </w:r>
          </w:p>
          <w:p w14:paraId="3F9CC481" w14:textId="7C2B6ADE" w:rsidR="000C2040" w:rsidRPr="001E6023" w:rsidRDefault="000C2040" w:rsidP="00416BFF">
            <w:pPr>
              <w:rPr>
                <w:rFonts w:ascii="Arial" w:hAnsi="Arial" w:cs="Arial"/>
                <w:bCs/>
                <w:szCs w:val="24"/>
              </w:rPr>
            </w:pPr>
          </w:p>
          <w:p w14:paraId="6B876FB3" w14:textId="77777777" w:rsidR="00274D3B" w:rsidRPr="001E6023" w:rsidRDefault="00274D3B" w:rsidP="00416BFF">
            <w:pPr>
              <w:rPr>
                <w:rFonts w:ascii="Arial" w:hAnsi="Arial" w:cs="Arial"/>
                <w:bCs/>
                <w:szCs w:val="24"/>
              </w:rPr>
            </w:pPr>
          </w:p>
          <w:p w14:paraId="1D08D888" w14:textId="77777777" w:rsidR="00274D3B" w:rsidRPr="001E6023" w:rsidRDefault="00274D3B" w:rsidP="00416BFF">
            <w:pPr>
              <w:rPr>
                <w:rFonts w:ascii="Arial" w:hAnsi="Arial" w:cs="Arial"/>
                <w:bCs/>
                <w:szCs w:val="24"/>
              </w:rPr>
            </w:pPr>
          </w:p>
          <w:p w14:paraId="5B8EA085" w14:textId="77777777" w:rsidR="00274D3B" w:rsidRPr="001E6023" w:rsidRDefault="00274D3B" w:rsidP="00416BFF">
            <w:pPr>
              <w:rPr>
                <w:rFonts w:ascii="Arial" w:hAnsi="Arial" w:cs="Arial"/>
                <w:bCs/>
                <w:szCs w:val="24"/>
              </w:rPr>
            </w:pPr>
          </w:p>
          <w:p w14:paraId="28AFB6F8" w14:textId="77679366" w:rsidR="000C2040" w:rsidRPr="001E6023" w:rsidRDefault="000C2040" w:rsidP="00416BFF">
            <w:pPr>
              <w:rPr>
                <w:rFonts w:ascii="Arial" w:hAnsi="Arial" w:cs="Arial"/>
                <w:bCs/>
                <w:szCs w:val="24"/>
              </w:rPr>
            </w:pPr>
            <w:r w:rsidRPr="001E6023">
              <w:rPr>
                <w:rFonts w:ascii="Arial" w:hAnsi="Arial" w:cs="Arial"/>
                <w:bCs/>
                <w:szCs w:val="24"/>
              </w:rPr>
              <w:t>3.2</w:t>
            </w:r>
          </w:p>
          <w:p w14:paraId="2A6B671C" w14:textId="77777777" w:rsidR="0034526A" w:rsidRPr="001E6023" w:rsidRDefault="0034526A" w:rsidP="00416BFF">
            <w:pPr>
              <w:rPr>
                <w:rFonts w:ascii="Arial" w:hAnsi="Arial" w:cs="Arial"/>
                <w:bCs/>
                <w:szCs w:val="24"/>
              </w:rPr>
            </w:pPr>
          </w:p>
          <w:p w14:paraId="6893D4B6" w14:textId="77777777" w:rsidR="00211CA2" w:rsidRPr="001E6023" w:rsidRDefault="00211CA2" w:rsidP="00416BFF">
            <w:pPr>
              <w:rPr>
                <w:rFonts w:ascii="Arial" w:hAnsi="Arial" w:cs="Arial"/>
                <w:bCs/>
                <w:szCs w:val="24"/>
              </w:rPr>
            </w:pPr>
          </w:p>
          <w:p w14:paraId="5B3325CF" w14:textId="77777777" w:rsidR="00211CA2" w:rsidRPr="001E6023" w:rsidRDefault="00211CA2" w:rsidP="00416BFF">
            <w:pPr>
              <w:rPr>
                <w:rFonts w:ascii="Arial" w:hAnsi="Arial" w:cs="Arial"/>
                <w:bCs/>
                <w:szCs w:val="24"/>
              </w:rPr>
            </w:pPr>
          </w:p>
          <w:p w14:paraId="7876FFEF" w14:textId="77777777" w:rsidR="00211CA2" w:rsidRPr="001E6023" w:rsidRDefault="00211CA2" w:rsidP="00416BFF">
            <w:pPr>
              <w:rPr>
                <w:rFonts w:ascii="Arial" w:hAnsi="Arial" w:cs="Arial"/>
                <w:bCs/>
                <w:szCs w:val="24"/>
              </w:rPr>
            </w:pPr>
          </w:p>
          <w:p w14:paraId="6D13702F" w14:textId="77777777" w:rsidR="00211CA2" w:rsidRPr="001E6023" w:rsidRDefault="00211CA2" w:rsidP="00416BFF">
            <w:pPr>
              <w:rPr>
                <w:rFonts w:ascii="Arial" w:hAnsi="Arial" w:cs="Arial"/>
                <w:bCs/>
                <w:szCs w:val="24"/>
              </w:rPr>
            </w:pPr>
          </w:p>
          <w:p w14:paraId="54BC3100" w14:textId="77777777" w:rsidR="008D13D9" w:rsidRDefault="008D13D9" w:rsidP="00416BFF">
            <w:pPr>
              <w:rPr>
                <w:rFonts w:ascii="Arial" w:hAnsi="Arial" w:cs="Arial"/>
                <w:bCs/>
                <w:szCs w:val="24"/>
              </w:rPr>
            </w:pPr>
          </w:p>
          <w:p w14:paraId="4B7070E6" w14:textId="541C1771" w:rsidR="00211CA2" w:rsidRPr="001E6023" w:rsidRDefault="00211CA2" w:rsidP="00416BFF">
            <w:pPr>
              <w:rPr>
                <w:rFonts w:ascii="Arial" w:hAnsi="Arial" w:cs="Arial"/>
                <w:bCs/>
                <w:szCs w:val="24"/>
              </w:rPr>
            </w:pPr>
            <w:r w:rsidRPr="001E6023">
              <w:rPr>
                <w:rFonts w:ascii="Arial" w:hAnsi="Arial" w:cs="Arial"/>
                <w:bCs/>
                <w:szCs w:val="24"/>
              </w:rPr>
              <w:t>3.3</w:t>
            </w:r>
          </w:p>
          <w:p w14:paraId="4F7E0F09" w14:textId="77777777" w:rsidR="008A1AC6" w:rsidRPr="001E6023" w:rsidRDefault="008A1AC6" w:rsidP="00416BFF">
            <w:pPr>
              <w:rPr>
                <w:rFonts w:ascii="Arial" w:hAnsi="Arial" w:cs="Arial"/>
                <w:bCs/>
                <w:szCs w:val="24"/>
              </w:rPr>
            </w:pPr>
          </w:p>
          <w:p w14:paraId="3728CE39" w14:textId="77777777" w:rsidR="008A1AC6" w:rsidRPr="001E6023" w:rsidRDefault="008A1AC6" w:rsidP="00416BFF">
            <w:pPr>
              <w:rPr>
                <w:rFonts w:ascii="Arial" w:hAnsi="Arial" w:cs="Arial"/>
                <w:bCs/>
                <w:szCs w:val="24"/>
              </w:rPr>
            </w:pPr>
          </w:p>
          <w:p w14:paraId="3FC21FD3" w14:textId="77777777" w:rsidR="008A1AC6" w:rsidRPr="001E6023" w:rsidRDefault="008A1AC6" w:rsidP="00416BFF">
            <w:pPr>
              <w:rPr>
                <w:rFonts w:ascii="Arial" w:hAnsi="Arial" w:cs="Arial"/>
                <w:bCs/>
                <w:szCs w:val="24"/>
              </w:rPr>
            </w:pPr>
          </w:p>
          <w:p w14:paraId="4E72FE5F" w14:textId="77777777" w:rsidR="008A1AC6" w:rsidRPr="001E6023" w:rsidRDefault="008A1AC6" w:rsidP="00416BFF">
            <w:pPr>
              <w:rPr>
                <w:rFonts w:ascii="Arial" w:hAnsi="Arial" w:cs="Arial"/>
                <w:bCs/>
                <w:szCs w:val="24"/>
              </w:rPr>
            </w:pPr>
            <w:r w:rsidRPr="001E6023">
              <w:rPr>
                <w:rFonts w:ascii="Arial" w:hAnsi="Arial" w:cs="Arial"/>
                <w:bCs/>
                <w:szCs w:val="24"/>
              </w:rPr>
              <w:t>3.4</w:t>
            </w:r>
          </w:p>
          <w:p w14:paraId="7B9CBC7D" w14:textId="77777777" w:rsidR="008A1AC6" w:rsidRPr="001E6023" w:rsidRDefault="008A1AC6" w:rsidP="00416BFF">
            <w:pPr>
              <w:rPr>
                <w:rFonts w:ascii="Arial" w:hAnsi="Arial" w:cs="Arial"/>
                <w:bCs/>
                <w:szCs w:val="24"/>
              </w:rPr>
            </w:pPr>
          </w:p>
          <w:p w14:paraId="3548B833" w14:textId="77777777" w:rsidR="008A1AC6" w:rsidRPr="001E6023" w:rsidRDefault="008A1AC6" w:rsidP="00416BFF">
            <w:pPr>
              <w:rPr>
                <w:rFonts w:ascii="Arial" w:hAnsi="Arial" w:cs="Arial"/>
                <w:bCs/>
                <w:szCs w:val="24"/>
              </w:rPr>
            </w:pPr>
          </w:p>
          <w:p w14:paraId="46E6EBB6" w14:textId="77777777" w:rsidR="008A1AC6" w:rsidRPr="001E6023" w:rsidRDefault="008A1AC6" w:rsidP="00416BFF">
            <w:pPr>
              <w:rPr>
                <w:rFonts w:ascii="Arial" w:hAnsi="Arial" w:cs="Arial"/>
                <w:bCs/>
                <w:szCs w:val="24"/>
              </w:rPr>
            </w:pPr>
          </w:p>
          <w:p w14:paraId="6BD59006" w14:textId="77777777" w:rsidR="008A1AC6" w:rsidRPr="001E6023" w:rsidRDefault="008A1AC6" w:rsidP="00416BFF">
            <w:pPr>
              <w:rPr>
                <w:rFonts w:ascii="Arial" w:hAnsi="Arial" w:cs="Arial"/>
                <w:bCs/>
                <w:szCs w:val="24"/>
              </w:rPr>
            </w:pPr>
          </w:p>
          <w:p w14:paraId="42955E97" w14:textId="77777777" w:rsidR="008A1AC6" w:rsidRPr="001E6023" w:rsidRDefault="008A1AC6" w:rsidP="00416BFF">
            <w:pPr>
              <w:rPr>
                <w:rFonts w:ascii="Arial" w:hAnsi="Arial" w:cs="Arial"/>
                <w:bCs/>
                <w:szCs w:val="24"/>
              </w:rPr>
            </w:pPr>
          </w:p>
          <w:p w14:paraId="6C380E4C" w14:textId="77777777" w:rsidR="008A1AC6" w:rsidRPr="001E6023" w:rsidRDefault="008A1AC6" w:rsidP="00416BFF">
            <w:pPr>
              <w:rPr>
                <w:rFonts w:ascii="Arial" w:hAnsi="Arial" w:cs="Arial"/>
                <w:bCs/>
                <w:szCs w:val="24"/>
              </w:rPr>
            </w:pPr>
          </w:p>
          <w:p w14:paraId="5C300809" w14:textId="77777777" w:rsidR="008A1AC6" w:rsidRPr="001E6023" w:rsidRDefault="008A1AC6" w:rsidP="00416BFF">
            <w:pPr>
              <w:rPr>
                <w:rFonts w:ascii="Arial" w:hAnsi="Arial" w:cs="Arial"/>
                <w:bCs/>
                <w:szCs w:val="24"/>
              </w:rPr>
            </w:pPr>
          </w:p>
          <w:p w14:paraId="1822D1AD" w14:textId="77777777" w:rsidR="007A3D04" w:rsidRDefault="007A3D04" w:rsidP="00416BFF">
            <w:pPr>
              <w:rPr>
                <w:rFonts w:ascii="Arial" w:hAnsi="Arial" w:cs="Arial"/>
                <w:bCs/>
                <w:szCs w:val="24"/>
              </w:rPr>
            </w:pPr>
          </w:p>
          <w:p w14:paraId="28CFA054" w14:textId="0128DFEA" w:rsidR="008A1AC6" w:rsidRPr="001E6023" w:rsidRDefault="008A1AC6" w:rsidP="00416BFF">
            <w:pPr>
              <w:rPr>
                <w:rFonts w:ascii="Arial" w:hAnsi="Arial" w:cs="Arial"/>
                <w:bCs/>
                <w:szCs w:val="24"/>
              </w:rPr>
            </w:pPr>
            <w:r w:rsidRPr="001E6023">
              <w:rPr>
                <w:rFonts w:ascii="Arial" w:hAnsi="Arial" w:cs="Arial"/>
                <w:bCs/>
                <w:szCs w:val="24"/>
              </w:rPr>
              <w:t>3.5</w:t>
            </w:r>
          </w:p>
        </w:tc>
        <w:tc>
          <w:tcPr>
            <w:tcW w:w="8618" w:type="dxa"/>
          </w:tcPr>
          <w:p w14:paraId="5097AAD7" w14:textId="1B40CA06" w:rsidR="00EA1C60" w:rsidRPr="001E6023" w:rsidRDefault="001950D2" w:rsidP="0034526A">
            <w:pPr>
              <w:autoSpaceDE w:val="0"/>
              <w:autoSpaceDN w:val="0"/>
              <w:adjustRightInd w:val="0"/>
              <w:jc w:val="both"/>
              <w:rPr>
                <w:rFonts w:ascii="Arial" w:hAnsi="Arial" w:cs="Arial"/>
                <w:color w:val="000000" w:themeColor="text1"/>
                <w:szCs w:val="24"/>
              </w:rPr>
            </w:pPr>
            <w:r>
              <w:rPr>
                <w:rFonts w:ascii="Arial" w:hAnsi="Arial" w:cs="Arial"/>
                <w:color w:val="000000" w:themeColor="text1"/>
                <w:szCs w:val="24"/>
              </w:rPr>
              <w:lastRenderedPageBreak/>
              <w:t>HLH</w:t>
            </w:r>
            <w:r w:rsidR="00274D3B" w:rsidRPr="001E6023">
              <w:rPr>
                <w:rFonts w:ascii="Arial" w:hAnsi="Arial" w:cs="Arial"/>
                <w:color w:val="000000" w:themeColor="text1"/>
                <w:szCs w:val="24"/>
              </w:rPr>
              <w:t xml:space="preserve"> </w:t>
            </w:r>
            <w:r w:rsidR="00EA1C60" w:rsidRPr="001E6023">
              <w:rPr>
                <w:rFonts w:ascii="Arial" w:hAnsi="Arial" w:cs="Arial"/>
                <w:color w:val="000000" w:themeColor="text1"/>
                <w:szCs w:val="24"/>
              </w:rPr>
              <w:t>h</w:t>
            </w:r>
            <w:r w:rsidR="00203F60" w:rsidRPr="001E6023">
              <w:rPr>
                <w:rFonts w:ascii="Arial" w:hAnsi="Arial" w:cs="Arial"/>
                <w:color w:val="000000" w:themeColor="text1"/>
                <w:szCs w:val="24"/>
              </w:rPr>
              <w:t>a</w:t>
            </w:r>
            <w:r w:rsidR="00EA1C60" w:rsidRPr="001E6023">
              <w:rPr>
                <w:rFonts w:ascii="Arial" w:hAnsi="Arial" w:cs="Arial"/>
                <w:color w:val="000000" w:themeColor="text1"/>
                <w:szCs w:val="24"/>
              </w:rPr>
              <w:t>s been acting as the Cou</w:t>
            </w:r>
            <w:r w:rsidR="00203F60" w:rsidRPr="001E6023">
              <w:rPr>
                <w:rFonts w:ascii="Arial" w:hAnsi="Arial" w:cs="Arial"/>
                <w:color w:val="000000" w:themeColor="text1"/>
                <w:szCs w:val="24"/>
              </w:rPr>
              <w:t>n</w:t>
            </w:r>
            <w:r w:rsidR="00EA1C60" w:rsidRPr="001E6023">
              <w:rPr>
                <w:rFonts w:ascii="Arial" w:hAnsi="Arial" w:cs="Arial"/>
                <w:color w:val="000000" w:themeColor="text1"/>
                <w:szCs w:val="24"/>
              </w:rPr>
              <w:t>ci</w:t>
            </w:r>
            <w:r w:rsidR="00203F60" w:rsidRPr="001E6023">
              <w:rPr>
                <w:rFonts w:ascii="Arial" w:hAnsi="Arial" w:cs="Arial"/>
                <w:color w:val="000000" w:themeColor="text1"/>
                <w:szCs w:val="24"/>
              </w:rPr>
              <w:t xml:space="preserve">l’s Managing Agent for the Inverness Castle Project.  </w:t>
            </w:r>
            <w:r w:rsidR="00AA308B" w:rsidRPr="001E6023">
              <w:rPr>
                <w:rFonts w:ascii="Arial" w:hAnsi="Arial" w:cs="Arial"/>
                <w:color w:val="000000" w:themeColor="text1"/>
                <w:szCs w:val="24"/>
              </w:rPr>
              <w:t xml:space="preserve">HLH’s Director of the Inverness Castle Project has been leading </w:t>
            </w:r>
            <w:r w:rsidR="008A0801" w:rsidRPr="001E6023">
              <w:rPr>
                <w:rFonts w:ascii="Arial" w:hAnsi="Arial" w:cs="Arial"/>
                <w:color w:val="000000" w:themeColor="text1"/>
                <w:szCs w:val="24"/>
              </w:rPr>
              <w:t>the Project Team responsible for designing and constructing the new visitor attraction as Phase 1 of the Masterplan for the Castlehill area.</w:t>
            </w:r>
            <w:r w:rsidR="00274D3B" w:rsidRPr="001E6023">
              <w:rPr>
                <w:rFonts w:ascii="Arial" w:hAnsi="Arial" w:cs="Arial"/>
                <w:color w:val="000000" w:themeColor="text1"/>
                <w:szCs w:val="24"/>
              </w:rPr>
              <w:t xml:space="preserve">  </w:t>
            </w:r>
          </w:p>
          <w:p w14:paraId="4308616D" w14:textId="77777777" w:rsidR="002A13A1" w:rsidRPr="001E6023" w:rsidRDefault="002A13A1" w:rsidP="0034526A">
            <w:pPr>
              <w:autoSpaceDE w:val="0"/>
              <w:autoSpaceDN w:val="0"/>
              <w:adjustRightInd w:val="0"/>
              <w:jc w:val="both"/>
              <w:rPr>
                <w:rFonts w:ascii="Arial" w:hAnsi="Arial" w:cs="Arial"/>
                <w:color w:val="000000" w:themeColor="text1"/>
                <w:szCs w:val="24"/>
              </w:rPr>
            </w:pPr>
          </w:p>
          <w:p w14:paraId="5849EFBC" w14:textId="58A52F80" w:rsidR="008F6471" w:rsidRPr="001E6023" w:rsidRDefault="002A13A1" w:rsidP="0034526A">
            <w:pPr>
              <w:autoSpaceDE w:val="0"/>
              <w:autoSpaceDN w:val="0"/>
              <w:adjustRightInd w:val="0"/>
              <w:jc w:val="both"/>
              <w:rPr>
                <w:rFonts w:ascii="Arial" w:hAnsi="Arial" w:cs="Arial"/>
                <w:color w:val="000000" w:themeColor="text1"/>
                <w:szCs w:val="24"/>
              </w:rPr>
            </w:pPr>
            <w:r w:rsidRPr="001E6023">
              <w:rPr>
                <w:rFonts w:ascii="Arial" w:hAnsi="Arial" w:cs="Arial"/>
                <w:color w:val="000000" w:themeColor="text1"/>
                <w:szCs w:val="24"/>
              </w:rPr>
              <w:t xml:space="preserve">The </w:t>
            </w:r>
            <w:r w:rsidR="005E3041" w:rsidRPr="001E6023">
              <w:rPr>
                <w:rFonts w:ascii="Arial" w:hAnsi="Arial" w:cs="Arial"/>
                <w:color w:val="000000" w:themeColor="text1"/>
                <w:szCs w:val="24"/>
              </w:rPr>
              <w:t>p</w:t>
            </w:r>
            <w:r w:rsidRPr="001E6023">
              <w:rPr>
                <w:rFonts w:ascii="Arial" w:hAnsi="Arial" w:cs="Arial"/>
                <w:color w:val="000000" w:themeColor="text1"/>
                <w:szCs w:val="24"/>
              </w:rPr>
              <w:t xml:space="preserve">roject is supported by Inverness and Highland City Region Deal </w:t>
            </w:r>
            <w:r w:rsidR="00781FBF">
              <w:rPr>
                <w:rFonts w:ascii="Arial" w:hAnsi="Arial" w:cs="Arial"/>
                <w:color w:val="000000" w:themeColor="text1"/>
                <w:szCs w:val="24"/>
              </w:rPr>
              <w:t xml:space="preserve">(CRD) </w:t>
            </w:r>
            <w:r w:rsidRPr="001E6023">
              <w:rPr>
                <w:rFonts w:ascii="Arial" w:hAnsi="Arial" w:cs="Arial"/>
                <w:color w:val="000000" w:themeColor="text1"/>
                <w:szCs w:val="24"/>
              </w:rPr>
              <w:t xml:space="preserve">funding.  One of the key requirements </w:t>
            </w:r>
            <w:r w:rsidR="005E3041" w:rsidRPr="001E6023">
              <w:rPr>
                <w:rFonts w:ascii="Arial" w:hAnsi="Arial" w:cs="Arial"/>
                <w:color w:val="000000" w:themeColor="text1"/>
                <w:szCs w:val="24"/>
              </w:rPr>
              <w:t xml:space="preserve">to </w:t>
            </w:r>
            <w:r w:rsidR="00376419">
              <w:rPr>
                <w:rFonts w:ascii="Arial" w:hAnsi="Arial" w:cs="Arial"/>
                <w:color w:val="000000" w:themeColor="text1"/>
                <w:szCs w:val="24"/>
              </w:rPr>
              <w:t xml:space="preserve">be able to </w:t>
            </w:r>
            <w:r w:rsidR="005E3041" w:rsidRPr="001E6023">
              <w:rPr>
                <w:rFonts w:ascii="Arial" w:hAnsi="Arial" w:cs="Arial"/>
                <w:color w:val="000000" w:themeColor="text1"/>
                <w:szCs w:val="24"/>
              </w:rPr>
              <w:t xml:space="preserve">draw down CRD funding </w:t>
            </w:r>
            <w:r w:rsidRPr="001E6023">
              <w:rPr>
                <w:rFonts w:ascii="Arial" w:hAnsi="Arial" w:cs="Arial"/>
                <w:color w:val="000000" w:themeColor="text1"/>
                <w:szCs w:val="24"/>
              </w:rPr>
              <w:t xml:space="preserve">is </w:t>
            </w:r>
            <w:r w:rsidR="00376419">
              <w:rPr>
                <w:rFonts w:ascii="Arial" w:hAnsi="Arial" w:cs="Arial"/>
                <w:color w:val="000000" w:themeColor="text1"/>
                <w:szCs w:val="24"/>
              </w:rPr>
              <w:t xml:space="preserve">to </w:t>
            </w:r>
            <w:r w:rsidR="00703DA4" w:rsidRPr="001E6023">
              <w:rPr>
                <w:rFonts w:ascii="Arial" w:hAnsi="Arial" w:cs="Arial"/>
                <w:color w:val="000000" w:themeColor="text1"/>
                <w:szCs w:val="24"/>
              </w:rPr>
              <w:t xml:space="preserve">secure both UK and Scottish Government approval of the project’s </w:t>
            </w:r>
            <w:r w:rsidR="005E3041" w:rsidRPr="001E6023">
              <w:rPr>
                <w:rFonts w:ascii="Arial" w:hAnsi="Arial" w:cs="Arial"/>
                <w:color w:val="000000" w:themeColor="text1"/>
                <w:szCs w:val="24"/>
              </w:rPr>
              <w:t>Final Business</w:t>
            </w:r>
            <w:r w:rsidR="00703DA4" w:rsidRPr="001E6023">
              <w:rPr>
                <w:rFonts w:ascii="Arial" w:hAnsi="Arial" w:cs="Arial"/>
                <w:color w:val="000000" w:themeColor="text1"/>
                <w:szCs w:val="24"/>
              </w:rPr>
              <w:t xml:space="preserve"> Case</w:t>
            </w:r>
            <w:r w:rsidR="00D37436" w:rsidRPr="001E6023">
              <w:rPr>
                <w:rFonts w:ascii="Arial" w:hAnsi="Arial" w:cs="Arial"/>
                <w:color w:val="000000" w:themeColor="text1"/>
                <w:szCs w:val="24"/>
              </w:rPr>
              <w:t xml:space="preserve"> (FBC)</w:t>
            </w:r>
            <w:r w:rsidR="00703DA4" w:rsidRPr="001E6023">
              <w:rPr>
                <w:rFonts w:ascii="Arial" w:hAnsi="Arial" w:cs="Arial"/>
                <w:color w:val="000000" w:themeColor="text1"/>
                <w:szCs w:val="24"/>
              </w:rPr>
              <w:t>.</w:t>
            </w:r>
            <w:r w:rsidR="00D37436" w:rsidRPr="001E6023">
              <w:rPr>
                <w:rFonts w:ascii="Arial" w:hAnsi="Arial" w:cs="Arial"/>
                <w:color w:val="000000" w:themeColor="text1"/>
                <w:szCs w:val="24"/>
              </w:rPr>
              <w:t xml:space="preserve">  The first draft of the FBC was </w:t>
            </w:r>
            <w:r w:rsidR="008F6471" w:rsidRPr="001E6023">
              <w:rPr>
                <w:rFonts w:ascii="Arial" w:hAnsi="Arial" w:cs="Arial"/>
                <w:color w:val="000000" w:themeColor="text1"/>
                <w:szCs w:val="24"/>
              </w:rPr>
              <w:t xml:space="preserve">submitted </w:t>
            </w:r>
            <w:r w:rsidR="008D13D9">
              <w:rPr>
                <w:rFonts w:ascii="Arial" w:hAnsi="Arial" w:cs="Arial"/>
                <w:color w:val="000000" w:themeColor="text1"/>
                <w:szCs w:val="24"/>
              </w:rPr>
              <w:t xml:space="preserve">by the Project Team </w:t>
            </w:r>
            <w:r w:rsidR="008F6471" w:rsidRPr="001E6023">
              <w:rPr>
                <w:rFonts w:ascii="Arial" w:hAnsi="Arial" w:cs="Arial"/>
                <w:color w:val="000000" w:themeColor="text1"/>
                <w:szCs w:val="24"/>
              </w:rPr>
              <w:t>in early January 2022 and feedback from both sets of Government officials contained no material issues.</w:t>
            </w:r>
          </w:p>
          <w:p w14:paraId="4C3C98C5" w14:textId="77777777" w:rsidR="008F6471" w:rsidRPr="001E6023" w:rsidRDefault="008F6471" w:rsidP="0034526A">
            <w:pPr>
              <w:autoSpaceDE w:val="0"/>
              <w:autoSpaceDN w:val="0"/>
              <w:adjustRightInd w:val="0"/>
              <w:jc w:val="both"/>
              <w:rPr>
                <w:rFonts w:ascii="Arial" w:hAnsi="Arial" w:cs="Arial"/>
                <w:color w:val="000000" w:themeColor="text1"/>
                <w:szCs w:val="24"/>
              </w:rPr>
            </w:pPr>
          </w:p>
          <w:p w14:paraId="360AF09F" w14:textId="1C38683A" w:rsidR="00703DA4" w:rsidRPr="001E6023" w:rsidRDefault="008F6471" w:rsidP="0034526A">
            <w:pPr>
              <w:autoSpaceDE w:val="0"/>
              <w:autoSpaceDN w:val="0"/>
              <w:adjustRightInd w:val="0"/>
              <w:jc w:val="both"/>
              <w:rPr>
                <w:rFonts w:ascii="Arial" w:hAnsi="Arial" w:cs="Arial"/>
                <w:color w:val="000000" w:themeColor="text1"/>
                <w:szCs w:val="24"/>
              </w:rPr>
            </w:pPr>
            <w:r w:rsidRPr="001E6023">
              <w:rPr>
                <w:rFonts w:ascii="Arial" w:hAnsi="Arial" w:cs="Arial"/>
                <w:color w:val="000000" w:themeColor="text1"/>
                <w:szCs w:val="24"/>
              </w:rPr>
              <w:t xml:space="preserve">The </w:t>
            </w:r>
            <w:r w:rsidR="001B744F" w:rsidRPr="001E6023">
              <w:rPr>
                <w:rFonts w:ascii="Arial" w:hAnsi="Arial" w:cs="Arial"/>
                <w:color w:val="000000" w:themeColor="text1"/>
                <w:szCs w:val="24"/>
              </w:rPr>
              <w:t xml:space="preserve">feedback </w:t>
            </w:r>
            <w:r w:rsidR="002F2AF3" w:rsidRPr="001E6023">
              <w:rPr>
                <w:rFonts w:ascii="Arial" w:hAnsi="Arial" w:cs="Arial"/>
                <w:color w:val="000000" w:themeColor="text1"/>
                <w:szCs w:val="24"/>
              </w:rPr>
              <w:t xml:space="preserve">has been incorporated </w:t>
            </w:r>
            <w:r w:rsidR="001B744F" w:rsidRPr="001E6023">
              <w:rPr>
                <w:rFonts w:ascii="Arial" w:hAnsi="Arial" w:cs="Arial"/>
                <w:color w:val="000000" w:themeColor="text1"/>
                <w:szCs w:val="24"/>
              </w:rPr>
              <w:t xml:space="preserve">and the final draft of the FBC has been submitted for approval. </w:t>
            </w:r>
            <w:r w:rsidRPr="001E6023">
              <w:rPr>
                <w:rFonts w:ascii="Arial" w:hAnsi="Arial" w:cs="Arial"/>
                <w:color w:val="000000" w:themeColor="text1"/>
                <w:szCs w:val="24"/>
              </w:rPr>
              <w:t xml:space="preserve"> </w:t>
            </w:r>
            <w:r w:rsidR="00D37436" w:rsidRPr="001E6023">
              <w:rPr>
                <w:rFonts w:ascii="Arial" w:hAnsi="Arial" w:cs="Arial"/>
                <w:color w:val="000000" w:themeColor="text1"/>
                <w:szCs w:val="24"/>
              </w:rPr>
              <w:t xml:space="preserve"> </w:t>
            </w:r>
            <w:r w:rsidR="00A56890" w:rsidRPr="001E6023">
              <w:rPr>
                <w:rFonts w:ascii="Arial" w:hAnsi="Arial" w:cs="Arial"/>
                <w:color w:val="000000" w:themeColor="text1"/>
                <w:szCs w:val="24"/>
              </w:rPr>
              <w:t xml:space="preserve">A copy of the Executive Summary of the FBC is </w:t>
            </w:r>
            <w:r w:rsidR="00211CA2" w:rsidRPr="001E6023">
              <w:rPr>
                <w:rFonts w:ascii="Arial" w:hAnsi="Arial" w:cs="Arial"/>
                <w:color w:val="000000" w:themeColor="text1"/>
                <w:szCs w:val="24"/>
              </w:rPr>
              <w:t xml:space="preserve">presented in </w:t>
            </w:r>
            <w:r w:rsidR="00211CA2" w:rsidRPr="001E6023">
              <w:rPr>
                <w:rFonts w:ascii="Arial" w:hAnsi="Arial" w:cs="Arial"/>
                <w:b/>
                <w:bCs/>
                <w:color w:val="000000" w:themeColor="text1"/>
                <w:szCs w:val="24"/>
              </w:rPr>
              <w:t>A</w:t>
            </w:r>
            <w:r w:rsidR="001950D2">
              <w:rPr>
                <w:rFonts w:ascii="Arial" w:hAnsi="Arial" w:cs="Arial"/>
                <w:b/>
                <w:bCs/>
                <w:color w:val="000000" w:themeColor="text1"/>
                <w:szCs w:val="24"/>
              </w:rPr>
              <w:t>ppendix</w:t>
            </w:r>
            <w:r w:rsidR="00211CA2" w:rsidRPr="001E6023">
              <w:rPr>
                <w:rFonts w:ascii="Arial" w:hAnsi="Arial" w:cs="Arial"/>
                <w:b/>
                <w:bCs/>
                <w:color w:val="000000" w:themeColor="text1"/>
                <w:szCs w:val="24"/>
              </w:rPr>
              <w:t xml:space="preserve"> A</w:t>
            </w:r>
            <w:r w:rsidR="00A56890" w:rsidRPr="001E6023">
              <w:rPr>
                <w:rFonts w:ascii="Arial" w:hAnsi="Arial" w:cs="Arial"/>
                <w:b/>
                <w:bCs/>
                <w:color w:val="000000" w:themeColor="text1"/>
                <w:szCs w:val="24"/>
              </w:rPr>
              <w:t>.</w:t>
            </w:r>
            <w:r w:rsidR="00A56890" w:rsidRPr="001E6023">
              <w:rPr>
                <w:rFonts w:ascii="Arial" w:hAnsi="Arial" w:cs="Arial"/>
                <w:color w:val="000000" w:themeColor="text1"/>
                <w:szCs w:val="24"/>
              </w:rPr>
              <w:t xml:space="preserve"> </w:t>
            </w:r>
          </w:p>
          <w:p w14:paraId="79AC1CF8" w14:textId="77777777" w:rsidR="00703DA4" w:rsidRPr="001E6023" w:rsidRDefault="00703DA4" w:rsidP="0034526A">
            <w:pPr>
              <w:autoSpaceDE w:val="0"/>
              <w:autoSpaceDN w:val="0"/>
              <w:adjustRightInd w:val="0"/>
              <w:jc w:val="both"/>
              <w:rPr>
                <w:rFonts w:ascii="Arial" w:hAnsi="Arial" w:cs="Arial"/>
                <w:color w:val="000000" w:themeColor="text1"/>
                <w:szCs w:val="24"/>
              </w:rPr>
            </w:pPr>
          </w:p>
          <w:p w14:paraId="178FCAE6" w14:textId="65DE9E9B" w:rsidR="002A13A1" w:rsidRPr="001E6023" w:rsidRDefault="00D074BB" w:rsidP="0034526A">
            <w:pPr>
              <w:autoSpaceDE w:val="0"/>
              <w:autoSpaceDN w:val="0"/>
              <w:adjustRightInd w:val="0"/>
              <w:jc w:val="both"/>
              <w:rPr>
                <w:rFonts w:ascii="Arial" w:hAnsi="Arial" w:cs="Arial"/>
                <w:color w:val="000000" w:themeColor="text1"/>
                <w:szCs w:val="24"/>
              </w:rPr>
            </w:pPr>
            <w:r w:rsidRPr="001E6023">
              <w:rPr>
                <w:rFonts w:ascii="Arial" w:hAnsi="Arial" w:cs="Arial"/>
                <w:color w:val="000000" w:themeColor="text1"/>
                <w:szCs w:val="24"/>
              </w:rPr>
              <w:t xml:space="preserve">In preparing the </w:t>
            </w:r>
            <w:r w:rsidR="00AA16B8" w:rsidRPr="001E6023">
              <w:rPr>
                <w:rFonts w:ascii="Arial" w:hAnsi="Arial" w:cs="Arial"/>
                <w:color w:val="000000" w:themeColor="text1"/>
                <w:szCs w:val="24"/>
              </w:rPr>
              <w:t xml:space="preserve">Outline Business Case which underpinned the </w:t>
            </w:r>
            <w:r w:rsidR="00926E55" w:rsidRPr="001E6023">
              <w:rPr>
                <w:rFonts w:ascii="Arial" w:hAnsi="Arial" w:cs="Arial"/>
                <w:color w:val="000000" w:themeColor="text1"/>
                <w:szCs w:val="24"/>
              </w:rPr>
              <w:t>FBC</w:t>
            </w:r>
            <w:r w:rsidR="00AA16B8" w:rsidRPr="001E6023">
              <w:rPr>
                <w:rFonts w:ascii="Arial" w:hAnsi="Arial" w:cs="Arial"/>
                <w:color w:val="000000" w:themeColor="text1"/>
                <w:szCs w:val="24"/>
              </w:rPr>
              <w:t>,</w:t>
            </w:r>
            <w:r w:rsidR="00926E55" w:rsidRPr="001E6023">
              <w:rPr>
                <w:rFonts w:ascii="Arial" w:hAnsi="Arial" w:cs="Arial"/>
                <w:color w:val="000000" w:themeColor="text1"/>
                <w:szCs w:val="24"/>
              </w:rPr>
              <w:t xml:space="preserve"> a range of options were considered </w:t>
            </w:r>
            <w:r w:rsidR="004F685F" w:rsidRPr="001E6023">
              <w:rPr>
                <w:rFonts w:ascii="Arial" w:hAnsi="Arial" w:cs="Arial"/>
                <w:color w:val="000000" w:themeColor="text1"/>
                <w:szCs w:val="24"/>
              </w:rPr>
              <w:t>to identify the optimum operating model for the new visitor attraction</w:t>
            </w:r>
            <w:r w:rsidR="00567F6A" w:rsidRPr="001E6023">
              <w:rPr>
                <w:rFonts w:ascii="Arial" w:hAnsi="Arial" w:cs="Arial"/>
                <w:color w:val="000000" w:themeColor="text1"/>
                <w:szCs w:val="24"/>
              </w:rPr>
              <w:t xml:space="preserve">.  Options included putting the operation out to tender, creating </w:t>
            </w:r>
            <w:r w:rsidR="00567F6A" w:rsidRPr="001E6023">
              <w:rPr>
                <w:rFonts w:ascii="Arial" w:hAnsi="Arial" w:cs="Arial"/>
                <w:color w:val="000000" w:themeColor="text1"/>
                <w:szCs w:val="24"/>
              </w:rPr>
              <w:lastRenderedPageBreak/>
              <w:t xml:space="preserve">a separate </w:t>
            </w:r>
            <w:r w:rsidR="00DC2972" w:rsidRPr="001E6023">
              <w:rPr>
                <w:rFonts w:ascii="Arial" w:hAnsi="Arial" w:cs="Arial"/>
                <w:color w:val="000000" w:themeColor="text1"/>
                <w:szCs w:val="24"/>
              </w:rPr>
              <w:t xml:space="preserve">trust to manage the facility, </w:t>
            </w:r>
            <w:r w:rsidR="00AA16B8" w:rsidRPr="001E6023">
              <w:rPr>
                <w:rFonts w:ascii="Arial" w:hAnsi="Arial" w:cs="Arial"/>
                <w:color w:val="000000" w:themeColor="text1"/>
                <w:szCs w:val="24"/>
              </w:rPr>
              <w:t xml:space="preserve">Council officials managing the building, as well as </w:t>
            </w:r>
            <w:r w:rsidR="007B5E45" w:rsidRPr="001E6023">
              <w:rPr>
                <w:rFonts w:ascii="Arial" w:hAnsi="Arial" w:cs="Arial"/>
                <w:color w:val="000000" w:themeColor="text1"/>
                <w:szCs w:val="24"/>
              </w:rPr>
              <w:t xml:space="preserve">asking HLH to become the Managing Agent on behalf of the Council.  The </w:t>
            </w:r>
            <w:r w:rsidR="00C660F1" w:rsidRPr="001E6023">
              <w:rPr>
                <w:rFonts w:ascii="Arial" w:hAnsi="Arial" w:cs="Arial"/>
                <w:color w:val="000000" w:themeColor="text1"/>
                <w:szCs w:val="24"/>
              </w:rPr>
              <w:t xml:space="preserve">review of options </w:t>
            </w:r>
            <w:r w:rsidR="00FA1DFD">
              <w:rPr>
                <w:rFonts w:ascii="Arial" w:hAnsi="Arial" w:cs="Arial"/>
                <w:color w:val="000000" w:themeColor="text1"/>
                <w:szCs w:val="24"/>
              </w:rPr>
              <w:t xml:space="preserve">as part of the development of the Business Case </w:t>
            </w:r>
            <w:r w:rsidR="00C660F1" w:rsidRPr="001E6023">
              <w:rPr>
                <w:rFonts w:ascii="Arial" w:hAnsi="Arial" w:cs="Arial"/>
                <w:color w:val="000000" w:themeColor="text1"/>
                <w:szCs w:val="24"/>
              </w:rPr>
              <w:t xml:space="preserve">resulted in the recommendations which were presented to the </w:t>
            </w:r>
            <w:r w:rsidR="001301BE">
              <w:rPr>
                <w:rFonts w:ascii="Arial" w:hAnsi="Arial" w:cs="Arial"/>
                <w:color w:val="000000" w:themeColor="text1"/>
                <w:szCs w:val="24"/>
              </w:rPr>
              <w:t xml:space="preserve">Corporate </w:t>
            </w:r>
            <w:r w:rsidR="00C660F1" w:rsidRPr="001E6023">
              <w:rPr>
                <w:rFonts w:ascii="Arial" w:hAnsi="Arial" w:cs="Arial"/>
                <w:color w:val="000000" w:themeColor="text1"/>
                <w:szCs w:val="24"/>
              </w:rPr>
              <w:t>Resources Committee in January.</w:t>
            </w:r>
          </w:p>
          <w:p w14:paraId="5C604922" w14:textId="77777777" w:rsidR="00C660F1" w:rsidRPr="001E6023" w:rsidRDefault="00C660F1" w:rsidP="0034526A">
            <w:pPr>
              <w:autoSpaceDE w:val="0"/>
              <w:autoSpaceDN w:val="0"/>
              <w:adjustRightInd w:val="0"/>
              <w:jc w:val="both"/>
              <w:rPr>
                <w:rFonts w:ascii="Arial" w:hAnsi="Arial" w:cs="Arial"/>
                <w:color w:val="000000" w:themeColor="text1"/>
                <w:szCs w:val="24"/>
              </w:rPr>
            </w:pPr>
          </w:p>
          <w:p w14:paraId="40467215" w14:textId="6C4D816F" w:rsidR="00C660F1" w:rsidRPr="001E6023" w:rsidRDefault="003B1355" w:rsidP="0034526A">
            <w:pPr>
              <w:autoSpaceDE w:val="0"/>
              <w:autoSpaceDN w:val="0"/>
              <w:adjustRightInd w:val="0"/>
              <w:jc w:val="both"/>
              <w:rPr>
                <w:rFonts w:ascii="Arial" w:hAnsi="Arial" w:cs="Arial"/>
                <w:color w:val="000000" w:themeColor="text1"/>
                <w:szCs w:val="24"/>
              </w:rPr>
            </w:pPr>
            <w:r w:rsidRPr="001E6023">
              <w:rPr>
                <w:rFonts w:ascii="Arial" w:hAnsi="Arial" w:cs="Arial"/>
                <w:color w:val="000000" w:themeColor="text1"/>
                <w:szCs w:val="24"/>
              </w:rPr>
              <w:t xml:space="preserve">The </w:t>
            </w:r>
            <w:r w:rsidR="00A96A06">
              <w:rPr>
                <w:rFonts w:ascii="Arial" w:hAnsi="Arial" w:cs="Arial"/>
                <w:color w:val="000000" w:themeColor="text1"/>
                <w:szCs w:val="24"/>
              </w:rPr>
              <w:t xml:space="preserve">first </w:t>
            </w:r>
            <w:r w:rsidRPr="001E6023">
              <w:rPr>
                <w:rFonts w:ascii="Arial" w:hAnsi="Arial" w:cs="Arial"/>
                <w:color w:val="000000" w:themeColor="text1"/>
                <w:szCs w:val="24"/>
              </w:rPr>
              <w:t xml:space="preserve">purpose of this report is to </w:t>
            </w:r>
            <w:r w:rsidR="006E0D9C" w:rsidRPr="001E6023">
              <w:rPr>
                <w:rFonts w:ascii="Arial" w:hAnsi="Arial" w:cs="Arial"/>
                <w:color w:val="000000" w:themeColor="text1"/>
                <w:szCs w:val="24"/>
              </w:rPr>
              <w:t xml:space="preserve">present the request by The Highland Council for HLH to act as the Managing Agent of Inverness Castle when it opens and to recommend that Directors </w:t>
            </w:r>
            <w:r w:rsidR="00D4026B" w:rsidRPr="001E6023">
              <w:rPr>
                <w:rFonts w:ascii="Arial" w:hAnsi="Arial" w:cs="Arial"/>
                <w:color w:val="000000" w:themeColor="text1"/>
                <w:szCs w:val="24"/>
              </w:rPr>
              <w:t>respond positively.</w:t>
            </w:r>
          </w:p>
        </w:tc>
      </w:tr>
      <w:tr w:rsidR="0034526A" w:rsidRPr="001E6023" w14:paraId="7BE14407"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5C05C07" w14:textId="7188ED9F" w:rsidR="0034526A" w:rsidRPr="001E6023" w:rsidRDefault="0034526A" w:rsidP="00416BFF">
            <w:pPr>
              <w:rPr>
                <w:rFonts w:ascii="Arial" w:hAnsi="Arial" w:cs="Arial"/>
                <w:bCs/>
                <w:szCs w:val="24"/>
              </w:rPr>
            </w:pPr>
          </w:p>
        </w:tc>
        <w:tc>
          <w:tcPr>
            <w:tcW w:w="8618" w:type="dxa"/>
          </w:tcPr>
          <w:p w14:paraId="4F975694" w14:textId="77777777" w:rsidR="0034526A" w:rsidRPr="001E6023" w:rsidRDefault="0034526A" w:rsidP="0034526A">
            <w:pPr>
              <w:jc w:val="both"/>
              <w:rPr>
                <w:rFonts w:ascii="Arial" w:eastAsia="Calibri" w:hAnsi="Arial" w:cs="Arial"/>
                <w:color w:val="212121"/>
                <w:szCs w:val="24"/>
              </w:rPr>
            </w:pPr>
          </w:p>
        </w:tc>
      </w:tr>
      <w:tr w:rsidR="00CD29D1" w:rsidRPr="001E6023" w14:paraId="61FD3C57"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5F45886" w14:textId="4A4EBDCE" w:rsidR="008A0C62" w:rsidRPr="001E6023" w:rsidRDefault="00847820" w:rsidP="00416BFF">
            <w:pPr>
              <w:rPr>
                <w:rFonts w:ascii="Arial" w:hAnsi="Arial" w:cs="Arial"/>
                <w:b/>
                <w:szCs w:val="24"/>
              </w:rPr>
            </w:pPr>
            <w:r w:rsidRPr="001E6023">
              <w:rPr>
                <w:rFonts w:ascii="Arial" w:hAnsi="Arial" w:cs="Arial"/>
                <w:b/>
                <w:szCs w:val="24"/>
              </w:rPr>
              <w:t>4</w:t>
            </w:r>
            <w:r w:rsidR="000C2040" w:rsidRPr="001E6023">
              <w:rPr>
                <w:rFonts w:ascii="Arial" w:hAnsi="Arial" w:cs="Arial"/>
                <w:b/>
                <w:szCs w:val="24"/>
              </w:rPr>
              <w:t>.</w:t>
            </w:r>
          </w:p>
        </w:tc>
        <w:tc>
          <w:tcPr>
            <w:tcW w:w="8618" w:type="dxa"/>
          </w:tcPr>
          <w:p w14:paraId="2A034E6B" w14:textId="77777777" w:rsidR="000C2040" w:rsidRPr="001E6023" w:rsidRDefault="00D4026B" w:rsidP="00C4678C">
            <w:pPr>
              <w:jc w:val="both"/>
              <w:rPr>
                <w:rFonts w:ascii="Arial" w:hAnsi="Arial" w:cs="Arial"/>
                <w:b/>
                <w:szCs w:val="24"/>
              </w:rPr>
            </w:pPr>
            <w:r w:rsidRPr="001E6023">
              <w:rPr>
                <w:rFonts w:ascii="Arial" w:hAnsi="Arial" w:cs="Arial"/>
                <w:b/>
                <w:szCs w:val="24"/>
              </w:rPr>
              <w:t>Investment of Operating Surplus</w:t>
            </w:r>
          </w:p>
          <w:p w14:paraId="19F4DE34" w14:textId="70132870" w:rsidR="00C91965" w:rsidRPr="001E6023" w:rsidRDefault="00C91965" w:rsidP="00C4678C">
            <w:pPr>
              <w:jc w:val="both"/>
              <w:rPr>
                <w:rFonts w:ascii="Arial" w:hAnsi="Arial" w:cs="Arial"/>
                <w:b/>
                <w:szCs w:val="24"/>
              </w:rPr>
            </w:pPr>
          </w:p>
        </w:tc>
      </w:tr>
      <w:tr w:rsidR="000C2040" w:rsidRPr="001E6023" w14:paraId="76CF247B"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13C3572D" w14:textId="7585A691" w:rsidR="000C2040" w:rsidRPr="001E6023" w:rsidRDefault="00847820" w:rsidP="004F5521">
            <w:pPr>
              <w:autoSpaceDE w:val="0"/>
              <w:autoSpaceDN w:val="0"/>
              <w:adjustRightInd w:val="0"/>
              <w:rPr>
                <w:rFonts w:ascii="Arial" w:hAnsi="Arial" w:cs="Arial"/>
                <w:szCs w:val="24"/>
              </w:rPr>
            </w:pPr>
            <w:r w:rsidRPr="001E6023">
              <w:rPr>
                <w:rFonts w:ascii="Arial" w:hAnsi="Arial" w:cs="Arial"/>
                <w:szCs w:val="24"/>
              </w:rPr>
              <w:t>4</w:t>
            </w:r>
            <w:r w:rsidR="000C2040" w:rsidRPr="001E6023">
              <w:rPr>
                <w:rFonts w:ascii="Arial" w:hAnsi="Arial" w:cs="Arial"/>
                <w:szCs w:val="24"/>
              </w:rPr>
              <w:t>.1</w:t>
            </w:r>
          </w:p>
          <w:p w14:paraId="030CD154" w14:textId="77777777" w:rsidR="00B30B03" w:rsidRPr="001E6023" w:rsidRDefault="00B30B03" w:rsidP="004F5521">
            <w:pPr>
              <w:autoSpaceDE w:val="0"/>
              <w:autoSpaceDN w:val="0"/>
              <w:adjustRightInd w:val="0"/>
              <w:rPr>
                <w:rFonts w:ascii="Arial" w:hAnsi="Arial" w:cs="Arial"/>
                <w:szCs w:val="24"/>
              </w:rPr>
            </w:pPr>
          </w:p>
          <w:p w14:paraId="7F4A97CC" w14:textId="77777777" w:rsidR="00B30B03" w:rsidRPr="001E6023" w:rsidRDefault="00B30B03" w:rsidP="004F5521">
            <w:pPr>
              <w:autoSpaceDE w:val="0"/>
              <w:autoSpaceDN w:val="0"/>
              <w:adjustRightInd w:val="0"/>
              <w:rPr>
                <w:rFonts w:ascii="Arial" w:hAnsi="Arial" w:cs="Arial"/>
                <w:szCs w:val="24"/>
              </w:rPr>
            </w:pPr>
          </w:p>
          <w:p w14:paraId="1C9BF3B6" w14:textId="77777777" w:rsidR="00B30B03" w:rsidRPr="001E6023" w:rsidRDefault="00B30B03" w:rsidP="004F5521">
            <w:pPr>
              <w:autoSpaceDE w:val="0"/>
              <w:autoSpaceDN w:val="0"/>
              <w:adjustRightInd w:val="0"/>
              <w:rPr>
                <w:rFonts w:ascii="Arial" w:hAnsi="Arial" w:cs="Arial"/>
                <w:szCs w:val="24"/>
              </w:rPr>
            </w:pPr>
          </w:p>
          <w:p w14:paraId="78690EA6" w14:textId="0B339D84" w:rsidR="000C2040" w:rsidRDefault="00C4678C" w:rsidP="004F5521">
            <w:pPr>
              <w:autoSpaceDE w:val="0"/>
              <w:autoSpaceDN w:val="0"/>
              <w:adjustRightInd w:val="0"/>
              <w:rPr>
                <w:rFonts w:ascii="Arial" w:hAnsi="Arial" w:cs="Arial"/>
                <w:szCs w:val="24"/>
              </w:rPr>
            </w:pPr>
            <w:r w:rsidRPr="001E6023">
              <w:rPr>
                <w:rFonts w:ascii="Arial" w:hAnsi="Arial" w:cs="Arial"/>
                <w:szCs w:val="24"/>
              </w:rPr>
              <w:t>4.2</w:t>
            </w:r>
          </w:p>
          <w:p w14:paraId="562E91D7" w14:textId="539DCA7C" w:rsidR="00A96A06" w:rsidRDefault="00A96A06" w:rsidP="004F5521">
            <w:pPr>
              <w:autoSpaceDE w:val="0"/>
              <w:autoSpaceDN w:val="0"/>
              <w:adjustRightInd w:val="0"/>
              <w:rPr>
                <w:rFonts w:ascii="Arial" w:hAnsi="Arial" w:cs="Arial"/>
                <w:szCs w:val="24"/>
              </w:rPr>
            </w:pPr>
          </w:p>
          <w:p w14:paraId="676DC7AB" w14:textId="7991D60A" w:rsidR="00A96A06" w:rsidRDefault="00A96A06" w:rsidP="004F5521">
            <w:pPr>
              <w:autoSpaceDE w:val="0"/>
              <w:autoSpaceDN w:val="0"/>
              <w:adjustRightInd w:val="0"/>
              <w:rPr>
                <w:rFonts w:ascii="Arial" w:hAnsi="Arial" w:cs="Arial"/>
                <w:szCs w:val="24"/>
              </w:rPr>
            </w:pPr>
          </w:p>
          <w:p w14:paraId="6ACD458D" w14:textId="5FF21F3E" w:rsidR="00A96A06" w:rsidRDefault="00A96A06" w:rsidP="004F5521">
            <w:pPr>
              <w:autoSpaceDE w:val="0"/>
              <w:autoSpaceDN w:val="0"/>
              <w:adjustRightInd w:val="0"/>
              <w:rPr>
                <w:rFonts w:ascii="Arial" w:hAnsi="Arial" w:cs="Arial"/>
                <w:szCs w:val="24"/>
              </w:rPr>
            </w:pPr>
          </w:p>
          <w:p w14:paraId="66A57273" w14:textId="74249950" w:rsidR="00A96A06" w:rsidRDefault="00A96A06" w:rsidP="004F5521">
            <w:pPr>
              <w:autoSpaceDE w:val="0"/>
              <w:autoSpaceDN w:val="0"/>
              <w:adjustRightInd w:val="0"/>
              <w:rPr>
                <w:rFonts w:ascii="Arial" w:hAnsi="Arial" w:cs="Arial"/>
                <w:szCs w:val="24"/>
              </w:rPr>
            </w:pPr>
          </w:p>
          <w:p w14:paraId="3B1A95B6" w14:textId="05EE4681" w:rsidR="00A96A06" w:rsidRDefault="00A96A06" w:rsidP="004F5521">
            <w:pPr>
              <w:autoSpaceDE w:val="0"/>
              <w:autoSpaceDN w:val="0"/>
              <w:adjustRightInd w:val="0"/>
              <w:rPr>
                <w:rFonts w:ascii="Arial" w:hAnsi="Arial" w:cs="Arial"/>
                <w:szCs w:val="24"/>
              </w:rPr>
            </w:pPr>
          </w:p>
          <w:p w14:paraId="21137F1C" w14:textId="1BB75AE6" w:rsidR="00A96A06" w:rsidRDefault="00A96A06" w:rsidP="004F5521">
            <w:pPr>
              <w:autoSpaceDE w:val="0"/>
              <w:autoSpaceDN w:val="0"/>
              <w:adjustRightInd w:val="0"/>
              <w:rPr>
                <w:rFonts w:ascii="Arial" w:hAnsi="Arial" w:cs="Arial"/>
                <w:szCs w:val="24"/>
              </w:rPr>
            </w:pPr>
            <w:r>
              <w:rPr>
                <w:rFonts w:ascii="Arial" w:hAnsi="Arial" w:cs="Arial"/>
                <w:szCs w:val="24"/>
              </w:rPr>
              <w:t>4.3</w:t>
            </w:r>
          </w:p>
          <w:p w14:paraId="6426FB99" w14:textId="468F18D0" w:rsidR="00A96A06" w:rsidRDefault="00A96A06" w:rsidP="004F5521">
            <w:pPr>
              <w:autoSpaceDE w:val="0"/>
              <w:autoSpaceDN w:val="0"/>
              <w:adjustRightInd w:val="0"/>
              <w:rPr>
                <w:rFonts w:ascii="Arial" w:hAnsi="Arial" w:cs="Arial"/>
                <w:szCs w:val="24"/>
              </w:rPr>
            </w:pPr>
          </w:p>
          <w:p w14:paraId="7AB7C38B" w14:textId="76D59F7B" w:rsidR="00A96A06" w:rsidRDefault="00A96A06" w:rsidP="004F5521">
            <w:pPr>
              <w:autoSpaceDE w:val="0"/>
              <w:autoSpaceDN w:val="0"/>
              <w:adjustRightInd w:val="0"/>
              <w:rPr>
                <w:rFonts w:ascii="Arial" w:hAnsi="Arial" w:cs="Arial"/>
                <w:szCs w:val="24"/>
              </w:rPr>
            </w:pPr>
          </w:p>
          <w:p w14:paraId="7C5438C7" w14:textId="46131750" w:rsidR="00A96A06" w:rsidRDefault="00A96A06" w:rsidP="004F5521">
            <w:pPr>
              <w:autoSpaceDE w:val="0"/>
              <w:autoSpaceDN w:val="0"/>
              <w:adjustRightInd w:val="0"/>
              <w:rPr>
                <w:rFonts w:ascii="Arial" w:hAnsi="Arial" w:cs="Arial"/>
                <w:szCs w:val="24"/>
              </w:rPr>
            </w:pPr>
          </w:p>
          <w:p w14:paraId="65723CFD" w14:textId="6A9AA973" w:rsidR="00A96A06" w:rsidRDefault="00A96A06" w:rsidP="004F5521">
            <w:pPr>
              <w:autoSpaceDE w:val="0"/>
              <w:autoSpaceDN w:val="0"/>
              <w:adjustRightInd w:val="0"/>
              <w:rPr>
                <w:rFonts w:ascii="Arial" w:hAnsi="Arial" w:cs="Arial"/>
                <w:szCs w:val="24"/>
              </w:rPr>
            </w:pPr>
          </w:p>
          <w:p w14:paraId="4A637E10" w14:textId="11DA7A04" w:rsidR="00A96A06" w:rsidRPr="001E6023" w:rsidRDefault="00A96A06" w:rsidP="004F5521">
            <w:pPr>
              <w:autoSpaceDE w:val="0"/>
              <w:autoSpaceDN w:val="0"/>
              <w:adjustRightInd w:val="0"/>
              <w:rPr>
                <w:rFonts w:ascii="Arial" w:hAnsi="Arial" w:cs="Arial"/>
                <w:szCs w:val="24"/>
              </w:rPr>
            </w:pPr>
            <w:r>
              <w:rPr>
                <w:rFonts w:ascii="Arial" w:hAnsi="Arial" w:cs="Arial"/>
                <w:szCs w:val="24"/>
              </w:rPr>
              <w:t>4.4</w:t>
            </w:r>
          </w:p>
          <w:p w14:paraId="751688CC" w14:textId="47F40B79" w:rsidR="000C2040" w:rsidRPr="001E6023" w:rsidRDefault="000C2040" w:rsidP="004F5521">
            <w:pPr>
              <w:autoSpaceDE w:val="0"/>
              <w:autoSpaceDN w:val="0"/>
              <w:adjustRightInd w:val="0"/>
              <w:rPr>
                <w:rFonts w:ascii="Arial" w:hAnsi="Arial" w:cs="Arial"/>
                <w:szCs w:val="24"/>
              </w:rPr>
            </w:pPr>
          </w:p>
        </w:tc>
        <w:tc>
          <w:tcPr>
            <w:tcW w:w="8618" w:type="dxa"/>
          </w:tcPr>
          <w:p w14:paraId="5E8E59E7" w14:textId="20575837" w:rsidR="000C2040" w:rsidRPr="001E6023" w:rsidRDefault="002674E4" w:rsidP="009B72F2">
            <w:pPr>
              <w:autoSpaceDE w:val="0"/>
              <w:autoSpaceDN w:val="0"/>
              <w:adjustRightInd w:val="0"/>
              <w:jc w:val="both"/>
              <w:rPr>
                <w:rFonts w:ascii="Arial" w:hAnsi="Arial" w:cs="Arial"/>
                <w:b/>
                <w:bCs/>
                <w:szCs w:val="24"/>
              </w:rPr>
            </w:pPr>
            <w:r w:rsidRPr="001E6023">
              <w:rPr>
                <w:rFonts w:ascii="Arial" w:hAnsi="Arial" w:cs="Arial"/>
                <w:szCs w:val="24"/>
              </w:rPr>
              <w:t xml:space="preserve">Within the FBC a </w:t>
            </w:r>
            <w:r w:rsidR="00B30B03" w:rsidRPr="001E6023">
              <w:rPr>
                <w:rFonts w:ascii="Arial" w:hAnsi="Arial" w:cs="Arial"/>
                <w:szCs w:val="24"/>
              </w:rPr>
              <w:t>ten-year</w:t>
            </w:r>
            <w:r w:rsidRPr="001E6023">
              <w:rPr>
                <w:rFonts w:ascii="Arial" w:hAnsi="Arial" w:cs="Arial"/>
                <w:szCs w:val="24"/>
              </w:rPr>
              <w:t xml:space="preserve"> </w:t>
            </w:r>
            <w:r w:rsidR="008D6057" w:rsidRPr="001E6023">
              <w:rPr>
                <w:rFonts w:ascii="Arial" w:hAnsi="Arial" w:cs="Arial"/>
                <w:szCs w:val="24"/>
              </w:rPr>
              <w:t>financial forecast is presented</w:t>
            </w:r>
            <w:r w:rsidR="00C418C6" w:rsidRPr="001E6023">
              <w:rPr>
                <w:rFonts w:ascii="Arial" w:hAnsi="Arial" w:cs="Arial"/>
                <w:szCs w:val="24"/>
              </w:rPr>
              <w:t xml:space="preserve"> showing the projected expenditure, income and surplus of the new visitor attraction.  The </w:t>
            </w:r>
            <w:r w:rsidR="00C77B0E" w:rsidRPr="001E6023">
              <w:rPr>
                <w:rFonts w:ascii="Arial" w:hAnsi="Arial" w:cs="Arial"/>
                <w:szCs w:val="24"/>
              </w:rPr>
              <w:t xml:space="preserve">forecast is presented in </w:t>
            </w:r>
            <w:r w:rsidR="00C77B0E" w:rsidRPr="001E6023">
              <w:rPr>
                <w:rFonts w:ascii="Arial" w:hAnsi="Arial" w:cs="Arial"/>
                <w:b/>
                <w:bCs/>
                <w:szCs w:val="24"/>
              </w:rPr>
              <w:t>A</w:t>
            </w:r>
            <w:r w:rsidR="009B72F2">
              <w:rPr>
                <w:rFonts w:ascii="Arial" w:hAnsi="Arial" w:cs="Arial"/>
                <w:b/>
                <w:bCs/>
                <w:szCs w:val="24"/>
              </w:rPr>
              <w:t>ppendix</w:t>
            </w:r>
            <w:r w:rsidR="00C77B0E" w:rsidRPr="001E6023">
              <w:rPr>
                <w:rFonts w:ascii="Arial" w:hAnsi="Arial" w:cs="Arial"/>
                <w:b/>
                <w:bCs/>
                <w:szCs w:val="24"/>
              </w:rPr>
              <w:t xml:space="preserve"> B.</w:t>
            </w:r>
          </w:p>
          <w:p w14:paraId="45E984DC" w14:textId="77777777" w:rsidR="00AA0ADE" w:rsidRPr="001E6023" w:rsidRDefault="00AA0ADE" w:rsidP="009B72F2">
            <w:pPr>
              <w:autoSpaceDE w:val="0"/>
              <w:autoSpaceDN w:val="0"/>
              <w:adjustRightInd w:val="0"/>
              <w:jc w:val="both"/>
              <w:rPr>
                <w:rFonts w:ascii="Arial" w:hAnsi="Arial" w:cs="Arial"/>
                <w:b/>
                <w:bCs/>
                <w:szCs w:val="24"/>
              </w:rPr>
            </w:pPr>
          </w:p>
          <w:p w14:paraId="073F13D5" w14:textId="77777777" w:rsidR="00605198" w:rsidRPr="001E6023" w:rsidRDefault="00B73517" w:rsidP="009B72F2">
            <w:pPr>
              <w:autoSpaceDE w:val="0"/>
              <w:autoSpaceDN w:val="0"/>
              <w:adjustRightInd w:val="0"/>
              <w:jc w:val="both"/>
              <w:rPr>
                <w:rFonts w:ascii="Arial" w:hAnsi="Arial" w:cs="Arial"/>
                <w:color w:val="000000" w:themeColor="text1"/>
                <w:szCs w:val="24"/>
              </w:rPr>
            </w:pPr>
            <w:r w:rsidRPr="001E6023">
              <w:rPr>
                <w:rFonts w:ascii="Arial" w:hAnsi="Arial" w:cs="Arial"/>
                <w:szCs w:val="24"/>
              </w:rPr>
              <w:t xml:space="preserve">It is projected that </w:t>
            </w:r>
            <w:r w:rsidR="00F57DD2" w:rsidRPr="001E6023">
              <w:rPr>
                <w:rFonts w:ascii="Arial" w:hAnsi="Arial" w:cs="Arial"/>
                <w:szCs w:val="24"/>
              </w:rPr>
              <w:t xml:space="preserve">in the mature operating years (year 3 onwards) there will be an annual operating surplus of </w:t>
            </w:r>
            <w:r w:rsidR="009C40B4" w:rsidRPr="001E6023">
              <w:rPr>
                <w:rFonts w:ascii="Arial" w:hAnsi="Arial" w:cs="Arial"/>
                <w:szCs w:val="24"/>
              </w:rPr>
              <w:t xml:space="preserve">£300K.  </w:t>
            </w:r>
            <w:r w:rsidR="00155A7C" w:rsidRPr="001E6023">
              <w:rPr>
                <w:rFonts w:ascii="Arial" w:hAnsi="Arial" w:cs="Arial"/>
                <w:szCs w:val="24"/>
              </w:rPr>
              <w:t xml:space="preserve">The Council proposes that </w:t>
            </w:r>
            <w:r w:rsidR="00155A7C" w:rsidRPr="001E6023">
              <w:rPr>
                <w:rFonts w:ascii="Arial" w:hAnsi="Arial" w:cs="Arial"/>
                <w:color w:val="000000" w:themeColor="text1"/>
                <w:szCs w:val="24"/>
              </w:rPr>
              <w:t xml:space="preserve">a stand-alone Service Level Agreement be devised between The Highland Council and </w:t>
            </w:r>
            <w:r w:rsidR="00FD7E86" w:rsidRPr="001E6023">
              <w:rPr>
                <w:rFonts w:ascii="Arial" w:hAnsi="Arial" w:cs="Arial"/>
                <w:color w:val="000000" w:themeColor="text1"/>
                <w:szCs w:val="24"/>
              </w:rPr>
              <w:t xml:space="preserve">HLH </w:t>
            </w:r>
            <w:r w:rsidR="00155A7C" w:rsidRPr="001E6023">
              <w:rPr>
                <w:rFonts w:ascii="Arial" w:hAnsi="Arial" w:cs="Arial"/>
                <w:color w:val="000000" w:themeColor="text1"/>
                <w:szCs w:val="24"/>
              </w:rPr>
              <w:t>and that the financial model operates on the basis of an equal profit sharing split, once all operating costs and loan repayment charges are met</w:t>
            </w:r>
            <w:r w:rsidR="00FD7E86" w:rsidRPr="001E6023">
              <w:rPr>
                <w:rFonts w:ascii="Arial" w:hAnsi="Arial" w:cs="Arial"/>
                <w:color w:val="000000" w:themeColor="text1"/>
                <w:szCs w:val="24"/>
              </w:rPr>
              <w:t xml:space="preserve">.  </w:t>
            </w:r>
          </w:p>
          <w:p w14:paraId="06028FA7" w14:textId="77777777" w:rsidR="00605198" w:rsidRPr="001E6023" w:rsidRDefault="00605198" w:rsidP="009B72F2">
            <w:pPr>
              <w:autoSpaceDE w:val="0"/>
              <w:autoSpaceDN w:val="0"/>
              <w:adjustRightInd w:val="0"/>
              <w:jc w:val="both"/>
              <w:rPr>
                <w:rFonts w:ascii="Arial" w:hAnsi="Arial" w:cs="Arial"/>
                <w:color w:val="000000" w:themeColor="text1"/>
                <w:szCs w:val="24"/>
              </w:rPr>
            </w:pPr>
          </w:p>
          <w:p w14:paraId="1D6C2098" w14:textId="50B93713" w:rsidR="00605198" w:rsidRPr="001E6023" w:rsidRDefault="00FD7E86" w:rsidP="009B72F2">
            <w:pPr>
              <w:pStyle w:val="NoSpacing"/>
              <w:jc w:val="both"/>
              <w:rPr>
                <w:rFonts w:ascii="Arial" w:eastAsia="Times New Roman" w:hAnsi="Arial" w:cs="Arial"/>
                <w:sz w:val="24"/>
                <w:szCs w:val="24"/>
                <w:lang w:eastAsia="en-GB"/>
              </w:rPr>
            </w:pPr>
            <w:r w:rsidRPr="001E6023">
              <w:rPr>
                <w:rFonts w:ascii="Arial" w:hAnsi="Arial" w:cs="Arial"/>
                <w:color w:val="000000" w:themeColor="text1"/>
                <w:sz w:val="24"/>
                <w:szCs w:val="24"/>
              </w:rPr>
              <w:t xml:space="preserve">The Council will invest its 50% in its savings targets, while </w:t>
            </w:r>
            <w:r w:rsidR="00605198" w:rsidRPr="001E6023">
              <w:rPr>
                <w:rFonts w:ascii="Arial" w:hAnsi="Arial" w:cs="Arial"/>
                <w:color w:val="000000" w:themeColor="text1"/>
                <w:sz w:val="24"/>
                <w:szCs w:val="24"/>
              </w:rPr>
              <w:t xml:space="preserve">requesting that HLH </w:t>
            </w:r>
            <w:r w:rsidR="006239B2">
              <w:rPr>
                <w:rFonts w:ascii="Arial" w:hAnsi="Arial" w:cs="Arial"/>
                <w:color w:val="000000" w:themeColor="text1"/>
                <w:sz w:val="24"/>
                <w:szCs w:val="24"/>
              </w:rPr>
              <w:t xml:space="preserve">restrict the use of its </w:t>
            </w:r>
            <w:r w:rsidR="00605198" w:rsidRPr="001E6023">
              <w:rPr>
                <w:rFonts w:ascii="Arial" w:hAnsi="Arial" w:cs="Arial"/>
                <w:bCs/>
                <w:color w:val="000000"/>
                <w:sz w:val="24"/>
                <w:szCs w:val="24"/>
                <w:lang w:eastAsia="en-GB"/>
              </w:rPr>
              <w:t xml:space="preserve">50% to support </w:t>
            </w:r>
            <w:r w:rsidR="00605198" w:rsidRPr="001E6023">
              <w:rPr>
                <w:rFonts w:ascii="Arial" w:hAnsi="Arial" w:cs="Arial"/>
                <w:color w:val="000000"/>
                <w:sz w:val="24"/>
                <w:szCs w:val="24"/>
                <w:lang w:eastAsia="en-GB"/>
              </w:rPr>
              <w:t>the development of leisure, cultural and tourism facilities and services throughout the Highlands (outside the Inverness City centre boundary) on behalf of The Highland Council.</w:t>
            </w:r>
          </w:p>
          <w:p w14:paraId="69BF1FAC" w14:textId="582B39DD" w:rsidR="00AA0ADE" w:rsidRPr="001E6023" w:rsidRDefault="00AA0ADE" w:rsidP="009B72F2">
            <w:pPr>
              <w:autoSpaceDE w:val="0"/>
              <w:autoSpaceDN w:val="0"/>
              <w:adjustRightInd w:val="0"/>
              <w:jc w:val="both"/>
              <w:rPr>
                <w:rFonts w:ascii="Arial" w:hAnsi="Arial" w:cs="Arial"/>
                <w:szCs w:val="24"/>
              </w:rPr>
            </w:pPr>
          </w:p>
          <w:p w14:paraId="7ABEC02D" w14:textId="1DC0177E" w:rsidR="009C40B4" w:rsidRPr="001E6023" w:rsidRDefault="00F27484" w:rsidP="009B72F2">
            <w:pPr>
              <w:autoSpaceDE w:val="0"/>
              <w:autoSpaceDN w:val="0"/>
              <w:adjustRightInd w:val="0"/>
              <w:jc w:val="both"/>
              <w:rPr>
                <w:rFonts w:ascii="Arial" w:hAnsi="Arial" w:cs="Arial"/>
                <w:szCs w:val="24"/>
              </w:rPr>
            </w:pPr>
            <w:r>
              <w:rPr>
                <w:rFonts w:ascii="Arial" w:hAnsi="Arial" w:cs="Arial"/>
                <w:szCs w:val="24"/>
              </w:rPr>
              <w:t xml:space="preserve">The second purpose of this report is to </w:t>
            </w:r>
            <w:r w:rsidR="0009456D" w:rsidRPr="001E6023">
              <w:rPr>
                <w:rFonts w:ascii="Arial" w:hAnsi="Arial" w:cs="Arial"/>
                <w:color w:val="000000" w:themeColor="text1"/>
                <w:szCs w:val="24"/>
              </w:rPr>
              <w:t xml:space="preserve">present the request by The Highland Council for HLH to </w:t>
            </w:r>
            <w:r w:rsidR="0009456D">
              <w:rPr>
                <w:rFonts w:ascii="Arial" w:hAnsi="Arial" w:cs="Arial"/>
                <w:color w:val="000000" w:themeColor="text1"/>
                <w:szCs w:val="24"/>
              </w:rPr>
              <w:t xml:space="preserve">invest its 50% of the profit </w:t>
            </w:r>
            <w:r w:rsidR="00D20CF8">
              <w:rPr>
                <w:rFonts w:ascii="Arial" w:hAnsi="Arial" w:cs="Arial"/>
                <w:color w:val="000000" w:themeColor="text1"/>
                <w:szCs w:val="24"/>
              </w:rPr>
              <w:t xml:space="preserve">from the operation of Inverness Castle </w:t>
            </w:r>
            <w:r w:rsidR="0009456D">
              <w:rPr>
                <w:rFonts w:ascii="Arial" w:hAnsi="Arial" w:cs="Arial"/>
                <w:color w:val="000000" w:themeColor="text1"/>
                <w:szCs w:val="24"/>
              </w:rPr>
              <w:t>in th</w:t>
            </w:r>
            <w:r w:rsidR="00D20CF8">
              <w:rPr>
                <w:rFonts w:ascii="Arial" w:hAnsi="Arial" w:cs="Arial"/>
                <w:color w:val="000000" w:themeColor="text1"/>
                <w:szCs w:val="24"/>
              </w:rPr>
              <w:t xml:space="preserve">e manner set out in section </w:t>
            </w:r>
            <w:r w:rsidR="0016288C">
              <w:rPr>
                <w:rFonts w:ascii="Arial" w:hAnsi="Arial" w:cs="Arial"/>
                <w:color w:val="000000" w:themeColor="text1"/>
                <w:szCs w:val="24"/>
              </w:rPr>
              <w:t>4.3 and</w:t>
            </w:r>
            <w:r w:rsidR="0009456D">
              <w:rPr>
                <w:rFonts w:ascii="Arial" w:hAnsi="Arial" w:cs="Arial"/>
                <w:color w:val="000000" w:themeColor="text1"/>
                <w:szCs w:val="24"/>
              </w:rPr>
              <w:t xml:space="preserve"> </w:t>
            </w:r>
            <w:r w:rsidR="0009456D" w:rsidRPr="001E6023">
              <w:rPr>
                <w:rFonts w:ascii="Arial" w:hAnsi="Arial" w:cs="Arial"/>
                <w:color w:val="000000" w:themeColor="text1"/>
                <w:szCs w:val="24"/>
              </w:rPr>
              <w:t>to recommend that Directors respond positively.</w:t>
            </w:r>
          </w:p>
          <w:p w14:paraId="7C8AE063" w14:textId="642F0424" w:rsidR="009C40B4" w:rsidRPr="001E6023" w:rsidRDefault="009C40B4" w:rsidP="009B72F2">
            <w:pPr>
              <w:autoSpaceDE w:val="0"/>
              <w:autoSpaceDN w:val="0"/>
              <w:adjustRightInd w:val="0"/>
              <w:jc w:val="both"/>
              <w:rPr>
                <w:rFonts w:ascii="Arial" w:hAnsi="Arial" w:cs="Arial"/>
                <w:szCs w:val="24"/>
              </w:rPr>
            </w:pPr>
          </w:p>
        </w:tc>
      </w:tr>
      <w:tr w:rsidR="004F5521" w:rsidRPr="001E6023" w14:paraId="527112CC"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E683D7C" w14:textId="3BB4CD46" w:rsidR="004F5521" w:rsidRPr="001E6023" w:rsidRDefault="00C91965" w:rsidP="004F5521">
            <w:pPr>
              <w:autoSpaceDE w:val="0"/>
              <w:autoSpaceDN w:val="0"/>
              <w:adjustRightInd w:val="0"/>
              <w:rPr>
                <w:rFonts w:ascii="Arial" w:hAnsi="Arial" w:cs="Arial"/>
                <w:b/>
                <w:bCs/>
                <w:szCs w:val="24"/>
              </w:rPr>
            </w:pPr>
            <w:r w:rsidRPr="001E6023">
              <w:rPr>
                <w:rFonts w:ascii="Arial" w:hAnsi="Arial" w:cs="Arial"/>
                <w:b/>
                <w:bCs/>
                <w:szCs w:val="24"/>
              </w:rPr>
              <w:t>5</w:t>
            </w:r>
            <w:r w:rsidR="004F5521" w:rsidRPr="001E6023">
              <w:rPr>
                <w:rFonts w:ascii="Arial" w:hAnsi="Arial" w:cs="Arial"/>
                <w:b/>
                <w:bCs/>
                <w:szCs w:val="24"/>
              </w:rPr>
              <w:t>.</w:t>
            </w:r>
          </w:p>
          <w:p w14:paraId="119B3499" w14:textId="7BF7D9B7" w:rsidR="004F5521" w:rsidRPr="001E6023" w:rsidRDefault="004F5521" w:rsidP="004F5521">
            <w:pPr>
              <w:autoSpaceDE w:val="0"/>
              <w:autoSpaceDN w:val="0"/>
              <w:adjustRightInd w:val="0"/>
              <w:rPr>
                <w:rFonts w:ascii="Arial" w:hAnsi="Arial" w:cs="Arial"/>
                <w:b/>
                <w:szCs w:val="24"/>
              </w:rPr>
            </w:pPr>
          </w:p>
        </w:tc>
        <w:tc>
          <w:tcPr>
            <w:tcW w:w="8618" w:type="dxa"/>
          </w:tcPr>
          <w:p w14:paraId="0A3D8FED" w14:textId="77777777" w:rsidR="004F5521" w:rsidRPr="001E6023" w:rsidRDefault="004F5521" w:rsidP="004F5521">
            <w:pPr>
              <w:autoSpaceDE w:val="0"/>
              <w:autoSpaceDN w:val="0"/>
              <w:adjustRightInd w:val="0"/>
              <w:jc w:val="both"/>
              <w:rPr>
                <w:rFonts w:ascii="Arial" w:hAnsi="Arial" w:cs="Arial"/>
                <w:b/>
                <w:szCs w:val="24"/>
              </w:rPr>
            </w:pPr>
            <w:r w:rsidRPr="001E6023">
              <w:rPr>
                <w:rFonts w:ascii="Arial" w:hAnsi="Arial" w:cs="Arial"/>
                <w:b/>
                <w:szCs w:val="24"/>
              </w:rPr>
              <w:t>Implications</w:t>
            </w:r>
          </w:p>
          <w:p w14:paraId="76C72F5E" w14:textId="77777777" w:rsidR="004F5521" w:rsidRPr="001E6023" w:rsidRDefault="004F5521" w:rsidP="004F5521">
            <w:pPr>
              <w:autoSpaceDE w:val="0"/>
              <w:autoSpaceDN w:val="0"/>
              <w:adjustRightInd w:val="0"/>
              <w:jc w:val="both"/>
              <w:rPr>
                <w:rFonts w:ascii="Arial" w:hAnsi="Arial" w:cs="Arial"/>
                <w:b/>
                <w:szCs w:val="24"/>
              </w:rPr>
            </w:pPr>
          </w:p>
        </w:tc>
      </w:tr>
      <w:tr w:rsidR="004F5521" w:rsidRPr="001E6023" w14:paraId="7A15AD82"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6EAFA71" w14:textId="358DDDFC" w:rsidR="004F5521" w:rsidRPr="001E6023" w:rsidRDefault="00C91965" w:rsidP="004F5521">
            <w:pPr>
              <w:autoSpaceDE w:val="0"/>
              <w:autoSpaceDN w:val="0"/>
              <w:adjustRightInd w:val="0"/>
              <w:rPr>
                <w:rFonts w:ascii="Arial" w:hAnsi="Arial" w:cs="Arial"/>
                <w:szCs w:val="24"/>
              </w:rPr>
            </w:pPr>
            <w:r w:rsidRPr="001E6023">
              <w:rPr>
                <w:rFonts w:ascii="Arial" w:hAnsi="Arial" w:cs="Arial"/>
                <w:szCs w:val="24"/>
              </w:rPr>
              <w:t>5</w:t>
            </w:r>
            <w:r w:rsidR="004F5521" w:rsidRPr="001E6023">
              <w:rPr>
                <w:rFonts w:ascii="Arial" w:hAnsi="Arial" w:cs="Arial"/>
                <w:szCs w:val="24"/>
              </w:rPr>
              <w:t>.1</w:t>
            </w:r>
          </w:p>
        </w:tc>
        <w:tc>
          <w:tcPr>
            <w:tcW w:w="8618" w:type="dxa"/>
          </w:tcPr>
          <w:p w14:paraId="0F96B531" w14:textId="72A9494F" w:rsidR="004F5521" w:rsidRPr="001E6023" w:rsidRDefault="004F5521" w:rsidP="004F5521">
            <w:pPr>
              <w:autoSpaceDE w:val="0"/>
              <w:autoSpaceDN w:val="0"/>
              <w:adjustRightInd w:val="0"/>
              <w:jc w:val="both"/>
              <w:rPr>
                <w:rFonts w:ascii="Arial" w:hAnsi="Arial" w:cs="Arial"/>
                <w:szCs w:val="24"/>
              </w:rPr>
            </w:pPr>
            <w:r w:rsidRPr="001E6023">
              <w:rPr>
                <w:rFonts w:ascii="Arial" w:hAnsi="Arial" w:cs="Arial"/>
                <w:szCs w:val="24"/>
              </w:rPr>
              <w:t xml:space="preserve">Resource Implications – </w:t>
            </w:r>
            <w:r w:rsidR="002A1504">
              <w:rPr>
                <w:rFonts w:ascii="Arial" w:hAnsi="Arial" w:cs="Arial"/>
                <w:szCs w:val="24"/>
              </w:rPr>
              <w:t>it is projected that there will be positive r</w:t>
            </w:r>
            <w:r w:rsidRPr="001E6023">
              <w:rPr>
                <w:rFonts w:ascii="Arial" w:hAnsi="Arial" w:cs="Arial"/>
                <w:szCs w:val="24"/>
              </w:rPr>
              <w:t xml:space="preserve">esource implications </w:t>
            </w:r>
            <w:r w:rsidR="00E00757">
              <w:rPr>
                <w:rFonts w:ascii="Arial" w:hAnsi="Arial" w:cs="Arial"/>
                <w:szCs w:val="24"/>
              </w:rPr>
              <w:t xml:space="preserve">for HLH from </w:t>
            </w:r>
            <w:r w:rsidR="00E962EE">
              <w:rPr>
                <w:rFonts w:ascii="Arial" w:hAnsi="Arial" w:cs="Arial"/>
                <w:szCs w:val="24"/>
              </w:rPr>
              <w:t xml:space="preserve">the </w:t>
            </w:r>
            <w:r w:rsidR="00E00757">
              <w:rPr>
                <w:rFonts w:ascii="Arial" w:hAnsi="Arial" w:cs="Arial"/>
                <w:szCs w:val="24"/>
              </w:rPr>
              <w:t>financial year 2026/27</w:t>
            </w:r>
            <w:r w:rsidR="00E962EE">
              <w:rPr>
                <w:rFonts w:ascii="Arial" w:hAnsi="Arial" w:cs="Arial"/>
                <w:szCs w:val="24"/>
              </w:rPr>
              <w:t>,</w:t>
            </w:r>
            <w:r w:rsidR="00E00757">
              <w:rPr>
                <w:rFonts w:ascii="Arial" w:hAnsi="Arial" w:cs="Arial"/>
                <w:szCs w:val="24"/>
              </w:rPr>
              <w:t xml:space="preserve"> following the first full year of operation of the new visitor attraction</w:t>
            </w:r>
            <w:r w:rsidRPr="001E6023">
              <w:rPr>
                <w:rFonts w:ascii="Arial" w:hAnsi="Arial" w:cs="Arial"/>
                <w:szCs w:val="24"/>
              </w:rPr>
              <w:t>.</w:t>
            </w:r>
          </w:p>
          <w:p w14:paraId="23B1E11C" w14:textId="77777777" w:rsidR="004F5521" w:rsidRPr="001E6023" w:rsidRDefault="004F5521" w:rsidP="004F5521">
            <w:pPr>
              <w:jc w:val="both"/>
              <w:rPr>
                <w:rFonts w:ascii="Arial" w:hAnsi="Arial" w:cs="Arial"/>
                <w:szCs w:val="24"/>
                <w:highlight w:val="yellow"/>
              </w:rPr>
            </w:pPr>
          </w:p>
        </w:tc>
      </w:tr>
      <w:tr w:rsidR="004F5521" w:rsidRPr="001E6023" w14:paraId="678F489D"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2CAE593A" w14:textId="2AEAFA8D" w:rsidR="004F5521" w:rsidRPr="001E6023" w:rsidRDefault="00C91965" w:rsidP="004F5521">
            <w:pPr>
              <w:autoSpaceDE w:val="0"/>
              <w:autoSpaceDN w:val="0"/>
              <w:adjustRightInd w:val="0"/>
              <w:rPr>
                <w:rFonts w:ascii="Arial" w:hAnsi="Arial" w:cs="Arial"/>
                <w:szCs w:val="24"/>
              </w:rPr>
            </w:pPr>
            <w:r w:rsidRPr="001E6023">
              <w:rPr>
                <w:rFonts w:ascii="Arial" w:hAnsi="Arial" w:cs="Arial"/>
                <w:szCs w:val="24"/>
              </w:rPr>
              <w:t>5</w:t>
            </w:r>
            <w:r w:rsidR="004F5521" w:rsidRPr="001E6023">
              <w:rPr>
                <w:rFonts w:ascii="Arial" w:hAnsi="Arial" w:cs="Arial"/>
                <w:szCs w:val="24"/>
              </w:rPr>
              <w:t>.2</w:t>
            </w:r>
          </w:p>
        </w:tc>
        <w:tc>
          <w:tcPr>
            <w:tcW w:w="8618" w:type="dxa"/>
          </w:tcPr>
          <w:p w14:paraId="37A1C96F" w14:textId="2B60485E" w:rsidR="004F5521" w:rsidRPr="001E6023" w:rsidRDefault="004F5521" w:rsidP="004F5521">
            <w:pPr>
              <w:autoSpaceDE w:val="0"/>
              <w:autoSpaceDN w:val="0"/>
              <w:adjustRightInd w:val="0"/>
              <w:jc w:val="both"/>
              <w:rPr>
                <w:rFonts w:ascii="Arial" w:hAnsi="Arial" w:cs="Arial"/>
                <w:szCs w:val="24"/>
              </w:rPr>
            </w:pPr>
            <w:r w:rsidRPr="001E6023">
              <w:rPr>
                <w:rFonts w:ascii="Arial" w:hAnsi="Arial" w:cs="Arial"/>
                <w:szCs w:val="24"/>
              </w:rPr>
              <w:t xml:space="preserve">Legal Implications </w:t>
            </w:r>
            <w:r w:rsidR="00E962EE">
              <w:rPr>
                <w:rFonts w:ascii="Arial" w:hAnsi="Arial" w:cs="Arial"/>
                <w:szCs w:val="24"/>
              </w:rPr>
              <w:t>–</w:t>
            </w:r>
            <w:r w:rsidRPr="001E6023">
              <w:rPr>
                <w:rFonts w:ascii="Arial" w:hAnsi="Arial" w:cs="Arial"/>
                <w:szCs w:val="24"/>
              </w:rPr>
              <w:t xml:space="preserve"> </w:t>
            </w:r>
            <w:r w:rsidR="00E962EE">
              <w:rPr>
                <w:rFonts w:ascii="Arial" w:hAnsi="Arial" w:cs="Arial"/>
                <w:szCs w:val="24"/>
              </w:rPr>
              <w:t xml:space="preserve">A separate Service Level Agreement between </w:t>
            </w:r>
            <w:r w:rsidR="00CF02C0">
              <w:rPr>
                <w:rFonts w:ascii="Arial" w:hAnsi="Arial" w:cs="Arial"/>
                <w:szCs w:val="24"/>
              </w:rPr>
              <w:t>The Highland Council and High Life Highland will be devised to set out the terms by which HL</w:t>
            </w:r>
            <w:r w:rsidR="00263AF1">
              <w:rPr>
                <w:rFonts w:ascii="Arial" w:hAnsi="Arial" w:cs="Arial"/>
                <w:szCs w:val="24"/>
              </w:rPr>
              <w:t>H</w:t>
            </w:r>
            <w:r w:rsidR="00CF02C0">
              <w:rPr>
                <w:rFonts w:ascii="Arial" w:hAnsi="Arial" w:cs="Arial"/>
                <w:szCs w:val="24"/>
              </w:rPr>
              <w:t xml:space="preserve"> will act as the Council’s Managing Ag</w:t>
            </w:r>
            <w:r w:rsidR="00263AF1">
              <w:rPr>
                <w:rFonts w:ascii="Arial" w:hAnsi="Arial" w:cs="Arial"/>
                <w:szCs w:val="24"/>
              </w:rPr>
              <w:t>ent</w:t>
            </w:r>
            <w:r w:rsidRPr="001E6023">
              <w:rPr>
                <w:rFonts w:ascii="Arial" w:hAnsi="Arial" w:cs="Arial"/>
                <w:szCs w:val="24"/>
              </w:rPr>
              <w:t>.</w:t>
            </w:r>
          </w:p>
          <w:p w14:paraId="54B9661D" w14:textId="77777777" w:rsidR="004F5521" w:rsidRPr="001E6023" w:rsidRDefault="004F5521" w:rsidP="004F5521">
            <w:pPr>
              <w:autoSpaceDE w:val="0"/>
              <w:autoSpaceDN w:val="0"/>
              <w:adjustRightInd w:val="0"/>
              <w:jc w:val="both"/>
              <w:rPr>
                <w:rFonts w:ascii="Arial" w:hAnsi="Arial" w:cs="Arial"/>
                <w:szCs w:val="24"/>
              </w:rPr>
            </w:pPr>
          </w:p>
        </w:tc>
      </w:tr>
      <w:tr w:rsidR="004F5521" w:rsidRPr="001E6023" w14:paraId="1BB8377B"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1B67839" w14:textId="35212BD4" w:rsidR="004F5521" w:rsidRPr="001E6023" w:rsidRDefault="00C91965" w:rsidP="004F5521">
            <w:pPr>
              <w:autoSpaceDE w:val="0"/>
              <w:autoSpaceDN w:val="0"/>
              <w:adjustRightInd w:val="0"/>
              <w:rPr>
                <w:rFonts w:ascii="Arial" w:hAnsi="Arial" w:cs="Arial"/>
                <w:bCs/>
                <w:szCs w:val="24"/>
              </w:rPr>
            </w:pPr>
            <w:r w:rsidRPr="001E6023">
              <w:rPr>
                <w:rFonts w:ascii="Arial" w:hAnsi="Arial" w:cs="Arial"/>
                <w:bCs/>
                <w:szCs w:val="24"/>
              </w:rPr>
              <w:t>5</w:t>
            </w:r>
            <w:r w:rsidR="004F5521" w:rsidRPr="001E6023">
              <w:rPr>
                <w:rFonts w:ascii="Arial" w:hAnsi="Arial" w:cs="Arial"/>
                <w:bCs/>
                <w:szCs w:val="24"/>
              </w:rPr>
              <w:t>.3</w:t>
            </w:r>
          </w:p>
        </w:tc>
        <w:tc>
          <w:tcPr>
            <w:tcW w:w="8618" w:type="dxa"/>
          </w:tcPr>
          <w:p w14:paraId="5DFF8F51" w14:textId="0EF0DD08" w:rsidR="00F82BAF" w:rsidRDefault="004F5521" w:rsidP="00F82BAF">
            <w:pPr>
              <w:autoSpaceDE w:val="0"/>
              <w:autoSpaceDN w:val="0"/>
              <w:adjustRightInd w:val="0"/>
              <w:jc w:val="both"/>
              <w:rPr>
                <w:rFonts w:ascii="Arial" w:hAnsi="Arial" w:cs="Arial"/>
                <w:szCs w:val="24"/>
              </w:rPr>
            </w:pPr>
            <w:r w:rsidRPr="001E6023">
              <w:rPr>
                <w:rFonts w:ascii="Arial" w:hAnsi="Arial" w:cs="Arial"/>
                <w:szCs w:val="24"/>
              </w:rPr>
              <w:t xml:space="preserve">Equality Implications – </w:t>
            </w:r>
            <w:r w:rsidR="00F82BAF">
              <w:rPr>
                <w:rFonts w:ascii="Arial" w:hAnsi="Arial" w:cs="Arial"/>
                <w:szCs w:val="24"/>
              </w:rPr>
              <w:t xml:space="preserve">an Equalities Impact Assessment (EQIA) has been devised for the project and is set out in the </w:t>
            </w:r>
            <w:r w:rsidR="009F7F8A">
              <w:rPr>
                <w:rFonts w:ascii="Arial" w:hAnsi="Arial" w:cs="Arial"/>
                <w:szCs w:val="24"/>
              </w:rPr>
              <w:t xml:space="preserve">Final </w:t>
            </w:r>
            <w:r w:rsidR="00F82BAF">
              <w:rPr>
                <w:rFonts w:ascii="Arial" w:hAnsi="Arial" w:cs="Arial"/>
                <w:szCs w:val="24"/>
              </w:rPr>
              <w:t xml:space="preserve">Business Case. </w:t>
            </w:r>
          </w:p>
          <w:p w14:paraId="644DE788" w14:textId="77777777" w:rsidR="004F5521" w:rsidRPr="001E6023" w:rsidRDefault="004F5521" w:rsidP="004F5521">
            <w:pPr>
              <w:autoSpaceDE w:val="0"/>
              <w:autoSpaceDN w:val="0"/>
              <w:adjustRightInd w:val="0"/>
              <w:jc w:val="both"/>
              <w:rPr>
                <w:rFonts w:ascii="Arial" w:hAnsi="Arial" w:cs="Arial"/>
                <w:szCs w:val="24"/>
              </w:rPr>
            </w:pPr>
          </w:p>
        </w:tc>
      </w:tr>
      <w:tr w:rsidR="004F5521" w:rsidRPr="001E6023" w14:paraId="4C9FBDCF" w14:textId="77777777" w:rsidTr="0004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4EB3A30" w14:textId="63530436" w:rsidR="004F5521" w:rsidRPr="001E6023" w:rsidRDefault="00C91965" w:rsidP="004F5521">
            <w:pPr>
              <w:autoSpaceDE w:val="0"/>
              <w:autoSpaceDN w:val="0"/>
              <w:adjustRightInd w:val="0"/>
              <w:rPr>
                <w:rFonts w:ascii="Arial" w:hAnsi="Arial" w:cs="Arial"/>
                <w:szCs w:val="24"/>
              </w:rPr>
            </w:pPr>
            <w:r w:rsidRPr="001E6023">
              <w:rPr>
                <w:rFonts w:ascii="Arial" w:hAnsi="Arial" w:cs="Arial"/>
                <w:szCs w:val="24"/>
              </w:rPr>
              <w:t>5</w:t>
            </w:r>
            <w:r w:rsidR="004F5521" w:rsidRPr="001E6023">
              <w:rPr>
                <w:rFonts w:ascii="Arial" w:hAnsi="Arial" w:cs="Arial"/>
                <w:szCs w:val="24"/>
              </w:rPr>
              <w:t>.4</w:t>
            </w:r>
          </w:p>
        </w:tc>
        <w:tc>
          <w:tcPr>
            <w:tcW w:w="8618" w:type="dxa"/>
          </w:tcPr>
          <w:p w14:paraId="2F244178" w14:textId="08A2A964" w:rsidR="004F5521" w:rsidRPr="001E6023" w:rsidRDefault="004F5521" w:rsidP="004F5521">
            <w:pPr>
              <w:autoSpaceDE w:val="0"/>
              <w:autoSpaceDN w:val="0"/>
              <w:adjustRightInd w:val="0"/>
              <w:jc w:val="both"/>
              <w:rPr>
                <w:rFonts w:ascii="Arial" w:hAnsi="Arial" w:cs="Arial"/>
                <w:szCs w:val="24"/>
              </w:rPr>
            </w:pPr>
            <w:r w:rsidRPr="001E6023">
              <w:rPr>
                <w:rFonts w:ascii="Arial" w:hAnsi="Arial" w:cs="Arial"/>
                <w:szCs w:val="24"/>
              </w:rPr>
              <w:t>Risk Implications – t</w:t>
            </w:r>
            <w:r w:rsidR="00474EDD">
              <w:rPr>
                <w:rFonts w:ascii="Arial" w:hAnsi="Arial" w:cs="Arial"/>
                <w:szCs w:val="24"/>
              </w:rPr>
              <w:t>he Risk Register for the project has been devised and is set ou</w:t>
            </w:r>
            <w:r w:rsidR="009F7F8A">
              <w:rPr>
                <w:rFonts w:ascii="Arial" w:hAnsi="Arial" w:cs="Arial"/>
                <w:szCs w:val="24"/>
              </w:rPr>
              <w:t>t in the Final Business Case</w:t>
            </w:r>
            <w:r w:rsidRPr="001E6023">
              <w:rPr>
                <w:rFonts w:ascii="Arial" w:hAnsi="Arial" w:cs="Arial"/>
                <w:szCs w:val="24"/>
              </w:rPr>
              <w:t xml:space="preserve">. </w:t>
            </w:r>
          </w:p>
          <w:p w14:paraId="1CF06001" w14:textId="77777777" w:rsidR="004F5521" w:rsidRPr="001E6023" w:rsidRDefault="004F5521" w:rsidP="004F5521">
            <w:pPr>
              <w:autoSpaceDE w:val="0"/>
              <w:autoSpaceDN w:val="0"/>
              <w:adjustRightInd w:val="0"/>
              <w:jc w:val="both"/>
              <w:rPr>
                <w:rFonts w:ascii="Arial" w:hAnsi="Arial" w:cs="Arial"/>
                <w:b/>
                <w:szCs w:val="24"/>
              </w:rPr>
            </w:pPr>
          </w:p>
        </w:tc>
      </w:tr>
    </w:tbl>
    <w:p w14:paraId="274197ED" w14:textId="77777777" w:rsidR="0039450A" w:rsidRPr="001E6023"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1E6023" w14:paraId="134C5FAB" w14:textId="77777777" w:rsidTr="00555FC1">
        <w:trPr>
          <w:cantSplit/>
        </w:trPr>
        <w:tc>
          <w:tcPr>
            <w:tcW w:w="9464" w:type="dxa"/>
          </w:tcPr>
          <w:p w14:paraId="1A6E1DE4" w14:textId="77777777" w:rsidR="00555FC1" w:rsidRPr="001E6023" w:rsidRDefault="00555FC1" w:rsidP="00555FC1">
            <w:pPr>
              <w:pStyle w:val="Heading2"/>
              <w:rPr>
                <w:rFonts w:ascii="Arial" w:hAnsi="Arial" w:cs="Arial"/>
                <w:b/>
                <w:szCs w:val="24"/>
                <w:u w:val="none"/>
              </w:rPr>
            </w:pPr>
            <w:r w:rsidRPr="001E6023">
              <w:rPr>
                <w:rFonts w:ascii="Arial" w:hAnsi="Arial" w:cs="Arial"/>
                <w:b/>
                <w:szCs w:val="24"/>
                <w:u w:val="none"/>
              </w:rPr>
              <w:lastRenderedPageBreak/>
              <w:t xml:space="preserve"> Recommendations</w:t>
            </w:r>
          </w:p>
          <w:p w14:paraId="0D7D6F8D" w14:textId="77777777" w:rsidR="00555FC1" w:rsidRPr="001E6023" w:rsidRDefault="00555FC1" w:rsidP="00555FC1">
            <w:pPr>
              <w:jc w:val="both"/>
              <w:rPr>
                <w:rFonts w:ascii="Arial" w:hAnsi="Arial" w:cs="Arial"/>
                <w:szCs w:val="24"/>
              </w:rPr>
            </w:pPr>
          </w:p>
          <w:p w14:paraId="467AB840" w14:textId="6E8647B8" w:rsidR="00690507" w:rsidRDefault="0036252C" w:rsidP="00762379">
            <w:pPr>
              <w:jc w:val="both"/>
              <w:rPr>
                <w:rFonts w:ascii="Arial" w:hAnsi="Arial" w:cs="Arial"/>
                <w:szCs w:val="24"/>
              </w:rPr>
            </w:pPr>
            <w:r w:rsidRPr="001E6023">
              <w:rPr>
                <w:rFonts w:ascii="Arial" w:hAnsi="Arial" w:cs="Arial"/>
                <w:szCs w:val="24"/>
              </w:rPr>
              <w:t>It is recommended Directors</w:t>
            </w:r>
            <w:r w:rsidR="00B41649">
              <w:rPr>
                <w:rFonts w:ascii="Arial" w:hAnsi="Arial" w:cs="Arial"/>
                <w:szCs w:val="24"/>
              </w:rPr>
              <w:t xml:space="preserve"> agree that:</w:t>
            </w:r>
          </w:p>
          <w:p w14:paraId="307A5F3F" w14:textId="61A4C209" w:rsidR="00B41649" w:rsidRDefault="00B41649" w:rsidP="00762379">
            <w:pPr>
              <w:jc w:val="both"/>
              <w:rPr>
                <w:rFonts w:ascii="Arial" w:hAnsi="Arial" w:cs="Arial"/>
                <w:szCs w:val="24"/>
              </w:rPr>
            </w:pPr>
          </w:p>
          <w:p w14:paraId="20E2DBFD" w14:textId="77777777" w:rsidR="00B41649" w:rsidRPr="001E6023" w:rsidRDefault="00B41649" w:rsidP="009B72F2">
            <w:pPr>
              <w:pStyle w:val="ListParagraph"/>
              <w:numPr>
                <w:ilvl w:val="0"/>
                <w:numId w:val="27"/>
              </w:numPr>
              <w:ind w:left="589" w:hanging="229"/>
              <w:jc w:val="both"/>
              <w:rPr>
                <w:rFonts w:ascii="Arial" w:hAnsi="Arial" w:cs="Arial"/>
                <w:sz w:val="24"/>
                <w:szCs w:val="24"/>
              </w:rPr>
            </w:pPr>
            <w:r w:rsidRPr="001E6023">
              <w:rPr>
                <w:rFonts w:ascii="Arial" w:hAnsi="Arial" w:cs="Arial"/>
                <w:sz w:val="24"/>
                <w:szCs w:val="24"/>
              </w:rPr>
              <w:t xml:space="preserve">High Life Highland accept the </w:t>
            </w:r>
            <w:r>
              <w:rPr>
                <w:rFonts w:ascii="Arial" w:hAnsi="Arial" w:cs="Arial"/>
                <w:sz w:val="24"/>
                <w:szCs w:val="24"/>
              </w:rPr>
              <w:t xml:space="preserve">request from </w:t>
            </w:r>
            <w:r w:rsidRPr="001E6023">
              <w:rPr>
                <w:rFonts w:ascii="Arial" w:hAnsi="Arial" w:cs="Arial"/>
                <w:sz w:val="24"/>
                <w:szCs w:val="24"/>
              </w:rPr>
              <w:t>The Highland Council to become the Managing Agent of Inverness Castle when it opens in 2025: and</w:t>
            </w:r>
          </w:p>
          <w:p w14:paraId="5222921E" w14:textId="23490ADB" w:rsidR="00762379" w:rsidRPr="001E6023" w:rsidRDefault="00B41649" w:rsidP="009B72F2">
            <w:pPr>
              <w:pStyle w:val="ListParagraph"/>
              <w:numPr>
                <w:ilvl w:val="0"/>
                <w:numId w:val="27"/>
              </w:numPr>
              <w:ind w:left="589" w:hanging="229"/>
              <w:jc w:val="both"/>
              <w:rPr>
                <w:rFonts w:ascii="Arial" w:hAnsi="Arial" w:cs="Arial"/>
                <w:sz w:val="24"/>
                <w:szCs w:val="24"/>
              </w:rPr>
            </w:pPr>
            <w:r w:rsidRPr="00B41649">
              <w:rPr>
                <w:rFonts w:ascii="Arial" w:hAnsi="Arial" w:cs="Arial"/>
                <w:sz w:val="24"/>
                <w:szCs w:val="24"/>
              </w:rPr>
              <w:t xml:space="preserve">High Life Highland accept the proposal to manage the programme to reinvest </w:t>
            </w:r>
            <w:r w:rsidRPr="00B41649">
              <w:rPr>
                <w:rFonts w:ascii="Arial" w:hAnsi="Arial" w:cs="Arial"/>
                <w:bCs/>
                <w:color w:val="000000"/>
                <w:sz w:val="24"/>
                <w:szCs w:val="24"/>
                <w:lang w:eastAsia="en-GB"/>
              </w:rPr>
              <w:t xml:space="preserve">50% of the profit share from the operation of Inverness Castle to support </w:t>
            </w:r>
            <w:r w:rsidRPr="00B41649">
              <w:rPr>
                <w:rFonts w:ascii="Arial" w:hAnsi="Arial" w:cs="Arial"/>
                <w:color w:val="000000"/>
                <w:sz w:val="24"/>
                <w:szCs w:val="24"/>
                <w:lang w:eastAsia="en-GB"/>
              </w:rPr>
              <w:t>the development of leisure, cultural and tourism facilities and services throughout the Highlands (outside the Inverness City centre boundary) on behalf of The Highland Council.</w:t>
            </w:r>
          </w:p>
        </w:tc>
      </w:tr>
    </w:tbl>
    <w:p w14:paraId="73FEE3A2" w14:textId="77777777" w:rsidR="00555FC1" w:rsidRPr="001E6023" w:rsidRDefault="00555FC1" w:rsidP="00416BFF">
      <w:pPr>
        <w:rPr>
          <w:rFonts w:ascii="Arial" w:hAnsi="Arial" w:cs="Arial"/>
          <w:szCs w:val="24"/>
        </w:rPr>
      </w:pPr>
    </w:p>
    <w:p w14:paraId="146FA6C1" w14:textId="77777777" w:rsidR="0039450A" w:rsidRPr="001E6023" w:rsidRDefault="0039450A" w:rsidP="00416BFF">
      <w:pPr>
        <w:rPr>
          <w:rFonts w:ascii="Arial" w:hAnsi="Arial" w:cs="Arial"/>
          <w:szCs w:val="24"/>
        </w:rPr>
      </w:pPr>
      <w:r w:rsidRPr="001E6023">
        <w:rPr>
          <w:rFonts w:ascii="Arial" w:hAnsi="Arial" w:cs="Arial"/>
          <w:szCs w:val="24"/>
        </w:rPr>
        <w:t>Designation:</w:t>
      </w:r>
      <w:r w:rsidR="0067538A" w:rsidRPr="001E6023">
        <w:rPr>
          <w:rFonts w:ascii="Arial" w:hAnsi="Arial" w:cs="Arial"/>
          <w:szCs w:val="24"/>
        </w:rPr>
        <w:tab/>
        <w:t>Chief Executive</w:t>
      </w:r>
    </w:p>
    <w:p w14:paraId="1A5CF8FB" w14:textId="77777777" w:rsidR="0008589E" w:rsidRPr="001E6023" w:rsidRDefault="0008589E" w:rsidP="00416BFF">
      <w:pPr>
        <w:rPr>
          <w:rFonts w:ascii="Arial" w:hAnsi="Arial" w:cs="Arial"/>
          <w:szCs w:val="24"/>
        </w:rPr>
      </w:pPr>
    </w:p>
    <w:p w14:paraId="5A237CB6" w14:textId="281259C1" w:rsidR="009523D1" w:rsidRDefault="0039450A" w:rsidP="0034526A">
      <w:pPr>
        <w:rPr>
          <w:rFonts w:ascii="Arial" w:hAnsi="Arial" w:cs="Arial"/>
          <w:szCs w:val="24"/>
        </w:rPr>
      </w:pPr>
      <w:r w:rsidRPr="001E6023">
        <w:rPr>
          <w:rFonts w:ascii="Arial" w:hAnsi="Arial" w:cs="Arial"/>
          <w:szCs w:val="24"/>
        </w:rPr>
        <w:t>Date:</w:t>
      </w:r>
      <w:r w:rsidRPr="001E6023">
        <w:rPr>
          <w:rFonts w:ascii="Arial" w:hAnsi="Arial" w:cs="Arial"/>
          <w:szCs w:val="24"/>
        </w:rPr>
        <w:tab/>
      </w:r>
      <w:r w:rsidRPr="001E6023">
        <w:rPr>
          <w:rFonts w:ascii="Arial" w:hAnsi="Arial" w:cs="Arial"/>
          <w:szCs w:val="24"/>
        </w:rPr>
        <w:tab/>
      </w:r>
      <w:r w:rsidR="009B72F2">
        <w:rPr>
          <w:rFonts w:ascii="Arial" w:hAnsi="Arial" w:cs="Arial"/>
          <w:szCs w:val="24"/>
        </w:rPr>
        <w:t xml:space="preserve">15 </w:t>
      </w:r>
      <w:r w:rsidR="000C2040" w:rsidRPr="001E6023">
        <w:rPr>
          <w:rFonts w:ascii="Arial" w:hAnsi="Arial" w:cs="Arial"/>
          <w:szCs w:val="24"/>
        </w:rPr>
        <w:t>March 2022</w:t>
      </w:r>
    </w:p>
    <w:p w14:paraId="630A06B8" w14:textId="12B0B73C" w:rsidR="00BB0191" w:rsidRDefault="00BB0191" w:rsidP="0034526A">
      <w:pPr>
        <w:rPr>
          <w:rFonts w:ascii="Arial" w:hAnsi="Arial" w:cs="Arial"/>
          <w:szCs w:val="24"/>
        </w:rPr>
      </w:pPr>
    </w:p>
    <w:p w14:paraId="20722BFA" w14:textId="3D64E7CF" w:rsidR="00BB0191" w:rsidRPr="001E6023" w:rsidRDefault="00BB0191" w:rsidP="0034526A">
      <w:pPr>
        <w:rPr>
          <w:rFonts w:ascii="Arial" w:hAnsi="Arial" w:cs="Arial"/>
          <w:szCs w:val="24"/>
        </w:rPr>
      </w:pPr>
      <w:r>
        <w:rPr>
          <w:rFonts w:ascii="Arial" w:hAnsi="Arial" w:cs="Arial"/>
          <w:szCs w:val="24"/>
        </w:rPr>
        <w:t>Author:</w:t>
      </w:r>
      <w:r>
        <w:rPr>
          <w:rFonts w:ascii="Arial" w:hAnsi="Arial" w:cs="Arial"/>
          <w:szCs w:val="24"/>
        </w:rPr>
        <w:tab/>
        <w:t>Fiona Hampton, Director of Inverness Castle</w:t>
      </w:r>
    </w:p>
    <w:p w14:paraId="1FBE9C70" w14:textId="6E844528" w:rsidR="00926E55" w:rsidRPr="001E6023" w:rsidRDefault="00926E55" w:rsidP="0034526A">
      <w:pPr>
        <w:rPr>
          <w:rFonts w:ascii="Arial" w:hAnsi="Arial" w:cs="Arial"/>
          <w:szCs w:val="24"/>
        </w:rPr>
      </w:pPr>
    </w:p>
    <w:p w14:paraId="635E12E1" w14:textId="2B072B9D" w:rsidR="00926E55" w:rsidRPr="001E6023" w:rsidRDefault="00926E55">
      <w:pPr>
        <w:rPr>
          <w:rFonts w:ascii="Arial" w:hAnsi="Arial" w:cs="Arial"/>
          <w:szCs w:val="24"/>
        </w:rPr>
      </w:pPr>
      <w:r w:rsidRPr="001E6023">
        <w:rPr>
          <w:rFonts w:ascii="Arial" w:hAnsi="Arial" w:cs="Arial"/>
          <w:szCs w:val="24"/>
        </w:rPr>
        <w:br w:type="page"/>
      </w:r>
    </w:p>
    <w:p w14:paraId="39CCC41D" w14:textId="54AF288F" w:rsidR="00D55711" w:rsidRPr="001E6023" w:rsidRDefault="00D55711" w:rsidP="00D55711">
      <w:pPr>
        <w:jc w:val="both"/>
        <w:rPr>
          <w:rFonts w:ascii="Arial" w:hAnsi="Arial" w:cs="Arial"/>
          <w:b/>
          <w:bCs/>
          <w:szCs w:val="24"/>
        </w:rPr>
      </w:pPr>
      <w:r w:rsidRPr="001E6023">
        <w:rPr>
          <w:rFonts w:ascii="Arial" w:hAnsi="Arial" w:cs="Arial"/>
          <w:b/>
          <w:bCs/>
          <w:szCs w:val="24"/>
        </w:rPr>
        <w:lastRenderedPageBreak/>
        <w:t xml:space="preserve">APPENDIX </w:t>
      </w:r>
      <w:r w:rsidR="00BF5D8C" w:rsidRPr="001E6023">
        <w:rPr>
          <w:rFonts w:ascii="Arial" w:hAnsi="Arial" w:cs="Arial"/>
          <w:b/>
          <w:bCs/>
          <w:szCs w:val="24"/>
        </w:rPr>
        <w:t>A</w:t>
      </w:r>
      <w:r w:rsidRPr="001E6023">
        <w:rPr>
          <w:rFonts w:ascii="Arial" w:hAnsi="Arial" w:cs="Arial"/>
          <w:b/>
          <w:bCs/>
          <w:szCs w:val="24"/>
        </w:rPr>
        <w:t xml:space="preserve"> – FINAL BUSINESS CASE EXECUTIVE SUMMARY</w:t>
      </w:r>
    </w:p>
    <w:p w14:paraId="5EB3DCE6" w14:textId="77777777" w:rsidR="00BF5D8C" w:rsidRPr="001E6023" w:rsidRDefault="00BF5D8C" w:rsidP="00D55711">
      <w:pPr>
        <w:jc w:val="both"/>
        <w:rPr>
          <w:rFonts w:ascii="Arial" w:hAnsi="Arial" w:cs="Arial"/>
          <w:b/>
          <w:bCs/>
          <w:szCs w:val="24"/>
        </w:rPr>
      </w:pPr>
    </w:p>
    <w:p w14:paraId="7F8C567C" w14:textId="77777777" w:rsidR="00D55711" w:rsidRPr="001E6023" w:rsidRDefault="00D55711" w:rsidP="00D55711">
      <w:pPr>
        <w:pStyle w:val="Style1"/>
        <w:numPr>
          <w:ilvl w:val="0"/>
          <w:numId w:val="0"/>
        </w:numPr>
        <w:spacing w:after="240" w:line="240" w:lineRule="auto"/>
        <w:ind w:left="567"/>
        <w:contextualSpacing w:val="0"/>
        <w:jc w:val="both"/>
        <w:rPr>
          <w:rFonts w:ascii="Arial" w:hAnsi="Arial" w:cs="Arial"/>
          <w:sz w:val="24"/>
          <w:szCs w:val="24"/>
        </w:rPr>
      </w:pPr>
      <w:r w:rsidRPr="001E6023">
        <w:rPr>
          <w:rFonts w:ascii="Arial" w:hAnsi="Arial" w:cs="Arial"/>
          <w:sz w:val="24"/>
          <w:szCs w:val="24"/>
        </w:rPr>
        <w:t>Introduction</w:t>
      </w:r>
    </w:p>
    <w:p w14:paraId="45DEDDF7"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 xml:space="preserve">Inverness Castle is an iconic Category A listed building of national and international significance, situated in the centre of the Inverness, on Castlehill above the banks of the River Ness. It was historically used by the Scottish Courts and Tribunals Service (SCTS) for court and office purposes. However, SCTS moved from the Castle in May 2020.  This provided a real opportunity to create a significant tourism asset for Inverness at the Castle that would act as a focal point for the promotion of tourism across, the Highlands. </w:t>
      </w:r>
    </w:p>
    <w:p w14:paraId="11F61D95"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 xml:space="preserve">Inverness Castle is owned by The Highland Council (THC) and will be managed by High Life Highland (HLH) on behalf of the Council.  HLH is the Council’s </w:t>
      </w:r>
      <w:proofErr w:type="spellStart"/>
      <w:r w:rsidRPr="001E6023">
        <w:rPr>
          <w:rFonts w:ascii="Arial" w:hAnsi="Arial" w:cs="Arial"/>
          <w:b w:val="0"/>
          <w:color w:val="auto"/>
          <w:sz w:val="24"/>
          <w:szCs w:val="24"/>
        </w:rPr>
        <w:t>arms length</w:t>
      </w:r>
      <w:proofErr w:type="spellEnd"/>
      <w:r w:rsidRPr="001E6023">
        <w:rPr>
          <w:rFonts w:ascii="Arial" w:hAnsi="Arial" w:cs="Arial"/>
          <w:b w:val="0"/>
          <w:color w:val="auto"/>
          <w:sz w:val="24"/>
          <w:szCs w:val="24"/>
        </w:rPr>
        <w:t xml:space="preserve"> culture and leisure trust, wholly owned by THC. </w:t>
      </w:r>
    </w:p>
    <w:p w14:paraId="29D9903B"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 xml:space="preserve">Governance of the Inverness Castle Project is by the Inverness Castle Delivery Group, jointly Chaired by Helen Carmichael, the Provost and Leader of Inverness and Area, and Fergus Ewing MSP.  The Delivery Group have established the following vision for the project: </w:t>
      </w:r>
    </w:p>
    <w:p w14:paraId="1A7EFCA1" w14:textId="77777777" w:rsidR="00D55711" w:rsidRPr="001E6023" w:rsidRDefault="00D55711" w:rsidP="00D55711">
      <w:pPr>
        <w:pStyle w:val="Style1"/>
        <w:numPr>
          <w:ilvl w:val="0"/>
          <w:numId w:val="0"/>
        </w:numPr>
        <w:spacing w:after="240" w:line="240" w:lineRule="auto"/>
        <w:ind w:left="567"/>
        <w:contextualSpacing w:val="0"/>
        <w:jc w:val="both"/>
        <w:rPr>
          <w:rFonts w:ascii="Arial" w:hAnsi="Arial" w:cs="Arial"/>
          <w:b w:val="0"/>
          <w:i/>
          <w:iCs/>
          <w:color w:val="auto"/>
          <w:sz w:val="24"/>
          <w:szCs w:val="24"/>
        </w:rPr>
      </w:pPr>
      <w:r w:rsidRPr="001E6023">
        <w:rPr>
          <w:rFonts w:ascii="Arial" w:hAnsi="Arial" w:cs="Arial"/>
          <w:b w:val="0"/>
          <w:i/>
          <w:iCs/>
          <w:color w:val="auto"/>
          <w:sz w:val="24"/>
          <w:szCs w:val="24"/>
        </w:rPr>
        <w:t>‘To take the opportunity of the relocation of the SCTS from Inverness Castle to create a sustainable and viable must-see centre that innovatively celebrates the ’Spirit of the Highlands’ its creativity, culture, heritage and landscape. The centre will attract new and repeat visitors to the area, will be embraced by the people of the Highlands and will inspire all to visit other parts of the Highlands’.</w:t>
      </w:r>
    </w:p>
    <w:p w14:paraId="14AE741F"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An Outline Business Case (OBC) was developed for the project during 2019 and 2020. The final version of the OBC was approved by the UK and Scottish Governments in October 2020, subject to the Final Business Case (FBC) addressing any outstanding comments from the OBC development process.</w:t>
      </w:r>
    </w:p>
    <w:p w14:paraId="03A9959E"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The project has been developed further and several changes have been made to the Preferred Option to improve the overall outputs and benefits of the scheme, and as a result of the prevailing market conditions principally caused by the Covid-19 pandemic and to some extent BREXIT.</w:t>
      </w:r>
    </w:p>
    <w:p w14:paraId="1BDD8566"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A key focus of the Delivery Group was to ensure that the new attraction should be inclusive and have universal access wherever possible. This resulted in two significant improvements and additions to the original design proposals:</w:t>
      </w:r>
    </w:p>
    <w:p w14:paraId="1C5359F9"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addition of a new roof terrace in the South Tower universally accessible to all visitors through the installation of a new lift; and</w:t>
      </w:r>
    </w:p>
    <w:p w14:paraId="44AF569C"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improving the accessibility and inclusivity of the new attraction by significantly enhancing the grounds around the Castle to make the outdoor areas a (free to access) visitor attraction in their own right.</w:t>
      </w:r>
    </w:p>
    <w:p w14:paraId="159A7E82"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The continuing presence of Covid-19 and its impact on the tourism and construction sectors has also affected the project in two major ways:</w:t>
      </w:r>
    </w:p>
    <w:p w14:paraId="62F400EA"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increasing the tendered construction cost of the redevelopment; and</w:t>
      </w:r>
    </w:p>
    <w:p w14:paraId="45D3F9FB"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lastRenderedPageBreak/>
        <w:t>the withdrawal of the preferred Visitor Attraction Tenant for the North Tower.</w:t>
      </w:r>
    </w:p>
    <w:p w14:paraId="7029FE61"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The project has been reshaped to accommodate an alternative approach to the North Tower offer and operation, requiring the fit out of the North Tower to be included in the project costs (originally assumed the tenant would fund the fit-out costs). The North Tower will include a visitor experience celebrating Highland music and the Ceilidh, a whisky experience, retail space and the existing viewing tower. The whisky experience will be operated by a third-party tenant, with HLH operating the rest of the attractions and retail offering.</w:t>
      </w:r>
    </w:p>
    <w:p w14:paraId="1610B42B"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 xml:space="preserve">The overall project funding package has been adjusted and increased to meet the increased costs. </w:t>
      </w:r>
    </w:p>
    <w:p w14:paraId="19DCA2E0"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 xml:space="preserve">Alongside the core Castle project, the Council submitted a successful application to the Levelling Up Fund to support the delivery of a Waste Water Heat Recovery Energy Centre as part of the overall Castle project This will bring significant additional environmental, carbon and social benefits to the overall project. </w:t>
      </w:r>
    </w:p>
    <w:p w14:paraId="40612944"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This FBC follows the principles of the Better Business Cases guidance and the format of HM Treasury Five Case Business Model and is structured as follows:</w:t>
      </w:r>
    </w:p>
    <w:p w14:paraId="6A78F0E3"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Strategic Case – revisits the Case for Change and reconfirms the project objectives;</w:t>
      </w:r>
    </w:p>
    <w:p w14:paraId="3CBE36D7"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Economic Case – sets out the updated economic case for the project; </w:t>
      </w:r>
    </w:p>
    <w:p w14:paraId="684AB20A"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Commercial Case – sets out the negotiated deal and contractual arrangements;</w:t>
      </w:r>
    </w:p>
    <w:p w14:paraId="149D24F8"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Financial Case – sets out the financial implications of the deal, including affordability and fundability of the scheme; and</w:t>
      </w:r>
    </w:p>
    <w:p w14:paraId="6B9FF0D1"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Management Case – sets out the final project management and delivery plans, including: project management approach; change management arrangements; benefits realisation plan; risk management and contract management plans.</w:t>
      </w:r>
    </w:p>
    <w:p w14:paraId="71E68100" w14:textId="77777777" w:rsidR="00D55711" w:rsidRPr="001E6023" w:rsidRDefault="00D55711" w:rsidP="00D55711">
      <w:pPr>
        <w:pStyle w:val="Style1"/>
        <w:numPr>
          <w:ilvl w:val="0"/>
          <w:numId w:val="0"/>
        </w:numPr>
        <w:spacing w:after="240" w:line="240" w:lineRule="auto"/>
        <w:ind w:left="-142" w:firstLine="709"/>
        <w:contextualSpacing w:val="0"/>
        <w:jc w:val="both"/>
        <w:rPr>
          <w:rFonts w:ascii="Arial" w:hAnsi="Arial" w:cs="Arial"/>
          <w:sz w:val="24"/>
          <w:szCs w:val="24"/>
        </w:rPr>
      </w:pPr>
      <w:r w:rsidRPr="001E6023">
        <w:rPr>
          <w:rFonts w:ascii="Arial" w:hAnsi="Arial" w:cs="Arial"/>
          <w:sz w:val="24"/>
          <w:szCs w:val="24"/>
        </w:rPr>
        <w:t xml:space="preserve">The Strategic Case </w:t>
      </w:r>
    </w:p>
    <w:p w14:paraId="32EFDF9A"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The key points to note from the strategic case include the following.</w:t>
      </w:r>
    </w:p>
    <w:p w14:paraId="3761E180"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The strategic case for the Castle set out in the OBC remains valid and has arguably improved in the past 18 months. </w:t>
      </w:r>
    </w:p>
    <w:p w14:paraId="4114BB13"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Castle will form a key part of the regeneration of Inverness City Centre, which will support the economic recovery of the City and wider Highlands in the post pandemic phase.</w:t>
      </w:r>
    </w:p>
    <w:p w14:paraId="53599DFE"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The Castle project is now more strongly aligned with the most recent strategies and research from VisitScotland.  </w:t>
      </w:r>
    </w:p>
    <w:p w14:paraId="300F0E2A"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lastRenderedPageBreak/>
        <w:t xml:space="preserve">It fully delivers on Scotland’s ambition of being a world leader in 21st Century, with tourism being a high quality, sustainable, inclusive and accessible attraction that supports both local and regional communities. </w:t>
      </w:r>
    </w:p>
    <w:p w14:paraId="4C9F2285"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The project objectives and critical success factors have been reviewed and updated to ensure they and reflect the current status of the project and will be used for future monitoring and evaluation purposes. </w:t>
      </w:r>
    </w:p>
    <w:p w14:paraId="0FFC2A2D"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Overall visitor numbers to the Highlands, Inverness and its key visitor attractions increased in 2019, prior to the pandemic and provide a strong basis for the market assessment and initial visitor projections. </w:t>
      </w:r>
    </w:p>
    <w:p w14:paraId="57EABC5D"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overall benefits anticipated from the project have increased through its development, including the addition of:</w:t>
      </w:r>
    </w:p>
    <w:p w14:paraId="63492894" w14:textId="77777777" w:rsidR="00D55711" w:rsidRPr="001E6023" w:rsidRDefault="00D55711" w:rsidP="00D55711">
      <w:pPr>
        <w:pStyle w:val="ListParagraph"/>
        <w:numPr>
          <w:ilvl w:val="2"/>
          <w:numId w:val="22"/>
        </w:numPr>
        <w:spacing w:after="160" w:line="259" w:lineRule="auto"/>
        <w:ind w:left="1560" w:hanging="426"/>
        <w:jc w:val="both"/>
        <w:rPr>
          <w:rFonts w:ascii="Arial" w:hAnsi="Arial" w:cs="Arial"/>
          <w:sz w:val="24"/>
          <w:szCs w:val="24"/>
        </w:rPr>
      </w:pPr>
      <w:r w:rsidRPr="001E6023">
        <w:rPr>
          <w:rFonts w:ascii="Arial" w:hAnsi="Arial" w:cs="Arial"/>
          <w:sz w:val="24"/>
          <w:szCs w:val="24"/>
        </w:rPr>
        <w:t>additional amenity value through publicly accessible space in the gardens;</w:t>
      </w:r>
    </w:p>
    <w:p w14:paraId="08A6AC15" w14:textId="77777777" w:rsidR="00D55711" w:rsidRPr="001E6023" w:rsidRDefault="00D55711" w:rsidP="00D55711">
      <w:pPr>
        <w:pStyle w:val="ListParagraph"/>
        <w:numPr>
          <w:ilvl w:val="2"/>
          <w:numId w:val="22"/>
        </w:numPr>
        <w:spacing w:after="160" w:line="259" w:lineRule="auto"/>
        <w:ind w:left="1560" w:hanging="426"/>
        <w:jc w:val="both"/>
        <w:rPr>
          <w:rFonts w:ascii="Arial" w:hAnsi="Arial" w:cs="Arial"/>
          <w:sz w:val="24"/>
          <w:szCs w:val="24"/>
        </w:rPr>
      </w:pPr>
      <w:r w:rsidRPr="001E6023">
        <w:rPr>
          <w:rFonts w:ascii="Arial" w:hAnsi="Arial" w:cs="Arial"/>
          <w:sz w:val="24"/>
          <w:szCs w:val="24"/>
        </w:rPr>
        <w:t xml:space="preserve">increased investment </w:t>
      </w:r>
      <w:proofErr w:type="spellStart"/>
      <w:r w:rsidRPr="001E6023">
        <w:rPr>
          <w:rFonts w:ascii="Arial" w:hAnsi="Arial" w:cs="Arial"/>
          <w:sz w:val="24"/>
          <w:szCs w:val="24"/>
        </w:rPr>
        <w:t>outwith</w:t>
      </w:r>
      <w:proofErr w:type="spellEnd"/>
      <w:r w:rsidRPr="001E6023">
        <w:rPr>
          <w:rFonts w:ascii="Arial" w:hAnsi="Arial" w:cs="Arial"/>
          <w:sz w:val="24"/>
          <w:szCs w:val="24"/>
        </w:rPr>
        <w:t xml:space="preserve"> Inverness City Centre (through the HLH profit share reinvestment plans); and</w:t>
      </w:r>
    </w:p>
    <w:p w14:paraId="7D244DD5" w14:textId="77777777" w:rsidR="00D55711" w:rsidRPr="001E6023" w:rsidRDefault="00D55711" w:rsidP="00D55711">
      <w:pPr>
        <w:pStyle w:val="ListParagraph"/>
        <w:numPr>
          <w:ilvl w:val="2"/>
          <w:numId w:val="22"/>
        </w:numPr>
        <w:spacing w:after="160" w:line="259" w:lineRule="auto"/>
        <w:ind w:left="1560" w:hanging="426"/>
        <w:jc w:val="both"/>
        <w:rPr>
          <w:rFonts w:ascii="Arial" w:hAnsi="Arial" w:cs="Arial"/>
          <w:sz w:val="24"/>
          <w:szCs w:val="24"/>
        </w:rPr>
      </w:pPr>
      <w:r w:rsidRPr="001E6023">
        <w:rPr>
          <w:rFonts w:ascii="Arial" w:hAnsi="Arial" w:cs="Arial"/>
          <w:sz w:val="24"/>
          <w:szCs w:val="24"/>
        </w:rPr>
        <w:t>reduced carbon footprint (linking to the LUF funded energy centre in Phase 1a).</w:t>
      </w:r>
    </w:p>
    <w:p w14:paraId="74CAEB06" w14:textId="77777777" w:rsidR="00D55711" w:rsidRPr="001E6023" w:rsidRDefault="00D55711" w:rsidP="00D55711">
      <w:pPr>
        <w:pStyle w:val="Style1"/>
        <w:numPr>
          <w:ilvl w:val="0"/>
          <w:numId w:val="0"/>
        </w:numPr>
        <w:spacing w:after="240" w:line="240" w:lineRule="auto"/>
        <w:ind w:left="567"/>
        <w:contextualSpacing w:val="0"/>
        <w:jc w:val="both"/>
        <w:rPr>
          <w:rFonts w:ascii="Arial" w:hAnsi="Arial" w:cs="Arial"/>
          <w:sz w:val="24"/>
          <w:szCs w:val="24"/>
        </w:rPr>
      </w:pPr>
      <w:r w:rsidRPr="001E6023">
        <w:rPr>
          <w:rFonts w:ascii="Arial" w:hAnsi="Arial" w:cs="Arial"/>
          <w:sz w:val="24"/>
          <w:szCs w:val="24"/>
        </w:rPr>
        <w:t xml:space="preserve">The Economic Case </w:t>
      </w:r>
    </w:p>
    <w:p w14:paraId="27A72EC1"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The key points to note from the economic case include the following.</w:t>
      </w:r>
    </w:p>
    <w:p w14:paraId="53B97967"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economic case has examined the Net Present Social Costs and Benefits of the Inverness Castle scheme over a ‘Do-Nothing’ reference case.  </w:t>
      </w:r>
    </w:p>
    <w:p w14:paraId="0D7355B7"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The benefit streams highlight the importance of the redevelopment of the Castle as a major cultural asset and in increasing footfall to the City and wider Highlands, thus increasing wider land and asset values. </w:t>
      </w:r>
    </w:p>
    <w:p w14:paraId="1CABF32C"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scheme, through its innovative approach to interpretation, will also be a major attractor of international visitors for Scotland and the UK. </w:t>
      </w:r>
    </w:p>
    <w:p w14:paraId="0B9CA07A"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national level impact analysis shows that the scheme delivers a Benefit Cost Ratio (BCR) ratio in the ‘high’ value for money range.   </w:t>
      </w:r>
    </w:p>
    <w:p w14:paraId="12C5125C"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The estimated BCR is 2.9:1. </w:t>
      </w:r>
    </w:p>
    <w:p w14:paraId="2D5E0314"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annual net additional local economic impact is estimated at £13.9 million of expenditure, generating Gross Value Added (GVA) of £5.5 million and supporting 275 FTE jobs (including indirect and induced effects). </w:t>
      </w:r>
    </w:p>
    <w:p w14:paraId="0AA8DDD3"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The Castlehill redevelopment forms part of wider plan of bringing three cultural assets (including </w:t>
      </w:r>
      <w:proofErr w:type="spellStart"/>
      <w:r w:rsidRPr="001E6023">
        <w:rPr>
          <w:rFonts w:ascii="Arial" w:hAnsi="Arial" w:cs="Arial"/>
          <w:szCs w:val="24"/>
        </w:rPr>
        <w:t>Bught</w:t>
      </w:r>
      <w:proofErr w:type="spellEnd"/>
      <w:r w:rsidRPr="001E6023">
        <w:rPr>
          <w:rFonts w:ascii="Arial" w:hAnsi="Arial" w:cs="Arial"/>
          <w:szCs w:val="24"/>
        </w:rPr>
        <w:t xml:space="preserve"> Park and the Northern Meeting Park) back into use around a net zero carbon vision for the City.   </w:t>
      </w:r>
    </w:p>
    <w:p w14:paraId="0B52AD0A"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delivery model will generate operating surpluses of circa £300K per annum which will ensure Inverness Castle remains relevant as part of the cultural offer and is sustained for the public good.</w:t>
      </w:r>
    </w:p>
    <w:p w14:paraId="7DC513BF"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lastRenderedPageBreak/>
        <w:t>50% of the operating surplus will be reinvested in the cultural, leisure and tourism infrastructure across the Highlands, out with the City centre boundary.  </w:t>
      </w:r>
    </w:p>
    <w:p w14:paraId="0C9392A8" w14:textId="77777777" w:rsidR="00D55711" w:rsidRPr="001E6023" w:rsidRDefault="00D55711" w:rsidP="00D55711">
      <w:pPr>
        <w:pStyle w:val="Style1"/>
        <w:numPr>
          <w:ilvl w:val="0"/>
          <w:numId w:val="0"/>
        </w:numPr>
        <w:spacing w:after="240" w:line="240" w:lineRule="auto"/>
        <w:ind w:left="567"/>
        <w:contextualSpacing w:val="0"/>
        <w:jc w:val="both"/>
        <w:rPr>
          <w:rFonts w:ascii="Arial" w:hAnsi="Arial" w:cs="Arial"/>
          <w:sz w:val="24"/>
          <w:szCs w:val="24"/>
        </w:rPr>
      </w:pPr>
      <w:r w:rsidRPr="001E6023">
        <w:rPr>
          <w:rFonts w:ascii="Arial" w:hAnsi="Arial" w:cs="Arial"/>
          <w:sz w:val="24"/>
          <w:szCs w:val="24"/>
        </w:rPr>
        <w:t xml:space="preserve">The Commercial Case </w:t>
      </w:r>
    </w:p>
    <w:p w14:paraId="146DEBB5"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The key points to note from the commercial case include the following.</w:t>
      </w:r>
    </w:p>
    <w:p w14:paraId="57F84CD4"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procurement and appointment of additional design team members and other specialist advisors, including Gaelic Cultural Advisors, has been advanced.</w:t>
      </w:r>
    </w:p>
    <w:p w14:paraId="6BA84531"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appointment of Mather &amp; Co as Exhibition Content Design Partner in March 2021.</w:t>
      </w:r>
    </w:p>
    <w:p w14:paraId="31736362"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Further development of the Spirit of the Highlands creative content including: Spirit Autobiography, Spirit 360 and the Tapestry of the Highlands and Islands.</w:t>
      </w:r>
    </w:p>
    <w:p w14:paraId="32B886BC"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Completion of the enabling works contract in July 2021 within budget.</w:t>
      </w:r>
    </w:p>
    <w:p w14:paraId="6C15B5DB"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Procurement of the main construction works package.</w:t>
      </w:r>
    </w:p>
    <w:p w14:paraId="17EE916A"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The construction works procurement was based on a traditional contract using an open tender, to maximise value for money. </w:t>
      </w:r>
    </w:p>
    <w:p w14:paraId="364D56EA"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The tender returns received were significantly over the Pre-Tender Estimates, largely due to the impacts of Covid-19 and Brexit on the construction market (high material prices, labour and material shortages, increases in fuel prices). </w:t>
      </w:r>
    </w:p>
    <w:p w14:paraId="500C2CD1"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A value engineering exercise was undertaken, and revised tender prices received.</w:t>
      </w:r>
    </w:p>
    <w:p w14:paraId="7E2037A5"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The tenders were assessed on a combination of quality and price, and a preferred contractor identified. </w:t>
      </w:r>
    </w:p>
    <w:p w14:paraId="3503C075"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The tender is open for acceptance until 31st January 2022. </w:t>
      </w:r>
    </w:p>
    <w:p w14:paraId="6BFB2ABC"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next phase of procurement required for the fit out and installation stage of the project is planned.</w:t>
      </w:r>
    </w:p>
    <w:p w14:paraId="1DA34D29"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Proposals to formalise the future relationship between THC and HLH for the operation of the Castle are in train.</w:t>
      </w:r>
    </w:p>
    <w:p w14:paraId="1CD3CFE0"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The FBC includes a full risk register, setting out the main project risks (both pre and post mitigation measures being put in place). </w:t>
      </w:r>
    </w:p>
    <w:p w14:paraId="04DA7DC6"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 xml:space="preserve">Once post mitigation measures have been applied, there are five major risks that remain as ‘Red’ items. These are: </w:t>
      </w:r>
      <w:r w:rsidRPr="001E6023">
        <w:rPr>
          <w:rFonts w:ascii="Arial" w:hAnsi="Arial" w:cs="Arial"/>
          <w:szCs w:val="24"/>
        </w:rPr>
        <w:tab/>
      </w:r>
    </w:p>
    <w:p w14:paraId="4D17CDA6" w14:textId="77777777" w:rsidR="00D55711" w:rsidRPr="001E6023" w:rsidRDefault="00D55711" w:rsidP="00D55711">
      <w:pPr>
        <w:pStyle w:val="ListParagraph"/>
        <w:numPr>
          <w:ilvl w:val="2"/>
          <w:numId w:val="22"/>
        </w:numPr>
        <w:spacing w:after="160" w:line="259" w:lineRule="auto"/>
        <w:ind w:left="1560" w:hanging="426"/>
        <w:jc w:val="both"/>
        <w:rPr>
          <w:rFonts w:ascii="Arial" w:hAnsi="Arial" w:cs="Arial"/>
          <w:sz w:val="24"/>
          <w:szCs w:val="24"/>
        </w:rPr>
      </w:pPr>
      <w:r w:rsidRPr="001E6023">
        <w:rPr>
          <w:rFonts w:ascii="Arial" w:hAnsi="Arial" w:cs="Arial"/>
          <w:sz w:val="24"/>
          <w:szCs w:val="24"/>
        </w:rPr>
        <w:lastRenderedPageBreak/>
        <w:t>impact of both Covid and Brexit on construction (supply chain, materials, labour, cost overruns and or programme delay);</w:t>
      </w:r>
    </w:p>
    <w:p w14:paraId="25394667" w14:textId="77777777" w:rsidR="00D55711" w:rsidRPr="001E6023" w:rsidRDefault="00D55711" w:rsidP="00D55711">
      <w:pPr>
        <w:pStyle w:val="ListParagraph"/>
        <w:numPr>
          <w:ilvl w:val="2"/>
          <w:numId w:val="22"/>
        </w:numPr>
        <w:spacing w:after="160" w:line="259" w:lineRule="auto"/>
        <w:ind w:left="1560" w:hanging="426"/>
        <w:jc w:val="both"/>
        <w:rPr>
          <w:rFonts w:ascii="Arial" w:hAnsi="Arial" w:cs="Arial"/>
          <w:sz w:val="24"/>
          <w:szCs w:val="24"/>
        </w:rPr>
      </w:pPr>
      <w:r w:rsidRPr="001E6023">
        <w:rPr>
          <w:rFonts w:ascii="Arial" w:hAnsi="Arial" w:cs="Arial"/>
          <w:sz w:val="24"/>
          <w:szCs w:val="24"/>
        </w:rPr>
        <w:t>design exceeding cost;</w:t>
      </w:r>
    </w:p>
    <w:p w14:paraId="214EA2E1" w14:textId="77777777" w:rsidR="00D55711" w:rsidRPr="001E6023" w:rsidRDefault="00D55711" w:rsidP="00D55711">
      <w:pPr>
        <w:pStyle w:val="ListParagraph"/>
        <w:numPr>
          <w:ilvl w:val="2"/>
          <w:numId w:val="22"/>
        </w:numPr>
        <w:spacing w:after="160" w:line="259" w:lineRule="auto"/>
        <w:ind w:left="1560" w:hanging="426"/>
        <w:jc w:val="both"/>
        <w:rPr>
          <w:rFonts w:ascii="Arial" w:hAnsi="Arial" w:cs="Arial"/>
          <w:sz w:val="24"/>
          <w:szCs w:val="24"/>
        </w:rPr>
      </w:pPr>
      <w:r w:rsidRPr="001E6023">
        <w:rPr>
          <w:rFonts w:ascii="Arial" w:hAnsi="Arial" w:cs="Arial"/>
          <w:sz w:val="24"/>
          <w:szCs w:val="24"/>
        </w:rPr>
        <w:t>contract costs increasing; and</w:t>
      </w:r>
    </w:p>
    <w:p w14:paraId="60CB53D3" w14:textId="77777777" w:rsidR="00D55711" w:rsidRPr="001E6023" w:rsidRDefault="00D55711" w:rsidP="00D55711">
      <w:pPr>
        <w:pStyle w:val="ListParagraph"/>
        <w:numPr>
          <w:ilvl w:val="2"/>
          <w:numId w:val="22"/>
        </w:numPr>
        <w:spacing w:after="160" w:line="259" w:lineRule="auto"/>
        <w:ind w:left="1560" w:hanging="426"/>
        <w:jc w:val="both"/>
        <w:rPr>
          <w:rFonts w:ascii="Arial" w:hAnsi="Arial" w:cs="Arial"/>
          <w:sz w:val="24"/>
          <w:szCs w:val="24"/>
        </w:rPr>
      </w:pPr>
      <w:r w:rsidRPr="001E6023">
        <w:rPr>
          <w:rFonts w:ascii="Arial" w:hAnsi="Arial" w:cs="Arial"/>
          <w:sz w:val="24"/>
          <w:szCs w:val="24"/>
        </w:rPr>
        <w:t xml:space="preserve">loss or reduction of Council capital funding. </w:t>
      </w:r>
    </w:p>
    <w:p w14:paraId="735BA76E" w14:textId="77777777" w:rsidR="00D55711" w:rsidRPr="001E6023" w:rsidRDefault="00D55711" w:rsidP="00D55711">
      <w:pPr>
        <w:pStyle w:val="Style1"/>
        <w:numPr>
          <w:ilvl w:val="0"/>
          <w:numId w:val="0"/>
        </w:numPr>
        <w:spacing w:after="240" w:line="240" w:lineRule="auto"/>
        <w:ind w:left="567"/>
        <w:contextualSpacing w:val="0"/>
        <w:jc w:val="both"/>
        <w:rPr>
          <w:rFonts w:ascii="Arial" w:hAnsi="Arial" w:cs="Arial"/>
          <w:sz w:val="24"/>
          <w:szCs w:val="24"/>
        </w:rPr>
      </w:pPr>
      <w:r w:rsidRPr="001E6023">
        <w:rPr>
          <w:rFonts w:ascii="Arial" w:hAnsi="Arial" w:cs="Arial"/>
          <w:sz w:val="24"/>
          <w:szCs w:val="24"/>
        </w:rPr>
        <w:t xml:space="preserve">The Financial Case </w:t>
      </w:r>
    </w:p>
    <w:p w14:paraId="1E3328BD"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The key points to note from the financial case include the following.</w:t>
      </w:r>
    </w:p>
    <w:p w14:paraId="2BAEA537"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overall Project Cost is £35.9m, to be funded by:</w:t>
      </w:r>
    </w:p>
    <w:p w14:paraId="6604FE8D" w14:textId="77777777" w:rsidR="00D55711" w:rsidRPr="001E6023" w:rsidRDefault="00D55711" w:rsidP="00D55711">
      <w:pPr>
        <w:pStyle w:val="ListParagraph"/>
        <w:numPr>
          <w:ilvl w:val="2"/>
          <w:numId w:val="22"/>
        </w:numPr>
        <w:spacing w:after="160" w:line="259" w:lineRule="auto"/>
        <w:ind w:left="1560" w:hanging="426"/>
        <w:jc w:val="both"/>
        <w:rPr>
          <w:rFonts w:ascii="Arial" w:eastAsia="Times New Roman" w:hAnsi="Arial" w:cs="Arial"/>
          <w:sz w:val="24"/>
          <w:szCs w:val="24"/>
        </w:rPr>
      </w:pPr>
      <w:r w:rsidRPr="001E6023">
        <w:rPr>
          <w:rFonts w:ascii="Arial" w:eastAsia="Times New Roman" w:hAnsi="Arial" w:cs="Arial"/>
          <w:sz w:val="24"/>
          <w:szCs w:val="24"/>
        </w:rPr>
        <w:t xml:space="preserve">City Region Deal – Scottish Government: </w:t>
      </w:r>
      <w:r w:rsidRPr="001E6023">
        <w:rPr>
          <w:rFonts w:ascii="Arial" w:eastAsia="Times New Roman" w:hAnsi="Arial" w:cs="Arial"/>
          <w:sz w:val="24"/>
          <w:szCs w:val="24"/>
        </w:rPr>
        <w:tab/>
      </w:r>
      <w:r w:rsidRPr="001E6023">
        <w:rPr>
          <w:rFonts w:ascii="Arial" w:hAnsi="Arial" w:cs="Arial"/>
          <w:sz w:val="24"/>
          <w:szCs w:val="24"/>
        </w:rPr>
        <w:t>£13,264,077</w:t>
      </w:r>
    </w:p>
    <w:p w14:paraId="68A663AD" w14:textId="77777777" w:rsidR="00D55711" w:rsidRPr="001E6023" w:rsidRDefault="00D55711" w:rsidP="00D55711">
      <w:pPr>
        <w:pStyle w:val="ListParagraph"/>
        <w:numPr>
          <w:ilvl w:val="2"/>
          <w:numId w:val="22"/>
        </w:numPr>
        <w:spacing w:after="160" w:line="259" w:lineRule="auto"/>
        <w:ind w:left="1560" w:hanging="426"/>
        <w:jc w:val="both"/>
        <w:rPr>
          <w:rFonts w:ascii="Arial" w:eastAsia="Times New Roman" w:hAnsi="Arial" w:cs="Arial"/>
          <w:sz w:val="24"/>
          <w:szCs w:val="24"/>
        </w:rPr>
      </w:pPr>
      <w:r w:rsidRPr="001E6023">
        <w:rPr>
          <w:rFonts w:ascii="Arial" w:hAnsi="Arial" w:cs="Arial"/>
          <w:sz w:val="24"/>
          <w:szCs w:val="24"/>
        </w:rPr>
        <w:t>City Region Deal – UK Government</w:t>
      </w:r>
      <w:r w:rsidRPr="001E6023">
        <w:rPr>
          <w:rFonts w:ascii="Arial" w:hAnsi="Arial" w:cs="Arial"/>
          <w:sz w:val="24"/>
          <w:szCs w:val="24"/>
        </w:rPr>
        <w:tab/>
        <w:t xml:space="preserve">  :             £100,000</w:t>
      </w:r>
    </w:p>
    <w:p w14:paraId="524AD8BC" w14:textId="77777777" w:rsidR="00D55711" w:rsidRPr="001E6023" w:rsidRDefault="00D55711" w:rsidP="00D55711">
      <w:pPr>
        <w:pStyle w:val="ListParagraph"/>
        <w:numPr>
          <w:ilvl w:val="2"/>
          <w:numId w:val="22"/>
        </w:numPr>
        <w:spacing w:after="160" w:line="259" w:lineRule="auto"/>
        <w:ind w:left="1560" w:hanging="426"/>
        <w:jc w:val="both"/>
        <w:rPr>
          <w:rFonts w:ascii="Arial" w:eastAsia="Times New Roman" w:hAnsi="Arial" w:cs="Arial"/>
          <w:sz w:val="24"/>
          <w:szCs w:val="24"/>
        </w:rPr>
      </w:pPr>
      <w:r w:rsidRPr="001E6023">
        <w:rPr>
          <w:rFonts w:ascii="Arial" w:eastAsia="Times New Roman" w:hAnsi="Arial" w:cs="Arial"/>
          <w:sz w:val="24"/>
          <w:szCs w:val="24"/>
        </w:rPr>
        <w:t>The Highland Council (Capital)</w:t>
      </w:r>
      <w:r w:rsidRPr="001E6023">
        <w:rPr>
          <w:rFonts w:ascii="Arial" w:eastAsia="Times New Roman" w:hAnsi="Arial" w:cs="Arial"/>
          <w:sz w:val="24"/>
          <w:szCs w:val="24"/>
        </w:rPr>
        <w:tab/>
      </w:r>
      <w:r w:rsidRPr="001E6023">
        <w:rPr>
          <w:rFonts w:ascii="Arial" w:eastAsia="Times New Roman" w:hAnsi="Arial" w:cs="Arial"/>
          <w:sz w:val="24"/>
          <w:szCs w:val="24"/>
        </w:rPr>
        <w:tab/>
        <w:t xml:space="preserve">  :    </w:t>
      </w:r>
      <w:r w:rsidRPr="001E6023">
        <w:rPr>
          <w:rFonts w:ascii="Arial" w:eastAsia="Times New Roman" w:hAnsi="Arial" w:cs="Arial"/>
          <w:sz w:val="24"/>
          <w:szCs w:val="24"/>
        </w:rPr>
        <w:tab/>
        <w:t xml:space="preserve">  £9,800,000</w:t>
      </w:r>
    </w:p>
    <w:p w14:paraId="1C698BED" w14:textId="77777777" w:rsidR="00D55711" w:rsidRPr="001E6023" w:rsidRDefault="00D55711" w:rsidP="00D55711">
      <w:pPr>
        <w:pStyle w:val="ListParagraph"/>
        <w:numPr>
          <w:ilvl w:val="2"/>
          <w:numId w:val="22"/>
        </w:numPr>
        <w:spacing w:after="160" w:line="259" w:lineRule="auto"/>
        <w:ind w:left="1560" w:hanging="426"/>
        <w:jc w:val="both"/>
        <w:rPr>
          <w:rFonts w:ascii="Arial" w:hAnsi="Arial" w:cs="Arial"/>
          <w:sz w:val="24"/>
          <w:szCs w:val="24"/>
        </w:rPr>
      </w:pPr>
      <w:r w:rsidRPr="001E6023">
        <w:rPr>
          <w:rFonts w:ascii="Arial" w:hAnsi="Arial" w:cs="Arial"/>
          <w:sz w:val="24"/>
          <w:szCs w:val="24"/>
        </w:rPr>
        <w:t>Highlands &amp; Islands Enterprise</w:t>
      </w:r>
      <w:r w:rsidRPr="001E6023">
        <w:rPr>
          <w:rFonts w:ascii="Arial" w:hAnsi="Arial" w:cs="Arial"/>
          <w:sz w:val="24"/>
          <w:szCs w:val="24"/>
        </w:rPr>
        <w:tab/>
      </w:r>
      <w:r w:rsidRPr="001E6023">
        <w:rPr>
          <w:rFonts w:ascii="Arial" w:hAnsi="Arial" w:cs="Arial"/>
          <w:sz w:val="24"/>
          <w:szCs w:val="24"/>
        </w:rPr>
        <w:tab/>
        <w:t xml:space="preserve">  :          £2,000,000</w:t>
      </w:r>
    </w:p>
    <w:p w14:paraId="1829BE98" w14:textId="77777777" w:rsidR="00D55711" w:rsidRPr="001E6023" w:rsidRDefault="00D55711" w:rsidP="00D55711">
      <w:pPr>
        <w:pStyle w:val="ListParagraph"/>
        <w:numPr>
          <w:ilvl w:val="2"/>
          <w:numId w:val="22"/>
        </w:numPr>
        <w:spacing w:after="160" w:line="259" w:lineRule="auto"/>
        <w:ind w:left="1560" w:hanging="426"/>
        <w:jc w:val="both"/>
        <w:rPr>
          <w:rFonts w:ascii="Arial" w:eastAsia="Times New Roman" w:hAnsi="Arial" w:cs="Arial"/>
          <w:sz w:val="24"/>
          <w:szCs w:val="24"/>
        </w:rPr>
      </w:pPr>
      <w:r w:rsidRPr="001E6023">
        <w:rPr>
          <w:rFonts w:ascii="Arial" w:eastAsia="Times New Roman" w:hAnsi="Arial" w:cs="Arial"/>
          <w:sz w:val="24"/>
          <w:szCs w:val="24"/>
        </w:rPr>
        <w:t>The Highland Council (borrowing)            :         £5,755,000</w:t>
      </w:r>
    </w:p>
    <w:p w14:paraId="1481893D" w14:textId="77777777" w:rsidR="00D55711" w:rsidRPr="001E6023" w:rsidRDefault="00D55711" w:rsidP="00D55711">
      <w:pPr>
        <w:pStyle w:val="ListParagraph"/>
        <w:numPr>
          <w:ilvl w:val="2"/>
          <w:numId w:val="22"/>
        </w:numPr>
        <w:spacing w:after="0" w:line="240" w:lineRule="auto"/>
        <w:ind w:left="1560" w:hanging="426"/>
        <w:jc w:val="both"/>
        <w:rPr>
          <w:rFonts w:ascii="Arial" w:eastAsia="Times New Roman" w:hAnsi="Arial" w:cs="Arial"/>
          <w:sz w:val="24"/>
          <w:szCs w:val="24"/>
        </w:rPr>
      </w:pPr>
      <w:r w:rsidRPr="001E6023">
        <w:rPr>
          <w:rFonts w:ascii="Arial" w:hAnsi="Arial" w:cs="Arial"/>
          <w:sz w:val="24"/>
          <w:szCs w:val="24"/>
        </w:rPr>
        <w:t xml:space="preserve">Scottish government Tourism and </w:t>
      </w:r>
    </w:p>
    <w:p w14:paraId="487AAF98" w14:textId="77777777" w:rsidR="00D55711" w:rsidRPr="001E6023" w:rsidRDefault="00D55711" w:rsidP="00D55711">
      <w:pPr>
        <w:ind w:left="1254" w:firstLine="306"/>
        <w:jc w:val="both"/>
        <w:rPr>
          <w:rFonts w:ascii="Arial" w:hAnsi="Arial" w:cs="Arial"/>
          <w:szCs w:val="24"/>
        </w:rPr>
      </w:pPr>
      <w:r w:rsidRPr="001E6023">
        <w:rPr>
          <w:rFonts w:ascii="Arial" w:hAnsi="Arial" w:cs="Arial"/>
          <w:szCs w:val="24"/>
        </w:rPr>
        <w:t xml:space="preserve">Economic development grant (tbc)          :  </w:t>
      </w:r>
      <w:r w:rsidRPr="001E6023">
        <w:rPr>
          <w:rFonts w:ascii="Arial" w:hAnsi="Arial" w:cs="Arial"/>
          <w:szCs w:val="24"/>
        </w:rPr>
        <w:tab/>
        <w:t xml:space="preserve">  £4,635,923</w:t>
      </w:r>
    </w:p>
    <w:p w14:paraId="25AF2A2B" w14:textId="77777777" w:rsidR="00D55711" w:rsidRPr="001E6023" w:rsidRDefault="00D55711" w:rsidP="00D55711">
      <w:pPr>
        <w:pStyle w:val="ListParagraph"/>
        <w:numPr>
          <w:ilvl w:val="2"/>
          <w:numId w:val="22"/>
        </w:numPr>
        <w:spacing w:after="160" w:line="259" w:lineRule="auto"/>
        <w:ind w:left="1560" w:hanging="426"/>
        <w:jc w:val="both"/>
        <w:rPr>
          <w:rFonts w:ascii="Arial" w:hAnsi="Arial" w:cs="Arial"/>
          <w:sz w:val="24"/>
          <w:szCs w:val="24"/>
        </w:rPr>
      </w:pPr>
      <w:r w:rsidRPr="001E6023">
        <w:rPr>
          <w:rFonts w:ascii="Arial" w:hAnsi="Arial" w:cs="Arial"/>
          <w:sz w:val="24"/>
          <w:szCs w:val="24"/>
        </w:rPr>
        <w:t>Historic Environment Scotland</w:t>
      </w:r>
      <w:r w:rsidRPr="001E6023">
        <w:rPr>
          <w:rStyle w:val="FootnoteReference"/>
          <w:rFonts w:ascii="Arial" w:hAnsi="Arial" w:cs="Arial"/>
          <w:sz w:val="24"/>
          <w:szCs w:val="24"/>
        </w:rPr>
        <w:footnoteReference w:id="1"/>
      </w:r>
      <w:r w:rsidRPr="001E6023">
        <w:rPr>
          <w:rFonts w:ascii="Arial" w:hAnsi="Arial" w:cs="Arial"/>
          <w:sz w:val="24"/>
          <w:szCs w:val="24"/>
        </w:rPr>
        <w:t xml:space="preserve">   </w:t>
      </w:r>
      <w:r w:rsidRPr="001E6023">
        <w:rPr>
          <w:rFonts w:ascii="Arial" w:hAnsi="Arial" w:cs="Arial"/>
          <w:sz w:val="24"/>
          <w:szCs w:val="24"/>
        </w:rPr>
        <w:tab/>
        <w:t xml:space="preserve">  :    </w:t>
      </w:r>
      <w:r w:rsidRPr="001E6023">
        <w:rPr>
          <w:rFonts w:ascii="Arial" w:hAnsi="Arial" w:cs="Arial"/>
          <w:sz w:val="24"/>
          <w:szCs w:val="24"/>
        </w:rPr>
        <w:tab/>
        <w:t xml:space="preserve">     £350,000</w:t>
      </w:r>
    </w:p>
    <w:p w14:paraId="4BF18631"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operation of the visitor attraction will generate £4.5m revenues per annum in a mature year and the annual running costs will be £4.2m in a mature year.</w:t>
      </w:r>
    </w:p>
    <w:p w14:paraId="0BB5E616"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A surplus of c£300k will be generated annually from Year 3 (mature year)</w:t>
      </w:r>
    </w:p>
    <w:p w14:paraId="5C489D20"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There will be a negligible impact on the Councils balance sheet and income and expenditure account.</w:t>
      </w:r>
    </w:p>
    <w:p w14:paraId="68C0CB3C"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Council can allocate 50% of the profit share to its savings targets.</w:t>
      </w:r>
    </w:p>
    <w:p w14:paraId="4741AB3E"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There will be a negligible impact on the HLH balance sheet, but a positive impact on HLH income and expenditure account.</w:t>
      </w:r>
    </w:p>
    <w:p w14:paraId="3D533953"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HLH will invest 50% of the profit share in the Highlands region (</w:t>
      </w:r>
      <w:proofErr w:type="spellStart"/>
      <w:r w:rsidRPr="001E6023">
        <w:rPr>
          <w:rFonts w:ascii="Arial" w:hAnsi="Arial" w:cs="Arial"/>
          <w:szCs w:val="24"/>
        </w:rPr>
        <w:t>outwith</w:t>
      </w:r>
      <w:proofErr w:type="spellEnd"/>
      <w:r w:rsidRPr="001E6023">
        <w:rPr>
          <w:rFonts w:ascii="Arial" w:hAnsi="Arial" w:cs="Arial"/>
          <w:szCs w:val="24"/>
        </w:rPr>
        <w:t xml:space="preserve"> Inverness city centre).</w:t>
      </w:r>
    </w:p>
    <w:p w14:paraId="3CCAE9CA" w14:textId="77777777" w:rsidR="00D55711" w:rsidRPr="001E6023" w:rsidRDefault="00D55711" w:rsidP="00D55711">
      <w:pPr>
        <w:pStyle w:val="Style1"/>
        <w:numPr>
          <w:ilvl w:val="0"/>
          <w:numId w:val="0"/>
        </w:numPr>
        <w:spacing w:after="240" w:line="240" w:lineRule="auto"/>
        <w:ind w:left="567"/>
        <w:contextualSpacing w:val="0"/>
        <w:jc w:val="both"/>
        <w:rPr>
          <w:rFonts w:ascii="Arial" w:hAnsi="Arial" w:cs="Arial"/>
          <w:sz w:val="24"/>
          <w:szCs w:val="24"/>
        </w:rPr>
      </w:pPr>
      <w:r w:rsidRPr="001E6023">
        <w:rPr>
          <w:rFonts w:ascii="Arial" w:hAnsi="Arial" w:cs="Arial"/>
          <w:sz w:val="24"/>
          <w:szCs w:val="24"/>
        </w:rPr>
        <w:t xml:space="preserve">The Management Case </w:t>
      </w:r>
    </w:p>
    <w:p w14:paraId="4F77AC8B"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The key milestone set out within the management case include the following.</w:t>
      </w:r>
    </w:p>
    <w:p w14:paraId="3D23393F"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main construction contractor will be appointed in January 2022.</w:t>
      </w:r>
    </w:p>
    <w:p w14:paraId="0B57FD2F"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Mobilisation of the contract will be between February and April 2022.</w:t>
      </w:r>
    </w:p>
    <w:p w14:paraId="499898A4"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construction contract will last from April 2022 to November 2024.</w:t>
      </w:r>
    </w:p>
    <w:p w14:paraId="7E2497A0"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t>The interpretation fit out will take place from October 2024 to April 2025.</w:t>
      </w:r>
    </w:p>
    <w:p w14:paraId="5CD9E356" w14:textId="77777777" w:rsidR="00D55711" w:rsidRPr="001E6023" w:rsidRDefault="00D55711" w:rsidP="00D55711">
      <w:pPr>
        <w:numPr>
          <w:ilvl w:val="0"/>
          <w:numId w:val="20"/>
        </w:numPr>
        <w:spacing w:after="240"/>
        <w:ind w:left="993" w:hanging="426"/>
        <w:jc w:val="both"/>
        <w:rPr>
          <w:rFonts w:ascii="Arial" w:hAnsi="Arial" w:cs="Arial"/>
          <w:szCs w:val="24"/>
        </w:rPr>
      </w:pPr>
      <w:r w:rsidRPr="001E6023">
        <w:rPr>
          <w:rFonts w:ascii="Arial" w:hAnsi="Arial" w:cs="Arial"/>
          <w:szCs w:val="24"/>
        </w:rPr>
        <w:lastRenderedPageBreak/>
        <w:t>The opening of the new visitor attraction is planned for spring 2025.</w:t>
      </w:r>
    </w:p>
    <w:p w14:paraId="2DF35128"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The management case also presents a Marketing and Communications Plan, an Equalities Impact Assessment and a Benefits Realisation Plan, all of which are appended to the FBC.</w:t>
      </w:r>
    </w:p>
    <w:p w14:paraId="6A7D291F" w14:textId="77777777" w:rsidR="00D55711" w:rsidRPr="001E6023" w:rsidRDefault="00D55711" w:rsidP="00D55711">
      <w:pPr>
        <w:pStyle w:val="Style1"/>
        <w:numPr>
          <w:ilvl w:val="0"/>
          <w:numId w:val="21"/>
        </w:numPr>
        <w:spacing w:after="240" w:line="240" w:lineRule="auto"/>
        <w:ind w:left="567" w:hanging="709"/>
        <w:contextualSpacing w:val="0"/>
        <w:jc w:val="both"/>
        <w:rPr>
          <w:rFonts w:ascii="Arial" w:hAnsi="Arial" w:cs="Arial"/>
          <w:b w:val="0"/>
          <w:color w:val="auto"/>
          <w:sz w:val="24"/>
          <w:szCs w:val="24"/>
        </w:rPr>
      </w:pPr>
      <w:r w:rsidRPr="001E6023">
        <w:rPr>
          <w:rFonts w:ascii="Arial" w:hAnsi="Arial" w:cs="Arial"/>
          <w:b w:val="0"/>
          <w:color w:val="auto"/>
          <w:sz w:val="24"/>
          <w:szCs w:val="24"/>
        </w:rPr>
        <w:t>The first draft of the FBC was submitted to the UK and Scottish Governments on 17th January 2022.  Feedback and comment from both sets of officials is awaited to move the FBC to a final draft to be submitted for approval in February 2022.</w:t>
      </w:r>
    </w:p>
    <w:p w14:paraId="5E9F6FF0" w14:textId="77777777" w:rsidR="00D55711" w:rsidRPr="001E6023" w:rsidRDefault="00D55711" w:rsidP="00D55711">
      <w:pPr>
        <w:rPr>
          <w:rFonts w:ascii="Arial" w:hAnsi="Arial" w:cs="Arial"/>
          <w:szCs w:val="24"/>
        </w:rPr>
      </w:pPr>
    </w:p>
    <w:p w14:paraId="4D20F2C3" w14:textId="3CC55AF7" w:rsidR="00926E55" w:rsidRDefault="00926E55" w:rsidP="0034526A">
      <w:pPr>
        <w:rPr>
          <w:rFonts w:ascii="Arial" w:hAnsi="Arial" w:cs="Arial"/>
          <w:szCs w:val="24"/>
        </w:rPr>
      </w:pPr>
    </w:p>
    <w:p w14:paraId="7A3F981C" w14:textId="74BB56F7" w:rsidR="00551056" w:rsidRDefault="00551056" w:rsidP="0034526A">
      <w:pPr>
        <w:rPr>
          <w:rFonts w:ascii="Arial" w:hAnsi="Arial" w:cs="Arial"/>
          <w:szCs w:val="24"/>
        </w:rPr>
      </w:pPr>
    </w:p>
    <w:p w14:paraId="5204380B" w14:textId="06E6D0A5" w:rsidR="00551056" w:rsidRDefault="00551056" w:rsidP="0034526A">
      <w:pPr>
        <w:rPr>
          <w:rFonts w:ascii="Arial" w:hAnsi="Arial" w:cs="Arial"/>
          <w:szCs w:val="24"/>
        </w:rPr>
      </w:pPr>
    </w:p>
    <w:p w14:paraId="5FDF0AD4" w14:textId="0AAF4C66" w:rsidR="00551056" w:rsidRDefault="00551056" w:rsidP="0034526A">
      <w:pPr>
        <w:rPr>
          <w:rFonts w:ascii="Arial" w:hAnsi="Arial" w:cs="Arial"/>
          <w:szCs w:val="24"/>
        </w:rPr>
      </w:pPr>
    </w:p>
    <w:p w14:paraId="02128F51" w14:textId="1D10DAFD" w:rsidR="00551056" w:rsidRDefault="00551056" w:rsidP="0034526A">
      <w:pPr>
        <w:rPr>
          <w:rFonts w:ascii="Arial" w:hAnsi="Arial" w:cs="Arial"/>
          <w:szCs w:val="24"/>
        </w:rPr>
      </w:pPr>
    </w:p>
    <w:p w14:paraId="2AADD71C" w14:textId="6A220451" w:rsidR="00551056" w:rsidRDefault="00551056" w:rsidP="0034526A">
      <w:pPr>
        <w:rPr>
          <w:rFonts w:ascii="Arial" w:hAnsi="Arial" w:cs="Arial"/>
          <w:szCs w:val="24"/>
        </w:rPr>
      </w:pPr>
    </w:p>
    <w:p w14:paraId="360C8BA4" w14:textId="1A55E1DB" w:rsidR="00551056" w:rsidRDefault="00551056" w:rsidP="0034526A">
      <w:pPr>
        <w:rPr>
          <w:rFonts w:ascii="Arial" w:hAnsi="Arial" w:cs="Arial"/>
          <w:szCs w:val="24"/>
        </w:rPr>
      </w:pPr>
    </w:p>
    <w:p w14:paraId="6BC648C7" w14:textId="30E2D94E" w:rsidR="00551056" w:rsidRDefault="00551056" w:rsidP="0034526A">
      <w:pPr>
        <w:rPr>
          <w:rFonts w:ascii="Arial" w:hAnsi="Arial" w:cs="Arial"/>
          <w:szCs w:val="24"/>
        </w:rPr>
      </w:pPr>
    </w:p>
    <w:p w14:paraId="09B7451B" w14:textId="56E2C006" w:rsidR="00551056" w:rsidRDefault="00551056" w:rsidP="0034526A">
      <w:pPr>
        <w:rPr>
          <w:rFonts w:ascii="Arial" w:hAnsi="Arial" w:cs="Arial"/>
          <w:szCs w:val="24"/>
        </w:rPr>
      </w:pPr>
    </w:p>
    <w:p w14:paraId="53ED8E41" w14:textId="5B7738EA" w:rsidR="00551056" w:rsidRDefault="00551056" w:rsidP="0034526A">
      <w:pPr>
        <w:rPr>
          <w:rFonts w:ascii="Arial" w:hAnsi="Arial" w:cs="Arial"/>
          <w:szCs w:val="24"/>
        </w:rPr>
      </w:pPr>
    </w:p>
    <w:p w14:paraId="07CF5908" w14:textId="38972A39" w:rsidR="00551056" w:rsidRDefault="00551056" w:rsidP="0034526A">
      <w:pPr>
        <w:rPr>
          <w:rFonts w:ascii="Arial" w:hAnsi="Arial" w:cs="Arial"/>
          <w:szCs w:val="24"/>
        </w:rPr>
      </w:pPr>
    </w:p>
    <w:p w14:paraId="1A3BADE4" w14:textId="7E8ACDDB" w:rsidR="00551056" w:rsidRDefault="00551056" w:rsidP="0034526A">
      <w:pPr>
        <w:rPr>
          <w:rFonts w:ascii="Arial" w:hAnsi="Arial" w:cs="Arial"/>
          <w:szCs w:val="24"/>
        </w:rPr>
      </w:pPr>
    </w:p>
    <w:p w14:paraId="2E083615" w14:textId="0C0F9049" w:rsidR="00551056" w:rsidRDefault="00551056" w:rsidP="0034526A">
      <w:pPr>
        <w:rPr>
          <w:rFonts w:ascii="Arial" w:hAnsi="Arial" w:cs="Arial"/>
          <w:szCs w:val="24"/>
        </w:rPr>
      </w:pPr>
    </w:p>
    <w:p w14:paraId="4C1EED07" w14:textId="5977FB56" w:rsidR="00551056" w:rsidRDefault="00551056" w:rsidP="0034526A">
      <w:pPr>
        <w:rPr>
          <w:rFonts w:ascii="Arial" w:hAnsi="Arial" w:cs="Arial"/>
          <w:szCs w:val="24"/>
        </w:rPr>
      </w:pPr>
    </w:p>
    <w:p w14:paraId="6AF1EB41" w14:textId="5DDB14B9" w:rsidR="00551056" w:rsidRDefault="00551056" w:rsidP="0034526A">
      <w:pPr>
        <w:rPr>
          <w:rFonts w:ascii="Arial" w:hAnsi="Arial" w:cs="Arial"/>
          <w:szCs w:val="24"/>
        </w:rPr>
      </w:pPr>
    </w:p>
    <w:p w14:paraId="38B6DDA4" w14:textId="5A61ADA6" w:rsidR="00551056" w:rsidRDefault="00551056" w:rsidP="0034526A">
      <w:pPr>
        <w:rPr>
          <w:rFonts w:ascii="Arial" w:hAnsi="Arial" w:cs="Arial"/>
          <w:szCs w:val="24"/>
        </w:rPr>
      </w:pPr>
    </w:p>
    <w:p w14:paraId="704FA7AC" w14:textId="3AE060AE" w:rsidR="00551056" w:rsidRDefault="00551056" w:rsidP="0034526A">
      <w:pPr>
        <w:rPr>
          <w:rFonts w:ascii="Arial" w:hAnsi="Arial" w:cs="Arial"/>
          <w:szCs w:val="24"/>
        </w:rPr>
      </w:pPr>
    </w:p>
    <w:p w14:paraId="4CE9BBF7" w14:textId="3DDCDAE2" w:rsidR="00551056" w:rsidRDefault="00551056" w:rsidP="0034526A">
      <w:pPr>
        <w:rPr>
          <w:rFonts w:ascii="Arial" w:hAnsi="Arial" w:cs="Arial"/>
          <w:szCs w:val="24"/>
        </w:rPr>
      </w:pPr>
    </w:p>
    <w:p w14:paraId="5CC5D602" w14:textId="2CAFF6A0" w:rsidR="00551056" w:rsidRDefault="00551056" w:rsidP="0034526A">
      <w:pPr>
        <w:rPr>
          <w:rFonts w:ascii="Arial" w:hAnsi="Arial" w:cs="Arial"/>
          <w:szCs w:val="24"/>
        </w:rPr>
      </w:pPr>
    </w:p>
    <w:p w14:paraId="7595212D" w14:textId="7526BF5E" w:rsidR="00551056" w:rsidRDefault="00551056" w:rsidP="0034526A">
      <w:pPr>
        <w:rPr>
          <w:rFonts w:ascii="Arial" w:hAnsi="Arial" w:cs="Arial"/>
          <w:szCs w:val="24"/>
        </w:rPr>
      </w:pPr>
    </w:p>
    <w:p w14:paraId="6A887B72" w14:textId="10F4BFD3" w:rsidR="00551056" w:rsidRDefault="00551056" w:rsidP="0034526A">
      <w:pPr>
        <w:rPr>
          <w:rFonts w:ascii="Arial" w:hAnsi="Arial" w:cs="Arial"/>
          <w:szCs w:val="24"/>
        </w:rPr>
      </w:pPr>
    </w:p>
    <w:p w14:paraId="186FBB5A" w14:textId="117319EE" w:rsidR="00551056" w:rsidRDefault="00551056" w:rsidP="0034526A">
      <w:pPr>
        <w:rPr>
          <w:rFonts w:ascii="Arial" w:hAnsi="Arial" w:cs="Arial"/>
          <w:szCs w:val="24"/>
        </w:rPr>
      </w:pPr>
    </w:p>
    <w:p w14:paraId="07B675B6" w14:textId="7DCE8E12" w:rsidR="00551056" w:rsidRDefault="00551056" w:rsidP="0034526A">
      <w:pPr>
        <w:rPr>
          <w:rFonts w:ascii="Arial" w:hAnsi="Arial" w:cs="Arial"/>
          <w:szCs w:val="24"/>
        </w:rPr>
      </w:pPr>
    </w:p>
    <w:p w14:paraId="782D4943" w14:textId="7C6091F0" w:rsidR="00551056" w:rsidRDefault="00551056" w:rsidP="0034526A">
      <w:pPr>
        <w:rPr>
          <w:rFonts w:ascii="Arial" w:hAnsi="Arial" w:cs="Arial"/>
          <w:szCs w:val="24"/>
        </w:rPr>
      </w:pPr>
    </w:p>
    <w:p w14:paraId="1FCB951B" w14:textId="6023FC75" w:rsidR="00551056" w:rsidRDefault="00551056" w:rsidP="0034526A">
      <w:pPr>
        <w:rPr>
          <w:rFonts w:ascii="Arial" w:hAnsi="Arial" w:cs="Arial"/>
          <w:szCs w:val="24"/>
        </w:rPr>
      </w:pPr>
    </w:p>
    <w:p w14:paraId="5F98F190" w14:textId="09781215" w:rsidR="00551056" w:rsidRDefault="00551056" w:rsidP="0034526A">
      <w:pPr>
        <w:rPr>
          <w:rFonts w:ascii="Arial" w:hAnsi="Arial" w:cs="Arial"/>
          <w:szCs w:val="24"/>
        </w:rPr>
      </w:pPr>
    </w:p>
    <w:p w14:paraId="5E5A7144" w14:textId="4EB81C0A" w:rsidR="00551056" w:rsidRDefault="00551056" w:rsidP="0034526A">
      <w:pPr>
        <w:rPr>
          <w:rFonts w:ascii="Arial" w:hAnsi="Arial" w:cs="Arial"/>
          <w:szCs w:val="24"/>
        </w:rPr>
      </w:pPr>
    </w:p>
    <w:p w14:paraId="0818796A" w14:textId="2DF67974" w:rsidR="00551056" w:rsidRDefault="00551056" w:rsidP="0034526A">
      <w:pPr>
        <w:rPr>
          <w:rFonts w:ascii="Arial" w:hAnsi="Arial" w:cs="Arial"/>
          <w:szCs w:val="24"/>
        </w:rPr>
      </w:pPr>
    </w:p>
    <w:p w14:paraId="639E157B" w14:textId="42AAEE51" w:rsidR="00551056" w:rsidRDefault="00551056" w:rsidP="0034526A">
      <w:pPr>
        <w:rPr>
          <w:rFonts w:ascii="Arial" w:hAnsi="Arial" w:cs="Arial"/>
          <w:szCs w:val="24"/>
        </w:rPr>
      </w:pPr>
    </w:p>
    <w:p w14:paraId="32858313" w14:textId="47024E16" w:rsidR="00551056" w:rsidRDefault="00551056" w:rsidP="0034526A">
      <w:pPr>
        <w:rPr>
          <w:rFonts w:ascii="Arial" w:hAnsi="Arial" w:cs="Arial"/>
          <w:szCs w:val="24"/>
        </w:rPr>
      </w:pPr>
    </w:p>
    <w:p w14:paraId="3E7A8832" w14:textId="7DC7B6B5" w:rsidR="00551056" w:rsidRDefault="00551056" w:rsidP="0034526A">
      <w:pPr>
        <w:rPr>
          <w:rFonts w:ascii="Arial" w:hAnsi="Arial" w:cs="Arial"/>
          <w:szCs w:val="24"/>
        </w:rPr>
      </w:pPr>
    </w:p>
    <w:p w14:paraId="71B94812" w14:textId="6C0EC05D" w:rsidR="00551056" w:rsidRDefault="00551056" w:rsidP="0034526A">
      <w:pPr>
        <w:rPr>
          <w:rFonts w:ascii="Arial" w:hAnsi="Arial" w:cs="Arial"/>
          <w:szCs w:val="24"/>
        </w:rPr>
      </w:pPr>
    </w:p>
    <w:p w14:paraId="0CF6AA4C" w14:textId="6DEFD87C" w:rsidR="00551056" w:rsidRDefault="00551056" w:rsidP="0034526A">
      <w:pPr>
        <w:rPr>
          <w:rFonts w:ascii="Arial" w:hAnsi="Arial" w:cs="Arial"/>
          <w:szCs w:val="24"/>
        </w:rPr>
      </w:pPr>
    </w:p>
    <w:p w14:paraId="2550F3B3" w14:textId="2DA1EE2C" w:rsidR="00551056" w:rsidRDefault="00551056" w:rsidP="0034526A">
      <w:pPr>
        <w:rPr>
          <w:rFonts w:ascii="Arial" w:hAnsi="Arial" w:cs="Arial"/>
          <w:szCs w:val="24"/>
        </w:rPr>
      </w:pPr>
    </w:p>
    <w:p w14:paraId="383AE726" w14:textId="46C27C7D" w:rsidR="00551056" w:rsidRDefault="00551056" w:rsidP="0034526A">
      <w:pPr>
        <w:rPr>
          <w:rFonts w:ascii="Arial" w:hAnsi="Arial" w:cs="Arial"/>
          <w:szCs w:val="24"/>
        </w:rPr>
      </w:pPr>
    </w:p>
    <w:p w14:paraId="2E2E9F87" w14:textId="4DAAC8E5" w:rsidR="00551056" w:rsidRDefault="00551056" w:rsidP="0034526A">
      <w:pPr>
        <w:rPr>
          <w:rFonts w:ascii="Arial" w:hAnsi="Arial" w:cs="Arial"/>
          <w:szCs w:val="24"/>
        </w:rPr>
      </w:pPr>
    </w:p>
    <w:p w14:paraId="2BE9E4A4" w14:textId="46F52D30" w:rsidR="00551056" w:rsidRDefault="00551056" w:rsidP="0034526A">
      <w:pPr>
        <w:rPr>
          <w:rFonts w:ascii="Arial" w:hAnsi="Arial" w:cs="Arial"/>
          <w:szCs w:val="24"/>
        </w:rPr>
      </w:pPr>
    </w:p>
    <w:p w14:paraId="46D35A76" w14:textId="35423A68" w:rsidR="00551056" w:rsidRDefault="00551056" w:rsidP="0034526A">
      <w:pPr>
        <w:rPr>
          <w:rFonts w:ascii="Arial" w:hAnsi="Arial" w:cs="Arial"/>
          <w:szCs w:val="24"/>
        </w:rPr>
      </w:pPr>
    </w:p>
    <w:p w14:paraId="48C783F1" w14:textId="291D9E6D" w:rsidR="00551056" w:rsidRDefault="00551056" w:rsidP="0034526A">
      <w:pPr>
        <w:rPr>
          <w:rFonts w:ascii="Arial" w:hAnsi="Arial" w:cs="Arial"/>
          <w:szCs w:val="24"/>
        </w:rPr>
      </w:pPr>
    </w:p>
    <w:p w14:paraId="54122EEF" w14:textId="77777777" w:rsidR="009B72F2" w:rsidRDefault="009B72F2" w:rsidP="0034526A">
      <w:pPr>
        <w:rPr>
          <w:rFonts w:ascii="Arial" w:hAnsi="Arial" w:cs="Arial"/>
          <w:szCs w:val="24"/>
        </w:rPr>
        <w:sectPr w:rsidR="009B72F2" w:rsidSect="005A7827">
          <w:pgSz w:w="11906" w:h="16838"/>
          <w:pgMar w:top="1134" w:right="1440" w:bottom="1560" w:left="1440" w:header="720" w:footer="720" w:gutter="0"/>
          <w:cols w:space="720"/>
          <w:docGrid w:linePitch="326"/>
        </w:sectPr>
      </w:pPr>
    </w:p>
    <w:p w14:paraId="70538852" w14:textId="3200643C" w:rsidR="00551056" w:rsidRDefault="00551056" w:rsidP="0034526A">
      <w:pPr>
        <w:rPr>
          <w:rFonts w:ascii="Arial" w:hAnsi="Arial" w:cs="Arial"/>
          <w:szCs w:val="24"/>
        </w:rPr>
      </w:pPr>
    </w:p>
    <w:p w14:paraId="09362F06" w14:textId="3179BE5C" w:rsidR="00551056" w:rsidRDefault="00551056" w:rsidP="0034526A">
      <w:pPr>
        <w:rPr>
          <w:rFonts w:ascii="Arial" w:hAnsi="Arial" w:cs="Arial"/>
          <w:b/>
          <w:bCs/>
          <w:szCs w:val="24"/>
        </w:rPr>
      </w:pPr>
      <w:r w:rsidRPr="00551056">
        <w:rPr>
          <w:rFonts w:ascii="Arial" w:hAnsi="Arial" w:cs="Arial"/>
          <w:b/>
          <w:bCs/>
          <w:szCs w:val="24"/>
        </w:rPr>
        <w:t>APPENDIX B – TEN YEAR PROFIT AND LOSS</w:t>
      </w:r>
    </w:p>
    <w:p w14:paraId="2688A045" w14:textId="62795087" w:rsidR="00551056" w:rsidRDefault="00551056" w:rsidP="0034526A">
      <w:pPr>
        <w:rPr>
          <w:rFonts w:ascii="Arial" w:hAnsi="Arial" w:cs="Arial"/>
          <w:b/>
          <w:bCs/>
          <w:szCs w:val="24"/>
        </w:rPr>
      </w:pPr>
    </w:p>
    <w:p w14:paraId="63134699" w14:textId="05D95807" w:rsidR="00551056" w:rsidRPr="00551056" w:rsidRDefault="00551056" w:rsidP="0034526A">
      <w:pPr>
        <w:rPr>
          <w:rFonts w:ascii="Arial" w:hAnsi="Arial" w:cs="Arial"/>
          <w:b/>
          <w:bCs/>
          <w:szCs w:val="24"/>
        </w:rPr>
      </w:pPr>
      <w:r w:rsidRPr="00872E63">
        <w:rPr>
          <w:noProof/>
        </w:rPr>
        <w:drawing>
          <wp:inline distT="0" distB="0" distL="0" distR="0" wp14:anchorId="7E12C0B5" wp14:editId="3A2FB1A4">
            <wp:extent cx="7981950" cy="509377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2854" cy="5100738"/>
                    </a:xfrm>
                    <a:prstGeom prst="rect">
                      <a:avLst/>
                    </a:prstGeom>
                    <a:noFill/>
                    <a:ln>
                      <a:noFill/>
                    </a:ln>
                  </pic:spPr>
                </pic:pic>
              </a:graphicData>
            </a:graphic>
          </wp:inline>
        </w:drawing>
      </w:r>
    </w:p>
    <w:sectPr w:rsidR="00551056" w:rsidRPr="00551056" w:rsidSect="009B72F2">
      <w:pgSz w:w="16838" w:h="11906" w:orient="landscape"/>
      <w:pgMar w:top="1440" w:right="1134" w:bottom="1440" w:left="15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F05A9" w14:textId="77777777" w:rsidR="00177F3C" w:rsidRDefault="00177F3C">
      <w:r>
        <w:separator/>
      </w:r>
    </w:p>
  </w:endnote>
  <w:endnote w:type="continuationSeparator" w:id="0">
    <w:p w14:paraId="5EB36F89" w14:textId="77777777" w:rsidR="00177F3C" w:rsidRDefault="0017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33449" w14:textId="77777777" w:rsidR="00177F3C" w:rsidRDefault="00177F3C">
      <w:r>
        <w:separator/>
      </w:r>
    </w:p>
  </w:footnote>
  <w:footnote w:type="continuationSeparator" w:id="0">
    <w:p w14:paraId="0FB1ED38" w14:textId="77777777" w:rsidR="00177F3C" w:rsidRDefault="00177F3C">
      <w:r>
        <w:continuationSeparator/>
      </w:r>
    </w:p>
  </w:footnote>
  <w:footnote w:id="1">
    <w:p w14:paraId="259636B0" w14:textId="77777777" w:rsidR="00D55711" w:rsidRDefault="00D55711" w:rsidP="00D55711">
      <w:pPr>
        <w:pStyle w:val="FootnoteText"/>
      </w:pPr>
      <w:r>
        <w:rPr>
          <w:rStyle w:val="FootnoteReference"/>
        </w:rPr>
        <w:footnoteRef/>
      </w:r>
      <w:r>
        <w:t xml:space="preserve"> Funding application submitted in December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1" w15:restartNumberingAfterBreak="0">
    <w:nsid w:val="00000405"/>
    <w:multiLevelType w:val="multilevel"/>
    <w:tmpl w:val="00000888"/>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2" w15:restartNumberingAfterBreak="0">
    <w:nsid w:val="00626FC7"/>
    <w:multiLevelType w:val="hybridMultilevel"/>
    <w:tmpl w:val="0A6AC682"/>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5C2603"/>
    <w:multiLevelType w:val="hybridMultilevel"/>
    <w:tmpl w:val="E056C930"/>
    <w:lvl w:ilvl="0" w:tplc="B52CE8FE">
      <w:start w:val="1"/>
      <w:numFmt w:val="decimal"/>
      <w:lvlText w:val="ES.%1"/>
      <w:lvlJc w:val="left"/>
      <w:pPr>
        <w:ind w:left="114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A2E4A"/>
    <w:multiLevelType w:val="hybridMultilevel"/>
    <w:tmpl w:val="360A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000AD0"/>
    <w:multiLevelType w:val="hybridMultilevel"/>
    <w:tmpl w:val="ED3CD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7526849"/>
    <w:multiLevelType w:val="hybridMultilevel"/>
    <w:tmpl w:val="8BA6E216"/>
    <w:lvl w:ilvl="0" w:tplc="5F801E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 w15:restartNumberingAfterBreak="0">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0" w15:restartNumberingAfterBreak="0">
    <w:nsid w:val="2B7D16F8"/>
    <w:multiLevelType w:val="hybridMultilevel"/>
    <w:tmpl w:val="A44EBBA0"/>
    <w:lvl w:ilvl="0" w:tplc="2398E0F0">
      <w:start w:val="1"/>
      <w:numFmt w:val="bullet"/>
      <w:lvlText w:val=""/>
      <w:lvlJc w:val="left"/>
      <w:pPr>
        <w:ind w:left="927" w:hanging="360"/>
      </w:pPr>
      <w:rPr>
        <w:rFonts w:ascii="Symbol" w:hAnsi="Symbol" w:hint="default"/>
        <w:color w:val="002060"/>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FDD7925"/>
    <w:multiLevelType w:val="hybridMultilevel"/>
    <w:tmpl w:val="7FE02A36"/>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901ECD"/>
    <w:multiLevelType w:val="hybridMultilevel"/>
    <w:tmpl w:val="6A18ACD2"/>
    <w:lvl w:ilvl="0" w:tplc="6F544EE4">
      <w:start w:val="1"/>
      <w:numFmt w:val="lowerRoman"/>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972E4"/>
    <w:multiLevelType w:val="hybridMultilevel"/>
    <w:tmpl w:val="8BA6E216"/>
    <w:lvl w:ilvl="0" w:tplc="5F801E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F356F1"/>
    <w:multiLevelType w:val="hybridMultilevel"/>
    <w:tmpl w:val="56848496"/>
    <w:lvl w:ilvl="0" w:tplc="CFE29D64">
      <w:start w:val="1"/>
      <w:numFmt w:val="bullet"/>
      <w:lvlText w:val=""/>
      <w:lvlJc w:val="left"/>
      <w:pPr>
        <w:tabs>
          <w:tab w:val="num" w:pos="720"/>
        </w:tabs>
        <w:ind w:left="720" w:hanging="360"/>
      </w:pPr>
      <w:rPr>
        <w:rFonts w:ascii="Wingdings" w:hAnsi="Wingdings" w:hint="default"/>
      </w:rPr>
    </w:lvl>
    <w:lvl w:ilvl="1" w:tplc="6FE630C6" w:tentative="1">
      <w:start w:val="1"/>
      <w:numFmt w:val="bullet"/>
      <w:lvlText w:val=""/>
      <w:lvlJc w:val="left"/>
      <w:pPr>
        <w:tabs>
          <w:tab w:val="num" w:pos="1440"/>
        </w:tabs>
        <w:ind w:left="1440" w:hanging="360"/>
      </w:pPr>
      <w:rPr>
        <w:rFonts w:ascii="Wingdings" w:hAnsi="Wingdings" w:hint="default"/>
      </w:rPr>
    </w:lvl>
    <w:lvl w:ilvl="2" w:tplc="64E4FA9C" w:tentative="1">
      <w:start w:val="1"/>
      <w:numFmt w:val="bullet"/>
      <w:lvlText w:val=""/>
      <w:lvlJc w:val="left"/>
      <w:pPr>
        <w:tabs>
          <w:tab w:val="num" w:pos="2160"/>
        </w:tabs>
        <w:ind w:left="2160" w:hanging="360"/>
      </w:pPr>
      <w:rPr>
        <w:rFonts w:ascii="Wingdings" w:hAnsi="Wingdings" w:hint="default"/>
      </w:rPr>
    </w:lvl>
    <w:lvl w:ilvl="3" w:tplc="EE747426" w:tentative="1">
      <w:start w:val="1"/>
      <w:numFmt w:val="bullet"/>
      <w:lvlText w:val=""/>
      <w:lvlJc w:val="left"/>
      <w:pPr>
        <w:tabs>
          <w:tab w:val="num" w:pos="2880"/>
        </w:tabs>
        <w:ind w:left="2880" w:hanging="360"/>
      </w:pPr>
      <w:rPr>
        <w:rFonts w:ascii="Wingdings" w:hAnsi="Wingdings" w:hint="default"/>
      </w:rPr>
    </w:lvl>
    <w:lvl w:ilvl="4" w:tplc="4A6A39D4" w:tentative="1">
      <w:start w:val="1"/>
      <w:numFmt w:val="bullet"/>
      <w:lvlText w:val=""/>
      <w:lvlJc w:val="left"/>
      <w:pPr>
        <w:tabs>
          <w:tab w:val="num" w:pos="3600"/>
        </w:tabs>
        <w:ind w:left="3600" w:hanging="360"/>
      </w:pPr>
      <w:rPr>
        <w:rFonts w:ascii="Wingdings" w:hAnsi="Wingdings" w:hint="default"/>
      </w:rPr>
    </w:lvl>
    <w:lvl w:ilvl="5" w:tplc="D6A2B704" w:tentative="1">
      <w:start w:val="1"/>
      <w:numFmt w:val="bullet"/>
      <w:lvlText w:val=""/>
      <w:lvlJc w:val="left"/>
      <w:pPr>
        <w:tabs>
          <w:tab w:val="num" w:pos="4320"/>
        </w:tabs>
        <w:ind w:left="4320" w:hanging="360"/>
      </w:pPr>
      <w:rPr>
        <w:rFonts w:ascii="Wingdings" w:hAnsi="Wingdings" w:hint="default"/>
      </w:rPr>
    </w:lvl>
    <w:lvl w:ilvl="6" w:tplc="B71C1C10" w:tentative="1">
      <w:start w:val="1"/>
      <w:numFmt w:val="bullet"/>
      <w:lvlText w:val=""/>
      <w:lvlJc w:val="left"/>
      <w:pPr>
        <w:tabs>
          <w:tab w:val="num" w:pos="5040"/>
        </w:tabs>
        <w:ind w:left="5040" w:hanging="360"/>
      </w:pPr>
      <w:rPr>
        <w:rFonts w:ascii="Wingdings" w:hAnsi="Wingdings" w:hint="default"/>
      </w:rPr>
    </w:lvl>
    <w:lvl w:ilvl="7" w:tplc="D1EA9438" w:tentative="1">
      <w:start w:val="1"/>
      <w:numFmt w:val="bullet"/>
      <w:lvlText w:val=""/>
      <w:lvlJc w:val="left"/>
      <w:pPr>
        <w:tabs>
          <w:tab w:val="num" w:pos="5760"/>
        </w:tabs>
        <w:ind w:left="5760" w:hanging="360"/>
      </w:pPr>
      <w:rPr>
        <w:rFonts w:ascii="Wingdings" w:hAnsi="Wingdings" w:hint="default"/>
      </w:rPr>
    </w:lvl>
    <w:lvl w:ilvl="8" w:tplc="CBE6AC6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C82DDD"/>
    <w:multiLevelType w:val="hybridMultilevel"/>
    <w:tmpl w:val="78B66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11FA8"/>
    <w:multiLevelType w:val="hybridMultilevel"/>
    <w:tmpl w:val="9160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A04E0"/>
    <w:multiLevelType w:val="hybridMultilevel"/>
    <w:tmpl w:val="5A90C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453FC9"/>
    <w:multiLevelType w:val="hybridMultilevel"/>
    <w:tmpl w:val="48321A92"/>
    <w:lvl w:ilvl="0" w:tplc="06B0D8DE">
      <w:start w:val="1"/>
      <w:numFmt w:val="decimal"/>
      <w:pStyle w:val="Style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91553C"/>
    <w:multiLevelType w:val="hybridMultilevel"/>
    <w:tmpl w:val="39E8C672"/>
    <w:lvl w:ilvl="0" w:tplc="0809001B">
      <w:start w:val="1"/>
      <w:numFmt w:val="lowerRoman"/>
      <w:lvlText w:val="%1."/>
      <w:lvlJc w:val="righ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4" w15:restartNumberingAfterBreak="0">
    <w:nsid w:val="7C7E4152"/>
    <w:multiLevelType w:val="hybridMultilevel"/>
    <w:tmpl w:val="34226860"/>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B35F63"/>
    <w:multiLevelType w:val="hybridMultilevel"/>
    <w:tmpl w:val="3B7EA3A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6" w15:restartNumberingAfterBreak="0">
    <w:nsid w:val="7FB04A14"/>
    <w:multiLevelType w:val="hybridMultilevel"/>
    <w:tmpl w:val="57DCE89C"/>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
  </w:num>
  <w:num w:numId="3">
    <w:abstractNumId w:val="5"/>
  </w:num>
  <w:num w:numId="4">
    <w:abstractNumId w:val="12"/>
  </w:num>
  <w:num w:numId="5">
    <w:abstractNumId w:val="8"/>
  </w:num>
  <w:num w:numId="6">
    <w:abstractNumId w:val="9"/>
  </w:num>
  <w:num w:numId="7">
    <w:abstractNumId w:val="19"/>
  </w:num>
  <w:num w:numId="8">
    <w:abstractNumId w:val="6"/>
  </w:num>
  <w:num w:numId="9">
    <w:abstractNumId w:val="11"/>
  </w:num>
  <w:num w:numId="10">
    <w:abstractNumId w:val="16"/>
  </w:num>
  <w:num w:numId="11">
    <w:abstractNumId w:val="4"/>
  </w:num>
  <w:num w:numId="12">
    <w:abstractNumId w:val="25"/>
  </w:num>
  <w:num w:numId="13">
    <w:abstractNumId w:val="18"/>
  </w:num>
  <w:num w:numId="14">
    <w:abstractNumId w:val="0"/>
  </w:num>
  <w:num w:numId="15">
    <w:abstractNumId w:val="1"/>
  </w:num>
  <w:num w:numId="16">
    <w:abstractNumId w:val="21"/>
  </w:num>
  <w:num w:numId="17">
    <w:abstractNumId w:val="15"/>
  </w:num>
  <w:num w:numId="18">
    <w:abstractNumId w:val="13"/>
  </w:num>
  <w:num w:numId="19">
    <w:abstractNumId w:val="20"/>
  </w:num>
  <w:num w:numId="20">
    <w:abstractNumId w:val="10"/>
  </w:num>
  <w:num w:numId="21">
    <w:abstractNumId w:val="3"/>
  </w:num>
  <w:num w:numId="22">
    <w:abstractNumId w:val="17"/>
  </w:num>
  <w:num w:numId="23">
    <w:abstractNumId w:val="7"/>
  </w:num>
  <w:num w:numId="24">
    <w:abstractNumId w:val="26"/>
  </w:num>
  <w:num w:numId="25">
    <w:abstractNumId w:val="22"/>
  </w:num>
  <w:num w:numId="26">
    <w:abstractNumId w:val="24"/>
  </w:num>
  <w:num w:numId="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5BDC"/>
    <w:rsid w:val="00013828"/>
    <w:rsid w:val="000176E2"/>
    <w:rsid w:val="00020B41"/>
    <w:rsid w:val="000261C0"/>
    <w:rsid w:val="00026F8A"/>
    <w:rsid w:val="0003004A"/>
    <w:rsid w:val="0003223B"/>
    <w:rsid w:val="000330B6"/>
    <w:rsid w:val="00033EB1"/>
    <w:rsid w:val="0003591A"/>
    <w:rsid w:val="0004312D"/>
    <w:rsid w:val="000505B8"/>
    <w:rsid w:val="00050D22"/>
    <w:rsid w:val="0005167C"/>
    <w:rsid w:val="00054DE1"/>
    <w:rsid w:val="000551FC"/>
    <w:rsid w:val="000554B2"/>
    <w:rsid w:val="000574B4"/>
    <w:rsid w:val="00061C9F"/>
    <w:rsid w:val="0006222A"/>
    <w:rsid w:val="00062F53"/>
    <w:rsid w:val="00064BF3"/>
    <w:rsid w:val="00066BA2"/>
    <w:rsid w:val="00073CEE"/>
    <w:rsid w:val="00074FF1"/>
    <w:rsid w:val="00076CE2"/>
    <w:rsid w:val="00077696"/>
    <w:rsid w:val="00077F8B"/>
    <w:rsid w:val="00080FD0"/>
    <w:rsid w:val="00084731"/>
    <w:rsid w:val="0008589E"/>
    <w:rsid w:val="00090B05"/>
    <w:rsid w:val="00091C70"/>
    <w:rsid w:val="00092D71"/>
    <w:rsid w:val="00093B82"/>
    <w:rsid w:val="0009456D"/>
    <w:rsid w:val="00097000"/>
    <w:rsid w:val="000A25E7"/>
    <w:rsid w:val="000A7423"/>
    <w:rsid w:val="000A7837"/>
    <w:rsid w:val="000B1D32"/>
    <w:rsid w:val="000B2503"/>
    <w:rsid w:val="000B3E4C"/>
    <w:rsid w:val="000B49B2"/>
    <w:rsid w:val="000B5586"/>
    <w:rsid w:val="000B6F76"/>
    <w:rsid w:val="000C19CF"/>
    <w:rsid w:val="000C2040"/>
    <w:rsid w:val="000C3CCE"/>
    <w:rsid w:val="000C72F2"/>
    <w:rsid w:val="000D0E65"/>
    <w:rsid w:val="000D4534"/>
    <w:rsid w:val="000D4BC9"/>
    <w:rsid w:val="000E1E50"/>
    <w:rsid w:val="000E1E7F"/>
    <w:rsid w:val="000E32C5"/>
    <w:rsid w:val="000F274B"/>
    <w:rsid w:val="000F6071"/>
    <w:rsid w:val="00104AC6"/>
    <w:rsid w:val="001055F4"/>
    <w:rsid w:val="00107147"/>
    <w:rsid w:val="001072B4"/>
    <w:rsid w:val="00113A44"/>
    <w:rsid w:val="00122554"/>
    <w:rsid w:val="001301BE"/>
    <w:rsid w:val="00132782"/>
    <w:rsid w:val="00134F39"/>
    <w:rsid w:val="001359E1"/>
    <w:rsid w:val="00140C99"/>
    <w:rsid w:val="0015012F"/>
    <w:rsid w:val="00150287"/>
    <w:rsid w:val="00155277"/>
    <w:rsid w:val="00155A7C"/>
    <w:rsid w:val="00157FFD"/>
    <w:rsid w:val="0016288C"/>
    <w:rsid w:val="00166AD0"/>
    <w:rsid w:val="001671A2"/>
    <w:rsid w:val="00177F3C"/>
    <w:rsid w:val="00183013"/>
    <w:rsid w:val="001867F0"/>
    <w:rsid w:val="00186DF1"/>
    <w:rsid w:val="00186EB5"/>
    <w:rsid w:val="00192A32"/>
    <w:rsid w:val="001950D2"/>
    <w:rsid w:val="00196399"/>
    <w:rsid w:val="001973D8"/>
    <w:rsid w:val="00197724"/>
    <w:rsid w:val="001A0567"/>
    <w:rsid w:val="001A3606"/>
    <w:rsid w:val="001A45C4"/>
    <w:rsid w:val="001B0255"/>
    <w:rsid w:val="001B2DDC"/>
    <w:rsid w:val="001B448B"/>
    <w:rsid w:val="001B744F"/>
    <w:rsid w:val="001B7D45"/>
    <w:rsid w:val="001C3583"/>
    <w:rsid w:val="001C7478"/>
    <w:rsid w:val="001D1D38"/>
    <w:rsid w:val="001D2A5E"/>
    <w:rsid w:val="001E52E7"/>
    <w:rsid w:val="001E6023"/>
    <w:rsid w:val="001F0A13"/>
    <w:rsid w:val="001F242C"/>
    <w:rsid w:val="001F261C"/>
    <w:rsid w:val="001F4B7B"/>
    <w:rsid w:val="001F6978"/>
    <w:rsid w:val="00203F60"/>
    <w:rsid w:val="00206CAC"/>
    <w:rsid w:val="00210527"/>
    <w:rsid w:val="00211CA2"/>
    <w:rsid w:val="00214A0D"/>
    <w:rsid w:val="00214EAD"/>
    <w:rsid w:val="002166BB"/>
    <w:rsid w:val="002225D0"/>
    <w:rsid w:val="00226F57"/>
    <w:rsid w:val="00234011"/>
    <w:rsid w:val="00234F89"/>
    <w:rsid w:val="00236158"/>
    <w:rsid w:val="0023685D"/>
    <w:rsid w:val="00241BE2"/>
    <w:rsid w:val="0024270C"/>
    <w:rsid w:val="00244D6C"/>
    <w:rsid w:val="00245052"/>
    <w:rsid w:val="00251CEC"/>
    <w:rsid w:val="0025263B"/>
    <w:rsid w:val="00253288"/>
    <w:rsid w:val="00254E10"/>
    <w:rsid w:val="00257BA7"/>
    <w:rsid w:val="00263AF1"/>
    <w:rsid w:val="00263FA2"/>
    <w:rsid w:val="002674E4"/>
    <w:rsid w:val="00267F93"/>
    <w:rsid w:val="00274A4D"/>
    <w:rsid w:val="00274D3B"/>
    <w:rsid w:val="00280008"/>
    <w:rsid w:val="00280E21"/>
    <w:rsid w:val="00280E3B"/>
    <w:rsid w:val="00294AEC"/>
    <w:rsid w:val="00294E58"/>
    <w:rsid w:val="0029601C"/>
    <w:rsid w:val="002963BB"/>
    <w:rsid w:val="002A11C0"/>
    <w:rsid w:val="002A13A1"/>
    <w:rsid w:val="002A1504"/>
    <w:rsid w:val="002A660A"/>
    <w:rsid w:val="002B1635"/>
    <w:rsid w:val="002B2804"/>
    <w:rsid w:val="002B3430"/>
    <w:rsid w:val="002B687C"/>
    <w:rsid w:val="002B7DC4"/>
    <w:rsid w:val="002B7E63"/>
    <w:rsid w:val="002C1270"/>
    <w:rsid w:val="002C3BF6"/>
    <w:rsid w:val="002C563A"/>
    <w:rsid w:val="002C5F24"/>
    <w:rsid w:val="002C68DB"/>
    <w:rsid w:val="002C7DD6"/>
    <w:rsid w:val="002D2844"/>
    <w:rsid w:val="002D5357"/>
    <w:rsid w:val="002D55BA"/>
    <w:rsid w:val="002D7D16"/>
    <w:rsid w:val="002E1EEF"/>
    <w:rsid w:val="002E1FC5"/>
    <w:rsid w:val="002E255E"/>
    <w:rsid w:val="002E349F"/>
    <w:rsid w:val="002E3B97"/>
    <w:rsid w:val="002E5825"/>
    <w:rsid w:val="002F2AF3"/>
    <w:rsid w:val="002F2E6A"/>
    <w:rsid w:val="002F5EBF"/>
    <w:rsid w:val="002F6788"/>
    <w:rsid w:val="00301560"/>
    <w:rsid w:val="003017DE"/>
    <w:rsid w:val="00301DED"/>
    <w:rsid w:val="003047AD"/>
    <w:rsid w:val="00306BAA"/>
    <w:rsid w:val="0030790D"/>
    <w:rsid w:val="00324C1F"/>
    <w:rsid w:val="00324C2E"/>
    <w:rsid w:val="003263F9"/>
    <w:rsid w:val="00333CAD"/>
    <w:rsid w:val="0033520A"/>
    <w:rsid w:val="00341354"/>
    <w:rsid w:val="00344ACB"/>
    <w:rsid w:val="0034526A"/>
    <w:rsid w:val="00345B42"/>
    <w:rsid w:val="00346C3E"/>
    <w:rsid w:val="0035129C"/>
    <w:rsid w:val="00353EE7"/>
    <w:rsid w:val="0035642F"/>
    <w:rsid w:val="00356B53"/>
    <w:rsid w:val="00360BAF"/>
    <w:rsid w:val="003610D4"/>
    <w:rsid w:val="0036252C"/>
    <w:rsid w:val="00363F80"/>
    <w:rsid w:val="00366325"/>
    <w:rsid w:val="0037299B"/>
    <w:rsid w:val="00376419"/>
    <w:rsid w:val="00377E7B"/>
    <w:rsid w:val="003800FA"/>
    <w:rsid w:val="003843D2"/>
    <w:rsid w:val="00386F23"/>
    <w:rsid w:val="003875A7"/>
    <w:rsid w:val="003924C9"/>
    <w:rsid w:val="0039450A"/>
    <w:rsid w:val="003A008A"/>
    <w:rsid w:val="003A1E39"/>
    <w:rsid w:val="003A2DCA"/>
    <w:rsid w:val="003A7248"/>
    <w:rsid w:val="003B0FF6"/>
    <w:rsid w:val="003B11CA"/>
    <w:rsid w:val="003B1355"/>
    <w:rsid w:val="003B1F1A"/>
    <w:rsid w:val="003B6CBF"/>
    <w:rsid w:val="003C202D"/>
    <w:rsid w:val="003C2481"/>
    <w:rsid w:val="003C3705"/>
    <w:rsid w:val="003D7006"/>
    <w:rsid w:val="003E1CDA"/>
    <w:rsid w:val="003E2B22"/>
    <w:rsid w:val="003E4842"/>
    <w:rsid w:val="003E73BB"/>
    <w:rsid w:val="003E7C71"/>
    <w:rsid w:val="003F0CED"/>
    <w:rsid w:val="003F13BF"/>
    <w:rsid w:val="003F713F"/>
    <w:rsid w:val="004003BA"/>
    <w:rsid w:val="004025BA"/>
    <w:rsid w:val="00403D5C"/>
    <w:rsid w:val="00403DEA"/>
    <w:rsid w:val="0040581F"/>
    <w:rsid w:val="00407A60"/>
    <w:rsid w:val="00413E57"/>
    <w:rsid w:val="00416BFF"/>
    <w:rsid w:val="0042047A"/>
    <w:rsid w:val="004257B2"/>
    <w:rsid w:val="00426627"/>
    <w:rsid w:val="00432126"/>
    <w:rsid w:val="004365EA"/>
    <w:rsid w:val="0044130C"/>
    <w:rsid w:val="0044294C"/>
    <w:rsid w:val="004447C2"/>
    <w:rsid w:val="004455D4"/>
    <w:rsid w:val="00445D1F"/>
    <w:rsid w:val="00447094"/>
    <w:rsid w:val="004476F3"/>
    <w:rsid w:val="0045226F"/>
    <w:rsid w:val="0045351D"/>
    <w:rsid w:val="00460074"/>
    <w:rsid w:val="0046491F"/>
    <w:rsid w:val="00465AD1"/>
    <w:rsid w:val="00465D71"/>
    <w:rsid w:val="0046709C"/>
    <w:rsid w:val="004704DB"/>
    <w:rsid w:val="00474EDD"/>
    <w:rsid w:val="00480058"/>
    <w:rsid w:val="004806EE"/>
    <w:rsid w:val="00486097"/>
    <w:rsid w:val="00493068"/>
    <w:rsid w:val="00496280"/>
    <w:rsid w:val="00496D02"/>
    <w:rsid w:val="00496E0C"/>
    <w:rsid w:val="004973CD"/>
    <w:rsid w:val="004A104C"/>
    <w:rsid w:val="004A1A72"/>
    <w:rsid w:val="004A2FA7"/>
    <w:rsid w:val="004A338B"/>
    <w:rsid w:val="004B1E87"/>
    <w:rsid w:val="004B7C55"/>
    <w:rsid w:val="004C4A93"/>
    <w:rsid w:val="004C6D9D"/>
    <w:rsid w:val="004D0BC5"/>
    <w:rsid w:val="004D18E0"/>
    <w:rsid w:val="004D28AC"/>
    <w:rsid w:val="004D3AE1"/>
    <w:rsid w:val="004D65FA"/>
    <w:rsid w:val="004D68A8"/>
    <w:rsid w:val="004F4D92"/>
    <w:rsid w:val="004F4FE1"/>
    <w:rsid w:val="004F5521"/>
    <w:rsid w:val="004F6740"/>
    <w:rsid w:val="004F685F"/>
    <w:rsid w:val="004F7724"/>
    <w:rsid w:val="00504936"/>
    <w:rsid w:val="005051C9"/>
    <w:rsid w:val="005058F1"/>
    <w:rsid w:val="00505D55"/>
    <w:rsid w:val="005108FE"/>
    <w:rsid w:val="00512915"/>
    <w:rsid w:val="0051330A"/>
    <w:rsid w:val="0051530B"/>
    <w:rsid w:val="00516514"/>
    <w:rsid w:val="00516F25"/>
    <w:rsid w:val="00517046"/>
    <w:rsid w:val="0052563D"/>
    <w:rsid w:val="005304A6"/>
    <w:rsid w:val="005307D1"/>
    <w:rsid w:val="00540480"/>
    <w:rsid w:val="00540C40"/>
    <w:rsid w:val="00541DA3"/>
    <w:rsid w:val="005460DF"/>
    <w:rsid w:val="0054639C"/>
    <w:rsid w:val="00546B7E"/>
    <w:rsid w:val="00551056"/>
    <w:rsid w:val="00551FBC"/>
    <w:rsid w:val="005538D9"/>
    <w:rsid w:val="00555FC1"/>
    <w:rsid w:val="00561E6A"/>
    <w:rsid w:val="00563E8A"/>
    <w:rsid w:val="00567F6A"/>
    <w:rsid w:val="005732B8"/>
    <w:rsid w:val="00573546"/>
    <w:rsid w:val="00574600"/>
    <w:rsid w:val="0057559C"/>
    <w:rsid w:val="005776E6"/>
    <w:rsid w:val="005857E2"/>
    <w:rsid w:val="0058658A"/>
    <w:rsid w:val="00590C36"/>
    <w:rsid w:val="005940CC"/>
    <w:rsid w:val="0059426B"/>
    <w:rsid w:val="00596043"/>
    <w:rsid w:val="005A084E"/>
    <w:rsid w:val="005A170D"/>
    <w:rsid w:val="005A1F1B"/>
    <w:rsid w:val="005A7827"/>
    <w:rsid w:val="005B48BE"/>
    <w:rsid w:val="005B7AD2"/>
    <w:rsid w:val="005C1095"/>
    <w:rsid w:val="005C1281"/>
    <w:rsid w:val="005C13D9"/>
    <w:rsid w:val="005C4E47"/>
    <w:rsid w:val="005D1C21"/>
    <w:rsid w:val="005D2DA3"/>
    <w:rsid w:val="005D2DBD"/>
    <w:rsid w:val="005D70D9"/>
    <w:rsid w:val="005D79D1"/>
    <w:rsid w:val="005E12D5"/>
    <w:rsid w:val="005E23D5"/>
    <w:rsid w:val="005E2417"/>
    <w:rsid w:val="005E3041"/>
    <w:rsid w:val="005E3112"/>
    <w:rsid w:val="005E4DC9"/>
    <w:rsid w:val="005E79F8"/>
    <w:rsid w:val="005F0414"/>
    <w:rsid w:val="00603F32"/>
    <w:rsid w:val="00605198"/>
    <w:rsid w:val="00610378"/>
    <w:rsid w:val="00610F52"/>
    <w:rsid w:val="006121C6"/>
    <w:rsid w:val="0061518E"/>
    <w:rsid w:val="0061545F"/>
    <w:rsid w:val="00615DE0"/>
    <w:rsid w:val="00616348"/>
    <w:rsid w:val="00617921"/>
    <w:rsid w:val="006216A4"/>
    <w:rsid w:val="00621BD3"/>
    <w:rsid w:val="00623273"/>
    <w:rsid w:val="006239B2"/>
    <w:rsid w:val="00626461"/>
    <w:rsid w:val="00626CA2"/>
    <w:rsid w:val="00630532"/>
    <w:rsid w:val="00631A84"/>
    <w:rsid w:val="006368F3"/>
    <w:rsid w:val="006405A1"/>
    <w:rsid w:val="006431E3"/>
    <w:rsid w:val="00644D84"/>
    <w:rsid w:val="00646821"/>
    <w:rsid w:val="00647BCA"/>
    <w:rsid w:val="00647D1E"/>
    <w:rsid w:val="00652BC4"/>
    <w:rsid w:val="00654D94"/>
    <w:rsid w:val="0066014B"/>
    <w:rsid w:val="00663093"/>
    <w:rsid w:val="00673F0B"/>
    <w:rsid w:val="006748F2"/>
    <w:rsid w:val="0067538A"/>
    <w:rsid w:val="006769D2"/>
    <w:rsid w:val="00677D30"/>
    <w:rsid w:val="0068262A"/>
    <w:rsid w:val="00686F70"/>
    <w:rsid w:val="00687467"/>
    <w:rsid w:val="00690507"/>
    <w:rsid w:val="006910CE"/>
    <w:rsid w:val="00693401"/>
    <w:rsid w:val="00696263"/>
    <w:rsid w:val="00696DD2"/>
    <w:rsid w:val="006A0F3F"/>
    <w:rsid w:val="006A10B5"/>
    <w:rsid w:val="006A63CD"/>
    <w:rsid w:val="006C4267"/>
    <w:rsid w:val="006D0028"/>
    <w:rsid w:val="006D1DA7"/>
    <w:rsid w:val="006D4066"/>
    <w:rsid w:val="006D4204"/>
    <w:rsid w:val="006E0D9C"/>
    <w:rsid w:val="006E5B0D"/>
    <w:rsid w:val="006E71D6"/>
    <w:rsid w:val="006E7A34"/>
    <w:rsid w:val="006F0B62"/>
    <w:rsid w:val="006F3071"/>
    <w:rsid w:val="006F6A8D"/>
    <w:rsid w:val="006F6DA9"/>
    <w:rsid w:val="007022A6"/>
    <w:rsid w:val="00703DA4"/>
    <w:rsid w:val="007063F6"/>
    <w:rsid w:val="00707C87"/>
    <w:rsid w:val="007145CC"/>
    <w:rsid w:val="007161EF"/>
    <w:rsid w:val="00716A62"/>
    <w:rsid w:val="007176D8"/>
    <w:rsid w:val="00717FEE"/>
    <w:rsid w:val="007214D1"/>
    <w:rsid w:val="00721970"/>
    <w:rsid w:val="00724732"/>
    <w:rsid w:val="0072624F"/>
    <w:rsid w:val="0072661F"/>
    <w:rsid w:val="00733ABF"/>
    <w:rsid w:val="00733C39"/>
    <w:rsid w:val="0074357D"/>
    <w:rsid w:val="0074360E"/>
    <w:rsid w:val="0075483F"/>
    <w:rsid w:val="00762379"/>
    <w:rsid w:val="007630B9"/>
    <w:rsid w:val="00763559"/>
    <w:rsid w:val="00772D75"/>
    <w:rsid w:val="00776884"/>
    <w:rsid w:val="0077714F"/>
    <w:rsid w:val="00777888"/>
    <w:rsid w:val="00781AFF"/>
    <w:rsid w:val="00781FBF"/>
    <w:rsid w:val="00790204"/>
    <w:rsid w:val="0079043C"/>
    <w:rsid w:val="00790E27"/>
    <w:rsid w:val="00791761"/>
    <w:rsid w:val="007970F2"/>
    <w:rsid w:val="0079749E"/>
    <w:rsid w:val="007A0382"/>
    <w:rsid w:val="007A20CE"/>
    <w:rsid w:val="007A3D04"/>
    <w:rsid w:val="007A406E"/>
    <w:rsid w:val="007A4C81"/>
    <w:rsid w:val="007A4F2A"/>
    <w:rsid w:val="007A7269"/>
    <w:rsid w:val="007B04F4"/>
    <w:rsid w:val="007B28EE"/>
    <w:rsid w:val="007B5E45"/>
    <w:rsid w:val="007B6EC4"/>
    <w:rsid w:val="007B7D52"/>
    <w:rsid w:val="007C00ED"/>
    <w:rsid w:val="007C0413"/>
    <w:rsid w:val="007C25F1"/>
    <w:rsid w:val="007C4033"/>
    <w:rsid w:val="007C6B50"/>
    <w:rsid w:val="007D2AFE"/>
    <w:rsid w:val="007D4326"/>
    <w:rsid w:val="007D5D4B"/>
    <w:rsid w:val="007D6CAF"/>
    <w:rsid w:val="007E11E5"/>
    <w:rsid w:val="007E1814"/>
    <w:rsid w:val="007E59E6"/>
    <w:rsid w:val="007E5C0B"/>
    <w:rsid w:val="007E5D23"/>
    <w:rsid w:val="007E7F92"/>
    <w:rsid w:val="007F1547"/>
    <w:rsid w:val="007F1B27"/>
    <w:rsid w:val="007F474D"/>
    <w:rsid w:val="007F5A47"/>
    <w:rsid w:val="007F5C39"/>
    <w:rsid w:val="0080251E"/>
    <w:rsid w:val="0080278C"/>
    <w:rsid w:val="00804412"/>
    <w:rsid w:val="0080441F"/>
    <w:rsid w:val="0080596F"/>
    <w:rsid w:val="00807937"/>
    <w:rsid w:val="00811A6F"/>
    <w:rsid w:val="00817AAC"/>
    <w:rsid w:val="00822345"/>
    <w:rsid w:val="00825FD9"/>
    <w:rsid w:val="00833EB7"/>
    <w:rsid w:val="00834155"/>
    <w:rsid w:val="0084114E"/>
    <w:rsid w:val="00847820"/>
    <w:rsid w:val="00851CF2"/>
    <w:rsid w:val="0085262A"/>
    <w:rsid w:val="00861106"/>
    <w:rsid w:val="00867A34"/>
    <w:rsid w:val="0088587A"/>
    <w:rsid w:val="0089449E"/>
    <w:rsid w:val="0089588A"/>
    <w:rsid w:val="00895B92"/>
    <w:rsid w:val="008A0801"/>
    <w:rsid w:val="008A0C62"/>
    <w:rsid w:val="008A1AC6"/>
    <w:rsid w:val="008A1C28"/>
    <w:rsid w:val="008A1F14"/>
    <w:rsid w:val="008A212E"/>
    <w:rsid w:val="008A51D2"/>
    <w:rsid w:val="008B1FEC"/>
    <w:rsid w:val="008B2D76"/>
    <w:rsid w:val="008B4BAF"/>
    <w:rsid w:val="008B4D54"/>
    <w:rsid w:val="008B774D"/>
    <w:rsid w:val="008C5986"/>
    <w:rsid w:val="008D13D9"/>
    <w:rsid w:val="008D2DEE"/>
    <w:rsid w:val="008D6057"/>
    <w:rsid w:val="008E23F2"/>
    <w:rsid w:val="008E375A"/>
    <w:rsid w:val="008E51F4"/>
    <w:rsid w:val="008F1291"/>
    <w:rsid w:val="008F163E"/>
    <w:rsid w:val="008F3159"/>
    <w:rsid w:val="008F5262"/>
    <w:rsid w:val="008F5A22"/>
    <w:rsid w:val="008F6471"/>
    <w:rsid w:val="0090103B"/>
    <w:rsid w:val="0091029D"/>
    <w:rsid w:val="00911186"/>
    <w:rsid w:val="00915C25"/>
    <w:rsid w:val="00916B73"/>
    <w:rsid w:val="0092031D"/>
    <w:rsid w:val="009221C7"/>
    <w:rsid w:val="00922318"/>
    <w:rsid w:val="00926E55"/>
    <w:rsid w:val="00930D82"/>
    <w:rsid w:val="00931E71"/>
    <w:rsid w:val="00932F2F"/>
    <w:rsid w:val="009343A4"/>
    <w:rsid w:val="00937AAC"/>
    <w:rsid w:val="00943A99"/>
    <w:rsid w:val="00947F7B"/>
    <w:rsid w:val="00951FCB"/>
    <w:rsid w:val="009523D1"/>
    <w:rsid w:val="00957E51"/>
    <w:rsid w:val="00960379"/>
    <w:rsid w:val="00963286"/>
    <w:rsid w:val="00965998"/>
    <w:rsid w:val="00966876"/>
    <w:rsid w:val="00967254"/>
    <w:rsid w:val="0096777A"/>
    <w:rsid w:val="009708FB"/>
    <w:rsid w:val="0097099E"/>
    <w:rsid w:val="00972093"/>
    <w:rsid w:val="00972FDE"/>
    <w:rsid w:val="00975019"/>
    <w:rsid w:val="00977CB1"/>
    <w:rsid w:val="00980EA0"/>
    <w:rsid w:val="009831F6"/>
    <w:rsid w:val="0098449B"/>
    <w:rsid w:val="00985128"/>
    <w:rsid w:val="00986B52"/>
    <w:rsid w:val="00991003"/>
    <w:rsid w:val="00992544"/>
    <w:rsid w:val="0099482F"/>
    <w:rsid w:val="0099552E"/>
    <w:rsid w:val="00996886"/>
    <w:rsid w:val="00996A88"/>
    <w:rsid w:val="00996BED"/>
    <w:rsid w:val="009A08DF"/>
    <w:rsid w:val="009A1902"/>
    <w:rsid w:val="009A2DC2"/>
    <w:rsid w:val="009A5F85"/>
    <w:rsid w:val="009B26E7"/>
    <w:rsid w:val="009B2978"/>
    <w:rsid w:val="009B60C0"/>
    <w:rsid w:val="009B72F2"/>
    <w:rsid w:val="009B7C03"/>
    <w:rsid w:val="009C27EE"/>
    <w:rsid w:val="009C40B4"/>
    <w:rsid w:val="009C6FDD"/>
    <w:rsid w:val="009C79AB"/>
    <w:rsid w:val="009D27A9"/>
    <w:rsid w:val="009D2954"/>
    <w:rsid w:val="009D3014"/>
    <w:rsid w:val="009D4E67"/>
    <w:rsid w:val="009E0393"/>
    <w:rsid w:val="009E72FA"/>
    <w:rsid w:val="009F1DA8"/>
    <w:rsid w:val="009F6E6F"/>
    <w:rsid w:val="009F7F8A"/>
    <w:rsid w:val="00A05358"/>
    <w:rsid w:val="00A0742F"/>
    <w:rsid w:val="00A10EAD"/>
    <w:rsid w:val="00A129BC"/>
    <w:rsid w:val="00A15E2C"/>
    <w:rsid w:val="00A16D06"/>
    <w:rsid w:val="00A2043D"/>
    <w:rsid w:val="00A220DB"/>
    <w:rsid w:val="00A241C4"/>
    <w:rsid w:val="00A251F2"/>
    <w:rsid w:val="00A31759"/>
    <w:rsid w:val="00A31CFF"/>
    <w:rsid w:val="00A47A09"/>
    <w:rsid w:val="00A50811"/>
    <w:rsid w:val="00A50926"/>
    <w:rsid w:val="00A51C0B"/>
    <w:rsid w:val="00A53534"/>
    <w:rsid w:val="00A545B8"/>
    <w:rsid w:val="00A56513"/>
    <w:rsid w:val="00A56890"/>
    <w:rsid w:val="00A5750F"/>
    <w:rsid w:val="00A60E0A"/>
    <w:rsid w:val="00A61311"/>
    <w:rsid w:val="00A61654"/>
    <w:rsid w:val="00A61FF9"/>
    <w:rsid w:val="00A70F7B"/>
    <w:rsid w:val="00A763BC"/>
    <w:rsid w:val="00A7787A"/>
    <w:rsid w:val="00A8159A"/>
    <w:rsid w:val="00A860E1"/>
    <w:rsid w:val="00A872F2"/>
    <w:rsid w:val="00A923FD"/>
    <w:rsid w:val="00A936EC"/>
    <w:rsid w:val="00A93F53"/>
    <w:rsid w:val="00A9522F"/>
    <w:rsid w:val="00A96568"/>
    <w:rsid w:val="00A96A06"/>
    <w:rsid w:val="00A97015"/>
    <w:rsid w:val="00AA04F3"/>
    <w:rsid w:val="00AA0ADE"/>
    <w:rsid w:val="00AA1185"/>
    <w:rsid w:val="00AA16B8"/>
    <w:rsid w:val="00AA308B"/>
    <w:rsid w:val="00AA533C"/>
    <w:rsid w:val="00AB0ED8"/>
    <w:rsid w:val="00AB54FF"/>
    <w:rsid w:val="00AC32F3"/>
    <w:rsid w:val="00AC59E8"/>
    <w:rsid w:val="00AC66C5"/>
    <w:rsid w:val="00AC77DC"/>
    <w:rsid w:val="00AD0502"/>
    <w:rsid w:val="00AD0D67"/>
    <w:rsid w:val="00AD2174"/>
    <w:rsid w:val="00AD5244"/>
    <w:rsid w:val="00AD5B55"/>
    <w:rsid w:val="00AE0042"/>
    <w:rsid w:val="00AE0E89"/>
    <w:rsid w:val="00AE383C"/>
    <w:rsid w:val="00AE43AF"/>
    <w:rsid w:val="00AF02B6"/>
    <w:rsid w:val="00AF545E"/>
    <w:rsid w:val="00B00D5E"/>
    <w:rsid w:val="00B02293"/>
    <w:rsid w:val="00B035CB"/>
    <w:rsid w:val="00B04390"/>
    <w:rsid w:val="00B10A32"/>
    <w:rsid w:val="00B10B88"/>
    <w:rsid w:val="00B124C0"/>
    <w:rsid w:val="00B12C74"/>
    <w:rsid w:val="00B13579"/>
    <w:rsid w:val="00B13810"/>
    <w:rsid w:val="00B14C29"/>
    <w:rsid w:val="00B176A2"/>
    <w:rsid w:val="00B23D14"/>
    <w:rsid w:val="00B2443A"/>
    <w:rsid w:val="00B2590F"/>
    <w:rsid w:val="00B26FE3"/>
    <w:rsid w:val="00B30B03"/>
    <w:rsid w:val="00B312BC"/>
    <w:rsid w:val="00B31F25"/>
    <w:rsid w:val="00B33525"/>
    <w:rsid w:val="00B33A16"/>
    <w:rsid w:val="00B41649"/>
    <w:rsid w:val="00B41BEF"/>
    <w:rsid w:val="00B420F8"/>
    <w:rsid w:val="00B4511E"/>
    <w:rsid w:val="00B46B39"/>
    <w:rsid w:val="00B46E01"/>
    <w:rsid w:val="00B53699"/>
    <w:rsid w:val="00B56CDC"/>
    <w:rsid w:val="00B578F1"/>
    <w:rsid w:val="00B642D7"/>
    <w:rsid w:val="00B64B77"/>
    <w:rsid w:val="00B67B40"/>
    <w:rsid w:val="00B70DD8"/>
    <w:rsid w:val="00B70F86"/>
    <w:rsid w:val="00B73517"/>
    <w:rsid w:val="00B83469"/>
    <w:rsid w:val="00B84929"/>
    <w:rsid w:val="00B850CF"/>
    <w:rsid w:val="00B90FEE"/>
    <w:rsid w:val="00B9129C"/>
    <w:rsid w:val="00BA53FE"/>
    <w:rsid w:val="00BA7621"/>
    <w:rsid w:val="00BB0191"/>
    <w:rsid w:val="00BB15FF"/>
    <w:rsid w:val="00BB35C1"/>
    <w:rsid w:val="00BB4484"/>
    <w:rsid w:val="00BB4A08"/>
    <w:rsid w:val="00BC0857"/>
    <w:rsid w:val="00BC2B83"/>
    <w:rsid w:val="00BC3697"/>
    <w:rsid w:val="00BC43CA"/>
    <w:rsid w:val="00BE155F"/>
    <w:rsid w:val="00BE44CB"/>
    <w:rsid w:val="00BF5D8C"/>
    <w:rsid w:val="00C00E67"/>
    <w:rsid w:val="00C04661"/>
    <w:rsid w:val="00C07C9E"/>
    <w:rsid w:val="00C13B20"/>
    <w:rsid w:val="00C15E52"/>
    <w:rsid w:val="00C2189A"/>
    <w:rsid w:val="00C23422"/>
    <w:rsid w:val="00C2344C"/>
    <w:rsid w:val="00C26C9D"/>
    <w:rsid w:val="00C30B9C"/>
    <w:rsid w:val="00C32A2A"/>
    <w:rsid w:val="00C34A7E"/>
    <w:rsid w:val="00C3617E"/>
    <w:rsid w:val="00C37DF3"/>
    <w:rsid w:val="00C418C6"/>
    <w:rsid w:val="00C41B87"/>
    <w:rsid w:val="00C443BA"/>
    <w:rsid w:val="00C44828"/>
    <w:rsid w:val="00C44C86"/>
    <w:rsid w:val="00C4678C"/>
    <w:rsid w:val="00C4725C"/>
    <w:rsid w:val="00C60E1C"/>
    <w:rsid w:val="00C61BC3"/>
    <w:rsid w:val="00C660F1"/>
    <w:rsid w:val="00C674AE"/>
    <w:rsid w:val="00C71BC7"/>
    <w:rsid w:val="00C72600"/>
    <w:rsid w:val="00C74DC7"/>
    <w:rsid w:val="00C76C7E"/>
    <w:rsid w:val="00C76CFE"/>
    <w:rsid w:val="00C77B0E"/>
    <w:rsid w:val="00C8005D"/>
    <w:rsid w:val="00C81D7B"/>
    <w:rsid w:val="00C86B05"/>
    <w:rsid w:val="00C873C0"/>
    <w:rsid w:val="00C91965"/>
    <w:rsid w:val="00C91EFB"/>
    <w:rsid w:val="00C9292D"/>
    <w:rsid w:val="00C96E82"/>
    <w:rsid w:val="00C97A35"/>
    <w:rsid w:val="00CA146D"/>
    <w:rsid w:val="00CB2AFA"/>
    <w:rsid w:val="00CB2FE2"/>
    <w:rsid w:val="00CB4C24"/>
    <w:rsid w:val="00CB6131"/>
    <w:rsid w:val="00CB7060"/>
    <w:rsid w:val="00CB774B"/>
    <w:rsid w:val="00CC6DDE"/>
    <w:rsid w:val="00CD29D1"/>
    <w:rsid w:val="00CD63DC"/>
    <w:rsid w:val="00CE0320"/>
    <w:rsid w:val="00CE1556"/>
    <w:rsid w:val="00CE1DF3"/>
    <w:rsid w:val="00CE3065"/>
    <w:rsid w:val="00CE4369"/>
    <w:rsid w:val="00CE5FAD"/>
    <w:rsid w:val="00CE684A"/>
    <w:rsid w:val="00CE6A5E"/>
    <w:rsid w:val="00CE73E3"/>
    <w:rsid w:val="00CE7D82"/>
    <w:rsid w:val="00CF02C0"/>
    <w:rsid w:val="00CF0E84"/>
    <w:rsid w:val="00CF11B1"/>
    <w:rsid w:val="00CF3F3E"/>
    <w:rsid w:val="00CF6265"/>
    <w:rsid w:val="00D03F91"/>
    <w:rsid w:val="00D04921"/>
    <w:rsid w:val="00D0526F"/>
    <w:rsid w:val="00D05BA6"/>
    <w:rsid w:val="00D05DE1"/>
    <w:rsid w:val="00D05E59"/>
    <w:rsid w:val="00D062FB"/>
    <w:rsid w:val="00D074BB"/>
    <w:rsid w:val="00D15130"/>
    <w:rsid w:val="00D16CAF"/>
    <w:rsid w:val="00D20CF8"/>
    <w:rsid w:val="00D304FA"/>
    <w:rsid w:val="00D351F6"/>
    <w:rsid w:val="00D37191"/>
    <w:rsid w:val="00D37436"/>
    <w:rsid w:val="00D4026B"/>
    <w:rsid w:val="00D42810"/>
    <w:rsid w:val="00D4539E"/>
    <w:rsid w:val="00D475CA"/>
    <w:rsid w:val="00D47B50"/>
    <w:rsid w:val="00D50FD0"/>
    <w:rsid w:val="00D5271B"/>
    <w:rsid w:val="00D540BE"/>
    <w:rsid w:val="00D55711"/>
    <w:rsid w:val="00D57CDF"/>
    <w:rsid w:val="00D617F0"/>
    <w:rsid w:val="00D62050"/>
    <w:rsid w:val="00D658D1"/>
    <w:rsid w:val="00D676B7"/>
    <w:rsid w:val="00D7355C"/>
    <w:rsid w:val="00D75F32"/>
    <w:rsid w:val="00D811D3"/>
    <w:rsid w:val="00D819EC"/>
    <w:rsid w:val="00D8346A"/>
    <w:rsid w:val="00D842DB"/>
    <w:rsid w:val="00D87D93"/>
    <w:rsid w:val="00D90A8D"/>
    <w:rsid w:val="00D912B3"/>
    <w:rsid w:val="00D916DE"/>
    <w:rsid w:val="00DA465D"/>
    <w:rsid w:val="00DA5818"/>
    <w:rsid w:val="00DA7D34"/>
    <w:rsid w:val="00DB0815"/>
    <w:rsid w:val="00DB3601"/>
    <w:rsid w:val="00DC13A1"/>
    <w:rsid w:val="00DC2972"/>
    <w:rsid w:val="00DD3C91"/>
    <w:rsid w:val="00DD3FEC"/>
    <w:rsid w:val="00DE1E6C"/>
    <w:rsid w:val="00DE203F"/>
    <w:rsid w:val="00DE272A"/>
    <w:rsid w:val="00DE339D"/>
    <w:rsid w:val="00DE4D70"/>
    <w:rsid w:val="00DE59B2"/>
    <w:rsid w:val="00DE5F32"/>
    <w:rsid w:val="00DF0A91"/>
    <w:rsid w:val="00DF4100"/>
    <w:rsid w:val="00DF62A8"/>
    <w:rsid w:val="00DF6656"/>
    <w:rsid w:val="00DF72EA"/>
    <w:rsid w:val="00E00757"/>
    <w:rsid w:val="00E00904"/>
    <w:rsid w:val="00E00C8A"/>
    <w:rsid w:val="00E025B8"/>
    <w:rsid w:val="00E04B3D"/>
    <w:rsid w:val="00E05475"/>
    <w:rsid w:val="00E05956"/>
    <w:rsid w:val="00E05EF0"/>
    <w:rsid w:val="00E07DC0"/>
    <w:rsid w:val="00E123AE"/>
    <w:rsid w:val="00E159A4"/>
    <w:rsid w:val="00E2260A"/>
    <w:rsid w:val="00E236B9"/>
    <w:rsid w:val="00E25D85"/>
    <w:rsid w:val="00E263CA"/>
    <w:rsid w:val="00E27903"/>
    <w:rsid w:val="00E304DA"/>
    <w:rsid w:val="00E31BE1"/>
    <w:rsid w:val="00E33025"/>
    <w:rsid w:val="00E33293"/>
    <w:rsid w:val="00E345B1"/>
    <w:rsid w:val="00E45B7F"/>
    <w:rsid w:val="00E47B0B"/>
    <w:rsid w:val="00E51AE0"/>
    <w:rsid w:val="00E51B91"/>
    <w:rsid w:val="00E57EA0"/>
    <w:rsid w:val="00E602CE"/>
    <w:rsid w:val="00E635F3"/>
    <w:rsid w:val="00E7475C"/>
    <w:rsid w:val="00E8253C"/>
    <w:rsid w:val="00E82BE9"/>
    <w:rsid w:val="00E86ABF"/>
    <w:rsid w:val="00E87480"/>
    <w:rsid w:val="00E87C1B"/>
    <w:rsid w:val="00E9032E"/>
    <w:rsid w:val="00E926F1"/>
    <w:rsid w:val="00E962EE"/>
    <w:rsid w:val="00E97ABE"/>
    <w:rsid w:val="00EA1C60"/>
    <w:rsid w:val="00EA1F0A"/>
    <w:rsid w:val="00EA3EA6"/>
    <w:rsid w:val="00EA6D79"/>
    <w:rsid w:val="00EA70C6"/>
    <w:rsid w:val="00EA71DB"/>
    <w:rsid w:val="00EB010E"/>
    <w:rsid w:val="00EB0CA7"/>
    <w:rsid w:val="00EB7CC3"/>
    <w:rsid w:val="00EC0D99"/>
    <w:rsid w:val="00EC455A"/>
    <w:rsid w:val="00EC4CB9"/>
    <w:rsid w:val="00EC4DF1"/>
    <w:rsid w:val="00EC7176"/>
    <w:rsid w:val="00ED0E5C"/>
    <w:rsid w:val="00ED6AD5"/>
    <w:rsid w:val="00EE018E"/>
    <w:rsid w:val="00EE12A5"/>
    <w:rsid w:val="00EF24F1"/>
    <w:rsid w:val="00EF3A2D"/>
    <w:rsid w:val="00F00614"/>
    <w:rsid w:val="00F023FF"/>
    <w:rsid w:val="00F04DDD"/>
    <w:rsid w:val="00F067E4"/>
    <w:rsid w:val="00F0681D"/>
    <w:rsid w:val="00F06CED"/>
    <w:rsid w:val="00F10178"/>
    <w:rsid w:val="00F105E6"/>
    <w:rsid w:val="00F11A45"/>
    <w:rsid w:val="00F14CD9"/>
    <w:rsid w:val="00F153E5"/>
    <w:rsid w:val="00F16D09"/>
    <w:rsid w:val="00F22331"/>
    <w:rsid w:val="00F26113"/>
    <w:rsid w:val="00F27484"/>
    <w:rsid w:val="00F31E49"/>
    <w:rsid w:val="00F32670"/>
    <w:rsid w:val="00F32DB3"/>
    <w:rsid w:val="00F34098"/>
    <w:rsid w:val="00F3541E"/>
    <w:rsid w:val="00F36EEF"/>
    <w:rsid w:val="00F458F8"/>
    <w:rsid w:val="00F479D1"/>
    <w:rsid w:val="00F50A4F"/>
    <w:rsid w:val="00F50D03"/>
    <w:rsid w:val="00F510DF"/>
    <w:rsid w:val="00F51569"/>
    <w:rsid w:val="00F54BAF"/>
    <w:rsid w:val="00F56EF9"/>
    <w:rsid w:val="00F57DD2"/>
    <w:rsid w:val="00F636CF"/>
    <w:rsid w:val="00F63D6F"/>
    <w:rsid w:val="00F63E69"/>
    <w:rsid w:val="00F669CC"/>
    <w:rsid w:val="00F745B5"/>
    <w:rsid w:val="00F74730"/>
    <w:rsid w:val="00F8113B"/>
    <w:rsid w:val="00F8209E"/>
    <w:rsid w:val="00F82BAF"/>
    <w:rsid w:val="00F84C63"/>
    <w:rsid w:val="00F87ADA"/>
    <w:rsid w:val="00F91495"/>
    <w:rsid w:val="00FA053D"/>
    <w:rsid w:val="00FA1DFD"/>
    <w:rsid w:val="00FB11B3"/>
    <w:rsid w:val="00FB15EC"/>
    <w:rsid w:val="00FB7E75"/>
    <w:rsid w:val="00FC03AC"/>
    <w:rsid w:val="00FC7D8F"/>
    <w:rsid w:val="00FD201D"/>
    <w:rsid w:val="00FD3E30"/>
    <w:rsid w:val="00FD3F7E"/>
    <w:rsid w:val="00FD4165"/>
    <w:rsid w:val="00FD7E86"/>
    <w:rsid w:val="00FE0838"/>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4B156"/>
  <w15:docId w15:val="{E870C326-30A4-4308-9A40-0B09C3A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CharCharCharCharChar">
    <w:name w:val="Char Char Char Char Char"/>
    <w:basedOn w:val="Normal"/>
    <w:rsid w:val="00C91EFB"/>
    <w:pPr>
      <w:spacing w:after="160" w:line="240" w:lineRule="exact"/>
    </w:pPr>
    <w:rPr>
      <w:rFonts w:ascii="Verdana" w:hAnsi="Verdana"/>
      <w:b/>
      <w:sz w:val="20"/>
      <w:lang w:val="en-US" w:eastAsia="en-US"/>
    </w:rPr>
  </w:style>
  <w:style w:type="paragraph" w:styleId="EndnoteText">
    <w:name w:val="endnote text"/>
    <w:basedOn w:val="Normal"/>
    <w:link w:val="EndnoteTextChar"/>
    <w:uiPriority w:val="99"/>
    <w:semiHidden/>
    <w:unhideWhenUsed/>
    <w:rsid w:val="00E31BE1"/>
    <w:rPr>
      <w:sz w:val="20"/>
    </w:rPr>
  </w:style>
  <w:style w:type="character" w:customStyle="1" w:styleId="EndnoteTextChar">
    <w:name w:val="Endnote Text Char"/>
    <w:basedOn w:val="DefaultParagraphFont"/>
    <w:link w:val="EndnoteText"/>
    <w:uiPriority w:val="99"/>
    <w:semiHidden/>
    <w:rsid w:val="00E31BE1"/>
  </w:style>
  <w:style w:type="character" w:styleId="EndnoteReference">
    <w:name w:val="endnote reference"/>
    <w:basedOn w:val="DefaultParagraphFont"/>
    <w:uiPriority w:val="99"/>
    <w:semiHidden/>
    <w:unhideWhenUsed/>
    <w:rsid w:val="00E31BE1"/>
    <w:rPr>
      <w:vertAlign w:val="superscript"/>
    </w:rPr>
  </w:style>
  <w:style w:type="paragraph" w:styleId="FootnoteText">
    <w:name w:val="footnote text"/>
    <w:basedOn w:val="Normal"/>
    <w:link w:val="FootnoteTextChar"/>
    <w:uiPriority w:val="99"/>
    <w:semiHidden/>
    <w:unhideWhenUsed/>
    <w:rsid w:val="00E31BE1"/>
    <w:rPr>
      <w:sz w:val="20"/>
    </w:rPr>
  </w:style>
  <w:style w:type="character" w:customStyle="1" w:styleId="FootnoteTextChar">
    <w:name w:val="Footnote Text Char"/>
    <w:basedOn w:val="DefaultParagraphFont"/>
    <w:link w:val="FootnoteText"/>
    <w:uiPriority w:val="99"/>
    <w:semiHidden/>
    <w:rsid w:val="00E31BE1"/>
  </w:style>
  <w:style w:type="character" w:styleId="FootnoteReference">
    <w:name w:val="footnote reference"/>
    <w:aliases w:val="Footnote symbol"/>
    <w:basedOn w:val="DefaultParagraphFont"/>
    <w:uiPriority w:val="99"/>
    <w:unhideWhenUsed/>
    <w:rsid w:val="00E31BE1"/>
    <w:rPr>
      <w:vertAlign w:val="superscript"/>
    </w:rPr>
  </w:style>
  <w:style w:type="paragraph" w:customStyle="1" w:styleId="CharCharCharCharChar0">
    <w:name w:val="Char Char Char Char Char"/>
    <w:basedOn w:val="Normal"/>
    <w:rsid w:val="0090103B"/>
    <w:pPr>
      <w:spacing w:after="160" w:line="240" w:lineRule="exact"/>
    </w:pPr>
    <w:rPr>
      <w:rFonts w:ascii="Verdana" w:hAnsi="Verdana"/>
      <w:b/>
      <w:sz w:val="20"/>
      <w:lang w:val="en-US" w:eastAsia="en-US"/>
    </w:rPr>
  </w:style>
  <w:style w:type="character" w:styleId="UnresolvedMention">
    <w:name w:val="Unresolved Mention"/>
    <w:basedOn w:val="DefaultParagraphFont"/>
    <w:uiPriority w:val="99"/>
    <w:semiHidden/>
    <w:unhideWhenUsed/>
    <w:rsid w:val="005C1281"/>
    <w:rPr>
      <w:color w:val="605E5C"/>
      <w:shd w:val="clear" w:color="auto" w:fill="E1DFDD"/>
    </w:rPr>
  </w:style>
  <w:style w:type="character" w:styleId="CommentReference">
    <w:name w:val="annotation reference"/>
    <w:basedOn w:val="DefaultParagraphFont"/>
    <w:uiPriority w:val="99"/>
    <w:semiHidden/>
    <w:unhideWhenUsed/>
    <w:rsid w:val="006216A4"/>
    <w:rPr>
      <w:sz w:val="16"/>
      <w:szCs w:val="16"/>
    </w:rPr>
  </w:style>
  <w:style w:type="paragraph" w:styleId="CommentText">
    <w:name w:val="annotation text"/>
    <w:basedOn w:val="Normal"/>
    <w:link w:val="CommentTextChar"/>
    <w:uiPriority w:val="99"/>
    <w:semiHidden/>
    <w:unhideWhenUsed/>
    <w:rsid w:val="006216A4"/>
    <w:rPr>
      <w:sz w:val="20"/>
    </w:rPr>
  </w:style>
  <w:style w:type="character" w:customStyle="1" w:styleId="CommentTextChar">
    <w:name w:val="Comment Text Char"/>
    <w:basedOn w:val="DefaultParagraphFont"/>
    <w:link w:val="CommentText"/>
    <w:uiPriority w:val="99"/>
    <w:semiHidden/>
    <w:rsid w:val="006216A4"/>
  </w:style>
  <w:style w:type="paragraph" w:styleId="CommentSubject">
    <w:name w:val="annotation subject"/>
    <w:basedOn w:val="CommentText"/>
    <w:next w:val="CommentText"/>
    <w:link w:val="CommentSubjectChar"/>
    <w:uiPriority w:val="99"/>
    <w:semiHidden/>
    <w:unhideWhenUsed/>
    <w:rsid w:val="006216A4"/>
    <w:rPr>
      <w:b/>
      <w:bCs/>
    </w:rPr>
  </w:style>
  <w:style w:type="character" w:customStyle="1" w:styleId="CommentSubjectChar">
    <w:name w:val="Comment Subject Char"/>
    <w:basedOn w:val="CommentTextChar"/>
    <w:link w:val="CommentSubject"/>
    <w:uiPriority w:val="99"/>
    <w:semiHidden/>
    <w:rsid w:val="006216A4"/>
    <w:rPr>
      <w:b/>
      <w:bCs/>
    </w:rPr>
  </w:style>
  <w:style w:type="table" w:styleId="GridTable4-Accent5">
    <w:name w:val="Grid Table 4 Accent 5"/>
    <w:basedOn w:val="TableNormal"/>
    <w:uiPriority w:val="49"/>
    <w:rsid w:val="00A93F53"/>
    <w:rPr>
      <w:rFonts w:ascii="Arial" w:eastAsiaTheme="minorHAnsi" w:hAnsi="Arial" w:cs="Arial"/>
      <w:sz w:val="24"/>
      <w:szCs w:val="24"/>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link w:val="NoSpacingChar"/>
    <w:uiPriority w:val="1"/>
    <w:qFormat/>
    <w:rsid w:val="00236158"/>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236158"/>
    <w:rPr>
      <w:rFonts w:asciiTheme="minorHAnsi" w:eastAsiaTheme="minorHAnsi" w:hAnsiTheme="minorHAnsi" w:cstheme="minorBidi"/>
      <w:sz w:val="22"/>
      <w:szCs w:val="22"/>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551FBC"/>
    <w:rPr>
      <w:rFonts w:ascii="Calibri" w:eastAsia="Calibri" w:hAnsi="Calibri"/>
      <w:sz w:val="22"/>
      <w:szCs w:val="22"/>
      <w:lang w:eastAsia="en-US"/>
    </w:rPr>
  </w:style>
  <w:style w:type="paragraph" w:customStyle="1" w:styleId="Style1">
    <w:name w:val="Style1"/>
    <w:basedOn w:val="ListParagraph"/>
    <w:link w:val="Style1Char"/>
    <w:qFormat/>
    <w:rsid w:val="00D55711"/>
    <w:pPr>
      <w:numPr>
        <w:numId w:val="19"/>
      </w:numPr>
    </w:pPr>
    <w:rPr>
      <w:rFonts w:asciiTheme="minorHAnsi" w:eastAsiaTheme="minorHAnsi" w:hAnsiTheme="minorHAnsi" w:cstheme="minorBidi"/>
      <w:b/>
      <w:color w:val="002060"/>
      <w:sz w:val="32"/>
      <w:szCs w:val="32"/>
    </w:rPr>
  </w:style>
  <w:style w:type="character" w:customStyle="1" w:styleId="Style1Char">
    <w:name w:val="Style1 Char"/>
    <w:basedOn w:val="DefaultParagraphFont"/>
    <w:link w:val="Style1"/>
    <w:rsid w:val="00D55711"/>
    <w:rPr>
      <w:rFonts w:asciiTheme="minorHAnsi" w:eastAsiaTheme="minorHAnsi" w:hAnsiTheme="minorHAnsi" w:cstheme="minorBidi"/>
      <w:b/>
      <w:color w:val="00206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46883488">
      <w:bodyDiv w:val="1"/>
      <w:marLeft w:val="0"/>
      <w:marRight w:val="0"/>
      <w:marTop w:val="0"/>
      <w:marBottom w:val="0"/>
      <w:divBdr>
        <w:top w:val="none" w:sz="0" w:space="0" w:color="auto"/>
        <w:left w:val="none" w:sz="0" w:space="0" w:color="auto"/>
        <w:bottom w:val="none" w:sz="0" w:space="0" w:color="auto"/>
        <w:right w:val="none" w:sz="0" w:space="0" w:color="auto"/>
      </w:divBdr>
    </w:div>
    <w:div w:id="48695960">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346546">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86465">
      <w:bodyDiv w:val="1"/>
      <w:marLeft w:val="0"/>
      <w:marRight w:val="0"/>
      <w:marTop w:val="0"/>
      <w:marBottom w:val="0"/>
      <w:divBdr>
        <w:top w:val="none" w:sz="0" w:space="0" w:color="auto"/>
        <w:left w:val="none" w:sz="0" w:space="0" w:color="auto"/>
        <w:bottom w:val="none" w:sz="0" w:space="0" w:color="auto"/>
        <w:right w:val="none" w:sz="0" w:space="0" w:color="auto"/>
      </w:divBdr>
      <w:divsChild>
        <w:div w:id="1984502863">
          <w:marLeft w:val="547"/>
          <w:marRight w:val="0"/>
          <w:marTop w:val="77"/>
          <w:marBottom w:val="0"/>
          <w:divBdr>
            <w:top w:val="none" w:sz="0" w:space="0" w:color="auto"/>
            <w:left w:val="none" w:sz="0" w:space="0" w:color="auto"/>
            <w:bottom w:val="none" w:sz="0" w:space="0" w:color="auto"/>
            <w:right w:val="none" w:sz="0" w:space="0" w:color="auto"/>
          </w:divBdr>
        </w:div>
      </w:divsChild>
    </w:div>
    <w:div w:id="613639411">
      <w:bodyDiv w:val="1"/>
      <w:marLeft w:val="0"/>
      <w:marRight w:val="0"/>
      <w:marTop w:val="0"/>
      <w:marBottom w:val="0"/>
      <w:divBdr>
        <w:top w:val="none" w:sz="0" w:space="0" w:color="auto"/>
        <w:left w:val="none" w:sz="0" w:space="0" w:color="auto"/>
        <w:bottom w:val="none" w:sz="0" w:space="0" w:color="auto"/>
        <w:right w:val="none" w:sz="0" w:space="0" w:color="auto"/>
      </w:divBdr>
    </w:div>
    <w:div w:id="655959146">
      <w:bodyDiv w:val="1"/>
      <w:marLeft w:val="0"/>
      <w:marRight w:val="0"/>
      <w:marTop w:val="0"/>
      <w:marBottom w:val="0"/>
      <w:divBdr>
        <w:top w:val="none" w:sz="0" w:space="0" w:color="auto"/>
        <w:left w:val="none" w:sz="0" w:space="0" w:color="auto"/>
        <w:bottom w:val="none" w:sz="0" w:space="0" w:color="auto"/>
        <w:right w:val="none" w:sz="0" w:space="0" w:color="auto"/>
      </w:divBdr>
    </w:div>
    <w:div w:id="690033270">
      <w:bodyDiv w:val="1"/>
      <w:marLeft w:val="0"/>
      <w:marRight w:val="0"/>
      <w:marTop w:val="0"/>
      <w:marBottom w:val="0"/>
      <w:divBdr>
        <w:top w:val="none" w:sz="0" w:space="0" w:color="auto"/>
        <w:left w:val="none" w:sz="0" w:space="0" w:color="auto"/>
        <w:bottom w:val="none" w:sz="0" w:space="0" w:color="auto"/>
        <w:right w:val="none" w:sz="0" w:space="0" w:color="auto"/>
      </w:divBdr>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74908580">
      <w:bodyDiv w:val="1"/>
      <w:marLeft w:val="0"/>
      <w:marRight w:val="0"/>
      <w:marTop w:val="0"/>
      <w:marBottom w:val="0"/>
      <w:divBdr>
        <w:top w:val="none" w:sz="0" w:space="0" w:color="auto"/>
        <w:left w:val="none" w:sz="0" w:space="0" w:color="auto"/>
        <w:bottom w:val="none" w:sz="0" w:space="0" w:color="auto"/>
        <w:right w:val="none" w:sz="0" w:space="0" w:color="auto"/>
      </w:divBdr>
    </w:div>
    <w:div w:id="780805997">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46823398">
      <w:bodyDiv w:val="1"/>
      <w:marLeft w:val="0"/>
      <w:marRight w:val="0"/>
      <w:marTop w:val="0"/>
      <w:marBottom w:val="0"/>
      <w:divBdr>
        <w:top w:val="none" w:sz="0" w:space="0" w:color="auto"/>
        <w:left w:val="none" w:sz="0" w:space="0" w:color="auto"/>
        <w:bottom w:val="none" w:sz="0" w:space="0" w:color="auto"/>
        <w:right w:val="none" w:sz="0" w:space="0" w:color="auto"/>
      </w:divBdr>
    </w:div>
    <w:div w:id="848721081">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890578758">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6738725">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035934216">
      <w:bodyDiv w:val="1"/>
      <w:marLeft w:val="0"/>
      <w:marRight w:val="0"/>
      <w:marTop w:val="0"/>
      <w:marBottom w:val="0"/>
      <w:divBdr>
        <w:top w:val="none" w:sz="0" w:space="0" w:color="auto"/>
        <w:left w:val="none" w:sz="0" w:space="0" w:color="auto"/>
        <w:bottom w:val="none" w:sz="0" w:space="0" w:color="auto"/>
        <w:right w:val="none" w:sz="0" w:space="0" w:color="auto"/>
      </w:divBdr>
    </w:div>
    <w:div w:id="1084379465">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164324902">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07731942">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870988403">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61036011">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17448">
      <w:bodyDiv w:val="1"/>
      <w:marLeft w:val="0"/>
      <w:marRight w:val="0"/>
      <w:marTop w:val="0"/>
      <w:marBottom w:val="0"/>
      <w:divBdr>
        <w:top w:val="none" w:sz="0" w:space="0" w:color="auto"/>
        <w:left w:val="none" w:sz="0" w:space="0" w:color="auto"/>
        <w:bottom w:val="none" w:sz="0" w:space="0" w:color="auto"/>
        <w:right w:val="none" w:sz="0" w:space="0" w:color="auto"/>
      </w:divBdr>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AAB36-3A2B-4B6C-B06F-47D8F6D2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3110</Words>
  <Characters>16547</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Lorraine Hendry (HLH Corporate Services)</cp:lastModifiedBy>
  <cp:revision>8</cp:revision>
  <cp:lastPrinted>2018-08-17T11:00:00Z</cp:lastPrinted>
  <dcterms:created xsi:type="dcterms:W3CDTF">2022-03-15T12:15:00Z</dcterms:created>
  <dcterms:modified xsi:type="dcterms:W3CDTF">2022-03-21T11:02:00Z</dcterms:modified>
</cp:coreProperties>
</file>