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41A0B" w14:textId="4166CEB5" w:rsidR="00B334B9" w:rsidRPr="001F28B2" w:rsidRDefault="007521A6" w:rsidP="002C28AE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3D7C22">
        <w:rPr>
          <w:rFonts w:ascii="Arial" w:hAnsi="Arial" w:cs="Arial"/>
          <w:sz w:val="24"/>
          <w:szCs w:val="24"/>
        </w:rPr>
        <w:t xml:space="preserve">    </w:t>
      </w:r>
    </w:p>
    <w:p w14:paraId="768B5FEA" w14:textId="60DABFF3" w:rsidR="004E0C83" w:rsidRPr="00416A32" w:rsidRDefault="00C06F21" w:rsidP="004E0C83">
      <w:pPr>
        <w:rPr>
          <w:rFonts w:ascii="Arial" w:hAnsi="Arial" w:cs="Arial"/>
          <w:color w:val="FF0000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proofErr w:type="gramStart"/>
      <w:r w:rsidR="00DA1139" w:rsidRPr="001F28B2">
        <w:rPr>
          <w:rFonts w:ascii="Arial" w:hAnsi="Arial" w:cs="Arial"/>
          <w:sz w:val="24"/>
          <w:szCs w:val="24"/>
        </w:rPr>
        <w:t>From</w:t>
      </w:r>
      <w:proofErr w:type="gramEnd"/>
      <w:r w:rsidR="00DA1139" w:rsidRPr="001F28B2">
        <w:rPr>
          <w:rFonts w:ascii="Arial" w:hAnsi="Arial" w:cs="Arial"/>
          <w:sz w:val="24"/>
          <w:szCs w:val="24"/>
        </w:rPr>
        <w:t xml:space="preserve">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C005FA">
        <w:rPr>
          <w:rFonts w:ascii="Arial" w:hAnsi="Arial" w:cs="Arial"/>
          <w:sz w:val="24"/>
          <w:szCs w:val="24"/>
        </w:rPr>
        <w:t>1</w:t>
      </w:r>
      <w:r w:rsidR="00641761">
        <w:rPr>
          <w:rFonts w:ascii="Arial" w:hAnsi="Arial" w:cs="Arial"/>
          <w:sz w:val="24"/>
          <w:szCs w:val="24"/>
        </w:rPr>
        <w:t>3 Decem</w:t>
      </w:r>
      <w:r w:rsidR="00C005FA">
        <w:rPr>
          <w:rFonts w:ascii="Arial" w:hAnsi="Arial" w:cs="Arial"/>
          <w:sz w:val="24"/>
          <w:szCs w:val="24"/>
        </w:rPr>
        <w:t>ber</w:t>
      </w:r>
      <w:r w:rsidR="00873D88">
        <w:rPr>
          <w:rFonts w:ascii="Arial" w:hAnsi="Arial" w:cs="Arial"/>
          <w:sz w:val="24"/>
          <w:szCs w:val="24"/>
        </w:rPr>
        <w:t xml:space="preserve"> 2021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81"/>
        <w:gridCol w:w="6029"/>
        <w:gridCol w:w="1257"/>
        <w:gridCol w:w="1320"/>
      </w:tblGrid>
      <w:tr w:rsidR="004E0C83" w:rsidRPr="001F28B2" w14:paraId="3D30BFCF" w14:textId="77777777" w:rsidTr="00707E3A">
        <w:trPr>
          <w:trHeight w:val="410"/>
        </w:trPr>
        <w:tc>
          <w:tcPr>
            <w:tcW w:w="981" w:type="dxa"/>
          </w:tcPr>
          <w:p w14:paraId="5BEB88E5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6029" w:type="dxa"/>
          </w:tcPr>
          <w:p w14:paraId="75EFA0D0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257" w:type="dxa"/>
          </w:tcPr>
          <w:p w14:paraId="04F953C9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320" w:type="dxa"/>
          </w:tcPr>
          <w:p w14:paraId="6C10022F" w14:textId="77777777" w:rsidR="004E0C83" w:rsidRPr="001F28B2" w:rsidRDefault="004E0C83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4E0C83" w:rsidRPr="001F28B2" w14:paraId="4947CC9A" w14:textId="77777777" w:rsidTr="00707E3A">
        <w:trPr>
          <w:trHeight w:val="1366"/>
        </w:trPr>
        <w:tc>
          <w:tcPr>
            <w:tcW w:w="981" w:type="dxa"/>
          </w:tcPr>
          <w:p w14:paraId="03AF6A59" w14:textId="5463EBA8" w:rsidR="00C005FA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7ii</w:t>
            </w:r>
          </w:p>
        </w:tc>
        <w:tc>
          <w:tcPr>
            <w:tcW w:w="6029" w:type="dxa"/>
          </w:tcPr>
          <w:p w14:paraId="22E06425" w14:textId="77777777" w:rsidR="00C005FA" w:rsidRPr="008D5F44" w:rsidRDefault="00416A32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F44">
              <w:rPr>
                <w:rFonts w:ascii="Arial" w:hAnsi="Arial" w:cs="Arial"/>
                <w:sz w:val="24"/>
                <w:szCs w:val="24"/>
              </w:rPr>
              <w:t xml:space="preserve">Board Development </w:t>
            </w:r>
          </w:p>
          <w:p w14:paraId="1409DEDA" w14:textId="77777777" w:rsidR="00416A32" w:rsidRPr="008D5F44" w:rsidRDefault="00416A32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F44">
              <w:rPr>
                <w:rFonts w:ascii="Arial" w:hAnsi="Arial" w:cs="Arial"/>
                <w:sz w:val="24"/>
                <w:szCs w:val="24"/>
              </w:rPr>
              <w:t>Agreed the actions and implementation timetable proposed in the action plan.</w:t>
            </w:r>
          </w:p>
          <w:p w14:paraId="7D027626" w14:textId="2D450F4E" w:rsidR="00416A32" w:rsidRPr="008D5F44" w:rsidRDefault="008D5F44" w:rsidP="004561D7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D5F44">
              <w:rPr>
                <w:rFonts w:ascii="Arial" w:hAnsi="Arial" w:cs="Arial"/>
                <w:i/>
                <w:iCs/>
                <w:sz w:val="24"/>
                <w:szCs w:val="24"/>
              </w:rPr>
              <w:t>Outstanding actions are being progressed.</w:t>
            </w:r>
          </w:p>
        </w:tc>
        <w:tc>
          <w:tcPr>
            <w:tcW w:w="1257" w:type="dxa"/>
          </w:tcPr>
          <w:p w14:paraId="108EE96E" w14:textId="77777777" w:rsidR="00C005FA" w:rsidRPr="008D5F44" w:rsidRDefault="00C005F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BD446" w14:textId="77777777" w:rsidR="00416A32" w:rsidRPr="008D5F44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A519B" w14:textId="77777777" w:rsidR="00416A32" w:rsidRPr="008D5F44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D6D77" w14:textId="6BC44364" w:rsidR="00416A32" w:rsidRPr="008D5F44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8D5F44">
              <w:rPr>
                <w:rFonts w:ascii="Arial" w:hAnsi="Arial" w:cs="Arial"/>
                <w:sz w:val="24"/>
                <w:szCs w:val="24"/>
              </w:rPr>
              <w:t>SW</w:t>
            </w:r>
          </w:p>
        </w:tc>
        <w:tc>
          <w:tcPr>
            <w:tcW w:w="1320" w:type="dxa"/>
          </w:tcPr>
          <w:p w14:paraId="1B37DAAC" w14:textId="77777777" w:rsidR="00C005FA" w:rsidRPr="008D5F44" w:rsidRDefault="00C005F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04655" w14:textId="77777777" w:rsidR="00416A32" w:rsidRPr="008D5F44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AF5A7" w14:textId="77777777" w:rsidR="00416A32" w:rsidRPr="008D5F44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7E5CE" w14:textId="0CABC4AA" w:rsidR="00416A32" w:rsidRPr="008D5F44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8D5F44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</w:tr>
      <w:tr w:rsidR="00090B15" w:rsidRPr="001F28B2" w14:paraId="353EBF3F" w14:textId="77777777" w:rsidTr="00707E3A">
        <w:trPr>
          <w:trHeight w:val="1366"/>
        </w:trPr>
        <w:tc>
          <w:tcPr>
            <w:tcW w:w="981" w:type="dxa"/>
          </w:tcPr>
          <w:p w14:paraId="0D2A4122" w14:textId="79369E80" w:rsidR="00573B30" w:rsidRPr="000B2C42" w:rsidRDefault="00416A32" w:rsidP="000B2C4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68076944"/>
            <w:r>
              <w:rPr>
                <w:rFonts w:ascii="Arial" w:hAnsi="Arial" w:cs="Arial"/>
                <w:sz w:val="24"/>
                <w:szCs w:val="24"/>
              </w:rPr>
              <w:t>8i</w:t>
            </w:r>
          </w:p>
        </w:tc>
        <w:tc>
          <w:tcPr>
            <w:tcW w:w="6029" w:type="dxa"/>
          </w:tcPr>
          <w:p w14:paraId="0A616B00" w14:textId="77777777" w:rsidR="00C005FA" w:rsidRDefault="00416A32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Planning 2022/23</w:t>
            </w:r>
          </w:p>
          <w:p w14:paraId="7850E3E8" w14:textId="5E162461" w:rsidR="00416A32" w:rsidRDefault="00416A32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positive message to be sent to THC about the need for HLH to </w:t>
            </w:r>
            <w:r w:rsidR="008D1B31">
              <w:rPr>
                <w:rFonts w:ascii="Arial" w:hAnsi="Arial" w:cs="Arial"/>
                <w:sz w:val="24"/>
                <w:szCs w:val="24"/>
              </w:rPr>
              <w:t xml:space="preserve">maintain an acceptable level of </w:t>
            </w:r>
            <w:r>
              <w:rPr>
                <w:rFonts w:ascii="Arial" w:hAnsi="Arial" w:cs="Arial"/>
                <w:sz w:val="24"/>
                <w:szCs w:val="24"/>
              </w:rPr>
              <w:t>reserves</w:t>
            </w:r>
            <w:r w:rsidR="008D1B31">
              <w:rPr>
                <w:rFonts w:ascii="Arial" w:hAnsi="Arial" w:cs="Arial"/>
                <w:sz w:val="24"/>
                <w:szCs w:val="24"/>
              </w:rPr>
              <w:t xml:space="preserve"> in accordance with the reserves level set by the Board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E89E7E" w14:textId="77777777" w:rsidR="002A73B0" w:rsidRDefault="00B26A83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This message has been included at all stages of the budget planning</w:t>
            </w:r>
            <w:r w:rsidR="002A73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gramStart"/>
            <w:r w:rsidR="002A73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negotiation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process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with THC</w:t>
            </w:r>
            <w:r w:rsidR="002A73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will be covered within the agenda for the March HLH Board meeting.</w:t>
            </w:r>
          </w:p>
          <w:p w14:paraId="79232E35" w14:textId="554FE3F2" w:rsidR="00416A32" w:rsidRPr="00B5387F" w:rsidRDefault="00B26A83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1257" w:type="dxa"/>
          </w:tcPr>
          <w:p w14:paraId="2359B5B0" w14:textId="77777777" w:rsidR="009C685A" w:rsidRDefault="009C685A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A8676" w14:textId="77777777" w:rsidR="00416A32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01D73" w14:textId="127E9547" w:rsidR="00416A32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177D2" w14:textId="77777777" w:rsidR="008D1B31" w:rsidRDefault="008D1B3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C2100" w14:textId="6D634151" w:rsidR="00416A32" w:rsidRPr="002C28AE" w:rsidRDefault="00416A32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</w:t>
            </w:r>
          </w:p>
        </w:tc>
        <w:tc>
          <w:tcPr>
            <w:tcW w:w="1320" w:type="dxa"/>
          </w:tcPr>
          <w:p w14:paraId="7D3D45BB" w14:textId="77777777" w:rsidR="00B26A83" w:rsidRDefault="00B26A83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BF464" w14:textId="77777777" w:rsidR="00B26A83" w:rsidRDefault="00B26A83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FEF5C" w14:textId="77777777" w:rsidR="00B26A83" w:rsidRDefault="00B26A83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09909" w14:textId="77777777" w:rsidR="00B26A83" w:rsidRDefault="00B26A83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F806D" w14:textId="6B9E7EBA" w:rsidR="00416A32" w:rsidRPr="002C28AE" w:rsidRDefault="00B26A83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tr w:rsidR="009C685A" w:rsidRPr="001F28B2" w14:paraId="41C61B18" w14:textId="77777777" w:rsidTr="00707E3A">
        <w:trPr>
          <w:trHeight w:val="1366"/>
        </w:trPr>
        <w:tc>
          <w:tcPr>
            <w:tcW w:w="981" w:type="dxa"/>
          </w:tcPr>
          <w:p w14:paraId="7033F693" w14:textId="51817BF2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6F7CC602" w14:textId="20C5256D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99340" w14:textId="29D2D11F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D680F" w14:textId="727DBA19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94931" w14:textId="6D46C55E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EA3AE" w14:textId="77777777" w:rsidR="00BD6C7B" w:rsidRDefault="00BD6C7B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D77DE" w14:textId="52057EA5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  <w:p w14:paraId="26A59BD6" w14:textId="77777777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82942" w14:textId="77777777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3FEE7" w14:textId="583C8287" w:rsidR="00B5387F" w:rsidRDefault="00B5387F" w:rsidP="000B2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9" w:type="dxa"/>
          </w:tcPr>
          <w:p w14:paraId="19D0DB92" w14:textId="77777777" w:rsidR="009C685A" w:rsidRDefault="00B5387F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Environmental Policy</w:t>
            </w:r>
          </w:p>
          <w:p w14:paraId="72197BDD" w14:textId="77777777" w:rsidR="00B5387F" w:rsidRDefault="00B5387F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 and update policy opening statement “HLH is a charity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….formed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 1 October 2011 …” To be reviewed and updated.</w:t>
            </w:r>
          </w:p>
          <w:p w14:paraId="70305AFB" w14:textId="7E68DEAE" w:rsidR="00BD6C7B" w:rsidRPr="00BD6C7B" w:rsidRDefault="00BD6C7B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D6C7B">
              <w:rPr>
                <w:rFonts w:ascii="Arial" w:hAnsi="Arial" w:cs="Arial"/>
                <w:i/>
                <w:iCs/>
                <w:sz w:val="24"/>
                <w:szCs w:val="24"/>
              </w:rPr>
              <w:t>Opening statement updated remov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ing</w:t>
            </w:r>
            <w:r w:rsidRPr="00BD6C7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2011 date now that the charity is 10 years old.</w:t>
            </w:r>
          </w:p>
          <w:p w14:paraId="13FEFD69" w14:textId="4723BAEC" w:rsidR="00B5387F" w:rsidRDefault="00B5387F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387F">
              <w:rPr>
                <w:rFonts w:ascii="Arial" w:hAnsi="Arial" w:cs="Arial"/>
                <w:sz w:val="24"/>
                <w:szCs w:val="24"/>
              </w:rPr>
              <w:t xml:space="preserve">Consider how best to incorporate failing to take positive action towards zero carbon targets </w:t>
            </w:r>
            <w:r w:rsidR="004E2971">
              <w:rPr>
                <w:rFonts w:ascii="Arial" w:hAnsi="Arial" w:cs="Arial"/>
                <w:sz w:val="24"/>
                <w:szCs w:val="24"/>
              </w:rPr>
              <w:t xml:space="preserve">and potential reputational damage </w:t>
            </w:r>
            <w:r w:rsidRPr="00B5387F">
              <w:rPr>
                <w:rFonts w:ascii="Arial" w:hAnsi="Arial" w:cs="Arial"/>
                <w:sz w:val="24"/>
                <w:szCs w:val="24"/>
              </w:rPr>
              <w:t>within the HLH Risk Register</w:t>
            </w:r>
            <w:r w:rsidR="004E29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767446" w14:textId="6ED8B62C" w:rsidR="00BC2623" w:rsidRPr="00BC2623" w:rsidRDefault="00BC2623" w:rsidP="00BC262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bookmarkStart w:id="1" w:name="_Hlk94091129"/>
            <w:r w:rsidRPr="00BC2623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The Environmental Policy will be closely monitored via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quarterly reports to HSEC</w:t>
            </w:r>
            <w:r w:rsidR="00097F5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C</w:t>
            </w:r>
            <w:r w:rsidRPr="00BC2623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.  Any concerns regarding achieving compliance with the policy will be highlighted and if </w:t>
            </w:r>
            <w:proofErr w:type="gramStart"/>
            <w:r w:rsidRPr="00BC2623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necessary</w:t>
            </w:r>
            <w:proofErr w:type="gramEnd"/>
            <w:r w:rsidRPr="00BC2623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 raised for consideration of inclusion within the c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harity </w:t>
            </w:r>
            <w:r w:rsidRPr="00BC2623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risk register with a relevant Risk Management Action Plan produced if above the line. </w:t>
            </w:r>
          </w:p>
          <w:bookmarkEnd w:id="1"/>
          <w:p w14:paraId="2086CFBE" w14:textId="0F578C0E" w:rsidR="00B5387F" w:rsidRPr="004E2971" w:rsidRDefault="00B5387F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B1E796" w14:textId="77777777" w:rsidR="00C840D5" w:rsidRPr="00B5387F" w:rsidRDefault="00C840D5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4DA9D01" w14:textId="77777777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5D49C21" w14:textId="77777777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69D3221" w14:textId="77777777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89B067" w14:textId="58DBB47F" w:rsidR="00B5387F" w:rsidRPr="00BD6C7B" w:rsidRDefault="00BD6C7B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BD6C7B">
              <w:rPr>
                <w:rFonts w:ascii="Arial" w:hAnsi="Arial" w:cs="Arial"/>
                <w:sz w:val="24"/>
                <w:szCs w:val="24"/>
              </w:rPr>
              <w:t>SW</w:t>
            </w:r>
          </w:p>
          <w:p w14:paraId="499D71E4" w14:textId="77777777" w:rsid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E91E46" w14:textId="2CA4BAC5" w:rsid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69DEE8F" w14:textId="77777777" w:rsidR="00BC2623" w:rsidRDefault="00BC2623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5E06CC1" w14:textId="77777777" w:rsid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DC6E2F" w14:textId="479B2ADC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87F">
              <w:rPr>
                <w:rFonts w:ascii="Arial" w:hAnsi="Arial" w:cs="Arial"/>
                <w:sz w:val="24"/>
                <w:szCs w:val="24"/>
              </w:rPr>
              <w:t>JWM</w:t>
            </w:r>
          </w:p>
        </w:tc>
        <w:tc>
          <w:tcPr>
            <w:tcW w:w="1320" w:type="dxa"/>
          </w:tcPr>
          <w:p w14:paraId="4F6CBB3C" w14:textId="77777777" w:rsidR="003D7C22" w:rsidRPr="00B5387F" w:rsidRDefault="003D7C22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6EAD2B5" w14:textId="77777777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025BA9" w14:textId="77777777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54ECB1D" w14:textId="77777777" w:rsidR="00B5387F" w:rsidRP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4EFEE68" w14:textId="15DA401E" w:rsidR="00B5387F" w:rsidRPr="00BD6C7B" w:rsidRDefault="00BD6C7B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BD6C7B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6E39BA49" w14:textId="77777777" w:rsid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C6B2FA1" w14:textId="77777777" w:rsid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B0E5831" w14:textId="33D5B95E" w:rsidR="00B5387F" w:rsidRDefault="00B5387F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3527B0" w14:textId="77777777" w:rsidR="00BC2623" w:rsidRDefault="00BC2623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97BE9D4" w14:textId="5126F5DB" w:rsidR="00B5387F" w:rsidRPr="00B5387F" w:rsidRDefault="00BC2623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2623"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</w:tr>
      <w:tr w:rsidR="009C685A" w:rsidRPr="001F28B2" w14:paraId="7B708DA7" w14:textId="77777777" w:rsidTr="00707E3A">
        <w:trPr>
          <w:trHeight w:val="1366"/>
        </w:trPr>
        <w:tc>
          <w:tcPr>
            <w:tcW w:w="981" w:type="dxa"/>
          </w:tcPr>
          <w:p w14:paraId="3A80C920" w14:textId="5DA880DD" w:rsidR="00491F7C" w:rsidRPr="00B26A83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  <w:r w:rsidRPr="00B26A83">
              <w:rPr>
                <w:rFonts w:ascii="Arial" w:hAnsi="Arial" w:cs="Arial"/>
                <w:sz w:val="24"/>
                <w:szCs w:val="24"/>
              </w:rPr>
              <w:t>11vii</w:t>
            </w:r>
          </w:p>
          <w:p w14:paraId="2F173855" w14:textId="3752F7D8" w:rsidR="009C685A" w:rsidRPr="00B26A83" w:rsidRDefault="009C685A" w:rsidP="000B2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9" w:type="dxa"/>
          </w:tcPr>
          <w:p w14:paraId="12421204" w14:textId="77777777" w:rsidR="002C28AE" w:rsidRPr="00B26A83" w:rsidRDefault="004E2971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83">
              <w:rPr>
                <w:rFonts w:ascii="Arial" w:hAnsi="Arial" w:cs="Arial"/>
                <w:sz w:val="24"/>
                <w:szCs w:val="24"/>
              </w:rPr>
              <w:t>Finance Report</w:t>
            </w:r>
          </w:p>
          <w:p w14:paraId="64DF3416" w14:textId="77777777" w:rsidR="004E2971" w:rsidRPr="00B26A83" w:rsidRDefault="004E2971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83">
              <w:rPr>
                <w:rFonts w:ascii="Arial" w:hAnsi="Arial" w:cs="Arial"/>
                <w:sz w:val="24"/>
                <w:szCs w:val="24"/>
              </w:rPr>
              <w:t>Approval of the Catering Goods contract delegated to the Chair of the Finance and Audit Committee.</w:t>
            </w:r>
          </w:p>
          <w:p w14:paraId="17049B33" w14:textId="77777777" w:rsidR="004E2971" w:rsidRDefault="00B26A83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6A83">
              <w:rPr>
                <w:rFonts w:ascii="Arial" w:hAnsi="Arial" w:cs="Arial"/>
                <w:i/>
                <w:iCs/>
                <w:sz w:val="24"/>
                <w:szCs w:val="24"/>
              </w:rPr>
              <w:t>Consideration of the procurement process underway following receipt of one tender only.  Delegated approval was not required.</w:t>
            </w:r>
          </w:p>
          <w:p w14:paraId="28D8E01C" w14:textId="1B1530FA" w:rsidR="002A73B0" w:rsidRPr="00B26A83" w:rsidRDefault="002A73B0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D52CCFB" w14:textId="77777777" w:rsidR="00821850" w:rsidRDefault="0082185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9A577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1BC02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A53BC" w14:textId="2B4BC6A5" w:rsidR="004E2971" w:rsidRPr="000C3247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</w:t>
            </w:r>
          </w:p>
        </w:tc>
        <w:tc>
          <w:tcPr>
            <w:tcW w:w="1320" w:type="dxa"/>
          </w:tcPr>
          <w:p w14:paraId="329246E2" w14:textId="77777777" w:rsidR="00821850" w:rsidRDefault="0082185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F9308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B35FC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B2AAA" w14:textId="6D3264C4" w:rsidR="004E2971" w:rsidRPr="000C3247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B26A83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tr w:rsidR="00821850" w:rsidRPr="001F28B2" w14:paraId="702766B5" w14:textId="77777777" w:rsidTr="00707E3A">
        <w:trPr>
          <w:trHeight w:val="699"/>
        </w:trPr>
        <w:tc>
          <w:tcPr>
            <w:tcW w:w="981" w:type="dxa"/>
          </w:tcPr>
          <w:p w14:paraId="7AD52A6E" w14:textId="3CFB0ABA" w:rsidR="00821850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  <w:r w:rsidRPr="004E2971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05D75784" w14:textId="3145238B" w:rsidR="004E2971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15500" w14:textId="4AD6C21B" w:rsidR="004E2971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E16F3C" w14:textId="02751A15" w:rsidR="004E2971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63D77" w14:textId="1020F406" w:rsidR="004E2971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E42F9" w14:textId="7E9C3E84" w:rsidR="004E2971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75C04" w14:textId="3208D89F" w:rsidR="004E2971" w:rsidRPr="004E2971" w:rsidRDefault="004E2971" w:rsidP="000B2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  <w:p w14:paraId="76747F30" w14:textId="2ABF4A96" w:rsidR="00821850" w:rsidRPr="004E2971" w:rsidRDefault="00821850" w:rsidP="000B2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9" w:type="dxa"/>
          </w:tcPr>
          <w:p w14:paraId="6FC0DC59" w14:textId="77777777" w:rsidR="00821850" w:rsidRDefault="004E2971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971">
              <w:rPr>
                <w:rFonts w:ascii="Arial" w:hAnsi="Arial" w:cs="Arial"/>
                <w:sz w:val="24"/>
                <w:szCs w:val="24"/>
              </w:rPr>
              <w:t>Human Resources</w:t>
            </w:r>
          </w:p>
          <w:p w14:paraId="30E8C047" w14:textId="77777777" w:rsidR="004E2971" w:rsidRDefault="004E2971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the Gender Pay Gap Report to March 2021 for submission to the UK Government and publication on the HLH website.</w:t>
            </w:r>
          </w:p>
          <w:p w14:paraId="5D6106BA" w14:textId="39A4A6FA" w:rsidR="004E2971" w:rsidRPr="009B5478" w:rsidRDefault="004E2971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B5478">
              <w:rPr>
                <w:rFonts w:ascii="Arial" w:hAnsi="Arial" w:cs="Arial"/>
                <w:i/>
                <w:iCs/>
                <w:sz w:val="24"/>
                <w:szCs w:val="24"/>
              </w:rPr>
              <w:t>Report submitted to the UK Government and uploaded to the HLH website</w:t>
            </w:r>
            <w:r w:rsidR="009B5478" w:rsidRPr="009B547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 February 2022</w:t>
            </w:r>
            <w:r w:rsidRPr="009B5478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1BC338E" w14:textId="77777777" w:rsidR="004E2971" w:rsidRDefault="004E2971" w:rsidP="002A73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94695927"/>
            <w:r>
              <w:rPr>
                <w:rFonts w:ascii="Arial" w:hAnsi="Arial" w:cs="Arial"/>
                <w:sz w:val="24"/>
                <w:szCs w:val="24"/>
              </w:rPr>
              <w:t>When available, information on how HLH compared to other similar organisations in terms of Gender Pay Gap to be circulated to Directors.</w:t>
            </w:r>
          </w:p>
          <w:bookmarkEnd w:id="2"/>
          <w:p w14:paraId="6E405037" w14:textId="65A0C8B5" w:rsidR="004E2971" w:rsidRPr="004E2971" w:rsidRDefault="007C1D65" w:rsidP="004E2971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7C1D65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Comparison will be undertaken post 31 March 2021 deadline and results will be included in HR report on June HLH Board agenda.</w:t>
            </w:r>
          </w:p>
        </w:tc>
        <w:tc>
          <w:tcPr>
            <w:tcW w:w="1257" w:type="dxa"/>
          </w:tcPr>
          <w:p w14:paraId="31D6AF83" w14:textId="77777777" w:rsidR="00821850" w:rsidRDefault="0082185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77F9F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32A08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03318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420BE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JWM</w:t>
            </w:r>
          </w:p>
          <w:p w14:paraId="15853869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58087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1E2A5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EACB2" w14:textId="6AA6B081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E376E" w14:textId="77777777" w:rsidR="000D5130" w:rsidRDefault="000D513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250E2" w14:textId="4050E08E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JWM</w:t>
            </w:r>
          </w:p>
        </w:tc>
        <w:tc>
          <w:tcPr>
            <w:tcW w:w="1320" w:type="dxa"/>
          </w:tcPr>
          <w:p w14:paraId="7387ECF4" w14:textId="77777777" w:rsidR="00821850" w:rsidRDefault="00821850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18CFD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E047D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1DED9" w14:textId="77777777" w:rsidR="004E2971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DDBCE" w14:textId="77777777" w:rsidR="004E2971" w:rsidRPr="007C1D65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7C1D65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64B1E5D3" w14:textId="77777777" w:rsidR="004E2971" w:rsidRPr="007C1D65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941F1" w14:textId="77777777" w:rsidR="004E2971" w:rsidRPr="007C1D65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57E57" w14:textId="77777777" w:rsidR="004E2971" w:rsidRPr="007C1D65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8F761" w14:textId="77777777" w:rsidR="004E2971" w:rsidRPr="007C1D65" w:rsidRDefault="004E2971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5AE2A" w14:textId="5F489C27" w:rsidR="004E2971" w:rsidRDefault="007C1D65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7C1D65">
              <w:rPr>
                <w:rFonts w:ascii="Arial" w:hAnsi="Arial" w:cs="Arial"/>
                <w:sz w:val="24"/>
                <w:szCs w:val="24"/>
              </w:rPr>
              <w:lastRenderedPageBreak/>
              <w:t>June 2022</w:t>
            </w:r>
          </w:p>
        </w:tc>
      </w:tr>
      <w:tr w:rsidR="008412DE" w:rsidRPr="001F28B2" w14:paraId="37FB660B" w14:textId="77777777" w:rsidTr="00707E3A">
        <w:trPr>
          <w:trHeight w:val="699"/>
        </w:trPr>
        <w:tc>
          <w:tcPr>
            <w:tcW w:w="981" w:type="dxa"/>
          </w:tcPr>
          <w:p w14:paraId="3B5E354E" w14:textId="486A6593" w:rsidR="008412DE" w:rsidRDefault="008412DE" w:rsidP="000B2C42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95921546"/>
            <w:r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029" w:type="dxa"/>
          </w:tcPr>
          <w:p w14:paraId="12E7501D" w14:textId="77777777" w:rsidR="008412DE" w:rsidRDefault="008412DE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Marketing and Communications Update</w:t>
            </w:r>
          </w:p>
          <w:p w14:paraId="64F3A5AA" w14:textId="059BF148" w:rsidR="008412DE" w:rsidRDefault="008412DE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 for circulation of presentation provided to allow more detailed consideration of its content.</w:t>
            </w:r>
          </w:p>
          <w:p w14:paraId="19E34299" w14:textId="241595E0" w:rsidR="008412DE" w:rsidRPr="002A73B0" w:rsidRDefault="008412DE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73B0">
              <w:rPr>
                <w:rFonts w:ascii="Arial" w:hAnsi="Arial" w:cs="Arial"/>
                <w:i/>
                <w:iCs/>
                <w:sz w:val="24"/>
                <w:szCs w:val="24"/>
              </w:rPr>
              <w:t>Arrangements in place to ensure circulation prior to 6 monthly Board updates.</w:t>
            </w:r>
          </w:p>
          <w:p w14:paraId="787E7D79" w14:textId="1039FD0F" w:rsidR="008412DE" w:rsidRDefault="008412DE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Weekly media digest currently prepared to be made available to Directors</w:t>
            </w:r>
            <w:r w:rsidR="008D1B31">
              <w:rPr>
                <w:rFonts w:ascii="Arial" w:hAnsi="Arial" w:cs="Arial"/>
                <w:sz w:val="24"/>
                <w:szCs w:val="24"/>
              </w:rPr>
              <w:t xml:space="preserve"> should they wish to request 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545A75" w14:textId="77777777" w:rsidR="008412DE" w:rsidRDefault="009C6825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Process in place to provide to Directors on request.</w:t>
            </w:r>
          </w:p>
          <w:p w14:paraId="282FD4FE" w14:textId="62657C09" w:rsidR="009C6825" w:rsidRPr="008412DE" w:rsidRDefault="009C6825" w:rsidP="004561D7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C2BC0C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FCD01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3CA86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30EC6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JWM</w:t>
            </w:r>
          </w:p>
          <w:p w14:paraId="290B3750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9D3AF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E56BC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ADE14" w14:textId="3D3B7602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JWM</w:t>
            </w:r>
          </w:p>
        </w:tc>
        <w:tc>
          <w:tcPr>
            <w:tcW w:w="1320" w:type="dxa"/>
          </w:tcPr>
          <w:p w14:paraId="68060041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63F8D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FC8CB" w14:textId="77777777" w:rsidR="008412DE" w:rsidRDefault="008412DE" w:rsidP="00C61B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748D3" w14:textId="58DAB98C" w:rsidR="008412DE" w:rsidRPr="002A73B0" w:rsidRDefault="002A73B0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2A73B0"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5ACA8AF7" w14:textId="77777777" w:rsidR="008412DE" w:rsidRDefault="008412DE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C12BD66" w14:textId="77777777" w:rsidR="008412DE" w:rsidRDefault="008412DE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3822F93" w14:textId="77777777" w:rsidR="008412DE" w:rsidRDefault="008412DE" w:rsidP="00C61B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1F67BE3" w14:textId="1F0BEA8E" w:rsidR="008412DE" w:rsidRDefault="002A73B0" w:rsidP="00C61B36">
            <w:pPr>
              <w:rPr>
                <w:rFonts w:ascii="Arial" w:hAnsi="Arial" w:cs="Arial"/>
                <w:sz w:val="24"/>
                <w:szCs w:val="24"/>
              </w:rPr>
            </w:pPr>
            <w:r w:rsidRPr="002A73B0"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</w:tr>
      <w:bookmarkEnd w:id="0"/>
      <w:bookmarkEnd w:id="3"/>
    </w:tbl>
    <w:p w14:paraId="4739175A" w14:textId="4BA3E7D2" w:rsidR="004E0C83" w:rsidRPr="006C2017" w:rsidRDefault="004E0C83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4E0C83" w:rsidRPr="006C2017" w:rsidSect="00963CD7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AF9"/>
    <w:multiLevelType w:val="hybridMultilevel"/>
    <w:tmpl w:val="6C00AF88"/>
    <w:lvl w:ilvl="0" w:tplc="EDEC3DB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C2D23"/>
    <w:multiLevelType w:val="hybridMultilevel"/>
    <w:tmpl w:val="BA7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18D5"/>
    <w:multiLevelType w:val="hybridMultilevel"/>
    <w:tmpl w:val="E01AC904"/>
    <w:lvl w:ilvl="0" w:tplc="6DDE41A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70D3A"/>
    <w:multiLevelType w:val="hybridMultilevel"/>
    <w:tmpl w:val="0F8CAC76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C24B1"/>
    <w:multiLevelType w:val="hybridMultilevel"/>
    <w:tmpl w:val="A5C6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90622"/>
    <w:multiLevelType w:val="hybridMultilevel"/>
    <w:tmpl w:val="7BAA9C3E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217C3"/>
    <w:multiLevelType w:val="hybridMultilevel"/>
    <w:tmpl w:val="10F27482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8E28D3"/>
    <w:multiLevelType w:val="hybridMultilevel"/>
    <w:tmpl w:val="4320701A"/>
    <w:lvl w:ilvl="0" w:tplc="832E1E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0AC"/>
    <w:multiLevelType w:val="hybridMultilevel"/>
    <w:tmpl w:val="7B6A23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137329"/>
    <w:multiLevelType w:val="hybridMultilevel"/>
    <w:tmpl w:val="35487F9C"/>
    <w:lvl w:ilvl="0" w:tplc="75BC30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137CE6"/>
    <w:multiLevelType w:val="hybridMultilevel"/>
    <w:tmpl w:val="15EC670A"/>
    <w:lvl w:ilvl="0" w:tplc="3960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C4931"/>
    <w:multiLevelType w:val="hybridMultilevel"/>
    <w:tmpl w:val="ADE60262"/>
    <w:lvl w:ilvl="0" w:tplc="A5CE50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0DD2"/>
    <w:multiLevelType w:val="hybridMultilevel"/>
    <w:tmpl w:val="D520C1E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9125963"/>
    <w:multiLevelType w:val="hybridMultilevel"/>
    <w:tmpl w:val="1402E6A8"/>
    <w:lvl w:ilvl="0" w:tplc="4970E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277B7"/>
    <w:multiLevelType w:val="hybridMultilevel"/>
    <w:tmpl w:val="ED6C0366"/>
    <w:lvl w:ilvl="0" w:tplc="0809001B">
      <w:start w:val="1"/>
      <w:numFmt w:val="lowerRoman"/>
      <w:lvlText w:val="%1."/>
      <w:lvlJc w:val="right"/>
      <w:pPr>
        <w:ind w:left="955" w:hanging="360"/>
      </w:p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5" w15:restartNumberingAfterBreak="0">
    <w:nsid w:val="2E9C5AA1"/>
    <w:multiLevelType w:val="hybridMultilevel"/>
    <w:tmpl w:val="33CC7E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37B94"/>
    <w:multiLevelType w:val="hybridMultilevel"/>
    <w:tmpl w:val="A4EC87C2"/>
    <w:lvl w:ilvl="0" w:tplc="B63CCC82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67202"/>
    <w:multiLevelType w:val="hybridMultilevel"/>
    <w:tmpl w:val="D5022A90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91D17"/>
    <w:multiLevelType w:val="hybridMultilevel"/>
    <w:tmpl w:val="3FC60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C5C"/>
    <w:multiLevelType w:val="hybridMultilevel"/>
    <w:tmpl w:val="C25CE3FE"/>
    <w:lvl w:ilvl="0" w:tplc="B63CCC82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994B54"/>
    <w:multiLevelType w:val="hybridMultilevel"/>
    <w:tmpl w:val="D47E9E64"/>
    <w:lvl w:ilvl="0" w:tplc="F89864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F7E1C"/>
    <w:multiLevelType w:val="hybridMultilevel"/>
    <w:tmpl w:val="D4FA1904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CB488C"/>
    <w:multiLevelType w:val="hybridMultilevel"/>
    <w:tmpl w:val="8DAA4A02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335916"/>
    <w:multiLevelType w:val="hybridMultilevel"/>
    <w:tmpl w:val="23E8C3B4"/>
    <w:lvl w:ilvl="0" w:tplc="462685AE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815252"/>
    <w:multiLevelType w:val="hybridMultilevel"/>
    <w:tmpl w:val="AA22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949E8"/>
    <w:multiLevelType w:val="hybridMultilevel"/>
    <w:tmpl w:val="F618B18A"/>
    <w:lvl w:ilvl="0" w:tplc="9FBC88A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7A04"/>
    <w:multiLevelType w:val="hybridMultilevel"/>
    <w:tmpl w:val="59E2C1C6"/>
    <w:lvl w:ilvl="0" w:tplc="AECEB7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7C7DA7"/>
    <w:multiLevelType w:val="hybridMultilevel"/>
    <w:tmpl w:val="70FAA25E"/>
    <w:lvl w:ilvl="0" w:tplc="C8AE3F9E">
      <w:start w:val="1"/>
      <w:numFmt w:val="lowerRoman"/>
      <w:lvlText w:val="%1."/>
      <w:lvlJc w:val="left"/>
      <w:pPr>
        <w:ind w:left="1175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88" w:hanging="360"/>
      </w:pPr>
    </w:lvl>
    <w:lvl w:ilvl="2" w:tplc="0809001B" w:tentative="1">
      <w:start w:val="1"/>
      <w:numFmt w:val="lowerRoman"/>
      <w:lvlText w:val="%3."/>
      <w:lvlJc w:val="right"/>
      <w:pPr>
        <w:ind w:left="2408" w:hanging="180"/>
      </w:pPr>
    </w:lvl>
    <w:lvl w:ilvl="3" w:tplc="0809000F" w:tentative="1">
      <w:start w:val="1"/>
      <w:numFmt w:val="decimal"/>
      <w:lvlText w:val="%4."/>
      <w:lvlJc w:val="left"/>
      <w:pPr>
        <w:ind w:left="3128" w:hanging="360"/>
      </w:pPr>
    </w:lvl>
    <w:lvl w:ilvl="4" w:tplc="08090019" w:tentative="1">
      <w:start w:val="1"/>
      <w:numFmt w:val="lowerLetter"/>
      <w:lvlText w:val="%5."/>
      <w:lvlJc w:val="left"/>
      <w:pPr>
        <w:ind w:left="3848" w:hanging="360"/>
      </w:pPr>
    </w:lvl>
    <w:lvl w:ilvl="5" w:tplc="0809001B" w:tentative="1">
      <w:start w:val="1"/>
      <w:numFmt w:val="lowerRoman"/>
      <w:lvlText w:val="%6."/>
      <w:lvlJc w:val="right"/>
      <w:pPr>
        <w:ind w:left="4568" w:hanging="180"/>
      </w:pPr>
    </w:lvl>
    <w:lvl w:ilvl="6" w:tplc="0809000F" w:tentative="1">
      <w:start w:val="1"/>
      <w:numFmt w:val="decimal"/>
      <w:lvlText w:val="%7."/>
      <w:lvlJc w:val="left"/>
      <w:pPr>
        <w:ind w:left="5288" w:hanging="360"/>
      </w:pPr>
    </w:lvl>
    <w:lvl w:ilvl="7" w:tplc="08090019" w:tentative="1">
      <w:start w:val="1"/>
      <w:numFmt w:val="lowerLetter"/>
      <w:lvlText w:val="%8."/>
      <w:lvlJc w:val="left"/>
      <w:pPr>
        <w:ind w:left="6008" w:hanging="360"/>
      </w:pPr>
    </w:lvl>
    <w:lvl w:ilvl="8" w:tplc="08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8" w15:restartNumberingAfterBreak="0">
    <w:nsid w:val="617C298D"/>
    <w:multiLevelType w:val="hybridMultilevel"/>
    <w:tmpl w:val="DEF84CF4"/>
    <w:lvl w:ilvl="0" w:tplc="B24235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2112"/>
    <w:multiLevelType w:val="hybridMultilevel"/>
    <w:tmpl w:val="46E2B01A"/>
    <w:lvl w:ilvl="0" w:tplc="C8AE3F9E">
      <w:start w:val="1"/>
      <w:numFmt w:val="lowerRoman"/>
      <w:lvlText w:val="%1."/>
      <w:lvlJc w:val="left"/>
      <w:pPr>
        <w:ind w:left="102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6921675A"/>
    <w:multiLevelType w:val="hybridMultilevel"/>
    <w:tmpl w:val="8AA68E10"/>
    <w:lvl w:ilvl="0" w:tplc="760AF6C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47F98"/>
    <w:multiLevelType w:val="hybridMultilevel"/>
    <w:tmpl w:val="6C347374"/>
    <w:lvl w:ilvl="0" w:tplc="1C38E0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0131F"/>
    <w:multiLevelType w:val="hybridMultilevel"/>
    <w:tmpl w:val="3B94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C373F"/>
    <w:multiLevelType w:val="hybridMultilevel"/>
    <w:tmpl w:val="5F4E96FC"/>
    <w:lvl w:ilvl="0" w:tplc="375E60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33901"/>
    <w:multiLevelType w:val="hybridMultilevel"/>
    <w:tmpl w:val="0F1C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27C2"/>
    <w:multiLevelType w:val="hybridMultilevel"/>
    <w:tmpl w:val="BF825BAA"/>
    <w:lvl w:ilvl="0" w:tplc="E9B8C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1"/>
  </w:num>
  <w:num w:numId="4">
    <w:abstractNumId w:val="14"/>
  </w:num>
  <w:num w:numId="5">
    <w:abstractNumId w:val="15"/>
  </w:num>
  <w:num w:numId="6">
    <w:abstractNumId w:val="18"/>
  </w:num>
  <w:num w:numId="7">
    <w:abstractNumId w:val="33"/>
  </w:num>
  <w:num w:numId="8">
    <w:abstractNumId w:val="10"/>
  </w:num>
  <w:num w:numId="9">
    <w:abstractNumId w:val="9"/>
  </w:num>
  <w:num w:numId="10">
    <w:abstractNumId w:val="17"/>
  </w:num>
  <w:num w:numId="11">
    <w:abstractNumId w:val="1"/>
  </w:num>
  <w:num w:numId="12">
    <w:abstractNumId w:val="24"/>
  </w:num>
  <w:num w:numId="13">
    <w:abstractNumId w:val="35"/>
  </w:num>
  <w:num w:numId="14">
    <w:abstractNumId w:val="21"/>
  </w:num>
  <w:num w:numId="15">
    <w:abstractNumId w:val="29"/>
  </w:num>
  <w:num w:numId="16">
    <w:abstractNumId w:val="22"/>
  </w:num>
  <w:num w:numId="17">
    <w:abstractNumId w:val="34"/>
  </w:num>
  <w:num w:numId="18">
    <w:abstractNumId w:val="26"/>
  </w:num>
  <w:num w:numId="19">
    <w:abstractNumId w:val="4"/>
  </w:num>
  <w:num w:numId="20">
    <w:abstractNumId w:val="25"/>
  </w:num>
  <w:num w:numId="21">
    <w:abstractNumId w:val="30"/>
  </w:num>
  <w:num w:numId="22">
    <w:abstractNumId w:val="32"/>
  </w:num>
  <w:num w:numId="23">
    <w:abstractNumId w:val="19"/>
  </w:num>
  <w:num w:numId="24">
    <w:abstractNumId w:val="8"/>
  </w:num>
  <w:num w:numId="25">
    <w:abstractNumId w:val="2"/>
  </w:num>
  <w:num w:numId="26">
    <w:abstractNumId w:val="16"/>
  </w:num>
  <w:num w:numId="27">
    <w:abstractNumId w:val="31"/>
  </w:num>
  <w:num w:numId="28">
    <w:abstractNumId w:val="3"/>
  </w:num>
  <w:num w:numId="29">
    <w:abstractNumId w:val="7"/>
  </w:num>
  <w:num w:numId="30">
    <w:abstractNumId w:val="20"/>
  </w:num>
  <w:num w:numId="31">
    <w:abstractNumId w:val="27"/>
  </w:num>
  <w:num w:numId="32">
    <w:abstractNumId w:val="23"/>
  </w:num>
  <w:num w:numId="33">
    <w:abstractNumId w:val="6"/>
  </w:num>
  <w:num w:numId="34">
    <w:abstractNumId w:val="0"/>
  </w:num>
  <w:num w:numId="35">
    <w:abstractNumId w:val="5"/>
  </w:num>
  <w:num w:numId="36">
    <w:abstractNumId w:val="12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4371"/>
    <w:rsid w:val="00006EE9"/>
    <w:rsid w:val="000104C2"/>
    <w:rsid w:val="00012953"/>
    <w:rsid w:val="00014761"/>
    <w:rsid w:val="000216F1"/>
    <w:rsid w:val="000231FA"/>
    <w:rsid w:val="00030587"/>
    <w:rsid w:val="00035BB1"/>
    <w:rsid w:val="0003715D"/>
    <w:rsid w:val="00052EF7"/>
    <w:rsid w:val="00063267"/>
    <w:rsid w:val="00071FF4"/>
    <w:rsid w:val="00073290"/>
    <w:rsid w:val="000763E5"/>
    <w:rsid w:val="00083680"/>
    <w:rsid w:val="00085D0D"/>
    <w:rsid w:val="00090B15"/>
    <w:rsid w:val="00097F59"/>
    <w:rsid w:val="000A077D"/>
    <w:rsid w:val="000A7A57"/>
    <w:rsid w:val="000B1997"/>
    <w:rsid w:val="000B2C42"/>
    <w:rsid w:val="000B3A34"/>
    <w:rsid w:val="000B6A03"/>
    <w:rsid w:val="000C3247"/>
    <w:rsid w:val="000C7720"/>
    <w:rsid w:val="000D2FA9"/>
    <w:rsid w:val="000D47CD"/>
    <w:rsid w:val="000D5130"/>
    <w:rsid w:val="000E1E8D"/>
    <w:rsid w:val="000F0D07"/>
    <w:rsid w:val="000F2078"/>
    <w:rsid w:val="000F2466"/>
    <w:rsid w:val="000F6AD0"/>
    <w:rsid w:val="00103293"/>
    <w:rsid w:val="001122D2"/>
    <w:rsid w:val="00116DFC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4FF1"/>
    <w:rsid w:val="0016555D"/>
    <w:rsid w:val="0017249F"/>
    <w:rsid w:val="00182560"/>
    <w:rsid w:val="001846AA"/>
    <w:rsid w:val="001847BE"/>
    <w:rsid w:val="0019006C"/>
    <w:rsid w:val="001917AD"/>
    <w:rsid w:val="00197F3A"/>
    <w:rsid w:val="001A201C"/>
    <w:rsid w:val="001A3B6D"/>
    <w:rsid w:val="001A5BCE"/>
    <w:rsid w:val="001B1293"/>
    <w:rsid w:val="001B2BCD"/>
    <w:rsid w:val="001B2D02"/>
    <w:rsid w:val="001C45BD"/>
    <w:rsid w:val="001C57C8"/>
    <w:rsid w:val="001C60A5"/>
    <w:rsid w:val="001D098B"/>
    <w:rsid w:val="001D354C"/>
    <w:rsid w:val="001D65CA"/>
    <w:rsid w:val="001D6E6C"/>
    <w:rsid w:val="001E31FC"/>
    <w:rsid w:val="001E3E0C"/>
    <w:rsid w:val="001E452F"/>
    <w:rsid w:val="001F28B2"/>
    <w:rsid w:val="001F679F"/>
    <w:rsid w:val="001F6B15"/>
    <w:rsid w:val="001F6FF7"/>
    <w:rsid w:val="001F78C2"/>
    <w:rsid w:val="00205BD6"/>
    <w:rsid w:val="00210ADB"/>
    <w:rsid w:val="00211E12"/>
    <w:rsid w:val="00213A8C"/>
    <w:rsid w:val="00225F1F"/>
    <w:rsid w:val="0023085C"/>
    <w:rsid w:val="00233CFA"/>
    <w:rsid w:val="002363AE"/>
    <w:rsid w:val="00237C06"/>
    <w:rsid w:val="00246342"/>
    <w:rsid w:val="002537C5"/>
    <w:rsid w:val="00266B80"/>
    <w:rsid w:val="002747D1"/>
    <w:rsid w:val="0027684D"/>
    <w:rsid w:val="00287306"/>
    <w:rsid w:val="002952A1"/>
    <w:rsid w:val="002A3FC3"/>
    <w:rsid w:val="002A73B0"/>
    <w:rsid w:val="002A7A05"/>
    <w:rsid w:val="002B4499"/>
    <w:rsid w:val="002B78B7"/>
    <w:rsid w:val="002C28AE"/>
    <w:rsid w:val="002C2C69"/>
    <w:rsid w:val="002C3405"/>
    <w:rsid w:val="002C3C6F"/>
    <w:rsid w:val="002C4F8F"/>
    <w:rsid w:val="002D01E9"/>
    <w:rsid w:val="002D662B"/>
    <w:rsid w:val="002E1CE4"/>
    <w:rsid w:val="002E405E"/>
    <w:rsid w:val="002F5339"/>
    <w:rsid w:val="002F5353"/>
    <w:rsid w:val="002F6F5E"/>
    <w:rsid w:val="003069A9"/>
    <w:rsid w:val="00306E7B"/>
    <w:rsid w:val="003118F4"/>
    <w:rsid w:val="00314CA2"/>
    <w:rsid w:val="003170CC"/>
    <w:rsid w:val="00330974"/>
    <w:rsid w:val="00331F7E"/>
    <w:rsid w:val="00335FEA"/>
    <w:rsid w:val="00354078"/>
    <w:rsid w:val="0035545E"/>
    <w:rsid w:val="00362DDA"/>
    <w:rsid w:val="00366C9E"/>
    <w:rsid w:val="003753CF"/>
    <w:rsid w:val="00376F44"/>
    <w:rsid w:val="00380CD1"/>
    <w:rsid w:val="003858C4"/>
    <w:rsid w:val="003922AC"/>
    <w:rsid w:val="00393FEF"/>
    <w:rsid w:val="003A0B11"/>
    <w:rsid w:val="003A222C"/>
    <w:rsid w:val="003A609F"/>
    <w:rsid w:val="003A6F0C"/>
    <w:rsid w:val="003A7161"/>
    <w:rsid w:val="003B03B2"/>
    <w:rsid w:val="003B0D1E"/>
    <w:rsid w:val="003B5B14"/>
    <w:rsid w:val="003B7945"/>
    <w:rsid w:val="003C0B8F"/>
    <w:rsid w:val="003C0DC6"/>
    <w:rsid w:val="003C31BE"/>
    <w:rsid w:val="003C4762"/>
    <w:rsid w:val="003D4866"/>
    <w:rsid w:val="003D7C22"/>
    <w:rsid w:val="003E173A"/>
    <w:rsid w:val="003E243E"/>
    <w:rsid w:val="003E772C"/>
    <w:rsid w:val="003F3238"/>
    <w:rsid w:val="003F3C0E"/>
    <w:rsid w:val="003F5213"/>
    <w:rsid w:val="003F6258"/>
    <w:rsid w:val="00402196"/>
    <w:rsid w:val="00406540"/>
    <w:rsid w:val="00416A32"/>
    <w:rsid w:val="00425084"/>
    <w:rsid w:val="00436FCF"/>
    <w:rsid w:val="00440496"/>
    <w:rsid w:val="00440619"/>
    <w:rsid w:val="00444234"/>
    <w:rsid w:val="00446BF3"/>
    <w:rsid w:val="004545DE"/>
    <w:rsid w:val="004561D7"/>
    <w:rsid w:val="0047044E"/>
    <w:rsid w:val="00473AD3"/>
    <w:rsid w:val="00481B26"/>
    <w:rsid w:val="00491F7C"/>
    <w:rsid w:val="00494D8C"/>
    <w:rsid w:val="0049604C"/>
    <w:rsid w:val="004965DB"/>
    <w:rsid w:val="004A1C63"/>
    <w:rsid w:val="004A3E99"/>
    <w:rsid w:val="004A536A"/>
    <w:rsid w:val="004A5705"/>
    <w:rsid w:val="004B4BE3"/>
    <w:rsid w:val="004B6391"/>
    <w:rsid w:val="004B7131"/>
    <w:rsid w:val="004B7775"/>
    <w:rsid w:val="004B7DD9"/>
    <w:rsid w:val="004C1A4D"/>
    <w:rsid w:val="004C23A2"/>
    <w:rsid w:val="004C3E68"/>
    <w:rsid w:val="004D60D2"/>
    <w:rsid w:val="004E0C83"/>
    <w:rsid w:val="004E1315"/>
    <w:rsid w:val="004E2971"/>
    <w:rsid w:val="004E4710"/>
    <w:rsid w:val="005005E4"/>
    <w:rsid w:val="00500725"/>
    <w:rsid w:val="00501775"/>
    <w:rsid w:val="00501C71"/>
    <w:rsid w:val="0050302D"/>
    <w:rsid w:val="005045F2"/>
    <w:rsid w:val="00510A3E"/>
    <w:rsid w:val="00510C3B"/>
    <w:rsid w:val="00511172"/>
    <w:rsid w:val="0051386A"/>
    <w:rsid w:val="00531568"/>
    <w:rsid w:val="00532A65"/>
    <w:rsid w:val="005352F3"/>
    <w:rsid w:val="00535BE0"/>
    <w:rsid w:val="00536E2D"/>
    <w:rsid w:val="00540FEE"/>
    <w:rsid w:val="005619DA"/>
    <w:rsid w:val="00562C72"/>
    <w:rsid w:val="00573B30"/>
    <w:rsid w:val="00575A59"/>
    <w:rsid w:val="00587D92"/>
    <w:rsid w:val="00590015"/>
    <w:rsid w:val="005906BB"/>
    <w:rsid w:val="005A15DD"/>
    <w:rsid w:val="005B02E7"/>
    <w:rsid w:val="005B10AD"/>
    <w:rsid w:val="005B5C26"/>
    <w:rsid w:val="005B60A9"/>
    <w:rsid w:val="005B6250"/>
    <w:rsid w:val="005E104D"/>
    <w:rsid w:val="005F29CE"/>
    <w:rsid w:val="005F2C2C"/>
    <w:rsid w:val="0060668F"/>
    <w:rsid w:val="006154DA"/>
    <w:rsid w:val="0061620B"/>
    <w:rsid w:val="00621CF2"/>
    <w:rsid w:val="006403BD"/>
    <w:rsid w:val="00641761"/>
    <w:rsid w:val="00644E6A"/>
    <w:rsid w:val="00652E0E"/>
    <w:rsid w:val="00657124"/>
    <w:rsid w:val="00657EAC"/>
    <w:rsid w:val="00661688"/>
    <w:rsid w:val="00661E17"/>
    <w:rsid w:val="00662149"/>
    <w:rsid w:val="00662BF5"/>
    <w:rsid w:val="00665060"/>
    <w:rsid w:val="00672376"/>
    <w:rsid w:val="00677AA7"/>
    <w:rsid w:val="00683361"/>
    <w:rsid w:val="00687BEA"/>
    <w:rsid w:val="006944C0"/>
    <w:rsid w:val="00696D30"/>
    <w:rsid w:val="00697463"/>
    <w:rsid w:val="006A48C3"/>
    <w:rsid w:val="006B437F"/>
    <w:rsid w:val="006C097E"/>
    <w:rsid w:val="006C2017"/>
    <w:rsid w:val="006C5DA8"/>
    <w:rsid w:val="006C6BE7"/>
    <w:rsid w:val="006E397B"/>
    <w:rsid w:val="006E4E94"/>
    <w:rsid w:val="006F405F"/>
    <w:rsid w:val="00702DC6"/>
    <w:rsid w:val="007046F9"/>
    <w:rsid w:val="0070485C"/>
    <w:rsid w:val="00707E3A"/>
    <w:rsid w:val="00712FAF"/>
    <w:rsid w:val="0071340D"/>
    <w:rsid w:val="007160F1"/>
    <w:rsid w:val="007209FB"/>
    <w:rsid w:val="00720D0D"/>
    <w:rsid w:val="0072597C"/>
    <w:rsid w:val="00734256"/>
    <w:rsid w:val="00735C20"/>
    <w:rsid w:val="007521A6"/>
    <w:rsid w:val="007604B6"/>
    <w:rsid w:val="007628A8"/>
    <w:rsid w:val="00766A6E"/>
    <w:rsid w:val="00771A16"/>
    <w:rsid w:val="00773C15"/>
    <w:rsid w:val="00784CF5"/>
    <w:rsid w:val="00786C2F"/>
    <w:rsid w:val="00791D59"/>
    <w:rsid w:val="0079658A"/>
    <w:rsid w:val="007A1284"/>
    <w:rsid w:val="007A3A06"/>
    <w:rsid w:val="007C1D65"/>
    <w:rsid w:val="007D1780"/>
    <w:rsid w:val="007E2C39"/>
    <w:rsid w:val="007F2267"/>
    <w:rsid w:val="007F40AD"/>
    <w:rsid w:val="00807108"/>
    <w:rsid w:val="00811F58"/>
    <w:rsid w:val="00821850"/>
    <w:rsid w:val="00827282"/>
    <w:rsid w:val="008327B2"/>
    <w:rsid w:val="00833CC7"/>
    <w:rsid w:val="008404B0"/>
    <w:rsid w:val="008412DE"/>
    <w:rsid w:val="00843830"/>
    <w:rsid w:val="008447CC"/>
    <w:rsid w:val="00844E20"/>
    <w:rsid w:val="00846FFA"/>
    <w:rsid w:val="00854421"/>
    <w:rsid w:val="00854E7B"/>
    <w:rsid w:val="00864109"/>
    <w:rsid w:val="00864133"/>
    <w:rsid w:val="00866BFC"/>
    <w:rsid w:val="00873D88"/>
    <w:rsid w:val="00873F62"/>
    <w:rsid w:val="00874A42"/>
    <w:rsid w:val="00880248"/>
    <w:rsid w:val="00883648"/>
    <w:rsid w:val="00893FAA"/>
    <w:rsid w:val="008A1A0C"/>
    <w:rsid w:val="008A1B8C"/>
    <w:rsid w:val="008A4340"/>
    <w:rsid w:val="008A4440"/>
    <w:rsid w:val="008B4F4C"/>
    <w:rsid w:val="008C51AE"/>
    <w:rsid w:val="008D043F"/>
    <w:rsid w:val="008D06DC"/>
    <w:rsid w:val="008D1B31"/>
    <w:rsid w:val="008D394A"/>
    <w:rsid w:val="008D5A8A"/>
    <w:rsid w:val="008D5F44"/>
    <w:rsid w:val="008E13E5"/>
    <w:rsid w:val="008F4E47"/>
    <w:rsid w:val="00906B49"/>
    <w:rsid w:val="00912C06"/>
    <w:rsid w:val="009169CE"/>
    <w:rsid w:val="00917BF9"/>
    <w:rsid w:val="00921223"/>
    <w:rsid w:val="00932F95"/>
    <w:rsid w:val="0094047C"/>
    <w:rsid w:val="0094077B"/>
    <w:rsid w:val="00940E3A"/>
    <w:rsid w:val="0094492F"/>
    <w:rsid w:val="009461E0"/>
    <w:rsid w:val="00947629"/>
    <w:rsid w:val="00963CD7"/>
    <w:rsid w:val="00977A27"/>
    <w:rsid w:val="0098330F"/>
    <w:rsid w:val="00987187"/>
    <w:rsid w:val="00992173"/>
    <w:rsid w:val="00994324"/>
    <w:rsid w:val="0099799A"/>
    <w:rsid w:val="009A05DA"/>
    <w:rsid w:val="009A2A78"/>
    <w:rsid w:val="009A2AC4"/>
    <w:rsid w:val="009A3157"/>
    <w:rsid w:val="009B1989"/>
    <w:rsid w:val="009B3B48"/>
    <w:rsid w:val="009B4C59"/>
    <w:rsid w:val="009B5478"/>
    <w:rsid w:val="009C2BA9"/>
    <w:rsid w:val="009C4998"/>
    <w:rsid w:val="009C6825"/>
    <w:rsid w:val="009C685A"/>
    <w:rsid w:val="009D26C8"/>
    <w:rsid w:val="009E09DB"/>
    <w:rsid w:val="009E0F74"/>
    <w:rsid w:val="009F165B"/>
    <w:rsid w:val="009F6BF2"/>
    <w:rsid w:val="00A01986"/>
    <w:rsid w:val="00A13E6C"/>
    <w:rsid w:val="00A25258"/>
    <w:rsid w:val="00A27742"/>
    <w:rsid w:val="00A30DB0"/>
    <w:rsid w:val="00A31911"/>
    <w:rsid w:val="00A345B0"/>
    <w:rsid w:val="00A35CB5"/>
    <w:rsid w:val="00A368D9"/>
    <w:rsid w:val="00A432B5"/>
    <w:rsid w:val="00A45892"/>
    <w:rsid w:val="00A45F14"/>
    <w:rsid w:val="00A53622"/>
    <w:rsid w:val="00A573C2"/>
    <w:rsid w:val="00A615BC"/>
    <w:rsid w:val="00A66C31"/>
    <w:rsid w:val="00A67474"/>
    <w:rsid w:val="00A713A3"/>
    <w:rsid w:val="00A7591F"/>
    <w:rsid w:val="00A772B8"/>
    <w:rsid w:val="00A86218"/>
    <w:rsid w:val="00A909B5"/>
    <w:rsid w:val="00A91910"/>
    <w:rsid w:val="00A91EF6"/>
    <w:rsid w:val="00AA4583"/>
    <w:rsid w:val="00AA4CF1"/>
    <w:rsid w:val="00AB0B32"/>
    <w:rsid w:val="00AB3438"/>
    <w:rsid w:val="00AB3C48"/>
    <w:rsid w:val="00AB439C"/>
    <w:rsid w:val="00AC0FD7"/>
    <w:rsid w:val="00AC58C1"/>
    <w:rsid w:val="00AC755E"/>
    <w:rsid w:val="00AC78B9"/>
    <w:rsid w:val="00AE17B4"/>
    <w:rsid w:val="00AE3956"/>
    <w:rsid w:val="00AE6781"/>
    <w:rsid w:val="00AE7D3D"/>
    <w:rsid w:val="00AF576E"/>
    <w:rsid w:val="00B07CFA"/>
    <w:rsid w:val="00B16CE9"/>
    <w:rsid w:val="00B24E0C"/>
    <w:rsid w:val="00B26A83"/>
    <w:rsid w:val="00B334B9"/>
    <w:rsid w:val="00B3411F"/>
    <w:rsid w:val="00B34DB3"/>
    <w:rsid w:val="00B36E50"/>
    <w:rsid w:val="00B5143D"/>
    <w:rsid w:val="00B52874"/>
    <w:rsid w:val="00B5387F"/>
    <w:rsid w:val="00B56332"/>
    <w:rsid w:val="00B648AE"/>
    <w:rsid w:val="00B67BFB"/>
    <w:rsid w:val="00B74BF2"/>
    <w:rsid w:val="00B8704A"/>
    <w:rsid w:val="00B9254B"/>
    <w:rsid w:val="00B9568D"/>
    <w:rsid w:val="00BA0CDB"/>
    <w:rsid w:val="00BB288E"/>
    <w:rsid w:val="00BB4016"/>
    <w:rsid w:val="00BC0CE8"/>
    <w:rsid w:val="00BC1F88"/>
    <w:rsid w:val="00BC2623"/>
    <w:rsid w:val="00BD15CF"/>
    <w:rsid w:val="00BD6C7B"/>
    <w:rsid w:val="00BE087E"/>
    <w:rsid w:val="00BE5F8A"/>
    <w:rsid w:val="00C005FA"/>
    <w:rsid w:val="00C02ADC"/>
    <w:rsid w:val="00C06F21"/>
    <w:rsid w:val="00C10DEA"/>
    <w:rsid w:val="00C134B6"/>
    <w:rsid w:val="00C153C0"/>
    <w:rsid w:val="00C21C93"/>
    <w:rsid w:val="00C21D23"/>
    <w:rsid w:val="00C30771"/>
    <w:rsid w:val="00C33F4C"/>
    <w:rsid w:val="00C41F97"/>
    <w:rsid w:val="00C427AB"/>
    <w:rsid w:val="00C43EA0"/>
    <w:rsid w:val="00C44130"/>
    <w:rsid w:val="00C44CF9"/>
    <w:rsid w:val="00C46AF6"/>
    <w:rsid w:val="00C57229"/>
    <w:rsid w:val="00C6035D"/>
    <w:rsid w:val="00C66D20"/>
    <w:rsid w:val="00C67BFA"/>
    <w:rsid w:val="00C70B7C"/>
    <w:rsid w:val="00C72443"/>
    <w:rsid w:val="00C74E5A"/>
    <w:rsid w:val="00C77B42"/>
    <w:rsid w:val="00C840D5"/>
    <w:rsid w:val="00C851DE"/>
    <w:rsid w:val="00C86DBF"/>
    <w:rsid w:val="00C94BC2"/>
    <w:rsid w:val="00C95BD2"/>
    <w:rsid w:val="00C960A3"/>
    <w:rsid w:val="00CA211B"/>
    <w:rsid w:val="00CB163C"/>
    <w:rsid w:val="00CC063B"/>
    <w:rsid w:val="00CC39C0"/>
    <w:rsid w:val="00CC5600"/>
    <w:rsid w:val="00CD46EE"/>
    <w:rsid w:val="00CD6874"/>
    <w:rsid w:val="00CE2764"/>
    <w:rsid w:val="00CE3FE1"/>
    <w:rsid w:val="00CE4C1E"/>
    <w:rsid w:val="00CF59C2"/>
    <w:rsid w:val="00D02DB3"/>
    <w:rsid w:val="00D07845"/>
    <w:rsid w:val="00D10DFD"/>
    <w:rsid w:val="00D14EC1"/>
    <w:rsid w:val="00D20B18"/>
    <w:rsid w:val="00D438C1"/>
    <w:rsid w:val="00D45860"/>
    <w:rsid w:val="00D47F7D"/>
    <w:rsid w:val="00D53DEA"/>
    <w:rsid w:val="00D540CE"/>
    <w:rsid w:val="00D65C3F"/>
    <w:rsid w:val="00D65C48"/>
    <w:rsid w:val="00D805F2"/>
    <w:rsid w:val="00D8542B"/>
    <w:rsid w:val="00D91ACF"/>
    <w:rsid w:val="00D922B5"/>
    <w:rsid w:val="00D964F3"/>
    <w:rsid w:val="00DA1139"/>
    <w:rsid w:val="00DA76DE"/>
    <w:rsid w:val="00DA7DFB"/>
    <w:rsid w:val="00DB7F4C"/>
    <w:rsid w:val="00DC0A88"/>
    <w:rsid w:val="00DC4099"/>
    <w:rsid w:val="00DC5A03"/>
    <w:rsid w:val="00DD1D6B"/>
    <w:rsid w:val="00DD3714"/>
    <w:rsid w:val="00DD4289"/>
    <w:rsid w:val="00DE3554"/>
    <w:rsid w:val="00DE6212"/>
    <w:rsid w:val="00DF09CE"/>
    <w:rsid w:val="00DF1651"/>
    <w:rsid w:val="00DF1780"/>
    <w:rsid w:val="00E0011C"/>
    <w:rsid w:val="00E204A2"/>
    <w:rsid w:val="00E229D2"/>
    <w:rsid w:val="00E23DD5"/>
    <w:rsid w:val="00E41460"/>
    <w:rsid w:val="00E44804"/>
    <w:rsid w:val="00E45D50"/>
    <w:rsid w:val="00E553E6"/>
    <w:rsid w:val="00E7014B"/>
    <w:rsid w:val="00E7783D"/>
    <w:rsid w:val="00E82A30"/>
    <w:rsid w:val="00E840E8"/>
    <w:rsid w:val="00E85369"/>
    <w:rsid w:val="00E85907"/>
    <w:rsid w:val="00EA796B"/>
    <w:rsid w:val="00EB21D4"/>
    <w:rsid w:val="00EB3190"/>
    <w:rsid w:val="00EB5187"/>
    <w:rsid w:val="00EC7380"/>
    <w:rsid w:val="00ED03CF"/>
    <w:rsid w:val="00ED62F7"/>
    <w:rsid w:val="00ED6371"/>
    <w:rsid w:val="00F01A22"/>
    <w:rsid w:val="00F1046E"/>
    <w:rsid w:val="00F10A6E"/>
    <w:rsid w:val="00F16DB0"/>
    <w:rsid w:val="00F23DCB"/>
    <w:rsid w:val="00F245EA"/>
    <w:rsid w:val="00F34721"/>
    <w:rsid w:val="00F36D9C"/>
    <w:rsid w:val="00F429C2"/>
    <w:rsid w:val="00F441F5"/>
    <w:rsid w:val="00F47972"/>
    <w:rsid w:val="00F51995"/>
    <w:rsid w:val="00F546D2"/>
    <w:rsid w:val="00F65115"/>
    <w:rsid w:val="00F664CB"/>
    <w:rsid w:val="00F7344B"/>
    <w:rsid w:val="00F742C4"/>
    <w:rsid w:val="00F74553"/>
    <w:rsid w:val="00F853F5"/>
    <w:rsid w:val="00F86DBB"/>
    <w:rsid w:val="00FA752C"/>
    <w:rsid w:val="00FC0CA8"/>
    <w:rsid w:val="00FC4157"/>
    <w:rsid w:val="00FE1FBF"/>
    <w:rsid w:val="00FF0A76"/>
    <w:rsid w:val="00FF1FA8"/>
    <w:rsid w:val="00FF2776"/>
    <w:rsid w:val="00FF347C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7E90338F-E167-49E8-ADAE-50735CD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jackiema</dc:creator>
  <cp:lastModifiedBy>Jackie MacKenzie (HLH Corporate Services)</cp:lastModifiedBy>
  <cp:revision>43</cp:revision>
  <cp:lastPrinted>2022-02-17T11:50:00Z</cp:lastPrinted>
  <dcterms:created xsi:type="dcterms:W3CDTF">2020-12-16T13:20:00Z</dcterms:created>
  <dcterms:modified xsi:type="dcterms:W3CDTF">2022-03-15T14:52:00Z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