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B84929" w:rsidRPr="0089449E" w14:paraId="5CE8DE47" w14:textId="77777777" w:rsidTr="00B76551">
        <w:trPr>
          <w:cantSplit/>
          <w:trHeight w:val="993"/>
        </w:trPr>
        <w:tc>
          <w:tcPr>
            <w:tcW w:w="6204" w:type="dxa"/>
          </w:tcPr>
          <w:p w14:paraId="117D4F57" w14:textId="77777777"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LIFE HIGHLAND </w:t>
            </w:r>
          </w:p>
          <w:p w14:paraId="0F596DC3" w14:textId="77777777"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14:paraId="74D48B4F" w14:textId="1ABB61EB" w:rsidR="002B7DC4" w:rsidRPr="0089449E" w:rsidRDefault="00CA0D9E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31 </w:t>
            </w:r>
            <w:r w:rsidR="00A441C3">
              <w:rPr>
                <w:rFonts w:ascii="Arial" w:hAnsi="Arial" w:cs="Arial"/>
                <w:szCs w:val="24"/>
              </w:rPr>
              <w:t>March 20</w:t>
            </w:r>
            <w:r w:rsidR="00465FA2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2</w:t>
            </w:r>
          </w:p>
          <w:p w14:paraId="18F13BC1" w14:textId="77777777"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798E1DDF" w14:textId="77777777" w:rsidR="00C17981" w:rsidRDefault="00B0145D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AGENDA ITEM</w:t>
            </w:r>
            <w:r w:rsidR="00A06FFD">
              <w:rPr>
                <w:rFonts w:ascii="Arial" w:hAnsi="Arial" w:cs="Arial"/>
                <w:szCs w:val="24"/>
              </w:rPr>
              <w:t xml:space="preserve"> </w:t>
            </w:r>
            <w:r w:rsidR="00A84EFA">
              <w:rPr>
                <w:rFonts w:ascii="Arial" w:hAnsi="Arial" w:cs="Arial"/>
                <w:szCs w:val="24"/>
              </w:rPr>
              <w:t xml:space="preserve"> </w:t>
            </w:r>
          </w:p>
          <w:p w14:paraId="5C1CEE25" w14:textId="4476DAA2" w:rsidR="00B84929" w:rsidRPr="0089449E" w:rsidRDefault="00B84929" w:rsidP="00F94420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>HLH</w:t>
            </w:r>
            <w:r w:rsidR="00954DAA">
              <w:rPr>
                <w:rFonts w:ascii="Arial" w:hAnsi="Arial" w:cs="Arial"/>
                <w:szCs w:val="24"/>
              </w:rPr>
              <w:t xml:space="preserve">/ </w:t>
            </w:r>
            <w:r w:rsidR="0087484E">
              <w:rPr>
                <w:rFonts w:ascii="Arial" w:hAnsi="Arial" w:cs="Arial"/>
                <w:szCs w:val="24"/>
              </w:rPr>
              <w:t xml:space="preserve"> </w:t>
            </w:r>
            <w:r w:rsidR="00F94420">
              <w:rPr>
                <w:rFonts w:ascii="Arial" w:hAnsi="Arial" w:cs="Arial"/>
                <w:szCs w:val="24"/>
              </w:rPr>
              <w:t xml:space="preserve"> </w:t>
            </w:r>
            <w:r w:rsidR="001D5EE7">
              <w:rPr>
                <w:rFonts w:ascii="Arial" w:hAnsi="Arial" w:cs="Arial"/>
                <w:szCs w:val="24"/>
              </w:rPr>
              <w:t>/</w:t>
            </w:r>
            <w:r w:rsidR="00465FA2">
              <w:rPr>
                <w:rFonts w:ascii="Arial" w:hAnsi="Arial" w:cs="Arial"/>
                <w:szCs w:val="24"/>
              </w:rPr>
              <w:t>2</w:t>
            </w:r>
            <w:r w:rsidR="00487390">
              <w:rPr>
                <w:rFonts w:ascii="Arial" w:hAnsi="Arial" w:cs="Arial"/>
                <w:szCs w:val="24"/>
              </w:rPr>
              <w:t>2</w:t>
            </w:r>
          </w:p>
        </w:tc>
      </w:tr>
    </w:tbl>
    <w:p w14:paraId="6CA425A7" w14:textId="7C75445D" w:rsidR="0039450A" w:rsidRPr="0089449E" w:rsidRDefault="00A95621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202</w:t>
      </w:r>
      <w:r w:rsidR="00CA0D9E">
        <w:rPr>
          <w:rFonts w:ascii="Arial" w:hAnsi="Arial" w:cs="Arial"/>
          <w:b/>
          <w:szCs w:val="24"/>
          <w:u w:val="none"/>
        </w:rPr>
        <w:t>2</w:t>
      </w:r>
      <w:r>
        <w:rPr>
          <w:rFonts w:ascii="Arial" w:hAnsi="Arial" w:cs="Arial"/>
          <w:b/>
          <w:szCs w:val="24"/>
          <w:u w:val="none"/>
        </w:rPr>
        <w:t>/2</w:t>
      </w:r>
      <w:r w:rsidR="00CA0D9E">
        <w:rPr>
          <w:rFonts w:ascii="Arial" w:hAnsi="Arial" w:cs="Arial"/>
          <w:b/>
          <w:szCs w:val="24"/>
          <w:u w:val="none"/>
        </w:rPr>
        <w:t>3</w:t>
      </w:r>
      <w:r w:rsidR="00F149C2">
        <w:rPr>
          <w:rFonts w:ascii="Arial" w:hAnsi="Arial" w:cs="Arial"/>
          <w:b/>
          <w:szCs w:val="24"/>
          <w:u w:val="none"/>
        </w:rPr>
        <w:t xml:space="preserve"> BUDGET APPROVAL</w:t>
      </w:r>
      <w:r w:rsidR="0067745D"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14:paraId="70456C07" w14:textId="77777777"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 w14:paraId="5A9139F6" w14:textId="77777777">
        <w:trPr>
          <w:cantSplit/>
        </w:trPr>
        <w:tc>
          <w:tcPr>
            <w:tcW w:w="9464" w:type="dxa"/>
          </w:tcPr>
          <w:p w14:paraId="324E4C31" w14:textId="77777777" w:rsidR="0039450A" w:rsidRPr="0089449E" w:rsidRDefault="002B7DC4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14:paraId="00CDD330" w14:textId="77777777"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14:paraId="732B94AD" w14:textId="50ACEA17" w:rsidR="00351AA2" w:rsidRDefault="00351AA2" w:rsidP="004A4C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provides Directors with a summary </w:t>
            </w:r>
            <w:r w:rsidR="00F94420">
              <w:rPr>
                <w:rFonts w:ascii="Arial" w:hAnsi="Arial" w:cs="Arial"/>
              </w:rPr>
              <w:t xml:space="preserve">of the operating budget for </w:t>
            </w:r>
            <w:r w:rsidR="00A95621">
              <w:rPr>
                <w:rFonts w:ascii="Arial" w:hAnsi="Arial" w:cs="Arial"/>
              </w:rPr>
              <w:t>202</w:t>
            </w:r>
            <w:r w:rsidR="00CA0D9E">
              <w:rPr>
                <w:rFonts w:ascii="Arial" w:hAnsi="Arial" w:cs="Arial"/>
              </w:rPr>
              <w:t>2</w:t>
            </w:r>
            <w:r w:rsidR="00A95621">
              <w:rPr>
                <w:rFonts w:ascii="Arial" w:hAnsi="Arial" w:cs="Arial"/>
              </w:rPr>
              <w:t>/2</w:t>
            </w:r>
            <w:r w:rsidR="00CA0D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 together with details of planned savings measures</w:t>
            </w:r>
            <w:r w:rsidR="006E2A4E">
              <w:rPr>
                <w:rFonts w:ascii="Arial" w:hAnsi="Arial" w:cs="Arial"/>
              </w:rPr>
              <w:t xml:space="preserve"> and pric</w:t>
            </w:r>
            <w:r w:rsidR="00063BC5">
              <w:rPr>
                <w:rFonts w:ascii="Arial" w:hAnsi="Arial" w:cs="Arial"/>
              </w:rPr>
              <w:t>e increases</w:t>
            </w:r>
            <w:r>
              <w:rPr>
                <w:rFonts w:ascii="Arial" w:hAnsi="Arial" w:cs="Arial"/>
              </w:rPr>
              <w:t>.</w:t>
            </w:r>
          </w:p>
          <w:p w14:paraId="69F3B28C" w14:textId="77777777" w:rsidR="00351AA2" w:rsidRDefault="00351AA2" w:rsidP="004A4C8C">
            <w:pPr>
              <w:ind w:left="780" w:hanging="283"/>
              <w:jc w:val="both"/>
              <w:rPr>
                <w:rFonts w:ascii="Arial" w:hAnsi="Arial" w:cs="Arial"/>
              </w:rPr>
            </w:pPr>
          </w:p>
          <w:p w14:paraId="15741F9B" w14:textId="158B462A" w:rsidR="005C3C7A" w:rsidRDefault="009042C4" w:rsidP="004A4C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</w:t>
            </w:r>
            <w:r w:rsidR="005C3C7A">
              <w:rPr>
                <w:rFonts w:ascii="Arial" w:hAnsi="Arial" w:cs="Arial"/>
              </w:rPr>
              <w:t>:</w:t>
            </w:r>
          </w:p>
          <w:p w14:paraId="4D9480E1" w14:textId="77777777" w:rsidR="005C3C7A" w:rsidRDefault="005C3C7A" w:rsidP="004A4C8C">
            <w:pPr>
              <w:jc w:val="both"/>
              <w:rPr>
                <w:rFonts w:ascii="Arial" w:hAnsi="Arial" w:cs="Arial"/>
              </w:rPr>
            </w:pPr>
          </w:p>
          <w:p w14:paraId="0838590C" w14:textId="103AFDAD" w:rsidR="006136F6" w:rsidRPr="00954DAA" w:rsidRDefault="006136F6" w:rsidP="006136F6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4DAA">
              <w:rPr>
                <w:rFonts w:ascii="Arial" w:hAnsi="Arial" w:cs="Arial"/>
                <w:sz w:val="24"/>
                <w:szCs w:val="24"/>
              </w:rPr>
              <w:t>approve the operating budget for 202</w:t>
            </w:r>
            <w:r w:rsidR="00CA0D9E">
              <w:rPr>
                <w:rFonts w:ascii="Arial" w:hAnsi="Arial" w:cs="Arial"/>
                <w:sz w:val="24"/>
                <w:szCs w:val="24"/>
              </w:rPr>
              <w:t>2</w:t>
            </w:r>
            <w:r w:rsidRPr="00954DAA">
              <w:rPr>
                <w:rFonts w:ascii="Arial" w:hAnsi="Arial" w:cs="Arial"/>
                <w:sz w:val="24"/>
                <w:szCs w:val="24"/>
              </w:rPr>
              <w:t>/2</w:t>
            </w:r>
            <w:r w:rsidR="00CA0D9E">
              <w:rPr>
                <w:rFonts w:ascii="Arial" w:hAnsi="Arial" w:cs="Arial"/>
                <w:sz w:val="24"/>
                <w:szCs w:val="24"/>
              </w:rPr>
              <w:t>3</w:t>
            </w:r>
            <w:r w:rsidRPr="00954DAA">
              <w:rPr>
                <w:rFonts w:ascii="Arial" w:hAnsi="Arial" w:cs="Arial"/>
                <w:sz w:val="24"/>
                <w:szCs w:val="24"/>
              </w:rPr>
              <w:t xml:space="preserve"> as summarised in </w:t>
            </w:r>
            <w:r w:rsidRPr="00954DAA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Pr="00954DA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6A8476" w14:textId="5FE49E17" w:rsidR="00D67C23" w:rsidRPr="00487390" w:rsidRDefault="006136F6" w:rsidP="00487390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3091">
              <w:rPr>
                <w:rFonts w:ascii="Arial" w:hAnsi="Arial" w:cs="Arial"/>
                <w:sz w:val="24"/>
                <w:szCs w:val="24"/>
              </w:rPr>
              <w:t>note the</w:t>
            </w:r>
            <w:r w:rsidR="00FB3418" w:rsidRPr="00BB3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FC7" w:rsidRPr="00BB3091">
              <w:rPr>
                <w:rFonts w:ascii="Arial" w:hAnsi="Arial" w:cs="Arial"/>
                <w:sz w:val="24"/>
                <w:szCs w:val="24"/>
              </w:rPr>
              <w:t xml:space="preserve">net pressure </w:t>
            </w:r>
            <w:r w:rsidR="00BB3091" w:rsidRPr="00BB3091">
              <w:rPr>
                <w:rFonts w:ascii="Arial" w:hAnsi="Arial" w:cs="Arial"/>
                <w:sz w:val="24"/>
                <w:szCs w:val="24"/>
              </w:rPr>
              <w:t xml:space="preserve">£1.575m </w:t>
            </w:r>
            <w:r w:rsidR="00815D68" w:rsidRPr="00BB3091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BB3091">
              <w:rPr>
                <w:rFonts w:ascii="Arial" w:hAnsi="Arial" w:cs="Arial"/>
                <w:sz w:val="24"/>
                <w:szCs w:val="24"/>
              </w:rPr>
              <w:t xml:space="preserve">The Highland Council’s </w:t>
            </w:r>
            <w:r w:rsidR="00FB3418" w:rsidRPr="00BB3091">
              <w:rPr>
                <w:rFonts w:ascii="Arial" w:hAnsi="Arial" w:cs="Arial"/>
                <w:sz w:val="24"/>
                <w:szCs w:val="24"/>
              </w:rPr>
              <w:t>creation of a £1</w:t>
            </w:r>
            <w:r w:rsidR="0039744A">
              <w:rPr>
                <w:rFonts w:ascii="Arial" w:hAnsi="Arial" w:cs="Arial"/>
                <w:sz w:val="24"/>
                <w:szCs w:val="24"/>
              </w:rPr>
              <w:t>m</w:t>
            </w:r>
            <w:r w:rsidR="00FB3418" w:rsidRPr="00BB3091">
              <w:rPr>
                <w:rFonts w:ascii="Arial" w:hAnsi="Arial" w:cs="Arial"/>
                <w:sz w:val="24"/>
                <w:szCs w:val="24"/>
              </w:rPr>
              <w:t xml:space="preserve"> earmarked reserve to provide additional financial</w:t>
            </w:r>
            <w:r w:rsidR="00314617" w:rsidRPr="00BB3091">
              <w:rPr>
                <w:rFonts w:ascii="Arial" w:hAnsi="Arial" w:cs="Arial"/>
                <w:sz w:val="24"/>
                <w:szCs w:val="24"/>
              </w:rPr>
              <w:t xml:space="preserve"> support</w:t>
            </w:r>
            <w:r w:rsidR="00FB3418" w:rsidRPr="00BB3091">
              <w:rPr>
                <w:rFonts w:ascii="Arial" w:hAnsi="Arial" w:cs="Arial"/>
                <w:sz w:val="24"/>
                <w:szCs w:val="24"/>
              </w:rPr>
              <w:t xml:space="preserve"> in 2022/23</w:t>
            </w:r>
            <w:r w:rsidR="00BB3091">
              <w:rPr>
                <w:rFonts w:ascii="Arial" w:hAnsi="Arial" w:cs="Arial"/>
                <w:sz w:val="24"/>
                <w:szCs w:val="24"/>
              </w:rPr>
              <w:t xml:space="preserve"> in addition to the planned utilisation of HLH unrestricted </w:t>
            </w:r>
            <w:proofErr w:type="gramStart"/>
            <w:r w:rsidR="00BB3091">
              <w:rPr>
                <w:rFonts w:ascii="Arial" w:hAnsi="Arial" w:cs="Arial"/>
                <w:sz w:val="24"/>
                <w:szCs w:val="24"/>
              </w:rPr>
              <w:t>reserves</w:t>
            </w:r>
            <w:r w:rsidRPr="00BB3091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proofErr w:type="gramEnd"/>
          </w:p>
          <w:p w14:paraId="74BCDD00" w14:textId="0701DA39" w:rsidR="006136F6" w:rsidRPr="00BB3091" w:rsidRDefault="00D67C23" w:rsidP="00487390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agree to the mitigations and efficiencies of £1.374m at </w:t>
            </w:r>
            <w:r w:rsidRPr="00CC69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Appendix B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="00FB3418" w:rsidRPr="00BB3091">
              <w:rPr>
                <w:rFonts w:ascii="Arial" w:eastAsia="Times New Roman" w:hAnsi="Arial" w:cs="Arial"/>
                <w:sz w:val="24"/>
                <w:szCs w:val="24"/>
              </w:rPr>
              <w:t xml:space="preserve"> and</w:t>
            </w:r>
            <w:r w:rsidR="006136F6" w:rsidRPr="00BB30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D1FAD9" w14:textId="093B61CD" w:rsidR="00351AA2" w:rsidRPr="009042C4" w:rsidRDefault="006136F6" w:rsidP="00FB3418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" w:hAnsi="Arial" w:cs="Arial"/>
                <w:szCs w:val="24"/>
              </w:rPr>
            </w:pPr>
            <w:r w:rsidRPr="00FB3418">
              <w:rPr>
                <w:rFonts w:ascii="Arial" w:hAnsi="Arial" w:cs="Arial"/>
                <w:sz w:val="24"/>
                <w:szCs w:val="24"/>
              </w:rPr>
              <w:t>agree to</w:t>
            </w:r>
            <w:r w:rsidR="00715529" w:rsidRPr="00FB3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41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15529" w:rsidRPr="00FB3418">
              <w:rPr>
                <w:rFonts w:ascii="Arial" w:hAnsi="Arial" w:cs="Arial"/>
                <w:sz w:val="24"/>
                <w:szCs w:val="24"/>
              </w:rPr>
              <w:t xml:space="preserve">recommended </w:t>
            </w:r>
            <w:r w:rsidRPr="00FB3418">
              <w:rPr>
                <w:rFonts w:ascii="Arial" w:hAnsi="Arial" w:cs="Arial"/>
                <w:sz w:val="24"/>
                <w:szCs w:val="24"/>
              </w:rPr>
              <w:t>price increases</w:t>
            </w:r>
            <w:r w:rsidR="00FB3418" w:rsidRPr="00FB3418">
              <w:rPr>
                <w:rFonts w:ascii="Arial" w:hAnsi="Arial" w:cs="Arial"/>
                <w:sz w:val="24"/>
                <w:szCs w:val="24"/>
              </w:rPr>
              <w:t xml:space="preserve"> in Section </w:t>
            </w:r>
            <w:r w:rsidR="00BB3091">
              <w:rPr>
                <w:rFonts w:ascii="Arial" w:hAnsi="Arial" w:cs="Arial"/>
                <w:sz w:val="24"/>
                <w:szCs w:val="24"/>
              </w:rPr>
              <w:t>4</w:t>
            </w:r>
            <w:r w:rsidR="00FB3418" w:rsidRPr="00FB3418">
              <w:rPr>
                <w:rFonts w:ascii="Arial" w:hAnsi="Arial" w:cs="Arial"/>
                <w:sz w:val="24"/>
                <w:szCs w:val="24"/>
              </w:rPr>
              <w:t xml:space="preserve"> of the report.</w:t>
            </w:r>
          </w:p>
        </w:tc>
      </w:tr>
    </w:tbl>
    <w:p w14:paraId="1069781F" w14:textId="77777777"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817"/>
        <w:gridCol w:w="8397"/>
      </w:tblGrid>
      <w:tr w:rsidR="00A53534" w:rsidRPr="0089449E" w14:paraId="27F4BCA4" w14:textId="77777777" w:rsidTr="00C34952">
        <w:tc>
          <w:tcPr>
            <w:tcW w:w="817" w:type="dxa"/>
          </w:tcPr>
          <w:p w14:paraId="39320A5D" w14:textId="77777777"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397" w:type="dxa"/>
          </w:tcPr>
          <w:p w14:paraId="4FC4681A" w14:textId="77777777"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14:paraId="3CDA90E0" w14:textId="77777777"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 w14:paraId="1A2D1C4B" w14:textId="77777777" w:rsidTr="00C34952">
        <w:tc>
          <w:tcPr>
            <w:tcW w:w="817" w:type="dxa"/>
          </w:tcPr>
          <w:p w14:paraId="72F59C31" w14:textId="77777777"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397" w:type="dxa"/>
          </w:tcPr>
          <w:p w14:paraId="537601FB" w14:textId="155ECABD"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  <w:r w:rsidRPr="00B0145D">
              <w:rPr>
                <w:rFonts w:ascii="Arial" w:hAnsi="Arial" w:cs="Arial"/>
              </w:rPr>
              <w:t xml:space="preserve">This report supports </w:t>
            </w:r>
            <w:r w:rsidR="00883ECA">
              <w:rPr>
                <w:rFonts w:ascii="Arial" w:hAnsi="Arial" w:cs="Arial"/>
              </w:rPr>
              <w:t xml:space="preserve">all </w:t>
            </w:r>
            <w:r w:rsidRPr="00B0145D">
              <w:rPr>
                <w:rFonts w:ascii="Arial" w:hAnsi="Arial" w:cs="Arial"/>
              </w:rPr>
              <w:t>the Business Outcome</w:t>
            </w:r>
            <w:r w:rsidR="00883ECA">
              <w:rPr>
                <w:rFonts w:ascii="Arial" w:hAnsi="Arial" w:cs="Arial"/>
              </w:rPr>
              <w:t>s</w:t>
            </w:r>
            <w:r w:rsidRPr="00B0145D">
              <w:rPr>
                <w:rFonts w:ascii="Arial" w:hAnsi="Arial" w:cs="Arial"/>
              </w:rPr>
              <w:t xml:space="preserve"> from the High Life Highland (HLH) Business Plan:</w:t>
            </w:r>
          </w:p>
          <w:p w14:paraId="7136CF86" w14:textId="77777777"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</w:p>
          <w:p w14:paraId="7E2229CE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Seek to continuously improve standards of health and safety.</w:t>
            </w:r>
          </w:p>
          <w:p w14:paraId="7FAAB4AD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Commit to the Scottish Government’s zero carbon targets and maintain the highest standards in environmental compliance.</w:t>
            </w:r>
          </w:p>
          <w:p w14:paraId="52E23FF7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Use research and market analysis to develop and improve services to meet customer needs.</w:t>
            </w:r>
          </w:p>
          <w:p w14:paraId="4CBCCEF5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Increase employee satisfaction, </w:t>
            </w:r>
            <w:proofErr w:type="gramStart"/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engagement</w:t>
            </w:r>
            <w:proofErr w:type="gramEnd"/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development to improve staff recruitment and retention.</w:t>
            </w:r>
          </w:p>
          <w:p w14:paraId="025C59E2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Improve the financial sustainability of the company.</w:t>
            </w:r>
          </w:p>
          <w:p w14:paraId="2BF0F484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Value and strengthen the relationship with THC.</w:t>
            </w:r>
          </w:p>
          <w:p w14:paraId="55E13562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Develop and deliver the HLH Corporate Programme and seek to attract capital investment.</w:t>
            </w:r>
          </w:p>
          <w:p w14:paraId="3BC9E1BE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Use research and market analysis to develop and deliver proactive marketing and promotion of HLH and its services.</w:t>
            </w:r>
          </w:p>
          <w:p w14:paraId="4AE61A80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Initiate and implement an ICT digital transformation strategy across the charity.</w:t>
            </w:r>
          </w:p>
          <w:p w14:paraId="78939097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 and strengthen relationships with customers, key </w:t>
            </w:r>
            <w:proofErr w:type="gramStart"/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stakeholders</w:t>
            </w:r>
            <w:proofErr w:type="gramEnd"/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partners.</w:t>
            </w:r>
          </w:p>
          <w:p w14:paraId="501EE6DE" w14:textId="77777777" w:rsidR="00883ECA" w:rsidRPr="00883ECA" w:rsidRDefault="00883ECA" w:rsidP="00883E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sz w:val="24"/>
                <w:szCs w:val="24"/>
              </w:rPr>
              <w:t>Deliver targeted programmes which support and enhance the physical and mental health and wellbeing of the population and which contribute to the prevention agenda.</w:t>
            </w:r>
          </w:p>
          <w:p w14:paraId="647C9355" w14:textId="77777777" w:rsidR="00C51930" w:rsidRPr="00AD4737" w:rsidRDefault="00C51930" w:rsidP="00883ECA">
            <w:pPr>
              <w:ind w:left="819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53534" w:rsidRPr="0089449E" w14:paraId="7C7BB877" w14:textId="77777777" w:rsidTr="00C34952">
        <w:tc>
          <w:tcPr>
            <w:tcW w:w="817" w:type="dxa"/>
          </w:tcPr>
          <w:p w14:paraId="4FA318C0" w14:textId="77777777"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397" w:type="dxa"/>
          </w:tcPr>
          <w:p w14:paraId="3EF95DBC" w14:textId="77777777"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14:paraId="7F8DC2EB" w14:textId="77777777"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 w14:paraId="0841E57D" w14:textId="77777777" w:rsidTr="00C34952">
        <w:tc>
          <w:tcPr>
            <w:tcW w:w="817" w:type="dxa"/>
          </w:tcPr>
          <w:p w14:paraId="31609A41" w14:textId="77777777" w:rsidR="004A13CB" w:rsidRPr="00950E0C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950E0C">
              <w:rPr>
                <w:rFonts w:ascii="Arial" w:hAnsi="Arial" w:cs="Arial"/>
                <w:szCs w:val="24"/>
              </w:rPr>
              <w:t>2.1</w:t>
            </w:r>
          </w:p>
          <w:p w14:paraId="620A6E2D" w14:textId="77777777" w:rsidR="001D5B3C" w:rsidRPr="00950E0C" w:rsidRDefault="001D5B3C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14:paraId="4531A7E3" w14:textId="77777777" w:rsidR="001D5B3C" w:rsidRPr="00950E0C" w:rsidRDefault="001D5B3C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14:paraId="1D028CC1" w14:textId="77777777" w:rsidR="001D5B3C" w:rsidRPr="00950E0C" w:rsidRDefault="001D5B3C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950E0C">
              <w:rPr>
                <w:rFonts w:ascii="Arial" w:hAnsi="Arial" w:cs="Arial"/>
                <w:szCs w:val="24"/>
              </w:rPr>
              <w:t>2.2</w:t>
            </w:r>
          </w:p>
          <w:p w14:paraId="05DE8110" w14:textId="77777777" w:rsidR="00BA7FC1" w:rsidRPr="00950E0C" w:rsidRDefault="00BA7FC1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14:paraId="264B7C5A" w14:textId="3CF11634" w:rsidR="00BA7FC1" w:rsidRPr="00950E0C" w:rsidRDefault="00BA7FC1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950E0C">
              <w:rPr>
                <w:rFonts w:ascii="Arial" w:hAnsi="Arial" w:cs="Arial"/>
                <w:szCs w:val="24"/>
              </w:rPr>
              <w:lastRenderedPageBreak/>
              <w:t>2.3</w:t>
            </w:r>
          </w:p>
          <w:p w14:paraId="2512DCFA" w14:textId="5FB42B80" w:rsidR="007F5482" w:rsidRPr="00950E0C" w:rsidRDefault="007F5482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14:paraId="1DF5AEAF" w14:textId="753B399A" w:rsidR="007F5482" w:rsidRPr="00950E0C" w:rsidRDefault="007F5482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14:paraId="342B3FD5" w14:textId="7A3CAB23" w:rsidR="007F5482" w:rsidRPr="00950E0C" w:rsidRDefault="007F5482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14:paraId="21B835B0" w14:textId="77777777" w:rsidR="00487390" w:rsidRDefault="00487390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38EE5FEA" w14:textId="1EAE59D0" w:rsidR="00950E0C" w:rsidRPr="00950E0C" w:rsidRDefault="00815D68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950E0C" w:rsidRPr="00950E0C">
              <w:rPr>
                <w:rFonts w:ascii="Arial" w:hAnsi="Arial" w:cs="Arial"/>
                <w:szCs w:val="24"/>
              </w:rPr>
              <w:t>.4</w:t>
            </w:r>
          </w:p>
        </w:tc>
        <w:tc>
          <w:tcPr>
            <w:tcW w:w="8397" w:type="dxa"/>
          </w:tcPr>
          <w:p w14:paraId="2BE257F8" w14:textId="1053B799" w:rsidR="00876702" w:rsidRDefault="00351AA2" w:rsidP="00314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2916">
              <w:rPr>
                <w:rFonts w:ascii="Arial" w:hAnsi="Arial" w:cs="Arial"/>
              </w:rPr>
              <w:lastRenderedPageBreak/>
              <w:t xml:space="preserve">This report </w:t>
            </w:r>
            <w:r w:rsidR="00021B6F">
              <w:rPr>
                <w:rFonts w:ascii="Arial" w:hAnsi="Arial" w:cs="Arial"/>
              </w:rPr>
              <w:t xml:space="preserve">confirms the detail of the Charity’s revenue budget for </w:t>
            </w:r>
            <w:r w:rsidR="00A95621">
              <w:rPr>
                <w:rFonts w:ascii="Arial" w:hAnsi="Arial" w:cs="Arial"/>
              </w:rPr>
              <w:t>202</w:t>
            </w:r>
            <w:r w:rsidR="006F5669">
              <w:rPr>
                <w:rFonts w:ascii="Arial" w:hAnsi="Arial" w:cs="Arial"/>
              </w:rPr>
              <w:t>2</w:t>
            </w:r>
            <w:r w:rsidR="00A95621">
              <w:rPr>
                <w:rFonts w:ascii="Arial" w:hAnsi="Arial" w:cs="Arial"/>
              </w:rPr>
              <w:t>/2</w:t>
            </w:r>
            <w:r w:rsidR="006F5669">
              <w:rPr>
                <w:rFonts w:ascii="Arial" w:hAnsi="Arial" w:cs="Arial"/>
              </w:rPr>
              <w:t>3</w:t>
            </w:r>
            <w:r w:rsidR="00021B6F">
              <w:rPr>
                <w:rFonts w:ascii="Arial" w:hAnsi="Arial" w:cs="Arial"/>
              </w:rPr>
              <w:t xml:space="preserve"> and provides a summary </w:t>
            </w:r>
            <w:r>
              <w:rPr>
                <w:rFonts w:ascii="Arial" w:hAnsi="Arial" w:cs="Arial"/>
              </w:rPr>
              <w:t>of the savings measures required to be implemented.</w:t>
            </w:r>
          </w:p>
          <w:p w14:paraId="25559545" w14:textId="77777777" w:rsidR="001D5B3C" w:rsidRDefault="001D5B3C" w:rsidP="00314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5F4C392D" w14:textId="24F39720" w:rsidR="00BA7FC1" w:rsidRDefault="001F17D6" w:rsidP="00314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net increase in funding from The Highland Council </w:t>
            </w:r>
            <w:r w:rsidR="004A4C8C">
              <w:rPr>
                <w:rFonts w:ascii="Arial" w:hAnsi="Arial" w:cs="Arial"/>
                <w:szCs w:val="24"/>
              </w:rPr>
              <w:t xml:space="preserve">(THC) </w:t>
            </w:r>
            <w:r>
              <w:rPr>
                <w:rFonts w:ascii="Arial" w:hAnsi="Arial" w:cs="Arial"/>
                <w:szCs w:val="24"/>
              </w:rPr>
              <w:t>is £</w:t>
            </w:r>
            <w:r w:rsidR="006F5669">
              <w:rPr>
                <w:rFonts w:ascii="Arial" w:hAnsi="Arial" w:cs="Arial"/>
                <w:szCs w:val="24"/>
              </w:rPr>
              <w:t xml:space="preserve">43,544 </w:t>
            </w:r>
            <w:r w:rsidR="00785BAC">
              <w:rPr>
                <w:rFonts w:ascii="Arial" w:hAnsi="Arial" w:cs="Arial"/>
                <w:szCs w:val="24"/>
              </w:rPr>
              <w:t xml:space="preserve">in accordance with the funding agreement between </w:t>
            </w:r>
            <w:r w:rsidR="004A4C8C">
              <w:rPr>
                <w:rFonts w:ascii="Arial" w:hAnsi="Arial" w:cs="Arial"/>
                <w:szCs w:val="24"/>
              </w:rPr>
              <w:t>HLH</w:t>
            </w:r>
            <w:r w:rsidR="00785BAC">
              <w:rPr>
                <w:rFonts w:ascii="Arial" w:hAnsi="Arial" w:cs="Arial"/>
                <w:szCs w:val="24"/>
              </w:rPr>
              <w:t xml:space="preserve"> and T</w:t>
            </w:r>
            <w:r w:rsidR="004A4C8C">
              <w:rPr>
                <w:rFonts w:ascii="Arial" w:hAnsi="Arial" w:cs="Arial"/>
                <w:szCs w:val="24"/>
              </w:rPr>
              <w:t>HC</w:t>
            </w:r>
            <w:r w:rsidR="00785BAC">
              <w:rPr>
                <w:rFonts w:ascii="Arial" w:hAnsi="Arial" w:cs="Arial"/>
                <w:szCs w:val="24"/>
              </w:rPr>
              <w:t xml:space="preserve">.   </w:t>
            </w:r>
            <w:r>
              <w:rPr>
                <w:rFonts w:ascii="Arial" w:hAnsi="Arial" w:cs="Arial"/>
                <w:szCs w:val="24"/>
              </w:rPr>
              <w:t xml:space="preserve">      </w:t>
            </w:r>
          </w:p>
          <w:p w14:paraId="4EC5A789" w14:textId="793EFCB4" w:rsidR="00950E0C" w:rsidRDefault="006A6BAA" w:rsidP="00314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L</w:t>
            </w:r>
            <w:r w:rsidR="005C3C7A">
              <w:rPr>
                <w:rFonts w:ascii="Arial" w:hAnsi="Arial" w:cs="Arial"/>
                <w:szCs w:val="24"/>
              </w:rPr>
              <w:t xml:space="preserve">osses in income </w:t>
            </w:r>
            <w:r>
              <w:rPr>
                <w:rFonts w:ascii="Arial" w:hAnsi="Arial" w:cs="Arial"/>
                <w:szCs w:val="24"/>
              </w:rPr>
              <w:t xml:space="preserve">are </w:t>
            </w:r>
            <w:r w:rsidR="005C3C7A">
              <w:rPr>
                <w:rFonts w:ascii="Arial" w:hAnsi="Arial" w:cs="Arial"/>
                <w:szCs w:val="24"/>
              </w:rPr>
              <w:t>projected to continue into 202</w:t>
            </w:r>
            <w:r w:rsidR="006F5669">
              <w:rPr>
                <w:rFonts w:ascii="Arial" w:hAnsi="Arial" w:cs="Arial"/>
                <w:szCs w:val="24"/>
              </w:rPr>
              <w:t>2</w:t>
            </w:r>
            <w:r w:rsidR="005C3C7A">
              <w:rPr>
                <w:rFonts w:ascii="Arial" w:hAnsi="Arial" w:cs="Arial"/>
                <w:szCs w:val="24"/>
              </w:rPr>
              <w:t>/2</w:t>
            </w:r>
            <w:r w:rsidR="006F5669">
              <w:rPr>
                <w:rFonts w:ascii="Arial" w:hAnsi="Arial" w:cs="Arial"/>
                <w:szCs w:val="24"/>
              </w:rPr>
              <w:t>3</w:t>
            </w:r>
            <w:r w:rsidR="00BB3091">
              <w:rPr>
                <w:rFonts w:ascii="Arial" w:hAnsi="Arial" w:cs="Arial"/>
                <w:szCs w:val="24"/>
              </w:rPr>
              <w:t xml:space="preserve"> resulting in a net budget pressure of £1.575m</w:t>
            </w:r>
            <w:r w:rsidR="00D67C23">
              <w:rPr>
                <w:rFonts w:ascii="Arial" w:hAnsi="Arial" w:cs="Arial"/>
                <w:szCs w:val="24"/>
              </w:rPr>
              <w:t>, this is</w:t>
            </w:r>
            <w:r w:rsidR="00BB3091">
              <w:rPr>
                <w:rFonts w:ascii="Arial" w:hAnsi="Arial" w:cs="Arial"/>
                <w:szCs w:val="24"/>
              </w:rPr>
              <w:t xml:space="preserve"> after </w:t>
            </w:r>
            <w:r w:rsidR="00457EEB">
              <w:rPr>
                <w:rFonts w:ascii="Arial" w:hAnsi="Arial" w:cs="Arial"/>
                <w:szCs w:val="24"/>
              </w:rPr>
              <w:t>HLH m</w:t>
            </w:r>
            <w:r w:rsidR="00BB3091">
              <w:rPr>
                <w:rFonts w:ascii="Arial" w:hAnsi="Arial" w:cs="Arial"/>
                <w:szCs w:val="24"/>
              </w:rPr>
              <w:t>itigation and efficiencies</w:t>
            </w:r>
            <w:r w:rsidR="00D67C23">
              <w:rPr>
                <w:rFonts w:ascii="Arial" w:hAnsi="Arial" w:cs="Arial"/>
                <w:szCs w:val="24"/>
              </w:rPr>
              <w:t xml:space="preserve"> of £1.374m. </w:t>
            </w:r>
            <w:r w:rsidR="006F566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In support, </w:t>
            </w:r>
            <w:r w:rsidR="006F5669">
              <w:rPr>
                <w:rFonts w:ascii="Arial" w:hAnsi="Arial" w:cs="Arial"/>
                <w:szCs w:val="24"/>
              </w:rPr>
              <w:t>THC has created</w:t>
            </w:r>
            <w:r w:rsidR="00314617">
              <w:rPr>
                <w:rFonts w:ascii="Arial" w:hAnsi="Arial" w:cs="Arial"/>
                <w:szCs w:val="24"/>
              </w:rPr>
              <w:t xml:space="preserve"> a</w:t>
            </w:r>
            <w:r w:rsidR="006F5669">
              <w:rPr>
                <w:rFonts w:ascii="Arial" w:hAnsi="Arial" w:cs="Arial"/>
                <w:szCs w:val="24"/>
              </w:rPr>
              <w:t xml:space="preserve"> </w:t>
            </w:r>
            <w:r w:rsidR="006F5669">
              <w:rPr>
                <w:rFonts w:ascii="ArialMT" w:hAnsi="ArialMT" w:cs="ArialMT"/>
                <w:szCs w:val="24"/>
              </w:rPr>
              <w:t xml:space="preserve">£1m earmarked reserve to provide additional financial support </w:t>
            </w:r>
            <w:r w:rsidR="00404DAA">
              <w:rPr>
                <w:rFonts w:ascii="Arial" w:hAnsi="Arial" w:cs="Arial"/>
                <w:szCs w:val="24"/>
              </w:rPr>
              <w:t xml:space="preserve">as </w:t>
            </w:r>
            <w:r w:rsidR="006F5669">
              <w:rPr>
                <w:rFonts w:ascii="Arial" w:hAnsi="Arial" w:cs="Arial"/>
                <w:szCs w:val="24"/>
              </w:rPr>
              <w:t xml:space="preserve">approved </w:t>
            </w:r>
            <w:r w:rsidR="00815D68">
              <w:rPr>
                <w:rFonts w:ascii="Arial" w:hAnsi="Arial" w:cs="Arial"/>
                <w:szCs w:val="24"/>
              </w:rPr>
              <w:t xml:space="preserve">at the THC meeting on </w:t>
            </w:r>
            <w:r w:rsidR="006F5669">
              <w:rPr>
                <w:rFonts w:ascii="Arial" w:hAnsi="Arial" w:cs="Arial"/>
                <w:szCs w:val="24"/>
              </w:rPr>
              <w:t>3</w:t>
            </w:r>
            <w:r w:rsidR="00404DAA">
              <w:rPr>
                <w:rFonts w:ascii="Arial" w:hAnsi="Arial" w:cs="Arial"/>
                <w:szCs w:val="24"/>
              </w:rPr>
              <w:t xml:space="preserve"> March 202</w:t>
            </w:r>
            <w:r w:rsidR="006F5669">
              <w:rPr>
                <w:rFonts w:ascii="Arial" w:hAnsi="Arial" w:cs="Arial"/>
                <w:szCs w:val="24"/>
              </w:rPr>
              <w:t>2</w:t>
            </w:r>
            <w:r w:rsidR="00A76542">
              <w:rPr>
                <w:rFonts w:ascii="Arial" w:hAnsi="Arial" w:cs="Arial"/>
                <w:szCs w:val="24"/>
              </w:rPr>
              <w:t>.</w:t>
            </w:r>
          </w:p>
          <w:p w14:paraId="705BC671" w14:textId="77777777" w:rsidR="00950E0C" w:rsidRDefault="00950E0C" w:rsidP="00314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950E0C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143508F8" w14:textId="3C7A0FA6" w:rsidR="00815D68" w:rsidRDefault="00815D68" w:rsidP="00314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815D68">
              <w:rPr>
                <w:rFonts w:ascii="Arial" w:hAnsi="Arial" w:cs="Arial"/>
                <w:bCs/>
                <w:szCs w:val="24"/>
              </w:rPr>
              <w:t>In addition,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BB3091">
              <w:rPr>
                <w:rFonts w:ascii="Arial" w:hAnsi="Arial" w:cs="Arial"/>
                <w:bCs/>
                <w:szCs w:val="24"/>
              </w:rPr>
              <w:t xml:space="preserve">HLH will utilise </w:t>
            </w:r>
            <w:r w:rsidR="00926175">
              <w:rPr>
                <w:rFonts w:ascii="Arial" w:hAnsi="Arial" w:cs="Arial"/>
                <w:bCs/>
                <w:szCs w:val="24"/>
              </w:rPr>
              <w:t>its own unrestricted reserves to meet the shortfall in income.</w:t>
            </w:r>
            <w:r w:rsidR="00314617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      </w:t>
            </w:r>
            <w:r w:rsidRPr="00815D68">
              <w:rPr>
                <w:rFonts w:ascii="Arial" w:hAnsi="Arial" w:cs="Arial"/>
                <w:bCs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7480B237" w14:textId="51A5C964" w:rsidR="00926175" w:rsidRPr="00815D68" w:rsidRDefault="00926175" w:rsidP="00314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</w:tc>
      </w:tr>
      <w:tr w:rsidR="00E7529E" w:rsidRPr="0089449E" w14:paraId="710245BA" w14:textId="77777777" w:rsidTr="00C34952">
        <w:trPr>
          <w:trHeight w:val="1237"/>
        </w:trPr>
        <w:tc>
          <w:tcPr>
            <w:tcW w:w="817" w:type="dxa"/>
          </w:tcPr>
          <w:p w14:paraId="630DA97A" w14:textId="1AA74779" w:rsidR="00771880" w:rsidRDefault="00260A45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3</w:t>
            </w:r>
            <w:r w:rsidR="00037F60" w:rsidRPr="00037F60">
              <w:rPr>
                <w:rFonts w:ascii="Arial" w:hAnsi="Arial" w:cs="Arial"/>
                <w:b/>
                <w:szCs w:val="24"/>
              </w:rPr>
              <w:t>.</w:t>
            </w:r>
          </w:p>
          <w:p w14:paraId="1E2B8896" w14:textId="77777777" w:rsidR="00653D2D" w:rsidRDefault="00653D2D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7239F1D" w14:textId="77777777" w:rsidR="00653D2D" w:rsidRPr="00037F60" w:rsidRDefault="00260A45" w:rsidP="005A1AD9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53D2D" w:rsidRPr="0087670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397" w:type="dxa"/>
          </w:tcPr>
          <w:p w14:paraId="7C9BCCFC" w14:textId="7F858146" w:rsidR="00037F60" w:rsidRDefault="00037F60" w:rsidP="00876702">
            <w:pPr>
              <w:jc w:val="both"/>
              <w:rPr>
                <w:rFonts w:ascii="Arial" w:hAnsi="Arial" w:cs="Arial"/>
                <w:b/>
                <w:bCs/>
              </w:rPr>
            </w:pPr>
            <w:r w:rsidRPr="00137D7A">
              <w:rPr>
                <w:rFonts w:ascii="Arial" w:hAnsi="Arial" w:cs="Arial"/>
                <w:b/>
                <w:bCs/>
              </w:rPr>
              <w:t>B</w:t>
            </w:r>
            <w:r w:rsidR="00876702">
              <w:rPr>
                <w:rFonts w:ascii="Arial" w:hAnsi="Arial" w:cs="Arial"/>
                <w:b/>
                <w:bCs/>
              </w:rPr>
              <w:t>udget</w:t>
            </w:r>
            <w:r w:rsidRPr="00137D7A">
              <w:rPr>
                <w:rFonts w:ascii="Arial" w:hAnsi="Arial" w:cs="Arial"/>
                <w:b/>
                <w:bCs/>
              </w:rPr>
              <w:t xml:space="preserve"> </w:t>
            </w:r>
            <w:r w:rsidR="00A95621">
              <w:rPr>
                <w:rFonts w:ascii="Arial" w:hAnsi="Arial" w:cs="Arial"/>
                <w:b/>
                <w:bCs/>
              </w:rPr>
              <w:t>2021/22</w:t>
            </w:r>
            <w:r w:rsidRPr="00137D7A">
              <w:rPr>
                <w:rFonts w:ascii="Arial" w:hAnsi="Arial" w:cs="Arial"/>
                <w:b/>
                <w:bCs/>
              </w:rPr>
              <w:t xml:space="preserve"> A</w:t>
            </w:r>
            <w:r w:rsidR="00876702">
              <w:rPr>
                <w:rFonts w:ascii="Arial" w:hAnsi="Arial" w:cs="Arial"/>
                <w:b/>
                <w:bCs/>
              </w:rPr>
              <w:t>pproval</w:t>
            </w:r>
          </w:p>
          <w:p w14:paraId="0013DB42" w14:textId="77777777" w:rsidR="00941CC3" w:rsidRDefault="00941CC3" w:rsidP="0087670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4CF2242" w14:textId="72AB4B15" w:rsidR="005A1AD9" w:rsidRDefault="00351AA2" w:rsidP="005A1AD9">
            <w:pPr>
              <w:tabs>
                <w:tab w:val="left" w:pos="1020"/>
              </w:tabs>
              <w:jc w:val="both"/>
              <w:rPr>
                <w:rFonts w:ascii="Arial" w:hAnsi="Arial" w:cs="Arial"/>
                <w:szCs w:val="24"/>
              </w:rPr>
            </w:pPr>
            <w:r w:rsidRPr="00351AA2">
              <w:rPr>
                <w:rFonts w:ascii="Arial" w:hAnsi="Arial" w:cs="Arial"/>
                <w:b/>
                <w:bCs/>
              </w:rPr>
              <w:t>Appendix A</w:t>
            </w:r>
            <w:r>
              <w:rPr>
                <w:rFonts w:ascii="Arial" w:hAnsi="Arial" w:cs="Arial"/>
                <w:bCs/>
              </w:rPr>
              <w:t xml:space="preserve"> details the draft budget </w:t>
            </w:r>
            <w:r w:rsidR="00A95621">
              <w:rPr>
                <w:rFonts w:ascii="Arial" w:hAnsi="Arial" w:cs="Arial"/>
                <w:bCs/>
              </w:rPr>
              <w:t>202</w:t>
            </w:r>
            <w:r w:rsidR="00027E96">
              <w:rPr>
                <w:rFonts w:ascii="Arial" w:hAnsi="Arial" w:cs="Arial"/>
                <w:bCs/>
              </w:rPr>
              <w:t>2</w:t>
            </w:r>
            <w:r w:rsidR="00A95621">
              <w:rPr>
                <w:rFonts w:ascii="Arial" w:hAnsi="Arial" w:cs="Arial"/>
                <w:bCs/>
              </w:rPr>
              <w:t>/2</w:t>
            </w:r>
            <w:r w:rsidR="00027E9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for approval.</w:t>
            </w:r>
          </w:p>
          <w:p w14:paraId="6962090E" w14:textId="77777777" w:rsidR="00941CC3" w:rsidRPr="00876702" w:rsidRDefault="00941CC3" w:rsidP="005A1AD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E11BF" w:rsidRPr="0089449E" w14:paraId="2A777F71" w14:textId="77777777" w:rsidTr="00C34952">
        <w:trPr>
          <w:trHeight w:val="560"/>
        </w:trPr>
        <w:tc>
          <w:tcPr>
            <w:tcW w:w="817" w:type="dxa"/>
          </w:tcPr>
          <w:p w14:paraId="7F39F0EB" w14:textId="77777777" w:rsidR="00BE11BF" w:rsidRDefault="00BE11BF" w:rsidP="00F036A4">
            <w:pPr>
              <w:jc w:val="both"/>
              <w:rPr>
                <w:rFonts w:ascii="Arial" w:hAnsi="Arial" w:cs="Arial"/>
                <w:szCs w:val="24"/>
              </w:rPr>
            </w:pPr>
            <w:r w:rsidRPr="00425227">
              <w:rPr>
                <w:rFonts w:ascii="Arial" w:hAnsi="Arial" w:cs="Arial"/>
                <w:szCs w:val="24"/>
              </w:rPr>
              <w:t>3.2</w:t>
            </w:r>
          </w:p>
          <w:p w14:paraId="1949088A" w14:textId="77777777" w:rsidR="003E6AF3" w:rsidRDefault="003E6AF3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67D89B6" w14:textId="4E9084F2" w:rsidR="00E312A7" w:rsidRDefault="00E312A7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312A7">
              <w:rPr>
                <w:rFonts w:ascii="Arial" w:hAnsi="Arial" w:cs="Arial"/>
                <w:b/>
                <w:szCs w:val="24"/>
              </w:rPr>
              <w:t>4.</w:t>
            </w:r>
          </w:p>
          <w:p w14:paraId="5918D30C" w14:textId="77777777" w:rsidR="00E312A7" w:rsidRDefault="00E312A7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8655B96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  <w:r w:rsidRPr="00E312A7">
              <w:rPr>
                <w:rFonts w:ascii="Arial" w:hAnsi="Arial" w:cs="Arial"/>
                <w:szCs w:val="24"/>
              </w:rPr>
              <w:t>4.1</w:t>
            </w:r>
          </w:p>
          <w:p w14:paraId="5377565E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24393BED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42BCBC87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5D99612E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7B801FE1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184AB2AF" w14:textId="77777777" w:rsidR="00E312A7" w:rsidRP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7" w:type="dxa"/>
          </w:tcPr>
          <w:p w14:paraId="04B5A9F0" w14:textId="32F07276" w:rsidR="00BE11BF" w:rsidRDefault="00BE11BF" w:rsidP="00B25FD2">
            <w:pPr>
              <w:jc w:val="both"/>
              <w:rPr>
                <w:rFonts w:ascii="Arial" w:hAnsi="Arial" w:cs="Arial"/>
                <w:szCs w:val="24"/>
              </w:rPr>
            </w:pPr>
            <w:r w:rsidRPr="00BE11BF">
              <w:rPr>
                <w:rFonts w:ascii="Arial" w:hAnsi="Arial" w:cs="Arial"/>
                <w:b/>
                <w:szCs w:val="24"/>
              </w:rPr>
              <w:t>Appendix B</w:t>
            </w:r>
            <w:r>
              <w:rPr>
                <w:rFonts w:ascii="Arial" w:hAnsi="Arial" w:cs="Arial"/>
                <w:szCs w:val="24"/>
              </w:rPr>
              <w:t xml:space="preserve"> details the </w:t>
            </w:r>
            <w:r w:rsidR="00027E96">
              <w:rPr>
                <w:rFonts w:ascii="Arial" w:hAnsi="Arial" w:cs="Arial"/>
                <w:szCs w:val="24"/>
              </w:rPr>
              <w:t xml:space="preserve">savings and net pressure of </w:t>
            </w:r>
            <w:r w:rsidR="003E6AF3">
              <w:rPr>
                <w:rFonts w:ascii="Arial" w:hAnsi="Arial" w:cs="Arial"/>
                <w:szCs w:val="24"/>
              </w:rPr>
              <w:t>£1.575m</w:t>
            </w:r>
            <w:r w:rsidR="00D36762">
              <w:rPr>
                <w:rFonts w:ascii="Arial" w:hAnsi="Arial" w:cs="Arial"/>
                <w:szCs w:val="24"/>
              </w:rPr>
              <w:t>.</w:t>
            </w:r>
          </w:p>
          <w:p w14:paraId="4844FECE" w14:textId="77777777" w:rsidR="00E312A7" w:rsidRDefault="00E312A7" w:rsidP="00B25FD2">
            <w:pPr>
              <w:jc w:val="both"/>
              <w:rPr>
                <w:rFonts w:ascii="Arial" w:hAnsi="Arial" w:cs="Arial"/>
                <w:szCs w:val="24"/>
              </w:rPr>
            </w:pPr>
          </w:p>
          <w:p w14:paraId="2ECEDC4D" w14:textId="69737D2C" w:rsidR="00414575" w:rsidRDefault="003E6AF3" w:rsidP="00B25FD2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Leisure Price </w:t>
            </w:r>
            <w:r w:rsidR="00414575">
              <w:rPr>
                <w:rFonts w:ascii="Arial" w:hAnsi="Arial" w:cs="Arial"/>
                <w:b/>
                <w:szCs w:val="24"/>
              </w:rPr>
              <w:t>Increases</w:t>
            </w:r>
          </w:p>
          <w:p w14:paraId="0E95E4DE" w14:textId="77777777" w:rsidR="003E6AF3" w:rsidRDefault="003E6AF3" w:rsidP="00B25FD2">
            <w:pPr>
              <w:jc w:val="both"/>
              <w:rPr>
                <w:rFonts w:ascii="Arial" w:hAnsi="Arial" w:cs="Arial"/>
                <w:szCs w:val="24"/>
              </w:rPr>
            </w:pPr>
          </w:p>
          <w:p w14:paraId="6C60D83D" w14:textId="184B1288" w:rsidR="003E6AF3" w:rsidRDefault="004A0BAE" w:rsidP="003E6AF3">
            <w:pPr>
              <w:jc w:val="both"/>
              <w:rPr>
                <w:rFonts w:ascii="Arial" w:hAnsi="Arial" w:cs="Arial"/>
                <w:szCs w:val="24"/>
              </w:rPr>
            </w:pPr>
            <w:r w:rsidRPr="004A0BAE">
              <w:rPr>
                <w:rFonts w:ascii="Arial" w:hAnsi="Arial" w:cs="Arial"/>
                <w:szCs w:val="24"/>
              </w:rPr>
              <w:t xml:space="preserve">Monthly </w:t>
            </w:r>
            <w:r w:rsidR="003E6AF3" w:rsidRPr="003E6AF3">
              <w:rPr>
                <w:rFonts w:ascii="Arial" w:hAnsi="Arial" w:cs="Arial"/>
                <w:b/>
                <w:bCs/>
                <w:i/>
                <w:iCs/>
                <w:szCs w:val="24"/>
              </w:rPr>
              <w:t>High</w:t>
            </w:r>
            <w:r w:rsidR="003E6AF3" w:rsidRPr="003E6AF3">
              <w:rPr>
                <w:rFonts w:ascii="Arial" w:hAnsi="Arial" w:cs="Arial"/>
                <w:i/>
                <w:iCs/>
                <w:szCs w:val="24"/>
              </w:rPr>
              <w:t xml:space="preserve">life </w:t>
            </w:r>
            <w:r w:rsidR="003E6AF3" w:rsidRPr="003E6AF3">
              <w:rPr>
                <w:rFonts w:ascii="Arial" w:hAnsi="Arial" w:cs="Arial"/>
                <w:szCs w:val="24"/>
              </w:rPr>
              <w:t xml:space="preserve">prices are currently £21.70 for an individual subscription and £32.60 for a family subscription. A </w:t>
            </w:r>
            <w:r w:rsidR="003E6AF3">
              <w:rPr>
                <w:rFonts w:ascii="Arial" w:hAnsi="Arial" w:cs="Arial"/>
                <w:szCs w:val="24"/>
              </w:rPr>
              <w:t xml:space="preserve">proposed </w:t>
            </w:r>
            <w:r w:rsidR="003E6AF3" w:rsidRPr="003E6AF3">
              <w:rPr>
                <w:rFonts w:ascii="Arial" w:hAnsi="Arial" w:cs="Arial"/>
                <w:szCs w:val="24"/>
              </w:rPr>
              <w:t>5% increase (rounded up) would make them £22.80 and £34.30</w:t>
            </w:r>
            <w:r>
              <w:rPr>
                <w:rFonts w:ascii="Arial" w:hAnsi="Arial" w:cs="Arial"/>
                <w:szCs w:val="24"/>
              </w:rPr>
              <w:t xml:space="preserve"> per month</w:t>
            </w:r>
            <w:r w:rsidR="003E6AF3" w:rsidRPr="003E6AF3">
              <w:rPr>
                <w:rFonts w:ascii="Arial" w:hAnsi="Arial" w:cs="Arial"/>
                <w:szCs w:val="24"/>
              </w:rPr>
              <w:t xml:space="preserve">. </w:t>
            </w:r>
            <w:r w:rsidR="00B24CCF">
              <w:rPr>
                <w:rFonts w:ascii="Arial" w:hAnsi="Arial" w:cs="Arial"/>
                <w:szCs w:val="24"/>
              </w:rPr>
              <w:t>Benchmarking from Community Leisure UK indicates that t</w:t>
            </w:r>
            <w:r w:rsidR="003E6AF3" w:rsidRPr="003E6AF3">
              <w:rPr>
                <w:rFonts w:ascii="Arial" w:hAnsi="Arial" w:cs="Arial"/>
                <w:szCs w:val="24"/>
              </w:rPr>
              <w:t>his increase is in line with other similar organisations in Scotland and locally</w:t>
            </w:r>
            <w:r w:rsidR="00CF6740">
              <w:rPr>
                <w:rFonts w:ascii="Arial" w:hAnsi="Arial" w:cs="Arial"/>
                <w:szCs w:val="24"/>
              </w:rPr>
              <w:t>. T</w:t>
            </w:r>
            <w:r w:rsidR="003E6AF3" w:rsidRPr="003E6AF3">
              <w:rPr>
                <w:rFonts w:ascii="Arial" w:hAnsi="Arial" w:cs="Arial"/>
                <w:szCs w:val="24"/>
              </w:rPr>
              <w:t>he individual price would be lower than our nearest price competitor</w:t>
            </w:r>
            <w:r w:rsidR="00CF6740">
              <w:rPr>
                <w:rFonts w:ascii="Arial" w:hAnsi="Arial" w:cs="Arial"/>
                <w:szCs w:val="24"/>
              </w:rPr>
              <w:t>,</w:t>
            </w:r>
            <w:r w:rsidR="003E6AF3" w:rsidRPr="003E6AF3">
              <w:rPr>
                <w:rFonts w:ascii="Arial" w:hAnsi="Arial" w:cs="Arial"/>
                <w:szCs w:val="24"/>
              </w:rPr>
              <w:t xml:space="preserve"> which charges £22.99</w:t>
            </w:r>
            <w:r>
              <w:rPr>
                <w:rFonts w:ascii="Arial" w:hAnsi="Arial" w:cs="Arial"/>
                <w:szCs w:val="24"/>
              </w:rPr>
              <w:t xml:space="preserve"> per month</w:t>
            </w:r>
            <w:r w:rsidR="003E6AF3" w:rsidRPr="003E6AF3">
              <w:rPr>
                <w:rFonts w:ascii="Arial" w:hAnsi="Arial" w:cs="Arial"/>
                <w:szCs w:val="24"/>
              </w:rPr>
              <w:t xml:space="preserve"> for its basic membership (others are around £30). A 5% increase is considered reasonable because:</w:t>
            </w:r>
          </w:p>
          <w:p w14:paraId="30D36C55" w14:textId="77777777" w:rsidR="003E6AF3" w:rsidRPr="003E6AF3" w:rsidRDefault="003E6AF3" w:rsidP="003E6AF3">
            <w:pPr>
              <w:jc w:val="both"/>
              <w:rPr>
                <w:rFonts w:ascii="Arial" w:hAnsi="Arial" w:cs="Arial"/>
                <w:szCs w:val="24"/>
              </w:rPr>
            </w:pPr>
          </w:p>
          <w:p w14:paraId="5A5496F7" w14:textId="4C8E146B" w:rsidR="003E6AF3" w:rsidRPr="003E6AF3" w:rsidRDefault="003E6AF3" w:rsidP="004873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6" w:hanging="283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6AF3">
              <w:rPr>
                <w:rFonts w:ascii="Arial" w:eastAsia="Times New Roman" w:hAnsi="Arial" w:cs="Arial"/>
                <w:sz w:val="24"/>
                <w:szCs w:val="24"/>
              </w:rPr>
              <w:t xml:space="preserve">Inflation has increased and the consequences of not making a small increase now could be felt longer-term if </w:t>
            </w:r>
            <w:r w:rsidR="00CF6740">
              <w:rPr>
                <w:rFonts w:ascii="Arial" w:eastAsia="Times New Roman" w:hAnsi="Arial" w:cs="Arial"/>
                <w:sz w:val="24"/>
                <w:szCs w:val="24"/>
              </w:rPr>
              <w:t xml:space="preserve">inflationary pressure dictates that </w:t>
            </w:r>
            <w:r w:rsidRPr="003E6AF3">
              <w:rPr>
                <w:rFonts w:ascii="Arial" w:eastAsia="Times New Roman" w:hAnsi="Arial" w:cs="Arial"/>
                <w:sz w:val="24"/>
                <w:szCs w:val="24"/>
              </w:rPr>
              <w:t>prices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E6AF3">
              <w:rPr>
                <w:rFonts w:ascii="Arial" w:eastAsia="Times New Roman" w:hAnsi="Arial" w:cs="Arial"/>
                <w:sz w:val="24"/>
                <w:szCs w:val="24"/>
              </w:rPr>
              <w:t>have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E6AF3">
              <w:rPr>
                <w:rFonts w:ascii="Arial" w:eastAsia="Times New Roman" w:hAnsi="Arial" w:cs="Arial"/>
                <w:sz w:val="24"/>
                <w:szCs w:val="24"/>
              </w:rPr>
              <w:t xml:space="preserve">to increase significantly </w:t>
            </w:r>
            <w:r w:rsidR="00CF6740">
              <w:rPr>
                <w:rFonts w:ascii="Arial" w:eastAsia="Times New Roman" w:hAnsi="Arial" w:cs="Arial"/>
                <w:sz w:val="24"/>
                <w:szCs w:val="24"/>
              </w:rPr>
              <w:t xml:space="preserve">in future </w:t>
            </w:r>
            <w:proofErr w:type="gramStart"/>
            <w:r w:rsidR="00CF6740">
              <w:rPr>
                <w:rFonts w:ascii="Arial" w:eastAsia="Times New Roman" w:hAnsi="Arial" w:cs="Arial"/>
                <w:sz w:val="24"/>
                <w:szCs w:val="24"/>
              </w:rPr>
              <w:t>years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proofErr w:type="gramEnd"/>
          </w:p>
          <w:p w14:paraId="7A3076D7" w14:textId="1A46BF99" w:rsidR="003E6AF3" w:rsidRPr="003E6AF3" w:rsidRDefault="003E6AF3" w:rsidP="004873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6" w:hanging="283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6AF3">
              <w:rPr>
                <w:rFonts w:ascii="Arial" w:eastAsia="Times New Roman" w:hAnsi="Arial" w:cs="Arial"/>
                <w:sz w:val="24"/>
                <w:szCs w:val="24"/>
              </w:rPr>
              <w:t xml:space="preserve">Competitors’ offerings are narrower than the High Life Highland </w:t>
            </w:r>
            <w:proofErr w:type="gramStart"/>
            <w:r w:rsidRPr="003E6AF3">
              <w:rPr>
                <w:rFonts w:ascii="Arial" w:eastAsia="Times New Roman" w:hAnsi="Arial" w:cs="Arial"/>
                <w:sz w:val="24"/>
                <w:szCs w:val="24"/>
              </w:rPr>
              <w:t>one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04C12A3" w14:textId="183E3826" w:rsidR="003E6AF3" w:rsidRDefault="003E6AF3" w:rsidP="004873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6" w:hanging="283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6AF3">
              <w:rPr>
                <w:rFonts w:ascii="Arial" w:eastAsia="Times New Roman" w:hAnsi="Arial" w:cs="Arial"/>
                <w:sz w:val="24"/>
                <w:szCs w:val="24"/>
              </w:rPr>
              <w:t xml:space="preserve">the recent gym refurbishment in Inverness </w:t>
            </w:r>
            <w:r w:rsidR="00CF6740">
              <w:rPr>
                <w:rFonts w:ascii="Arial" w:eastAsia="Times New Roman" w:hAnsi="Arial" w:cs="Arial"/>
                <w:sz w:val="24"/>
                <w:szCs w:val="24"/>
              </w:rPr>
              <w:t xml:space="preserve">and planned improvements across the region will continue to improve </w:t>
            </w:r>
            <w:r w:rsidRPr="003E6AF3">
              <w:rPr>
                <w:rFonts w:ascii="Arial" w:eastAsia="Times New Roman" w:hAnsi="Arial" w:cs="Arial"/>
                <w:sz w:val="24"/>
                <w:szCs w:val="24"/>
              </w:rPr>
              <w:t xml:space="preserve">the High Life Highland </w:t>
            </w:r>
            <w:proofErr w:type="gramStart"/>
            <w:r w:rsidRPr="003E6AF3">
              <w:rPr>
                <w:rFonts w:ascii="Arial" w:eastAsia="Times New Roman" w:hAnsi="Arial" w:cs="Arial"/>
                <w:sz w:val="24"/>
                <w:szCs w:val="24"/>
              </w:rPr>
              <w:t>product</w:t>
            </w:r>
            <w:r w:rsidR="00883ECA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proofErr w:type="gramEnd"/>
            <w:r w:rsidRPr="003E6A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AD117BF" w14:textId="3926677A" w:rsidR="00821B39" w:rsidRDefault="00821B39" w:rsidP="004873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6" w:hanging="283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Feedback from customer surveys has consistently and strongly indicated that the offer represents excellent </w:t>
            </w:r>
            <w:r w:rsidR="00487390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alue </w:t>
            </w:r>
            <w:r w:rsidR="00487390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or </w:t>
            </w:r>
            <w:r w:rsidR="00487390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oney; and that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the majority of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customers would be prepared to pay more</w:t>
            </w:r>
            <w:r w:rsidR="00883ECA">
              <w:rPr>
                <w:rFonts w:ascii="Arial" w:eastAsia="Times New Roman" w:hAnsi="Arial" w:cs="Arial"/>
                <w:sz w:val="24"/>
                <w:szCs w:val="24"/>
              </w:rPr>
              <w:t>; and</w:t>
            </w:r>
          </w:p>
          <w:p w14:paraId="3910F514" w14:textId="679BF809" w:rsidR="00821B39" w:rsidRPr="003E6AF3" w:rsidRDefault="00821B39" w:rsidP="004873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46" w:hanging="283"/>
              <w:contextualSpacing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487390" w:rsidRPr="0048739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high</w:t>
            </w:r>
            <w:r w:rsidR="00487390" w:rsidRPr="0048739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life</w:t>
            </w:r>
            <w:r w:rsidR="004873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Budget Rate of 50p will retain the ‘social safety net’ that allows hard pressed families to enjoy </w:t>
            </w:r>
            <w:r w:rsidR="00883ECA">
              <w:rPr>
                <w:rFonts w:ascii="Arial" w:eastAsia="Times New Roman" w:hAnsi="Arial" w:cs="Arial"/>
                <w:sz w:val="24"/>
                <w:szCs w:val="24"/>
              </w:rPr>
              <w:t>HLH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facilities.   </w:t>
            </w:r>
          </w:p>
          <w:p w14:paraId="50E63476" w14:textId="56C49C7A" w:rsidR="009D214A" w:rsidRDefault="009D214A" w:rsidP="00FC264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04521" w:rsidRPr="0089449E" w14:paraId="3AC333B8" w14:textId="77777777" w:rsidTr="00C34952">
        <w:tc>
          <w:tcPr>
            <w:tcW w:w="817" w:type="dxa"/>
          </w:tcPr>
          <w:p w14:paraId="4560CD18" w14:textId="77777777" w:rsidR="00D04521" w:rsidRPr="00D04521" w:rsidRDefault="00D04521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04521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8397" w:type="dxa"/>
          </w:tcPr>
          <w:p w14:paraId="2DA8F0A8" w14:textId="77777777" w:rsidR="00D04521" w:rsidRDefault="00FC264A" w:rsidP="007612F1">
            <w:pPr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I</w:t>
            </w:r>
            <w:r w:rsidR="00D04521">
              <w:rPr>
                <w:rFonts w:ascii="Arial" w:eastAsia="Calibri" w:hAnsi="Arial" w:cs="Arial"/>
                <w:b/>
                <w:szCs w:val="24"/>
                <w:lang w:eastAsia="en-US"/>
              </w:rPr>
              <w:t>mplications</w:t>
            </w:r>
          </w:p>
          <w:p w14:paraId="452515D4" w14:textId="77777777" w:rsidR="00D04521" w:rsidRPr="005C524F" w:rsidRDefault="00D04521" w:rsidP="007612F1">
            <w:pPr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D04521" w:rsidRPr="0089449E" w14:paraId="67872395" w14:textId="77777777" w:rsidTr="00C34952">
        <w:tc>
          <w:tcPr>
            <w:tcW w:w="817" w:type="dxa"/>
          </w:tcPr>
          <w:p w14:paraId="6DA3DB2E" w14:textId="77777777" w:rsidR="00D04521" w:rsidRPr="00EC25B8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5.1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421C5C89" w14:textId="77777777" w:rsidR="00D04521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 w:rsidRPr="00266AC3">
              <w:rPr>
                <w:rFonts w:ascii="Arial" w:hAnsi="Arial" w:cs="Arial"/>
                <w:szCs w:val="24"/>
              </w:rPr>
              <w:t>Resource Implications – there are no</w:t>
            </w:r>
            <w:r>
              <w:rPr>
                <w:rFonts w:ascii="Arial" w:hAnsi="Arial" w:cs="Arial"/>
                <w:szCs w:val="24"/>
              </w:rPr>
              <w:t xml:space="preserve"> new</w:t>
            </w:r>
            <w:r w:rsidRPr="00266AC3">
              <w:rPr>
                <w:rFonts w:ascii="Arial" w:hAnsi="Arial" w:cs="Arial"/>
                <w:szCs w:val="24"/>
              </w:rPr>
              <w:t xml:space="preserve"> resource implications associated with the </w:t>
            </w:r>
            <w:r>
              <w:rPr>
                <w:rFonts w:ascii="Arial" w:hAnsi="Arial" w:cs="Arial"/>
                <w:szCs w:val="24"/>
              </w:rPr>
              <w:t xml:space="preserve">recommendations of this report.  </w:t>
            </w:r>
          </w:p>
          <w:p w14:paraId="5516D21A" w14:textId="77777777" w:rsidR="00D04521" w:rsidRPr="0041318E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04521" w:rsidRPr="0089449E" w14:paraId="36768CD0" w14:textId="77777777" w:rsidTr="00C34952">
        <w:tc>
          <w:tcPr>
            <w:tcW w:w="817" w:type="dxa"/>
          </w:tcPr>
          <w:p w14:paraId="466CF9CC" w14:textId="77777777" w:rsidR="00D04521" w:rsidRPr="00EC25B8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5.2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5DB7EBD0" w14:textId="77777777" w:rsidR="00D04521" w:rsidRPr="00266AC3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 w:rsidRPr="00266AC3">
              <w:rPr>
                <w:rFonts w:ascii="Arial" w:hAnsi="Arial" w:cs="Arial"/>
                <w:szCs w:val="24"/>
              </w:rPr>
              <w:t xml:space="preserve">Legal Implications – there are no </w:t>
            </w:r>
            <w:r>
              <w:rPr>
                <w:rFonts w:ascii="Arial" w:hAnsi="Arial" w:cs="Arial"/>
                <w:szCs w:val="24"/>
              </w:rPr>
              <w:t xml:space="preserve">new </w:t>
            </w:r>
            <w:r w:rsidRPr="00266AC3">
              <w:rPr>
                <w:rFonts w:ascii="Arial" w:hAnsi="Arial" w:cs="Arial"/>
                <w:szCs w:val="24"/>
              </w:rPr>
              <w:t>legal implications associated with the recommendations of this report.</w:t>
            </w:r>
          </w:p>
          <w:p w14:paraId="73DE6932" w14:textId="77777777" w:rsidR="00D04521" w:rsidRPr="00266AC3" w:rsidRDefault="00D04521" w:rsidP="00D04521">
            <w:pPr>
              <w:rPr>
                <w:rFonts w:ascii="Arial" w:hAnsi="Arial" w:cs="Arial"/>
                <w:szCs w:val="24"/>
              </w:rPr>
            </w:pPr>
          </w:p>
        </w:tc>
      </w:tr>
      <w:tr w:rsidR="00D04521" w:rsidRPr="0089449E" w14:paraId="792BA684" w14:textId="77777777" w:rsidTr="00C34952">
        <w:tc>
          <w:tcPr>
            <w:tcW w:w="817" w:type="dxa"/>
          </w:tcPr>
          <w:p w14:paraId="7D04E5E5" w14:textId="77777777" w:rsidR="00D04521" w:rsidRPr="00EC25B8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5.3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3FF47655" w14:textId="77777777" w:rsidR="00D04521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Equality Implications – there are no new equality implications associated with the recommendations of this report.</w:t>
            </w:r>
          </w:p>
          <w:p w14:paraId="206C6356" w14:textId="77777777" w:rsidR="00D04521" w:rsidRPr="00266AC3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04521" w:rsidRPr="0089449E" w14:paraId="6624EAF1" w14:textId="77777777" w:rsidTr="00C34952">
        <w:tc>
          <w:tcPr>
            <w:tcW w:w="817" w:type="dxa"/>
          </w:tcPr>
          <w:p w14:paraId="1AA012B6" w14:textId="77777777" w:rsidR="00D04521" w:rsidRPr="00EC25B8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5.4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9FA943B" w14:textId="77777777" w:rsidR="00D04521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Risk Implications – there are no new risk implications associated with the recommendations of this report.</w:t>
            </w:r>
          </w:p>
          <w:p w14:paraId="6D15532E" w14:textId="77777777" w:rsidR="00D04521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04521" w:rsidRPr="0089449E" w14:paraId="4169D25C" w14:textId="77777777" w:rsidTr="00C3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4" w:type="dxa"/>
            <w:gridSpan w:val="2"/>
          </w:tcPr>
          <w:p w14:paraId="6D785494" w14:textId="77777777" w:rsidR="00D04521" w:rsidRPr="0089449E" w:rsidRDefault="00D04521" w:rsidP="00D04521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lastRenderedPageBreak/>
              <w:t>Recommendations</w:t>
            </w:r>
          </w:p>
          <w:p w14:paraId="543A1494" w14:textId="77777777" w:rsidR="00E95B20" w:rsidRDefault="00E95B20" w:rsidP="00E95B20">
            <w:pPr>
              <w:jc w:val="both"/>
              <w:rPr>
                <w:rFonts w:ascii="Arial" w:hAnsi="Arial" w:cs="Arial"/>
              </w:rPr>
            </w:pPr>
          </w:p>
          <w:p w14:paraId="716DB944" w14:textId="336C13A3" w:rsidR="00E95B20" w:rsidRPr="00AF5BC1" w:rsidRDefault="00E95B20" w:rsidP="00E95B20">
            <w:pPr>
              <w:jc w:val="both"/>
              <w:rPr>
                <w:rFonts w:ascii="Arial" w:hAnsi="Arial" w:cs="Arial"/>
                <w:szCs w:val="24"/>
              </w:rPr>
            </w:pPr>
            <w:r w:rsidRPr="00AF5BC1">
              <w:rPr>
                <w:rFonts w:ascii="Arial" w:hAnsi="Arial" w:cs="Arial"/>
                <w:szCs w:val="24"/>
              </w:rPr>
              <w:t>It is recommended that Directors:</w:t>
            </w:r>
          </w:p>
          <w:p w14:paraId="19695221" w14:textId="77777777" w:rsidR="00E95B20" w:rsidRPr="00AF5BC1" w:rsidRDefault="00E95B20" w:rsidP="00E95B20">
            <w:pPr>
              <w:jc w:val="both"/>
              <w:rPr>
                <w:rFonts w:ascii="Arial" w:hAnsi="Arial" w:cs="Arial"/>
                <w:szCs w:val="24"/>
              </w:rPr>
            </w:pPr>
          </w:p>
          <w:p w14:paraId="5C20F4CF" w14:textId="77777777" w:rsidR="00AF5BC1" w:rsidRPr="00AF5BC1" w:rsidRDefault="00AF5BC1" w:rsidP="00AF5BC1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BC1">
              <w:rPr>
                <w:rFonts w:ascii="Arial" w:hAnsi="Arial" w:cs="Arial"/>
                <w:sz w:val="24"/>
                <w:szCs w:val="24"/>
              </w:rPr>
              <w:t xml:space="preserve">approve the operating budget for 2022/23 as summarised in </w:t>
            </w:r>
            <w:r w:rsidRPr="00AF5BC1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Pr="00AF5BC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D17A66" w14:textId="77777777" w:rsidR="00D67C23" w:rsidRPr="00487390" w:rsidRDefault="00AF5BC1" w:rsidP="00AF5BC1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5BC1">
              <w:rPr>
                <w:rFonts w:ascii="Arial" w:hAnsi="Arial" w:cs="Arial"/>
                <w:sz w:val="24"/>
                <w:szCs w:val="24"/>
              </w:rPr>
              <w:t xml:space="preserve">note the net pressure £1.575m and The Highland Council’s creation of a £1M earmarked reserve to provide additional financial support in 2022/23 in addition to the planned utilisation of HLH unrestricted </w:t>
            </w:r>
            <w:proofErr w:type="gramStart"/>
            <w:r w:rsidRPr="00AF5BC1">
              <w:rPr>
                <w:rFonts w:ascii="Arial" w:hAnsi="Arial" w:cs="Arial"/>
                <w:sz w:val="24"/>
                <w:szCs w:val="24"/>
              </w:rPr>
              <w:t>reserves</w:t>
            </w:r>
            <w:r w:rsidRPr="00AF5BC1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proofErr w:type="gramEnd"/>
          </w:p>
          <w:p w14:paraId="775C9CA9" w14:textId="44185136" w:rsidR="00AF5BC1" w:rsidRPr="00AF5BC1" w:rsidRDefault="00D67C23" w:rsidP="00AF5BC1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agree to the mitigations and efficiencies of £1.374m at </w:t>
            </w:r>
            <w:r w:rsidRPr="00CC69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Appendix B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="00AF5BC1" w:rsidRPr="00AF5BC1">
              <w:rPr>
                <w:rFonts w:ascii="Arial" w:eastAsia="Times New Roman" w:hAnsi="Arial" w:cs="Arial"/>
                <w:sz w:val="24"/>
                <w:szCs w:val="24"/>
              </w:rPr>
              <w:t xml:space="preserve"> and</w:t>
            </w:r>
            <w:r w:rsidR="00AF5BC1" w:rsidRPr="00AF5B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CDC777" w14:textId="36F2FC13" w:rsidR="00D04521" w:rsidRPr="00AF5BC1" w:rsidRDefault="00AF5BC1" w:rsidP="00AF5BC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Cs w:val="24"/>
              </w:rPr>
            </w:pPr>
            <w:r w:rsidRPr="00AF5BC1">
              <w:rPr>
                <w:rFonts w:ascii="Arial" w:hAnsi="Arial" w:cs="Arial"/>
                <w:sz w:val="24"/>
                <w:szCs w:val="24"/>
              </w:rPr>
              <w:t>agree to the recommended price increases in Section 4 of the report.</w:t>
            </w:r>
          </w:p>
        </w:tc>
      </w:tr>
    </w:tbl>
    <w:p w14:paraId="13B7DAC2" w14:textId="77777777"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14:paraId="0F4FF4F5" w14:textId="77777777"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Designation:</w:t>
      </w:r>
      <w:r w:rsidR="0067538A" w:rsidRPr="009B0904">
        <w:rPr>
          <w:rFonts w:ascii="Arial" w:hAnsi="Arial" w:cs="Arial"/>
          <w:szCs w:val="24"/>
        </w:rPr>
        <w:tab/>
        <w:t>Chief Executive</w:t>
      </w:r>
    </w:p>
    <w:p w14:paraId="0975227D" w14:textId="77777777"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14:paraId="6DB8D3D3" w14:textId="63FC5396" w:rsidR="003E6B08" w:rsidRDefault="00532972" w:rsidP="00BE11BF">
      <w:pP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ab/>
      </w:r>
      <w:r w:rsidR="00063BC5">
        <w:rPr>
          <w:rFonts w:ascii="Arial" w:hAnsi="Arial" w:cs="Arial"/>
          <w:szCs w:val="24"/>
        </w:rPr>
        <w:t>1</w:t>
      </w:r>
      <w:r w:rsidR="00027E96">
        <w:rPr>
          <w:rFonts w:ascii="Arial" w:hAnsi="Arial" w:cs="Arial"/>
          <w:szCs w:val="24"/>
        </w:rPr>
        <w:t>5</w:t>
      </w:r>
      <w:r w:rsidR="00F94420">
        <w:rPr>
          <w:rFonts w:ascii="Arial" w:hAnsi="Arial" w:cs="Arial"/>
          <w:szCs w:val="24"/>
        </w:rPr>
        <w:t xml:space="preserve"> March 20</w:t>
      </w:r>
      <w:r w:rsidR="00465FA2">
        <w:rPr>
          <w:rFonts w:ascii="Arial" w:hAnsi="Arial" w:cs="Arial"/>
          <w:szCs w:val="24"/>
        </w:rPr>
        <w:t>2</w:t>
      </w:r>
      <w:r w:rsidR="0095796F">
        <w:rPr>
          <w:rFonts w:ascii="Arial" w:hAnsi="Arial" w:cs="Arial"/>
          <w:szCs w:val="24"/>
        </w:rPr>
        <w:t>2</w:t>
      </w:r>
    </w:p>
    <w:p w14:paraId="621F9195" w14:textId="7020F723" w:rsidR="0095796F" w:rsidRDefault="0095796F" w:rsidP="00BE11BF">
      <w:pPr>
        <w:tabs>
          <w:tab w:val="left" w:pos="1701"/>
        </w:tabs>
        <w:rPr>
          <w:rFonts w:ascii="Arial" w:hAnsi="Arial" w:cs="Arial"/>
          <w:szCs w:val="24"/>
        </w:rPr>
      </w:pPr>
    </w:p>
    <w:p w14:paraId="3BB5FD24" w14:textId="398D2568" w:rsidR="0095796F" w:rsidRDefault="0095796F" w:rsidP="00BE11BF">
      <w:pP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Authors:</w:t>
      </w:r>
      <w:r>
        <w:rPr>
          <w:rFonts w:ascii="Arial" w:hAnsi="Arial" w:cs="Arial"/>
          <w:szCs w:val="24"/>
        </w:rPr>
        <w:tab/>
        <w:t>Steve Walsh, Chief Executive</w:t>
      </w:r>
    </w:p>
    <w:p w14:paraId="68C33115" w14:textId="5C796E66" w:rsidR="0095796F" w:rsidRDefault="0095796F" w:rsidP="00BE11BF">
      <w:pP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Neil Johnston, Head of Finance</w:t>
      </w:r>
    </w:p>
    <w:p w14:paraId="7A6F7B4B" w14:textId="77777777" w:rsidR="00532972" w:rsidRDefault="00532972">
      <w:pPr>
        <w:rPr>
          <w:rFonts w:ascii="Arial" w:hAnsi="Arial" w:cs="Arial"/>
          <w:szCs w:val="24"/>
        </w:rPr>
      </w:pPr>
    </w:p>
    <w:p w14:paraId="3F1D368A" w14:textId="77777777" w:rsidR="0095796F" w:rsidRDefault="0095796F">
      <w:pPr>
        <w:rPr>
          <w:rFonts w:ascii="Arial" w:hAnsi="Arial" w:cs="Arial"/>
          <w:szCs w:val="24"/>
        </w:rPr>
      </w:pPr>
    </w:p>
    <w:p w14:paraId="66A32B41" w14:textId="40ACC563" w:rsidR="0095796F" w:rsidRDefault="0095796F">
      <w:pPr>
        <w:rPr>
          <w:rFonts w:ascii="Arial" w:hAnsi="Arial" w:cs="Arial"/>
          <w:szCs w:val="24"/>
        </w:rPr>
        <w:sectPr w:rsidR="0095796F" w:rsidSect="009A632D">
          <w:pgSz w:w="11906" w:h="16838"/>
          <w:pgMar w:top="993" w:right="1440" w:bottom="993" w:left="1440" w:header="720" w:footer="720" w:gutter="0"/>
          <w:cols w:space="720"/>
        </w:sectPr>
      </w:pPr>
    </w:p>
    <w:p w14:paraId="1CBF4225" w14:textId="77777777" w:rsidR="00290EB5" w:rsidRPr="000C795A" w:rsidRDefault="000C795A" w:rsidP="001F5900">
      <w:pPr>
        <w:jc w:val="right"/>
        <w:rPr>
          <w:rFonts w:ascii="Arial" w:hAnsi="Arial" w:cs="Arial"/>
          <w:b/>
          <w:szCs w:val="24"/>
        </w:rPr>
      </w:pPr>
      <w:r w:rsidRPr="000C795A">
        <w:rPr>
          <w:rFonts w:ascii="Arial" w:hAnsi="Arial" w:cs="Arial"/>
          <w:b/>
          <w:szCs w:val="24"/>
        </w:rPr>
        <w:lastRenderedPageBreak/>
        <w:t>APPENDIX A</w:t>
      </w:r>
    </w:p>
    <w:p w14:paraId="2A9E78E6" w14:textId="0F9C161C" w:rsidR="00F16519" w:rsidRDefault="00946923" w:rsidP="00610B8E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Draft Budget (</w:t>
      </w:r>
      <w:r w:rsidR="00A95621">
        <w:rPr>
          <w:rFonts w:ascii="Arial" w:hAnsi="Arial" w:cs="Arial"/>
          <w:b/>
          <w:szCs w:val="24"/>
        </w:rPr>
        <w:t>202</w:t>
      </w:r>
      <w:r w:rsidR="00FB3418">
        <w:rPr>
          <w:rFonts w:ascii="Arial" w:hAnsi="Arial" w:cs="Arial"/>
          <w:b/>
          <w:szCs w:val="24"/>
        </w:rPr>
        <w:t>2</w:t>
      </w:r>
      <w:r w:rsidR="00A95621">
        <w:rPr>
          <w:rFonts w:ascii="Arial" w:hAnsi="Arial" w:cs="Arial"/>
          <w:b/>
          <w:szCs w:val="24"/>
        </w:rPr>
        <w:t>/2</w:t>
      </w:r>
      <w:r w:rsidR="00FB3418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)</w:t>
      </w:r>
    </w:p>
    <w:tbl>
      <w:tblPr>
        <w:tblW w:w="15080" w:type="dxa"/>
        <w:tblLook w:val="04A0" w:firstRow="1" w:lastRow="0" w:firstColumn="1" w:lastColumn="0" w:noHBand="0" w:noVBand="1"/>
      </w:tblPr>
      <w:tblGrid>
        <w:gridCol w:w="1980"/>
        <w:gridCol w:w="1860"/>
        <w:gridCol w:w="2240"/>
        <w:gridCol w:w="1364"/>
        <w:gridCol w:w="1550"/>
        <w:gridCol w:w="1350"/>
        <w:gridCol w:w="1550"/>
        <w:gridCol w:w="1844"/>
        <w:gridCol w:w="1740"/>
      </w:tblGrid>
      <w:tr w:rsidR="007B5F48" w:rsidRPr="007B5F48" w14:paraId="45706A05" w14:textId="77777777" w:rsidTr="007B5F48">
        <w:trPr>
          <w:trHeight w:val="94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5FC4" w14:textId="77777777" w:rsidR="007B5F48" w:rsidRPr="007B5F48" w:rsidRDefault="007B5F48" w:rsidP="007B5F48">
            <w:pPr>
              <w:rPr>
                <w:sz w:val="2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305496"/>
            <w:vAlign w:val="bottom"/>
            <w:hideMark/>
          </w:tcPr>
          <w:p w14:paraId="297AC57C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>Annual Budget (21/22)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E1F2" w:fill="305496"/>
            <w:vAlign w:val="center"/>
            <w:hideMark/>
          </w:tcPr>
          <w:p w14:paraId="65F6F35F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Pressures from unfunded contract costs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305496"/>
            <w:vAlign w:val="center"/>
            <w:hideMark/>
          </w:tcPr>
          <w:p w14:paraId="4DE36EBC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Covid-related pressures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E1F2" w:fill="305496"/>
            <w:vAlign w:val="center"/>
            <w:hideMark/>
          </w:tcPr>
          <w:p w14:paraId="291BF95E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Operational Pressures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305496"/>
            <w:vAlign w:val="center"/>
            <w:hideMark/>
          </w:tcPr>
          <w:p w14:paraId="313A412C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Mitigation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E1F2" w:fill="305496"/>
            <w:vAlign w:val="center"/>
            <w:hideMark/>
          </w:tcPr>
          <w:p w14:paraId="22E30D67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Efficiencies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305496"/>
            <w:vAlign w:val="center"/>
            <w:hideMark/>
          </w:tcPr>
          <w:p w14:paraId="7B85E8C7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Use of Reserves/THC Funding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5B401B9E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>Annual Budget (22/23)</w:t>
            </w:r>
          </w:p>
        </w:tc>
      </w:tr>
      <w:tr w:rsidR="007B5F48" w:rsidRPr="007B5F48" w14:paraId="43002038" w14:textId="77777777" w:rsidTr="007B5F48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A011B2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Adult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7EE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648,849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B8485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29,747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5AE9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9B96C7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2D2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(25,689)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7426DB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4732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2661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652,907 </w:t>
            </w:r>
          </w:p>
        </w:tc>
      </w:tr>
      <w:tr w:rsidR="007B5F48" w:rsidRPr="007B5F48" w14:paraId="020C2DA9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DB08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C82E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(20,582)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535E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2201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4692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3073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645A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897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747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(20,582)</w:t>
            </w:r>
          </w:p>
        </w:tc>
      </w:tr>
      <w:tr w:rsidR="007B5F48" w:rsidRPr="007B5F48" w14:paraId="3F9439DD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6EDC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A5D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58,057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471A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73CD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8AF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F988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A649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E3C1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6DE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58,057 </w:t>
            </w:r>
          </w:p>
        </w:tc>
      </w:tr>
      <w:tr w:rsidR="007B5F48" w:rsidRPr="007B5F48" w14:paraId="4D9A16D0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CA70F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B7C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611,374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4122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29,747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393D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8F30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E1FD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(25,689)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49C48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77E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D661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615,432 </w:t>
            </w:r>
          </w:p>
        </w:tc>
      </w:tr>
      <w:tr w:rsidR="007B5F48" w:rsidRPr="007B5F48" w14:paraId="7A470D90" w14:textId="77777777" w:rsidTr="007B5F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69FFA8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Archives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9E8F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606,267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AC9536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26,783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1A78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357657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E1D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(9,000)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696573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198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3E8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624,050 </w:t>
            </w:r>
          </w:p>
        </w:tc>
      </w:tr>
      <w:tr w:rsidR="007B5F48" w:rsidRPr="007B5F48" w14:paraId="3738EE3A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55AF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E48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(295,086)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F39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547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66A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2503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AB0D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C5B8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64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(295,086)</w:t>
            </w:r>
          </w:p>
        </w:tc>
      </w:tr>
      <w:tr w:rsidR="007B5F48" w:rsidRPr="007B5F48" w14:paraId="5436A4DA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FEE3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1FD0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42,172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1DC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D2A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4F6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A3C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(9,000)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393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19E5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AC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33,172 </w:t>
            </w:r>
          </w:p>
        </w:tc>
      </w:tr>
      <w:tr w:rsidR="007B5F48" w:rsidRPr="007B5F48" w14:paraId="4A430DD3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F277F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06FC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859,181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7AED6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26,783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37E9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CBC43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2F48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5A7F0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604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5A11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885,964 </w:t>
            </w:r>
          </w:p>
        </w:tc>
      </w:tr>
      <w:tr w:rsidR="007B5F48" w:rsidRPr="007B5F48" w14:paraId="1572EA8D" w14:textId="77777777" w:rsidTr="007B5F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7634B8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Arts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1AE3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277,730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01381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7,313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BC8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809582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6B80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CCEE1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(52,724)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AA4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A55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232,319 </w:t>
            </w:r>
          </w:p>
        </w:tc>
      </w:tr>
      <w:tr w:rsidR="007B5F48" w:rsidRPr="007B5F48" w14:paraId="7CE10BEC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E4EF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A21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(33,100)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DDA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CB9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73F1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505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ECF3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10,075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C85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B0C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(23,025)</w:t>
            </w:r>
          </w:p>
        </w:tc>
      </w:tr>
      <w:tr w:rsidR="007B5F48" w:rsidRPr="007B5F48" w14:paraId="1231B1A0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5512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798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73,152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9EF6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0D53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E758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EBAA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CAA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(16,366)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1FBD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82F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56,786 </w:t>
            </w:r>
          </w:p>
        </w:tc>
      </w:tr>
      <w:tr w:rsidR="007B5F48" w:rsidRPr="007B5F48" w14:paraId="1D3B4038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803D2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47B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237,678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6E25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7,313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F98C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356C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3311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1F44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(46,433)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794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B87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198,558 </w:t>
            </w:r>
          </w:p>
        </w:tc>
      </w:tr>
      <w:tr w:rsidR="007B5F48" w:rsidRPr="007B5F48" w14:paraId="592AE578" w14:textId="77777777" w:rsidTr="007B5F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1B6FA7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Facilities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FBD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2,132,619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4813FD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725,632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A32F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1,370,803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08067D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291,987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6A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(640,000)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B9ECDF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(325,667)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FD2D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A33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3,555,374 </w:t>
            </w:r>
          </w:p>
        </w:tc>
      </w:tr>
      <w:tr w:rsidR="007B5F48" w:rsidRPr="007B5F48" w14:paraId="0C31E73F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15DE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C75C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(11,822,553)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C28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(30,346)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D8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1,370,803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8656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64,000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447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78E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(325,667)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32AC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AE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(10,743,763)</w:t>
            </w:r>
          </w:p>
        </w:tc>
      </w:tr>
      <w:tr w:rsidR="007B5F48" w:rsidRPr="007B5F48" w14:paraId="79392712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18E0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40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2,276,863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CE1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6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DA0B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91D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227,987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C7A3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8C96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1E34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5DD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2,504,856 </w:t>
            </w:r>
          </w:p>
        </w:tc>
      </w:tr>
      <w:tr w:rsidR="007B5F48" w:rsidRPr="007B5F48" w14:paraId="52482822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C431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FF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11,678,309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A01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755,972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FEF3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8864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558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(640,000)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A106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965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39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11,794,281 </w:t>
            </w:r>
          </w:p>
        </w:tc>
      </w:tr>
      <w:tr w:rsidR="007B5F48" w:rsidRPr="007B5F48" w14:paraId="435D4EFF" w14:textId="77777777" w:rsidTr="007B5F48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3878FE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Libraries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7D8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3,478,577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8B0C1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142,687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E350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2C51CC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E1DE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(211,200)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C7C490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(46,000)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83A7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987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3,364,064 </w:t>
            </w:r>
          </w:p>
        </w:tc>
      </w:tr>
      <w:tr w:rsidR="007B5F48" w:rsidRPr="007B5F48" w14:paraId="7ECE5588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BFC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BA1A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(104,880)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2C1F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6F57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1A6C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7575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C347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2FF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FBC3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(104,880)</w:t>
            </w:r>
          </w:p>
        </w:tc>
      </w:tr>
      <w:tr w:rsidR="007B5F48" w:rsidRPr="007B5F48" w14:paraId="73D96A0F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3F9C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319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712,795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599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4A6D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1D81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28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(211,200)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863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9A6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85D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501,595 </w:t>
            </w:r>
          </w:p>
        </w:tc>
      </w:tr>
      <w:tr w:rsidR="007B5F48" w:rsidRPr="007B5F48" w14:paraId="66E33066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6C34C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329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2,870,662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3DD8A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142,687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AA16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7D540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C820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63F3A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(46,000)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787A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A31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2,967,349 </w:t>
            </w:r>
          </w:p>
        </w:tc>
      </w:tr>
      <w:tr w:rsidR="007B5F48" w:rsidRPr="007B5F48" w14:paraId="6F9E20B6" w14:textId="77777777" w:rsidTr="007B5F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C495BE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Management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67F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2,749,710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EDAB8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88,498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E9DA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ED368D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7758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B946AF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67A4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BDA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2,838,208 </w:t>
            </w:r>
          </w:p>
        </w:tc>
      </w:tr>
      <w:tr w:rsidR="007B5F48" w:rsidRPr="007B5F48" w14:paraId="43BAB58D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CCEC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54E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(306,238)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B453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(270,205)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9678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238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CDA2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B1E4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6334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808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(576,443)</w:t>
            </w:r>
          </w:p>
        </w:tc>
      </w:tr>
      <w:tr w:rsidR="007B5F48" w:rsidRPr="007B5F48" w14:paraId="30796EE5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BB63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A4A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846,508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4C7E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13,000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75F6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1F54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C5DC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7BC9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B964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66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859,508 </w:t>
            </w:r>
          </w:p>
        </w:tc>
      </w:tr>
      <w:tr w:rsidR="007B5F48" w:rsidRPr="007B5F48" w14:paraId="5B501728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01C3C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09D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2,209,440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EEB2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345,703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13C7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3A69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AF66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4B825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1FFB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D76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2,555,143 </w:t>
            </w:r>
          </w:p>
        </w:tc>
      </w:tr>
    </w:tbl>
    <w:p w14:paraId="58A2722C" w14:textId="77777777" w:rsidR="000B1BAC" w:rsidRDefault="000B1BAC" w:rsidP="00610B8E">
      <w:pPr>
        <w:spacing w:after="200" w:line="276" w:lineRule="auto"/>
        <w:jc w:val="center"/>
        <w:rPr>
          <w:sz w:val="20"/>
        </w:rPr>
      </w:pPr>
      <w:r>
        <w:fldChar w:fldCharType="begin"/>
      </w:r>
      <w:r>
        <w:instrText xml:space="preserve"> LINK Excel.Sheet.12 "Book4" "Sheet4!R1C1:R25C4" \a \f 4 \h </w:instrText>
      </w:r>
      <w:r>
        <w:fldChar w:fldCharType="separate"/>
      </w:r>
    </w:p>
    <w:p w14:paraId="7F291523" w14:textId="79B5E14E" w:rsidR="000B1BAC" w:rsidRDefault="000B1BAC" w:rsidP="00610B8E">
      <w:pPr>
        <w:spacing w:after="200" w:line="276" w:lineRule="auto"/>
        <w:jc w:val="center"/>
      </w:pPr>
      <w:r>
        <w:fldChar w:fldCharType="end"/>
      </w:r>
    </w:p>
    <w:p w14:paraId="5191630C" w14:textId="04B7CAE9" w:rsidR="00E5423E" w:rsidRDefault="00E5423E" w:rsidP="00610B8E">
      <w:pPr>
        <w:spacing w:after="200" w:line="276" w:lineRule="auto"/>
        <w:jc w:val="center"/>
      </w:pPr>
    </w:p>
    <w:tbl>
      <w:tblPr>
        <w:tblW w:w="15080" w:type="dxa"/>
        <w:tblLook w:val="04A0" w:firstRow="1" w:lastRow="0" w:firstColumn="1" w:lastColumn="0" w:noHBand="0" w:noVBand="1"/>
      </w:tblPr>
      <w:tblGrid>
        <w:gridCol w:w="2070"/>
        <w:gridCol w:w="1860"/>
        <w:gridCol w:w="2240"/>
        <w:gridCol w:w="1364"/>
        <w:gridCol w:w="1550"/>
        <w:gridCol w:w="1350"/>
        <w:gridCol w:w="1550"/>
        <w:gridCol w:w="1844"/>
        <w:gridCol w:w="1740"/>
      </w:tblGrid>
      <w:tr w:rsidR="007B5F48" w:rsidRPr="007B5F48" w14:paraId="7F356309" w14:textId="77777777" w:rsidTr="007B5F48">
        <w:trPr>
          <w:trHeight w:val="94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170D" w14:textId="77777777" w:rsidR="007B5F48" w:rsidRPr="007B5F48" w:rsidRDefault="007B5F48" w:rsidP="007B5F48">
            <w:pPr>
              <w:rPr>
                <w:sz w:val="20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305496"/>
            <w:vAlign w:val="bottom"/>
            <w:hideMark/>
          </w:tcPr>
          <w:p w14:paraId="2CB54AC8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>Annual Budget (21/22)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E1F2" w:fill="305496"/>
            <w:vAlign w:val="center"/>
            <w:hideMark/>
          </w:tcPr>
          <w:p w14:paraId="42029447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Pressures from unfunded contract costs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305496"/>
            <w:vAlign w:val="center"/>
            <w:hideMark/>
          </w:tcPr>
          <w:p w14:paraId="77FF356A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Covid-related pressures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E1F2" w:fill="305496"/>
            <w:vAlign w:val="center"/>
            <w:hideMark/>
          </w:tcPr>
          <w:p w14:paraId="14B12A9B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Operational Pressures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305496"/>
            <w:vAlign w:val="center"/>
            <w:hideMark/>
          </w:tcPr>
          <w:p w14:paraId="6BBC42F7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Mitigation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E1F2" w:fill="305496"/>
            <w:vAlign w:val="center"/>
            <w:hideMark/>
          </w:tcPr>
          <w:p w14:paraId="3061E296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Efficiencies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305496"/>
            <w:vAlign w:val="center"/>
            <w:hideMark/>
          </w:tcPr>
          <w:p w14:paraId="363E5ADA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Use of Reserves/THC Funding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1130262E" w14:textId="77777777" w:rsidR="007B5F48" w:rsidRPr="007B5F48" w:rsidRDefault="007B5F48" w:rsidP="007B5F4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FFCC"/>
                <w:szCs w:val="24"/>
              </w:rPr>
              <w:t>Annual Budget (22/23)</w:t>
            </w:r>
          </w:p>
        </w:tc>
      </w:tr>
      <w:tr w:rsidR="007B5F48" w:rsidRPr="007B5F48" w14:paraId="10036D2D" w14:textId="77777777" w:rsidTr="007B5F48">
        <w:trPr>
          <w:trHeight w:val="9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14:paraId="3E25568B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Management Fee/HLH Reserves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D92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(14,514,795)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18920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(43,544)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B663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AFD573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5C52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8E6A77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254E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(1,575,005)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0583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(16,133,344)</w:t>
            </w:r>
          </w:p>
        </w:tc>
      </w:tr>
      <w:tr w:rsidR="007B5F48" w:rsidRPr="007B5F48" w14:paraId="09CEEDF9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0111D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8776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(14,514,795)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29283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(43,544)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5A7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B88BC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99E4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1BAF0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4D60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(1,575,005)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1A9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(16,133,344)</w:t>
            </w:r>
          </w:p>
        </w:tc>
      </w:tr>
      <w:tr w:rsidR="007B5F48" w:rsidRPr="007B5F48" w14:paraId="35E91652" w14:textId="77777777" w:rsidTr="007B5F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8C1823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Museums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D6C6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582,283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EA3E86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51,465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774A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863F3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31,392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854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E192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7CD4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BE1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665,140 </w:t>
            </w:r>
          </w:p>
        </w:tc>
      </w:tr>
      <w:tr w:rsidR="007B5F48" w:rsidRPr="007B5F48" w14:paraId="285B2C14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0861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ABD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(914,605)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6C2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176A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6C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161,000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3F96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2CEA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FB87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40D0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(753,605)</w:t>
            </w:r>
          </w:p>
        </w:tc>
      </w:tr>
      <w:tr w:rsidR="007B5F48" w:rsidRPr="007B5F48" w14:paraId="24A212F4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BDCD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46B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381,046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2A1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0E12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82F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(37,380)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CB18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57EB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A68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D153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343,666 </w:t>
            </w:r>
          </w:p>
        </w:tc>
      </w:tr>
      <w:tr w:rsidR="007B5F48" w:rsidRPr="007B5F48" w14:paraId="6EB4B722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DE26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4AE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1,115,842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60D0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51,465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BD95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BB02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(92,228)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BCC2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32A3B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E569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E0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1,075,079 </w:t>
            </w:r>
          </w:p>
        </w:tc>
      </w:tr>
      <w:tr w:rsidR="007B5F48" w:rsidRPr="007B5F48" w14:paraId="69BBF10E" w14:textId="77777777" w:rsidTr="007B5F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E29654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Music Tuition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B7A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1,411,521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C98B53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58,271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A4E0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AC13C8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F1E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(15,250)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3A51C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FA63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924A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1,454,542 </w:t>
            </w:r>
          </w:p>
        </w:tc>
      </w:tr>
      <w:tr w:rsidR="007B5F48" w:rsidRPr="007B5F48" w14:paraId="167F67BD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8D8F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A13C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(1,594,949)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3F0E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(86,971)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E822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377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C020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8649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5F42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3E6A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(1,681,920)</w:t>
            </w:r>
          </w:p>
        </w:tc>
      </w:tr>
      <w:tr w:rsidR="007B5F48" w:rsidRPr="007B5F48" w14:paraId="6A7827CA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8179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C13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384,734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648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157C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27DC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FD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(15,250)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DA11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6DA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8C33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369,484 </w:t>
            </w:r>
          </w:p>
        </w:tc>
      </w:tr>
      <w:tr w:rsidR="007B5F48" w:rsidRPr="007B5F48" w14:paraId="4333E652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B511E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B27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2,621,736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2F69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145,242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095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63C2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932B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DA607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0001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1FAC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2,766,978 </w:t>
            </w:r>
          </w:p>
        </w:tc>
      </w:tr>
      <w:tr w:rsidR="007B5F48" w:rsidRPr="007B5F48" w14:paraId="64677C08" w14:textId="77777777" w:rsidTr="007B5F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17B3A7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Outdoor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DBA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411,281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1F0C5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34,357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F138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BAD12E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9166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91DF07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FBBD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669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445,638 </w:t>
            </w:r>
          </w:p>
        </w:tc>
      </w:tr>
      <w:tr w:rsidR="007B5F48" w:rsidRPr="007B5F48" w14:paraId="5F46672C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1C30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631C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(422,717)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04D0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58A7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0E9B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279A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09D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26D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177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(422,717)</w:t>
            </w:r>
          </w:p>
        </w:tc>
      </w:tr>
      <w:tr w:rsidR="007B5F48" w:rsidRPr="007B5F48" w14:paraId="4821272D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FF5E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80B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157,015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6523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D159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10C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A7F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B077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7C01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03BC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157,015 </w:t>
            </w:r>
          </w:p>
        </w:tc>
      </w:tr>
      <w:tr w:rsidR="007B5F48" w:rsidRPr="007B5F48" w14:paraId="6C31604D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8C822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919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676,983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78A5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34,357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8EB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B7F64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E802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B75E9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5AD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F301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711,340 </w:t>
            </w:r>
          </w:p>
        </w:tc>
      </w:tr>
      <w:tr w:rsidR="007B5F48" w:rsidRPr="007B5F48" w14:paraId="5ADE3A2B" w14:textId="77777777" w:rsidTr="007B5F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485C3D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Sports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6A2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556,582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0136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61,425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AA8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BAEE02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876F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DD9CD1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E28D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394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618,007 </w:t>
            </w:r>
          </w:p>
        </w:tc>
      </w:tr>
      <w:tr w:rsidR="007B5F48" w:rsidRPr="007B5F48" w14:paraId="33BD9E47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6F5F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4AA2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(1,105,662)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E86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1F5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3598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C918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3E3D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7D8E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90CC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(1,105,662)</w:t>
            </w:r>
          </w:p>
        </w:tc>
      </w:tr>
      <w:tr w:rsidR="007B5F48" w:rsidRPr="007B5F48" w14:paraId="58BA3BF1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DE2A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B8F6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109,668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AF0D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5EF7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EA06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95D0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17CA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884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162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109,668 </w:t>
            </w:r>
          </w:p>
        </w:tc>
      </w:tr>
      <w:tr w:rsidR="007B5F48" w:rsidRPr="007B5F48" w14:paraId="2EDA934D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A76B9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FCE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1,552,576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8F18E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61,425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A7D5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E68A7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9314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439E2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8837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7C26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1,614,001 </w:t>
            </w:r>
          </w:p>
        </w:tc>
      </w:tr>
      <w:tr w:rsidR="007B5F48" w:rsidRPr="007B5F48" w14:paraId="68AA3D65" w14:textId="77777777" w:rsidTr="007B5F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51AE1E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Youthwork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70C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1,659,376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9FEE11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72,624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B402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125C2F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9E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(48,905)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569796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3913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50BD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1,683,095 </w:t>
            </w:r>
          </w:p>
        </w:tc>
      </w:tr>
      <w:tr w:rsidR="007B5F48" w:rsidRPr="007B5F48" w14:paraId="57B02DFC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4A9E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8411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(58,492)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2C8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4BA1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25D8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BEC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0842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859A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0C34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(58,492)</w:t>
            </w:r>
          </w:p>
        </w:tc>
      </w:tr>
      <w:tr w:rsidR="007B5F48" w:rsidRPr="007B5F48" w14:paraId="6E4112C1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0992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E48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100,487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FB9E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9772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B760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91E0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1A75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03C6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93C7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100,487 </w:t>
            </w:r>
          </w:p>
        </w:tc>
      </w:tr>
      <w:tr w:rsidR="007B5F48" w:rsidRPr="007B5F48" w14:paraId="4A9C4CA4" w14:textId="77777777" w:rsidTr="007B5F4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971AB" w14:textId="77777777" w:rsidR="007B5F48" w:rsidRPr="007B5F48" w:rsidRDefault="007B5F48" w:rsidP="007B5F48">
            <w:pPr>
              <w:ind w:firstLineChars="100" w:firstLine="240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B31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1,617,381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7A20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72,624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080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0A526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9D2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FF0000"/>
                <w:szCs w:val="24"/>
              </w:rPr>
              <w:t>(48,905)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61F8F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9FEA" w14:textId="77777777" w:rsidR="007B5F48" w:rsidRPr="007B5F48" w:rsidRDefault="007B5F48" w:rsidP="007B5F48">
            <w:pPr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D49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7B5F48">
              <w:rPr>
                <w:rFonts w:ascii="Arial" w:hAnsi="Arial" w:cs="Arial"/>
                <w:color w:val="000000"/>
                <w:szCs w:val="24"/>
              </w:rPr>
              <w:t xml:space="preserve">1,641,100 </w:t>
            </w:r>
          </w:p>
        </w:tc>
      </w:tr>
      <w:tr w:rsidR="007B5F48" w:rsidRPr="007B5F48" w14:paraId="54A5C437" w14:textId="77777777" w:rsidTr="007B5F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E1F2" w:fill="F2F2F2"/>
            <w:noWrap/>
            <w:vAlign w:val="bottom"/>
            <w:hideMark/>
          </w:tcPr>
          <w:p w14:paraId="69351ACC" w14:textId="77777777" w:rsidR="007B5F48" w:rsidRPr="007B5F48" w:rsidRDefault="007B5F48" w:rsidP="007B5F4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>Surplus/</w:t>
            </w: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(Deficit)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2018A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2611E785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1,255,258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EBB1BC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1,370,803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480E39A9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323,379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6E35B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(950,044)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3D0D078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(424,391)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E6AE58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FF0000"/>
                <w:szCs w:val="24"/>
              </w:rPr>
              <w:t>(1,575,005)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BB39D1" w14:textId="77777777" w:rsidR="007B5F48" w:rsidRPr="007B5F48" w:rsidRDefault="007B5F48" w:rsidP="007B5F4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B5F4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</w:tr>
    </w:tbl>
    <w:p w14:paraId="19EFF63B" w14:textId="25C60802" w:rsidR="00E5423E" w:rsidRDefault="00E5423E" w:rsidP="00610B8E">
      <w:pPr>
        <w:spacing w:after="200" w:line="276" w:lineRule="auto"/>
        <w:jc w:val="center"/>
      </w:pPr>
    </w:p>
    <w:p w14:paraId="7E72EDF3" w14:textId="24C1D959" w:rsidR="007B5F48" w:rsidRDefault="007B5F48" w:rsidP="003D3C03">
      <w:pPr>
        <w:spacing w:after="200" w:line="276" w:lineRule="auto"/>
        <w:jc w:val="right"/>
        <w:rPr>
          <w:rFonts w:ascii="Arial" w:hAnsi="Arial" w:cs="Arial"/>
          <w:b/>
          <w:szCs w:val="24"/>
          <w:highlight w:val="yellow"/>
        </w:rPr>
        <w:sectPr w:rsidR="007B5F48" w:rsidSect="007B5F48">
          <w:pgSz w:w="16838" w:h="11906" w:orient="landscape" w:code="9"/>
          <w:pgMar w:top="992" w:right="992" w:bottom="567" w:left="851" w:header="720" w:footer="720" w:gutter="0"/>
          <w:cols w:space="720"/>
          <w:docGrid w:linePitch="326"/>
        </w:sectPr>
      </w:pPr>
    </w:p>
    <w:p w14:paraId="1A1F6C2E" w14:textId="0532765E" w:rsidR="004F57A9" w:rsidRPr="00600CC8" w:rsidRDefault="00950E0C" w:rsidP="00A2178B">
      <w:pPr>
        <w:spacing w:before="86"/>
        <w:ind w:left="7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PRESSURES AND SAVINGS                        </w:t>
      </w:r>
      <w:r w:rsidR="00600CC8">
        <w:rPr>
          <w:rFonts w:ascii="Arial" w:hAnsi="Arial" w:cs="Arial"/>
          <w:b/>
          <w:szCs w:val="24"/>
        </w:rPr>
        <w:t xml:space="preserve">                                                  </w:t>
      </w:r>
      <w:r w:rsidR="00600CC8" w:rsidRPr="00600CC8">
        <w:rPr>
          <w:rFonts w:ascii="Arial" w:hAnsi="Arial" w:cs="Arial"/>
          <w:b/>
          <w:szCs w:val="24"/>
        </w:rPr>
        <w:t>APPENDIX B</w:t>
      </w:r>
    </w:p>
    <w:p w14:paraId="182E75F2" w14:textId="77777777" w:rsidR="004F57A9" w:rsidRPr="0018607E" w:rsidRDefault="004F57A9" w:rsidP="0018607E">
      <w:pPr>
        <w:rPr>
          <w:rFonts w:ascii="Arial" w:eastAsia="Calibri" w:hAnsi="Arial" w:cs="Arial"/>
          <w:sz w:val="18"/>
          <w:lang w:eastAsia="en-US"/>
        </w:rPr>
      </w:pPr>
    </w:p>
    <w:tbl>
      <w:tblPr>
        <w:tblW w:w="7060" w:type="dxa"/>
        <w:tblLook w:val="04A0" w:firstRow="1" w:lastRow="0" w:firstColumn="1" w:lastColumn="0" w:noHBand="0" w:noVBand="1"/>
      </w:tblPr>
      <w:tblGrid>
        <w:gridCol w:w="5620"/>
        <w:gridCol w:w="1440"/>
      </w:tblGrid>
      <w:tr w:rsidR="00E5423E" w:rsidRPr="00E5423E" w14:paraId="36DCC859" w14:textId="77777777" w:rsidTr="00E5423E">
        <w:trPr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DF35DD0" w14:textId="77777777" w:rsidR="00E5423E" w:rsidRPr="00E5423E" w:rsidRDefault="00E5423E" w:rsidP="00E5423E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FFFFCC"/>
                <w:szCs w:val="24"/>
              </w:rPr>
              <w:t>Pressures from unfunded contract costs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C62D6F2" w14:textId="77777777" w:rsidR="00E5423E" w:rsidRPr="00E5423E" w:rsidRDefault="00E5423E" w:rsidP="00E5423E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(£) </w:t>
            </w:r>
          </w:p>
        </w:tc>
      </w:tr>
      <w:tr w:rsidR="00E5423E" w:rsidRPr="00E5423E" w14:paraId="4A0A29DA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CE48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Service Fee Increase (0.3%)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72BB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color w:val="FFFFCC"/>
                <w:szCs w:val="24"/>
              </w:rPr>
            </w:pPr>
            <w:r w:rsidRPr="00E5423E">
              <w:rPr>
                <w:rFonts w:ascii="Arial" w:hAnsi="Arial" w:cs="Arial"/>
                <w:color w:val="FF0000"/>
                <w:szCs w:val="24"/>
              </w:rPr>
              <w:t>(43,544)</w:t>
            </w:r>
          </w:p>
        </w:tc>
      </w:tr>
      <w:tr w:rsidR="00E5423E" w:rsidRPr="00E5423E" w14:paraId="6B37E617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79B3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Additional 21/22 Pay Award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71E9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362,142 </w:t>
            </w:r>
          </w:p>
        </w:tc>
      </w:tr>
      <w:tr w:rsidR="00E5423E" w:rsidRPr="00E5423E" w14:paraId="3AD5A0FA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E73B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22/23 Pay Award (3%)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AB68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791,501 </w:t>
            </w:r>
          </w:p>
        </w:tc>
      </w:tr>
      <w:tr w:rsidR="00E5423E" w:rsidRPr="00E5423E" w14:paraId="7CDAFE61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7BC0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Additional National Insurance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41ED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145,159 </w:t>
            </w:r>
          </w:p>
        </w:tc>
      </w:tr>
      <w:tr w:rsidR="00E5423E" w:rsidRPr="00E5423E" w14:paraId="06060BB2" w14:textId="77777777" w:rsidTr="00E5423E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5DD4E8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BDCA48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1,255,258 </w:t>
            </w:r>
          </w:p>
        </w:tc>
      </w:tr>
      <w:tr w:rsidR="00E5423E" w:rsidRPr="00E5423E" w14:paraId="08CF60FF" w14:textId="77777777" w:rsidTr="00E5423E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4F7B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4F4C8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E5423E" w:rsidRPr="00E5423E" w14:paraId="02ECD9E4" w14:textId="77777777" w:rsidTr="00E5423E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6C8BCEE" w14:textId="77777777" w:rsidR="00E5423E" w:rsidRPr="00E5423E" w:rsidRDefault="00E5423E" w:rsidP="00E5423E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FFFFCC"/>
                <w:szCs w:val="24"/>
              </w:rPr>
              <w:t>Covid-related pressures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E04A2F8" w14:textId="77777777" w:rsidR="00E5423E" w:rsidRPr="00E5423E" w:rsidRDefault="00E5423E" w:rsidP="00E5423E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(£) </w:t>
            </w:r>
          </w:p>
        </w:tc>
      </w:tr>
      <w:tr w:rsidR="00E5423E" w:rsidRPr="00E5423E" w14:paraId="60147552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27B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Loss of </w:t>
            </w:r>
            <w:r w:rsidRPr="00883ECA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High</w:t>
            </w:r>
            <w:r w:rsidRPr="00883ECA">
              <w:rPr>
                <w:rFonts w:ascii="Arial" w:hAnsi="Arial" w:cs="Arial"/>
                <w:i/>
                <w:iCs/>
                <w:color w:val="000000"/>
                <w:szCs w:val="24"/>
              </w:rPr>
              <w:t>life</w:t>
            </w:r>
            <w:r w:rsidRPr="00E5423E">
              <w:rPr>
                <w:rFonts w:ascii="Arial" w:hAnsi="Arial" w:cs="Arial"/>
                <w:color w:val="000000"/>
                <w:szCs w:val="24"/>
              </w:rPr>
              <w:t xml:space="preserve"> Income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EA6E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778,000 </w:t>
            </w:r>
          </w:p>
        </w:tc>
      </w:tr>
      <w:tr w:rsidR="00E5423E" w:rsidRPr="00E5423E" w14:paraId="16DBF463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B245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Loss of Other Income (Leisure)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AEA0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592,803 </w:t>
            </w:r>
          </w:p>
        </w:tc>
      </w:tr>
      <w:tr w:rsidR="00E5423E" w:rsidRPr="00E5423E" w14:paraId="44FD2B07" w14:textId="77777777" w:rsidTr="00E5423E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3B3FA7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59A4B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1,370,803 </w:t>
            </w:r>
          </w:p>
        </w:tc>
      </w:tr>
      <w:tr w:rsidR="00E5423E" w:rsidRPr="00E5423E" w14:paraId="396384E2" w14:textId="77777777" w:rsidTr="00E5423E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8814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4D9F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E5423E" w:rsidRPr="00E5423E" w14:paraId="0C10D15E" w14:textId="77777777" w:rsidTr="00E5423E">
        <w:trPr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9EDADD1" w14:textId="77777777" w:rsidR="00E5423E" w:rsidRPr="00E5423E" w:rsidRDefault="00E5423E" w:rsidP="00E5423E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FFFFCC"/>
                <w:szCs w:val="24"/>
              </w:rPr>
              <w:t>Operational Pressures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E31EAFD" w14:textId="77777777" w:rsidR="00E5423E" w:rsidRPr="00E5423E" w:rsidRDefault="00E5423E" w:rsidP="00E5423E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(£) </w:t>
            </w:r>
          </w:p>
        </w:tc>
      </w:tr>
      <w:tr w:rsidR="00E5423E" w:rsidRPr="00E5423E" w14:paraId="06007BB7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486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Business Critical Operational Costs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6D6B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227,987 </w:t>
            </w:r>
          </w:p>
        </w:tc>
      </w:tr>
      <w:tr w:rsidR="00E5423E" w:rsidRPr="00E5423E" w14:paraId="53D7D627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C6CA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Castle Viewpoint Loss of Income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0CC6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31,392 </w:t>
            </w:r>
          </w:p>
        </w:tc>
      </w:tr>
      <w:tr w:rsidR="00E5423E" w:rsidRPr="00E5423E" w14:paraId="73F0FD04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8849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Macdonald Aviemore Resort Swimming Pool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480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64,000 </w:t>
            </w:r>
          </w:p>
        </w:tc>
      </w:tr>
      <w:tr w:rsidR="00E5423E" w:rsidRPr="00E5423E" w14:paraId="0520CC9F" w14:textId="77777777" w:rsidTr="00E5423E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277D55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0021E3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323,379 </w:t>
            </w:r>
          </w:p>
        </w:tc>
      </w:tr>
      <w:tr w:rsidR="00E5423E" w:rsidRPr="00E5423E" w14:paraId="7E030C61" w14:textId="77777777" w:rsidTr="00E5423E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A5B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408C" w14:textId="77777777" w:rsidR="00E5423E" w:rsidRPr="00E5423E" w:rsidRDefault="00E5423E" w:rsidP="00E5423E">
            <w:pPr>
              <w:rPr>
                <w:sz w:val="20"/>
              </w:rPr>
            </w:pPr>
          </w:p>
        </w:tc>
      </w:tr>
      <w:tr w:rsidR="00E5423E" w:rsidRPr="00E5423E" w14:paraId="39DD9476" w14:textId="77777777" w:rsidTr="00E5423E">
        <w:trPr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FED70E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>Total Pressure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8D0AA1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2,949,440 </w:t>
            </w:r>
          </w:p>
        </w:tc>
      </w:tr>
      <w:tr w:rsidR="00E5423E" w:rsidRPr="00E5423E" w14:paraId="089203F4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41C5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E04E" w14:textId="77777777" w:rsidR="00E5423E" w:rsidRPr="00E5423E" w:rsidRDefault="00E5423E" w:rsidP="00E5423E">
            <w:pPr>
              <w:rPr>
                <w:sz w:val="20"/>
              </w:rPr>
            </w:pPr>
          </w:p>
        </w:tc>
      </w:tr>
      <w:tr w:rsidR="00E5423E" w:rsidRPr="00E5423E" w14:paraId="7BE3261E" w14:textId="77777777" w:rsidTr="00E5423E">
        <w:trPr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4AE659B" w14:textId="77777777" w:rsidR="00E5423E" w:rsidRPr="00E5423E" w:rsidRDefault="00E5423E" w:rsidP="00E5423E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FFFFCC"/>
                <w:szCs w:val="24"/>
              </w:rPr>
              <w:t>Mitigation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17CCD78" w14:textId="77777777" w:rsidR="00E5423E" w:rsidRPr="00E5423E" w:rsidRDefault="00E5423E" w:rsidP="00E5423E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(£) </w:t>
            </w:r>
          </w:p>
        </w:tc>
      </w:tr>
      <w:tr w:rsidR="00E5423E" w:rsidRPr="00E5423E" w14:paraId="4200EEAE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4F93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Staff Costs (reduced opening hours - Leisure)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8BD9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640,000 </w:t>
            </w:r>
          </w:p>
        </w:tc>
      </w:tr>
      <w:tr w:rsidR="00E5423E" w:rsidRPr="00E5423E" w14:paraId="7ECF0DFC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63CD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Libraries Resource Fund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7A1A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211,200 </w:t>
            </w:r>
          </w:p>
        </w:tc>
      </w:tr>
      <w:tr w:rsidR="00E5423E" w:rsidRPr="00E5423E" w14:paraId="2FCC90D9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74E1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Musical Equipment &amp; Repairs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D127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15,250 </w:t>
            </w:r>
          </w:p>
        </w:tc>
      </w:tr>
      <w:tr w:rsidR="00E5423E" w:rsidRPr="00E5423E" w14:paraId="58B4B051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99D7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Youthwork Sessional Budget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B21C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48,905 </w:t>
            </w:r>
          </w:p>
        </w:tc>
      </w:tr>
      <w:tr w:rsidR="00E5423E" w:rsidRPr="00E5423E" w14:paraId="6DB8523F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EC98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Adult Sessional Budget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3C8B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25,689 </w:t>
            </w:r>
          </w:p>
        </w:tc>
      </w:tr>
      <w:tr w:rsidR="00E5423E" w:rsidRPr="00E5423E" w14:paraId="12C412AC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2C1A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Archives Operating Costs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CCF8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9,000 </w:t>
            </w:r>
          </w:p>
        </w:tc>
      </w:tr>
      <w:tr w:rsidR="00E5423E" w:rsidRPr="00E5423E" w14:paraId="2B2E1F61" w14:textId="77777777" w:rsidTr="00E5423E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0D1C64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06DBE2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     950,044 </w:t>
            </w:r>
          </w:p>
        </w:tc>
      </w:tr>
      <w:tr w:rsidR="00E5423E" w:rsidRPr="00E5423E" w14:paraId="4CBE7B3F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A182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C6D4" w14:textId="77777777" w:rsidR="00E5423E" w:rsidRPr="00E5423E" w:rsidRDefault="00E5423E" w:rsidP="00E5423E">
            <w:pPr>
              <w:rPr>
                <w:sz w:val="20"/>
              </w:rPr>
            </w:pPr>
          </w:p>
        </w:tc>
      </w:tr>
      <w:tr w:rsidR="00E5423E" w:rsidRPr="00E5423E" w14:paraId="0964743B" w14:textId="77777777" w:rsidTr="00E5423E">
        <w:trPr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28AFD9F" w14:textId="77777777" w:rsidR="00E5423E" w:rsidRPr="00E5423E" w:rsidRDefault="00E5423E" w:rsidP="00E5423E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FFFFCC"/>
                <w:szCs w:val="24"/>
              </w:rPr>
              <w:t>Efficiencies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9309F84" w14:textId="77777777" w:rsidR="00E5423E" w:rsidRPr="00E5423E" w:rsidRDefault="00E5423E" w:rsidP="00E5423E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(£) </w:t>
            </w:r>
          </w:p>
        </w:tc>
      </w:tr>
      <w:tr w:rsidR="00E5423E" w:rsidRPr="00E5423E" w14:paraId="329B5569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B6C6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Creative Learning Post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C4BD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52,724 </w:t>
            </w:r>
          </w:p>
        </w:tc>
      </w:tr>
      <w:tr w:rsidR="00E5423E" w:rsidRPr="00E5423E" w14:paraId="57FBC017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7351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Increased Catering Income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998F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53,667 </w:t>
            </w:r>
          </w:p>
        </w:tc>
      </w:tr>
      <w:tr w:rsidR="00E5423E" w:rsidRPr="00E5423E" w14:paraId="55E85E09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1495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Senior Network Librarian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9D5B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26,000 </w:t>
            </w:r>
          </w:p>
        </w:tc>
      </w:tr>
      <w:tr w:rsidR="00E5423E" w:rsidRPr="00E5423E" w14:paraId="764EDD38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F07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Leisure Price Increases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6EA1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65,000 </w:t>
            </w:r>
          </w:p>
        </w:tc>
      </w:tr>
      <w:tr w:rsidR="00E5423E" w:rsidRPr="00E5423E" w14:paraId="0DB48969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992A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883ECA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High</w:t>
            </w:r>
            <w:r w:rsidRPr="00883ECA">
              <w:rPr>
                <w:rFonts w:ascii="Arial" w:hAnsi="Arial" w:cs="Arial"/>
                <w:i/>
                <w:iCs/>
                <w:color w:val="000000"/>
                <w:szCs w:val="24"/>
              </w:rPr>
              <w:t>life</w:t>
            </w:r>
            <w:r w:rsidRPr="00E5423E">
              <w:rPr>
                <w:rFonts w:ascii="Arial" w:hAnsi="Arial" w:cs="Arial"/>
                <w:color w:val="000000"/>
                <w:szCs w:val="24"/>
              </w:rPr>
              <w:t xml:space="preserve"> price increase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C8C9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207,000 </w:t>
            </w:r>
          </w:p>
        </w:tc>
      </w:tr>
      <w:tr w:rsidR="00E5423E" w:rsidRPr="00E5423E" w14:paraId="1566306F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3212" w14:textId="77777777" w:rsidR="00E5423E" w:rsidRPr="00E5423E" w:rsidRDefault="00E5423E" w:rsidP="00E5423E">
            <w:pPr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>Libraries Staff Costs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CDD4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E5423E">
              <w:rPr>
                <w:rFonts w:ascii="Arial" w:hAnsi="Arial" w:cs="Arial"/>
                <w:color w:val="000000"/>
                <w:szCs w:val="24"/>
              </w:rPr>
              <w:t xml:space="preserve">20,000 </w:t>
            </w:r>
          </w:p>
        </w:tc>
      </w:tr>
      <w:tr w:rsidR="00E5423E" w:rsidRPr="00E5423E" w14:paraId="195CF747" w14:textId="77777777" w:rsidTr="00E5423E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5CD3E4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3982D4" w14:textId="146CB6E7" w:rsidR="00E5423E" w:rsidRPr="00E5423E" w:rsidRDefault="00E5423E" w:rsidP="00510FC7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     </w:t>
            </w:r>
            <w:r w:rsidR="00510FC7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      </w:t>
            </w: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424,391 </w:t>
            </w:r>
          </w:p>
        </w:tc>
      </w:tr>
      <w:tr w:rsidR="00E5423E" w:rsidRPr="00E5423E" w14:paraId="19F0C234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26BA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6F6F" w14:textId="77777777" w:rsidR="00E5423E" w:rsidRPr="00E5423E" w:rsidRDefault="00E5423E" w:rsidP="00E5423E">
            <w:pPr>
              <w:rPr>
                <w:sz w:val="20"/>
              </w:rPr>
            </w:pPr>
          </w:p>
        </w:tc>
      </w:tr>
      <w:tr w:rsidR="00E5423E" w:rsidRPr="00E5423E" w14:paraId="76C5E457" w14:textId="77777777" w:rsidTr="00E5423E">
        <w:trPr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57064E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>Total Mitigation &amp; Efficiencies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99A7C4" w14:textId="77777777" w:rsidR="00E5423E" w:rsidRPr="00E5423E" w:rsidRDefault="00E5423E" w:rsidP="00510FC7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  1,374,435 </w:t>
            </w:r>
          </w:p>
        </w:tc>
      </w:tr>
      <w:tr w:rsidR="00E5423E" w:rsidRPr="00E5423E" w14:paraId="487B485E" w14:textId="77777777" w:rsidTr="00E542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CB27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6039" w14:textId="77777777" w:rsidR="00E5423E" w:rsidRPr="00E5423E" w:rsidRDefault="00E5423E" w:rsidP="00E5423E">
            <w:pPr>
              <w:rPr>
                <w:sz w:val="20"/>
              </w:rPr>
            </w:pPr>
          </w:p>
        </w:tc>
      </w:tr>
      <w:tr w:rsidR="00E5423E" w:rsidRPr="00E5423E" w14:paraId="45BAECAD" w14:textId="77777777" w:rsidTr="00E5423E">
        <w:trPr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9419F0" w14:textId="77777777" w:rsidR="00E5423E" w:rsidRPr="00E5423E" w:rsidRDefault="00E5423E" w:rsidP="00E5423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>Net Pressure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B3D339" w14:textId="77777777" w:rsidR="00E5423E" w:rsidRPr="00E5423E" w:rsidRDefault="00E5423E" w:rsidP="00E5423E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5423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1,575,005 </w:t>
            </w:r>
          </w:p>
        </w:tc>
      </w:tr>
    </w:tbl>
    <w:p w14:paraId="119041B5" w14:textId="19BCA6ED" w:rsidR="00E312A7" w:rsidRPr="00C34952" w:rsidRDefault="00E312A7" w:rsidP="00487390">
      <w:pPr>
        <w:jc w:val="both"/>
        <w:rPr>
          <w:rFonts w:ascii="Arial" w:hAnsi="Arial" w:cs="Arial"/>
          <w:szCs w:val="24"/>
        </w:rPr>
      </w:pPr>
    </w:p>
    <w:sectPr w:rsidR="00E312A7" w:rsidRPr="00C34952" w:rsidSect="006302BD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DBE46" w14:textId="77777777" w:rsidR="00487390" w:rsidRDefault="00487390">
      <w:r>
        <w:separator/>
      </w:r>
    </w:p>
  </w:endnote>
  <w:endnote w:type="continuationSeparator" w:id="0">
    <w:p w14:paraId="5BA27A79" w14:textId="77777777" w:rsidR="00487390" w:rsidRDefault="0048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4E5A3" w14:textId="77777777" w:rsidR="00487390" w:rsidRDefault="00487390">
      <w:r>
        <w:separator/>
      </w:r>
    </w:p>
  </w:footnote>
  <w:footnote w:type="continuationSeparator" w:id="0">
    <w:p w14:paraId="6D2C0660" w14:textId="77777777" w:rsidR="00487390" w:rsidRDefault="0048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240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D4C0E"/>
    <w:multiLevelType w:val="hybridMultilevel"/>
    <w:tmpl w:val="03427A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6BB6"/>
    <w:multiLevelType w:val="hybridMultilevel"/>
    <w:tmpl w:val="5DA0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43F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46345E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83C70"/>
    <w:multiLevelType w:val="multilevel"/>
    <w:tmpl w:val="42AAE7A4"/>
    <w:lvl w:ilvl="0">
      <w:start w:val="5"/>
      <w:numFmt w:val="decimal"/>
      <w:lvlText w:val="%1"/>
      <w:lvlJc w:val="left"/>
      <w:pPr>
        <w:ind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4"/>
      </w:pPr>
      <w:rPr>
        <w:rFonts w:ascii="Arial" w:eastAsia="Arial" w:hAnsi="Arial" w:hint="default"/>
        <w:color w:val="313131"/>
        <w:w w:val="95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FA25C58"/>
    <w:multiLevelType w:val="hybridMultilevel"/>
    <w:tmpl w:val="D6622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68B3"/>
    <w:multiLevelType w:val="hybridMultilevel"/>
    <w:tmpl w:val="3D44BB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52B5A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BD528C"/>
    <w:multiLevelType w:val="hybridMultilevel"/>
    <w:tmpl w:val="8F263A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C0D24"/>
    <w:multiLevelType w:val="hybridMultilevel"/>
    <w:tmpl w:val="3F4EFC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2E0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580BFD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DD5DDF"/>
    <w:multiLevelType w:val="hybridMultilevel"/>
    <w:tmpl w:val="BA4680CC"/>
    <w:lvl w:ilvl="0" w:tplc="73482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F01D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D23D1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B4201A"/>
    <w:multiLevelType w:val="hybridMultilevel"/>
    <w:tmpl w:val="3D44BB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742D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EE098D"/>
    <w:multiLevelType w:val="hybridMultilevel"/>
    <w:tmpl w:val="12DCCB7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13607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7E557F"/>
    <w:multiLevelType w:val="hybridMultilevel"/>
    <w:tmpl w:val="A88ED9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16495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1C0C95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CF4A08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821C66"/>
    <w:multiLevelType w:val="hybridMultilevel"/>
    <w:tmpl w:val="35382B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2187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B92C72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F709A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34247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E237E6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56749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FA54E2"/>
    <w:multiLevelType w:val="multilevel"/>
    <w:tmpl w:val="26A61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3B5B72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503580"/>
    <w:multiLevelType w:val="hybridMultilevel"/>
    <w:tmpl w:val="B2CEF9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1263C"/>
    <w:multiLevelType w:val="hybridMultilevel"/>
    <w:tmpl w:val="53627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77442"/>
    <w:multiLevelType w:val="hybridMultilevel"/>
    <w:tmpl w:val="A412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E3A6D"/>
    <w:multiLevelType w:val="multilevel"/>
    <w:tmpl w:val="8AD80F7A"/>
    <w:lvl w:ilvl="0">
      <w:start w:val="4"/>
      <w:numFmt w:val="decimal"/>
      <w:lvlText w:val="%1"/>
      <w:lvlJc w:val="left"/>
      <w:pPr>
        <w:ind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5"/>
      </w:pPr>
      <w:rPr>
        <w:rFonts w:ascii="Arial" w:eastAsia="Arial" w:hAnsi="Arial" w:hint="default"/>
        <w:color w:val="313131"/>
        <w:w w:val="9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42B6BED"/>
    <w:multiLevelType w:val="hybridMultilevel"/>
    <w:tmpl w:val="6EAA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8"/>
  </w:num>
  <w:num w:numId="2">
    <w:abstractNumId w:val="32"/>
  </w:num>
  <w:num w:numId="3">
    <w:abstractNumId w:val="22"/>
  </w:num>
  <w:num w:numId="4">
    <w:abstractNumId w:val="25"/>
  </w:num>
  <w:num w:numId="5">
    <w:abstractNumId w:val="8"/>
  </w:num>
  <w:num w:numId="6">
    <w:abstractNumId w:val="39"/>
  </w:num>
  <w:num w:numId="7">
    <w:abstractNumId w:val="29"/>
  </w:num>
  <w:num w:numId="8">
    <w:abstractNumId w:val="14"/>
  </w:num>
  <w:num w:numId="9">
    <w:abstractNumId w:val="27"/>
  </w:num>
  <w:num w:numId="10">
    <w:abstractNumId w:val="4"/>
  </w:num>
  <w:num w:numId="11">
    <w:abstractNumId w:val="35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11"/>
  </w:num>
  <w:num w:numId="17">
    <w:abstractNumId w:val="0"/>
  </w:num>
  <w:num w:numId="18">
    <w:abstractNumId w:val="15"/>
  </w:num>
  <w:num w:numId="19">
    <w:abstractNumId w:val="23"/>
  </w:num>
  <w:num w:numId="20">
    <w:abstractNumId w:val="36"/>
  </w:num>
  <w:num w:numId="21">
    <w:abstractNumId w:val="5"/>
  </w:num>
  <w:num w:numId="22">
    <w:abstractNumId w:val="12"/>
  </w:num>
  <w:num w:numId="23">
    <w:abstractNumId w:val="28"/>
  </w:num>
  <w:num w:numId="24">
    <w:abstractNumId w:val="3"/>
  </w:num>
  <w:num w:numId="25">
    <w:abstractNumId w:val="26"/>
  </w:num>
  <w:num w:numId="26">
    <w:abstractNumId w:val="21"/>
  </w:num>
  <w:num w:numId="27">
    <w:abstractNumId w:val="30"/>
  </w:num>
  <w:num w:numId="28">
    <w:abstractNumId w:val="13"/>
  </w:num>
  <w:num w:numId="29">
    <w:abstractNumId w:val="7"/>
  </w:num>
  <w:num w:numId="30">
    <w:abstractNumId w:val="33"/>
  </w:num>
  <w:num w:numId="31">
    <w:abstractNumId w:val="10"/>
  </w:num>
  <w:num w:numId="32">
    <w:abstractNumId w:val="24"/>
  </w:num>
  <w:num w:numId="33">
    <w:abstractNumId w:val="2"/>
  </w:num>
  <w:num w:numId="34">
    <w:abstractNumId w:val="6"/>
  </w:num>
  <w:num w:numId="35">
    <w:abstractNumId w:val="37"/>
  </w:num>
  <w:num w:numId="36">
    <w:abstractNumId w:val="1"/>
  </w:num>
  <w:num w:numId="37">
    <w:abstractNumId w:val="34"/>
  </w:num>
  <w:num w:numId="38">
    <w:abstractNumId w:val="16"/>
  </w:num>
  <w:num w:numId="39">
    <w:abstractNumId w:val="9"/>
  </w:num>
  <w:num w:numId="40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01099"/>
    <w:rsid w:val="00021B6F"/>
    <w:rsid w:val="00021E36"/>
    <w:rsid w:val="00023E37"/>
    <w:rsid w:val="000261C0"/>
    <w:rsid w:val="00027E96"/>
    <w:rsid w:val="00030352"/>
    <w:rsid w:val="00031D1E"/>
    <w:rsid w:val="00037F60"/>
    <w:rsid w:val="000416F8"/>
    <w:rsid w:val="0005207E"/>
    <w:rsid w:val="00054DE1"/>
    <w:rsid w:val="000551EE"/>
    <w:rsid w:val="0006140B"/>
    <w:rsid w:val="00063893"/>
    <w:rsid w:val="00063BC5"/>
    <w:rsid w:val="00080CDD"/>
    <w:rsid w:val="000A6C7B"/>
    <w:rsid w:val="000A71BA"/>
    <w:rsid w:val="000B0A7F"/>
    <w:rsid w:val="000B1BAC"/>
    <w:rsid w:val="000B359E"/>
    <w:rsid w:val="000B45B6"/>
    <w:rsid w:val="000B6F5B"/>
    <w:rsid w:val="000C795A"/>
    <w:rsid w:val="000D5DA0"/>
    <w:rsid w:val="000E2895"/>
    <w:rsid w:val="000F274B"/>
    <w:rsid w:val="000F29AC"/>
    <w:rsid w:val="000F6071"/>
    <w:rsid w:val="00100A94"/>
    <w:rsid w:val="00102BA1"/>
    <w:rsid w:val="00103AC5"/>
    <w:rsid w:val="00104179"/>
    <w:rsid w:val="0010458D"/>
    <w:rsid w:val="00104C06"/>
    <w:rsid w:val="001072B4"/>
    <w:rsid w:val="00112DBF"/>
    <w:rsid w:val="00131281"/>
    <w:rsid w:val="00144B3B"/>
    <w:rsid w:val="00146E76"/>
    <w:rsid w:val="001575A7"/>
    <w:rsid w:val="001609AA"/>
    <w:rsid w:val="001641A6"/>
    <w:rsid w:val="00165861"/>
    <w:rsid w:val="00167E3E"/>
    <w:rsid w:val="00170110"/>
    <w:rsid w:val="001766FB"/>
    <w:rsid w:val="0018607E"/>
    <w:rsid w:val="001867B9"/>
    <w:rsid w:val="00186D8B"/>
    <w:rsid w:val="001B7F3F"/>
    <w:rsid w:val="001C3077"/>
    <w:rsid w:val="001C3572"/>
    <w:rsid w:val="001C4993"/>
    <w:rsid w:val="001C4B5C"/>
    <w:rsid w:val="001D1D38"/>
    <w:rsid w:val="001D3067"/>
    <w:rsid w:val="001D5B3C"/>
    <w:rsid w:val="001D5EE7"/>
    <w:rsid w:val="001E6629"/>
    <w:rsid w:val="001F17D6"/>
    <w:rsid w:val="001F1ECE"/>
    <w:rsid w:val="001F24EA"/>
    <w:rsid w:val="001F5900"/>
    <w:rsid w:val="002033AE"/>
    <w:rsid w:val="00226235"/>
    <w:rsid w:val="00226A24"/>
    <w:rsid w:val="00226B15"/>
    <w:rsid w:val="00227B07"/>
    <w:rsid w:val="0023686E"/>
    <w:rsid w:val="0024004B"/>
    <w:rsid w:val="0024242C"/>
    <w:rsid w:val="00260A45"/>
    <w:rsid w:val="00263611"/>
    <w:rsid w:val="0026371C"/>
    <w:rsid w:val="00275972"/>
    <w:rsid w:val="00276E23"/>
    <w:rsid w:val="00281BD6"/>
    <w:rsid w:val="00283C8A"/>
    <w:rsid w:val="00290EB5"/>
    <w:rsid w:val="00291E51"/>
    <w:rsid w:val="0029314E"/>
    <w:rsid w:val="002959BE"/>
    <w:rsid w:val="00297A0D"/>
    <w:rsid w:val="002A050E"/>
    <w:rsid w:val="002A21D3"/>
    <w:rsid w:val="002A47A7"/>
    <w:rsid w:val="002A660A"/>
    <w:rsid w:val="002B03ED"/>
    <w:rsid w:val="002B078E"/>
    <w:rsid w:val="002B567A"/>
    <w:rsid w:val="002B7DC4"/>
    <w:rsid w:val="002C5CF0"/>
    <w:rsid w:val="002D76CB"/>
    <w:rsid w:val="002D7E65"/>
    <w:rsid w:val="002F2409"/>
    <w:rsid w:val="00301127"/>
    <w:rsid w:val="003105C9"/>
    <w:rsid w:val="00311342"/>
    <w:rsid w:val="00312F45"/>
    <w:rsid w:val="00314617"/>
    <w:rsid w:val="003150AF"/>
    <w:rsid w:val="00315D04"/>
    <w:rsid w:val="0031751B"/>
    <w:rsid w:val="003227B5"/>
    <w:rsid w:val="0032499A"/>
    <w:rsid w:val="00326648"/>
    <w:rsid w:val="00332E2D"/>
    <w:rsid w:val="0033499A"/>
    <w:rsid w:val="0034407D"/>
    <w:rsid w:val="00345B42"/>
    <w:rsid w:val="00351AA2"/>
    <w:rsid w:val="00351BDC"/>
    <w:rsid w:val="00356332"/>
    <w:rsid w:val="00356B53"/>
    <w:rsid w:val="00363CA0"/>
    <w:rsid w:val="00363EFA"/>
    <w:rsid w:val="00371B47"/>
    <w:rsid w:val="00373946"/>
    <w:rsid w:val="0038176E"/>
    <w:rsid w:val="003825E7"/>
    <w:rsid w:val="00383762"/>
    <w:rsid w:val="003847F5"/>
    <w:rsid w:val="00386649"/>
    <w:rsid w:val="00390D51"/>
    <w:rsid w:val="003924C9"/>
    <w:rsid w:val="0039450A"/>
    <w:rsid w:val="0039744A"/>
    <w:rsid w:val="003B450B"/>
    <w:rsid w:val="003B759A"/>
    <w:rsid w:val="003D2A83"/>
    <w:rsid w:val="003D3C03"/>
    <w:rsid w:val="003D4E84"/>
    <w:rsid w:val="003D520F"/>
    <w:rsid w:val="003E132F"/>
    <w:rsid w:val="003E6AF3"/>
    <w:rsid w:val="003E6B08"/>
    <w:rsid w:val="00402985"/>
    <w:rsid w:val="00404DAA"/>
    <w:rsid w:val="00411F29"/>
    <w:rsid w:val="00413E9C"/>
    <w:rsid w:val="00414575"/>
    <w:rsid w:val="00414B67"/>
    <w:rsid w:val="00416BFF"/>
    <w:rsid w:val="00420554"/>
    <w:rsid w:val="00425227"/>
    <w:rsid w:val="004264D6"/>
    <w:rsid w:val="004353F3"/>
    <w:rsid w:val="00435406"/>
    <w:rsid w:val="00443373"/>
    <w:rsid w:val="00445D1F"/>
    <w:rsid w:val="00457EEB"/>
    <w:rsid w:val="0046574A"/>
    <w:rsid w:val="00465FA2"/>
    <w:rsid w:val="004677D5"/>
    <w:rsid w:val="00472040"/>
    <w:rsid w:val="00474EDF"/>
    <w:rsid w:val="004829CD"/>
    <w:rsid w:val="0048396E"/>
    <w:rsid w:val="00485C73"/>
    <w:rsid w:val="00487390"/>
    <w:rsid w:val="00491692"/>
    <w:rsid w:val="00494991"/>
    <w:rsid w:val="00494A2F"/>
    <w:rsid w:val="004A0BAE"/>
    <w:rsid w:val="004A13CB"/>
    <w:rsid w:val="004A4C8C"/>
    <w:rsid w:val="004B19DE"/>
    <w:rsid w:val="004B3658"/>
    <w:rsid w:val="004B5D11"/>
    <w:rsid w:val="004C0A19"/>
    <w:rsid w:val="004D1E94"/>
    <w:rsid w:val="004D3C32"/>
    <w:rsid w:val="004E2042"/>
    <w:rsid w:val="004E3790"/>
    <w:rsid w:val="004F0001"/>
    <w:rsid w:val="004F0983"/>
    <w:rsid w:val="004F4D60"/>
    <w:rsid w:val="004F57A9"/>
    <w:rsid w:val="004F6740"/>
    <w:rsid w:val="00500EFE"/>
    <w:rsid w:val="00502B22"/>
    <w:rsid w:val="00503516"/>
    <w:rsid w:val="00504936"/>
    <w:rsid w:val="00510FC7"/>
    <w:rsid w:val="00530B41"/>
    <w:rsid w:val="00532972"/>
    <w:rsid w:val="00533A02"/>
    <w:rsid w:val="00540480"/>
    <w:rsid w:val="00541767"/>
    <w:rsid w:val="005458DE"/>
    <w:rsid w:val="00554631"/>
    <w:rsid w:val="00562183"/>
    <w:rsid w:val="0057479F"/>
    <w:rsid w:val="00576020"/>
    <w:rsid w:val="00580A83"/>
    <w:rsid w:val="00581415"/>
    <w:rsid w:val="00590256"/>
    <w:rsid w:val="00590C36"/>
    <w:rsid w:val="0059426B"/>
    <w:rsid w:val="00597AF6"/>
    <w:rsid w:val="005A19A5"/>
    <w:rsid w:val="005A1AD9"/>
    <w:rsid w:val="005A2C34"/>
    <w:rsid w:val="005A33E7"/>
    <w:rsid w:val="005A4031"/>
    <w:rsid w:val="005A64AF"/>
    <w:rsid w:val="005B050B"/>
    <w:rsid w:val="005C11FC"/>
    <w:rsid w:val="005C24E3"/>
    <w:rsid w:val="005C3C7A"/>
    <w:rsid w:val="005C524F"/>
    <w:rsid w:val="005D09D1"/>
    <w:rsid w:val="005D0D32"/>
    <w:rsid w:val="005E23D5"/>
    <w:rsid w:val="005E3760"/>
    <w:rsid w:val="005E536A"/>
    <w:rsid w:val="005E693A"/>
    <w:rsid w:val="005F42F8"/>
    <w:rsid w:val="00600CC8"/>
    <w:rsid w:val="006103C1"/>
    <w:rsid w:val="00610B8E"/>
    <w:rsid w:val="006136F6"/>
    <w:rsid w:val="0061518E"/>
    <w:rsid w:val="00620E1F"/>
    <w:rsid w:val="006302BD"/>
    <w:rsid w:val="00633575"/>
    <w:rsid w:val="006342FC"/>
    <w:rsid w:val="0063477B"/>
    <w:rsid w:val="00635750"/>
    <w:rsid w:val="00642DF4"/>
    <w:rsid w:val="00646F67"/>
    <w:rsid w:val="006504D6"/>
    <w:rsid w:val="00653D2D"/>
    <w:rsid w:val="00655F80"/>
    <w:rsid w:val="00663093"/>
    <w:rsid w:val="00664A83"/>
    <w:rsid w:val="00666CD5"/>
    <w:rsid w:val="0067538A"/>
    <w:rsid w:val="006753D0"/>
    <w:rsid w:val="0067745D"/>
    <w:rsid w:val="00686F9F"/>
    <w:rsid w:val="0069001D"/>
    <w:rsid w:val="00692422"/>
    <w:rsid w:val="006A137F"/>
    <w:rsid w:val="006A6BAA"/>
    <w:rsid w:val="006B6192"/>
    <w:rsid w:val="006D0028"/>
    <w:rsid w:val="006D29ED"/>
    <w:rsid w:val="006D4204"/>
    <w:rsid w:val="006D662F"/>
    <w:rsid w:val="006E2A4E"/>
    <w:rsid w:val="006F5669"/>
    <w:rsid w:val="006F7CC2"/>
    <w:rsid w:val="0070225D"/>
    <w:rsid w:val="00707C87"/>
    <w:rsid w:val="007118F2"/>
    <w:rsid w:val="00715529"/>
    <w:rsid w:val="007161EF"/>
    <w:rsid w:val="007214D1"/>
    <w:rsid w:val="007273AE"/>
    <w:rsid w:val="0073017A"/>
    <w:rsid w:val="00737B7A"/>
    <w:rsid w:val="0074360E"/>
    <w:rsid w:val="00745EAB"/>
    <w:rsid w:val="007535E4"/>
    <w:rsid w:val="00755B8E"/>
    <w:rsid w:val="00757433"/>
    <w:rsid w:val="00760D53"/>
    <w:rsid w:val="007612F1"/>
    <w:rsid w:val="0076360B"/>
    <w:rsid w:val="00764050"/>
    <w:rsid w:val="0076638C"/>
    <w:rsid w:val="00771880"/>
    <w:rsid w:val="007723DB"/>
    <w:rsid w:val="00773952"/>
    <w:rsid w:val="00776884"/>
    <w:rsid w:val="00785BAC"/>
    <w:rsid w:val="00790343"/>
    <w:rsid w:val="00791A5C"/>
    <w:rsid w:val="007A0CBE"/>
    <w:rsid w:val="007A2BD4"/>
    <w:rsid w:val="007A353F"/>
    <w:rsid w:val="007A535E"/>
    <w:rsid w:val="007B5F48"/>
    <w:rsid w:val="007C1F14"/>
    <w:rsid w:val="007D162E"/>
    <w:rsid w:val="007D3CAA"/>
    <w:rsid w:val="007D52F9"/>
    <w:rsid w:val="007E2203"/>
    <w:rsid w:val="007E4E27"/>
    <w:rsid w:val="007F5482"/>
    <w:rsid w:val="00800D2C"/>
    <w:rsid w:val="008101A2"/>
    <w:rsid w:val="0081070E"/>
    <w:rsid w:val="00811A6F"/>
    <w:rsid w:val="00815D68"/>
    <w:rsid w:val="008173B1"/>
    <w:rsid w:val="00817421"/>
    <w:rsid w:val="00821B39"/>
    <w:rsid w:val="00824F07"/>
    <w:rsid w:val="00825FD9"/>
    <w:rsid w:val="0083012E"/>
    <w:rsid w:val="008301D0"/>
    <w:rsid w:val="00831A88"/>
    <w:rsid w:val="0083625F"/>
    <w:rsid w:val="0084154D"/>
    <w:rsid w:val="008512B8"/>
    <w:rsid w:val="00851F7B"/>
    <w:rsid w:val="00861ABD"/>
    <w:rsid w:val="0086778E"/>
    <w:rsid w:val="0087113C"/>
    <w:rsid w:val="0087484E"/>
    <w:rsid w:val="00874988"/>
    <w:rsid w:val="00876702"/>
    <w:rsid w:val="0088344E"/>
    <w:rsid w:val="00883ECA"/>
    <w:rsid w:val="0089449E"/>
    <w:rsid w:val="008A058F"/>
    <w:rsid w:val="008A1F14"/>
    <w:rsid w:val="008A3353"/>
    <w:rsid w:val="008A528C"/>
    <w:rsid w:val="008A685F"/>
    <w:rsid w:val="008B4D54"/>
    <w:rsid w:val="008B7A0C"/>
    <w:rsid w:val="008E2262"/>
    <w:rsid w:val="008E4B43"/>
    <w:rsid w:val="008E6DEF"/>
    <w:rsid w:val="008F37E9"/>
    <w:rsid w:val="008F5A22"/>
    <w:rsid w:val="008F782E"/>
    <w:rsid w:val="009042C4"/>
    <w:rsid w:val="00905B0C"/>
    <w:rsid w:val="00907435"/>
    <w:rsid w:val="0091163E"/>
    <w:rsid w:val="00915DBD"/>
    <w:rsid w:val="00926175"/>
    <w:rsid w:val="00935284"/>
    <w:rsid w:val="009361C3"/>
    <w:rsid w:val="00941CC3"/>
    <w:rsid w:val="0094424F"/>
    <w:rsid w:val="0094564D"/>
    <w:rsid w:val="00946923"/>
    <w:rsid w:val="00950E0C"/>
    <w:rsid w:val="00954DAA"/>
    <w:rsid w:val="0095796F"/>
    <w:rsid w:val="0096169D"/>
    <w:rsid w:val="0096411F"/>
    <w:rsid w:val="009663B6"/>
    <w:rsid w:val="00967F8C"/>
    <w:rsid w:val="0097099E"/>
    <w:rsid w:val="00972753"/>
    <w:rsid w:val="00980833"/>
    <w:rsid w:val="00981955"/>
    <w:rsid w:val="00982461"/>
    <w:rsid w:val="00984FC7"/>
    <w:rsid w:val="009962A4"/>
    <w:rsid w:val="00997DBB"/>
    <w:rsid w:val="009A5D16"/>
    <w:rsid w:val="009A632D"/>
    <w:rsid w:val="009B0904"/>
    <w:rsid w:val="009B223B"/>
    <w:rsid w:val="009D1CEF"/>
    <w:rsid w:val="009D214A"/>
    <w:rsid w:val="009D33A9"/>
    <w:rsid w:val="009D3BFC"/>
    <w:rsid w:val="009E3DB8"/>
    <w:rsid w:val="009E4318"/>
    <w:rsid w:val="009E494F"/>
    <w:rsid w:val="009F701B"/>
    <w:rsid w:val="00A04E17"/>
    <w:rsid w:val="00A061A3"/>
    <w:rsid w:val="00A06E49"/>
    <w:rsid w:val="00A06FFD"/>
    <w:rsid w:val="00A122DA"/>
    <w:rsid w:val="00A15504"/>
    <w:rsid w:val="00A2178B"/>
    <w:rsid w:val="00A30B17"/>
    <w:rsid w:val="00A322EB"/>
    <w:rsid w:val="00A332F9"/>
    <w:rsid w:val="00A33B74"/>
    <w:rsid w:val="00A36B18"/>
    <w:rsid w:val="00A3726F"/>
    <w:rsid w:val="00A37942"/>
    <w:rsid w:val="00A40F8E"/>
    <w:rsid w:val="00A43167"/>
    <w:rsid w:val="00A441C3"/>
    <w:rsid w:val="00A47A09"/>
    <w:rsid w:val="00A53534"/>
    <w:rsid w:val="00A57270"/>
    <w:rsid w:val="00A57EC6"/>
    <w:rsid w:val="00A6213E"/>
    <w:rsid w:val="00A72014"/>
    <w:rsid w:val="00A72540"/>
    <w:rsid w:val="00A76542"/>
    <w:rsid w:val="00A8159A"/>
    <w:rsid w:val="00A84EFA"/>
    <w:rsid w:val="00A86377"/>
    <w:rsid w:val="00A90002"/>
    <w:rsid w:val="00A95621"/>
    <w:rsid w:val="00A95BB7"/>
    <w:rsid w:val="00AA1CCB"/>
    <w:rsid w:val="00AA54D9"/>
    <w:rsid w:val="00AC146F"/>
    <w:rsid w:val="00AD0502"/>
    <w:rsid w:val="00AD0CDF"/>
    <w:rsid w:val="00AD0D67"/>
    <w:rsid w:val="00AD4737"/>
    <w:rsid w:val="00AD5D51"/>
    <w:rsid w:val="00AE5BC1"/>
    <w:rsid w:val="00AE7FC5"/>
    <w:rsid w:val="00AF02B6"/>
    <w:rsid w:val="00AF2B92"/>
    <w:rsid w:val="00AF4C4C"/>
    <w:rsid w:val="00AF5BC1"/>
    <w:rsid w:val="00AF7FD6"/>
    <w:rsid w:val="00B0145D"/>
    <w:rsid w:val="00B074BD"/>
    <w:rsid w:val="00B0765D"/>
    <w:rsid w:val="00B12596"/>
    <w:rsid w:val="00B24CCF"/>
    <w:rsid w:val="00B25FD2"/>
    <w:rsid w:val="00B40A81"/>
    <w:rsid w:val="00B437C8"/>
    <w:rsid w:val="00B43C0F"/>
    <w:rsid w:val="00B4511E"/>
    <w:rsid w:val="00B4768B"/>
    <w:rsid w:val="00B47775"/>
    <w:rsid w:val="00B52BA6"/>
    <w:rsid w:val="00B56CDC"/>
    <w:rsid w:val="00B65EFA"/>
    <w:rsid w:val="00B65F30"/>
    <w:rsid w:val="00B705B3"/>
    <w:rsid w:val="00B71D3A"/>
    <w:rsid w:val="00B71E7C"/>
    <w:rsid w:val="00B720A8"/>
    <w:rsid w:val="00B72865"/>
    <w:rsid w:val="00B76551"/>
    <w:rsid w:val="00B84929"/>
    <w:rsid w:val="00B961F3"/>
    <w:rsid w:val="00B9658E"/>
    <w:rsid w:val="00BA5464"/>
    <w:rsid w:val="00BA7FC1"/>
    <w:rsid w:val="00BB028D"/>
    <w:rsid w:val="00BB237D"/>
    <w:rsid w:val="00BB271A"/>
    <w:rsid w:val="00BB3091"/>
    <w:rsid w:val="00BB4A08"/>
    <w:rsid w:val="00BC604A"/>
    <w:rsid w:val="00BD07BA"/>
    <w:rsid w:val="00BD357C"/>
    <w:rsid w:val="00BD3BAF"/>
    <w:rsid w:val="00BD6973"/>
    <w:rsid w:val="00BE11BF"/>
    <w:rsid w:val="00BE731B"/>
    <w:rsid w:val="00BE7950"/>
    <w:rsid w:val="00BF6128"/>
    <w:rsid w:val="00C029AC"/>
    <w:rsid w:val="00C17981"/>
    <w:rsid w:val="00C227DA"/>
    <w:rsid w:val="00C22F15"/>
    <w:rsid w:val="00C22F42"/>
    <w:rsid w:val="00C23166"/>
    <w:rsid w:val="00C234B4"/>
    <w:rsid w:val="00C343AE"/>
    <w:rsid w:val="00C34952"/>
    <w:rsid w:val="00C4097D"/>
    <w:rsid w:val="00C43EA6"/>
    <w:rsid w:val="00C443BA"/>
    <w:rsid w:val="00C51396"/>
    <w:rsid w:val="00C51930"/>
    <w:rsid w:val="00C52643"/>
    <w:rsid w:val="00C533AA"/>
    <w:rsid w:val="00C64A40"/>
    <w:rsid w:val="00C6544A"/>
    <w:rsid w:val="00C65D64"/>
    <w:rsid w:val="00C66B08"/>
    <w:rsid w:val="00C72956"/>
    <w:rsid w:val="00C73DE0"/>
    <w:rsid w:val="00C75BFB"/>
    <w:rsid w:val="00C8005D"/>
    <w:rsid w:val="00C97A35"/>
    <w:rsid w:val="00CA0D9E"/>
    <w:rsid w:val="00CA1E6A"/>
    <w:rsid w:val="00CA429E"/>
    <w:rsid w:val="00CA48CC"/>
    <w:rsid w:val="00CA5934"/>
    <w:rsid w:val="00CA5E5B"/>
    <w:rsid w:val="00CB371F"/>
    <w:rsid w:val="00CB7200"/>
    <w:rsid w:val="00CC69E7"/>
    <w:rsid w:val="00CD28C3"/>
    <w:rsid w:val="00CD4E51"/>
    <w:rsid w:val="00CD6ED7"/>
    <w:rsid w:val="00CE1288"/>
    <w:rsid w:val="00CE3569"/>
    <w:rsid w:val="00CE375E"/>
    <w:rsid w:val="00CE3849"/>
    <w:rsid w:val="00CE4010"/>
    <w:rsid w:val="00CE4D7F"/>
    <w:rsid w:val="00CF10FD"/>
    <w:rsid w:val="00CF250B"/>
    <w:rsid w:val="00CF6596"/>
    <w:rsid w:val="00CF6740"/>
    <w:rsid w:val="00D04521"/>
    <w:rsid w:val="00D15130"/>
    <w:rsid w:val="00D1679A"/>
    <w:rsid w:val="00D35C5C"/>
    <w:rsid w:val="00D36049"/>
    <w:rsid w:val="00D36762"/>
    <w:rsid w:val="00D54220"/>
    <w:rsid w:val="00D57CDF"/>
    <w:rsid w:val="00D61FE4"/>
    <w:rsid w:val="00D658D1"/>
    <w:rsid w:val="00D67C23"/>
    <w:rsid w:val="00D72885"/>
    <w:rsid w:val="00D72D2F"/>
    <w:rsid w:val="00D76EA7"/>
    <w:rsid w:val="00D842DB"/>
    <w:rsid w:val="00D91DC8"/>
    <w:rsid w:val="00D92939"/>
    <w:rsid w:val="00DA76B5"/>
    <w:rsid w:val="00DB09A2"/>
    <w:rsid w:val="00DB3601"/>
    <w:rsid w:val="00DB5CD0"/>
    <w:rsid w:val="00DB6F3E"/>
    <w:rsid w:val="00DD0494"/>
    <w:rsid w:val="00DD646D"/>
    <w:rsid w:val="00DD6E3A"/>
    <w:rsid w:val="00DD6E96"/>
    <w:rsid w:val="00DE1E6C"/>
    <w:rsid w:val="00DE2409"/>
    <w:rsid w:val="00DE3803"/>
    <w:rsid w:val="00DE5F32"/>
    <w:rsid w:val="00DE7C73"/>
    <w:rsid w:val="00DF397D"/>
    <w:rsid w:val="00DF5B00"/>
    <w:rsid w:val="00E2213D"/>
    <w:rsid w:val="00E2541B"/>
    <w:rsid w:val="00E25517"/>
    <w:rsid w:val="00E25D85"/>
    <w:rsid w:val="00E27197"/>
    <w:rsid w:val="00E312A7"/>
    <w:rsid w:val="00E322EB"/>
    <w:rsid w:val="00E345B1"/>
    <w:rsid w:val="00E36F6C"/>
    <w:rsid w:val="00E41E4E"/>
    <w:rsid w:val="00E457F7"/>
    <w:rsid w:val="00E5423E"/>
    <w:rsid w:val="00E61416"/>
    <w:rsid w:val="00E7529E"/>
    <w:rsid w:val="00E77AE9"/>
    <w:rsid w:val="00E812AE"/>
    <w:rsid w:val="00E82BE9"/>
    <w:rsid w:val="00E87163"/>
    <w:rsid w:val="00E95B20"/>
    <w:rsid w:val="00EA39FB"/>
    <w:rsid w:val="00EA48CA"/>
    <w:rsid w:val="00EA70C6"/>
    <w:rsid w:val="00EB47AD"/>
    <w:rsid w:val="00EB5627"/>
    <w:rsid w:val="00EC0C91"/>
    <w:rsid w:val="00EC25B8"/>
    <w:rsid w:val="00EC455A"/>
    <w:rsid w:val="00EE431A"/>
    <w:rsid w:val="00EE6C0C"/>
    <w:rsid w:val="00EF519D"/>
    <w:rsid w:val="00F00C6D"/>
    <w:rsid w:val="00F036A4"/>
    <w:rsid w:val="00F067E4"/>
    <w:rsid w:val="00F070CF"/>
    <w:rsid w:val="00F12AD6"/>
    <w:rsid w:val="00F13F0F"/>
    <w:rsid w:val="00F149C2"/>
    <w:rsid w:val="00F16519"/>
    <w:rsid w:val="00F2002B"/>
    <w:rsid w:val="00F20F41"/>
    <w:rsid w:val="00F222EC"/>
    <w:rsid w:val="00F22C6B"/>
    <w:rsid w:val="00F32670"/>
    <w:rsid w:val="00F41E17"/>
    <w:rsid w:val="00F45CC6"/>
    <w:rsid w:val="00F47321"/>
    <w:rsid w:val="00F547A5"/>
    <w:rsid w:val="00F60F83"/>
    <w:rsid w:val="00F66E63"/>
    <w:rsid w:val="00F778E4"/>
    <w:rsid w:val="00F77C28"/>
    <w:rsid w:val="00F94420"/>
    <w:rsid w:val="00FA053D"/>
    <w:rsid w:val="00FA5BC7"/>
    <w:rsid w:val="00FA7E93"/>
    <w:rsid w:val="00FB11B3"/>
    <w:rsid w:val="00FB3418"/>
    <w:rsid w:val="00FB7E98"/>
    <w:rsid w:val="00FC264A"/>
    <w:rsid w:val="00FC2EAC"/>
    <w:rsid w:val="00FC7F75"/>
    <w:rsid w:val="00FD253D"/>
    <w:rsid w:val="00FD3F7E"/>
    <w:rsid w:val="00FE4D79"/>
    <w:rsid w:val="00FF3D7A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45A80454"/>
  <w15:docId w15:val="{7EAB0775-4B95-4A4F-B5CC-B49BD5FC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20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0B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B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679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A5E5B"/>
    <w:pPr>
      <w:spacing w:before="100" w:beforeAutospacing="1" w:after="100" w:afterAutospacing="1"/>
    </w:pPr>
    <w:rPr>
      <w:rFonts w:eastAsia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88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A30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dTable1Light">
    <w:name w:val="Grid Table 1 Light"/>
    <w:basedOn w:val="TableNormal"/>
    <w:uiPriority w:val="46"/>
    <w:rsid w:val="00494991"/>
    <w:rPr>
      <w:rFonts w:asciiTheme="minorHAnsi" w:eastAsiaTheme="minorHAnsi" w:hAnsiTheme="minorHAnsi" w:cs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F923-2133-4972-BD9A-2364A299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1218</Words>
  <Characters>8202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Lorraine Hendry (HLH Corporate Services)</cp:lastModifiedBy>
  <cp:revision>23</cp:revision>
  <cp:lastPrinted>2020-03-11T10:08:00Z</cp:lastPrinted>
  <dcterms:created xsi:type="dcterms:W3CDTF">2022-03-13T11:16:00Z</dcterms:created>
  <dcterms:modified xsi:type="dcterms:W3CDTF">2022-03-21T10:16:00Z</dcterms:modified>
</cp:coreProperties>
</file>