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237"/>
        <w:gridCol w:w="3227"/>
      </w:tblGrid>
      <w:tr w:rsidR="00B84929" w:rsidRPr="00F2409E" w14:paraId="38070263" w14:textId="77777777" w:rsidTr="00475A7B">
        <w:trPr>
          <w:cantSplit/>
          <w:trHeight w:val="993"/>
        </w:trPr>
        <w:tc>
          <w:tcPr>
            <w:tcW w:w="6237" w:type="dxa"/>
          </w:tcPr>
          <w:p w14:paraId="3737644D" w14:textId="4F3B76B5" w:rsidR="00DE1E6C" w:rsidRPr="00F2409E" w:rsidRDefault="00B84929" w:rsidP="005C61F6">
            <w:pPr>
              <w:pStyle w:val="BodyText"/>
              <w:jc w:val="left"/>
              <w:rPr>
                <w:rFonts w:ascii="Arial" w:hAnsi="Arial" w:cs="Arial"/>
                <w:szCs w:val="24"/>
              </w:rPr>
            </w:pPr>
            <w:r w:rsidRPr="00F2409E">
              <w:rPr>
                <w:rFonts w:ascii="Arial" w:hAnsi="Arial" w:cs="Arial"/>
                <w:szCs w:val="24"/>
              </w:rPr>
              <w:t xml:space="preserve">HIGH LIFE HIGHLAND </w:t>
            </w:r>
          </w:p>
          <w:p w14:paraId="630FA00F" w14:textId="77777777" w:rsidR="002B7DC4" w:rsidRPr="00F2409E" w:rsidRDefault="00DE1E6C" w:rsidP="005C61F6">
            <w:pPr>
              <w:pStyle w:val="BodyText"/>
              <w:jc w:val="left"/>
              <w:rPr>
                <w:rFonts w:ascii="Arial" w:hAnsi="Arial" w:cs="Arial"/>
                <w:szCs w:val="24"/>
              </w:rPr>
            </w:pPr>
            <w:r w:rsidRPr="00F2409E">
              <w:rPr>
                <w:rFonts w:ascii="Arial" w:hAnsi="Arial" w:cs="Arial"/>
                <w:szCs w:val="24"/>
              </w:rPr>
              <w:t>REPORT TO BOARD OF DIRECTORS</w:t>
            </w:r>
          </w:p>
          <w:p w14:paraId="697C413A" w14:textId="54F7A236" w:rsidR="00B84929" w:rsidRPr="00F2409E" w:rsidRDefault="002451A7" w:rsidP="005C61F6">
            <w:pPr>
              <w:pStyle w:val="BodyText"/>
              <w:jc w:val="left"/>
              <w:rPr>
                <w:rFonts w:ascii="Arial" w:hAnsi="Arial" w:cs="Arial"/>
                <w:caps/>
                <w:szCs w:val="24"/>
              </w:rPr>
            </w:pPr>
            <w:r w:rsidRPr="00F2409E">
              <w:rPr>
                <w:rFonts w:ascii="Arial" w:hAnsi="Arial" w:cs="Arial"/>
                <w:caps/>
                <w:szCs w:val="24"/>
              </w:rPr>
              <w:t>22 June</w:t>
            </w:r>
            <w:r w:rsidR="009341B2" w:rsidRPr="00F2409E">
              <w:rPr>
                <w:rFonts w:ascii="Arial" w:hAnsi="Arial" w:cs="Arial"/>
                <w:caps/>
                <w:szCs w:val="24"/>
              </w:rPr>
              <w:t xml:space="preserve"> </w:t>
            </w:r>
            <w:r w:rsidR="00F05E54" w:rsidRPr="00F2409E">
              <w:rPr>
                <w:rFonts w:ascii="Arial" w:hAnsi="Arial" w:cs="Arial"/>
                <w:caps/>
                <w:szCs w:val="24"/>
              </w:rPr>
              <w:t>20</w:t>
            </w:r>
            <w:r w:rsidR="007F74ED" w:rsidRPr="00F2409E">
              <w:rPr>
                <w:rFonts w:ascii="Arial" w:hAnsi="Arial" w:cs="Arial"/>
                <w:caps/>
                <w:szCs w:val="24"/>
              </w:rPr>
              <w:t>2</w:t>
            </w:r>
            <w:r w:rsidR="004F635C" w:rsidRPr="00F2409E">
              <w:rPr>
                <w:rFonts w:ascii="Arial" w:hAnsi="Arial" w:cs="Arial"/>
                <w:caps/>
                <w:szCs w:val="24"/>
              </w:rPr>
              <w:t>2</w:t>
            </w:r>
            <w:r w:rsidR="00B84929" w:rsidRPr="00F2409E">
              <w:rPr>
                <w:rFonts w:ascii="Arial" w:hAnsi="Arial" w:cs="Arial"/>
                <w:caps/>
                <w:szCs w:val="24"/>
              </w:rPr>
              <w:fldChar w:fldCharType="begin"/>
            </w:r>
            <w:r w:rsidR="00B84929" w:rsidRPr="00F2409E">
              <w:rPr>
                <w:rFonts w:ascii="Arial" w:hAnsi="Arial" w:cs="Arial"/>
                <w:caps/>
                <w:szCs w:val="24"/>
              </w:rPr>
              <w:instrText xml:space="preserve">  </w:instrText>
            </w:r>
            <w:r w:rsidR="00B84929" w:rsidRPr="00F2409E">
              <w:rPr>
                <w:rFonts w:ascii="Arial" w:hAnsi="Arial" w:cs="Arial"/>
                <w:caps/>
                <w:szCs w:val="24"/>
              </w:rPr>
              <w:fldChar w:fldCharType="end"/>
            </w:r>
          </w:p>
        </w:tc>
        <w:tc>
          <w:tcPr>
            <w:tcW w:w="3227" w:type="dxa"/>
          </w:tcPr>
          <w:p w14:paraId="5EDF4FD8" w14:textId="17CB12E5" w:rsidR="00B84929" w:rsidRPr="00F2409E" w:rsidRDefault="00B84929" w:rsidP="005C61F6">
            <w:pPr>
              <w:rPr>
                <w:rFonts w:ascii="Arial" w:hAnsi="Arial" w:cs="Arial"/>
                <w:szCs w:val="24"/>
                <w:highlight w:val="yellow"/>
              </w:rPr>
            </w:pPr>
            <w:r w:rsidRPr="00F2409E">
              <w:rPr>
                <w:rFonts w:ascii="Arial" w:hAnsi="Arial" w:cs="Arial"/>
                <w:szCs w:val="24"/>
              </w:rPr>
              <w:t>AGENDA ITEM</w:t>
            </w:r>
            <w:r w:rsidR="00C418B1" w:rsidRPr="00F2409E">
              <w:rPr>
                <w:rFonts w:ascii="Arial" w:hAnsi="Arial" w:cs="Arial"/>
                <w:szCs w:val="24"/>
              </w:rPr>
              <w:t xml:space="preserve"> </w:t>
            </w:r>
            <w:r w:rsidR="00EE69A9" w:rsidRPr="00F2409E">
              <w:rPr>
                <w:rFonts w:ascii="Arial" w:hAnsi="Arial" w:cs="Arial"/>
                <w:szCs w:val="24"/>
              </w:rPr>
              <w:t xml:space="preserve"> </w:t>
            </w:r>
            <w:r w:rsidRPr="00F2409E">
              <w:rPr>
                <w:rFonts w:ascii="Arial" w:hAnsi="Arial" w:cs="Arial"/>
                <w:szCs w:val="24"/>
              </w:rPr>
              <w:t xml:space="preserve">    REPORT No HLH</w:t>
            </w:r>
            <w:r w:rsidR="00493990" w:rsidRPr="00F2409E">
              <w:rPr>
                <w:rFonts w:ascii="Arial" w:hAnsi="Arial" w:cs="Arial"/>
                <w:szCs w:val="24"/>
              </w:rPr>
              <w:t xml:space="preserve">  </w:t>
            </w:r>
            <w:r w:rsidR="00475A7B" w:rsidRPr="00F2409E">
              <w:rPr>
                <w:rFonts w:ascii="Arial" w:hAnsi="Arial" w:cs="Arial"/>
                <w:szCs w:val="24"/>
              </w:rPr>
              <w:t xml:space="preserve">  </w:t>
            </w:r>
            <w:r w:rsidRPr="00F2409E">
              <w:rPr>
                <w:rFonts w:ascii="Arial" w:hAnsi="Arial" w:cs="Arial"/>
                <w:szCs w:val="24"/>
              </w:rPr>
              <w:t>/</w:t>
            </w:r>
            <w:r w:rsidR="000A687E" w:rsidRPr="00F2409E">
              <w:rPr>
                <w:rFonts w:ascii="Arial" w:hAnsi="Arial" w:cs="Arial"/>
                <w:szCs w:val="24"/>
              </w:rPr>
              <w:t>2</w:t>
            </w:r>
            <w:r w:rsidR="00D925AD" w:rsidRPr="00F2409E">
              <w:rPr>
                <w:rFonts w:ascii="Arial" w:hAnsi="Arial" w:cs="Arial"/>
                <w:szCs w:val="24"/>
              </w:rPr>
              <w:t>2</w:t>
            </w:r>
          </w:p>
        </w:tc>
      </w:tr>
    </w:tbl>
    <w:p w14:paraId="7FF35F89" w14:textId="6A6BAA52" w:rsidR="0039450A" w:rsidRDefault="00DE1699" w:rsidP="005C61F6">
      <w:pPr>
        <w:pStyle w:val="Heading2"/>
        <w:rPr>
          <w:rFonts w:ascii="Arial" w:hAnsi="Arial" w:cs="Arial"/>
          <w:b/>
          <w:szCs w:val="24"/>
          <w:u w:val="none"/>
        </w:rPr>
      </w:pPr>
      <w:r w:rsidRPr="00F2409E">
        <w:rPr>
          <w:rFonts w:ascii="Arial" w:hAnsi="Arial" w:cs="Arial"/>
          <w:b/>
          <w:i/>
          <w:iCs/>
          <w:szCs w:val="24"/>
          <w:u w:val="none"/>
        </w:rPr>
        <w:t>high</w:t>
      </w:r>
      <w:r w:rsidRPr="00F2409E">
        <w:rPr>
          <w:rFonts w:ascii="Arial" w:hAnsi="Arial" w:cs="Arial"/>
          <w:bCs/>
          <w:i/>
          <w:iCs/>
          <w:szCs w:val="24"/>
          <w:u w:val="none"/>
        </w:rPr>
        <w:t xml:space="preserve">life </w:t>
      </w:r>
      <w:r w:rsidRPr="00F2409E">
        <w:rPr>
          <w:rFonts w:ascii="Arial" w:hAnsi="Arial" w:cs="Arial"/>
          <w:b/>
          <w:caps/>
          <w:szCs w:val="24"/>
          <w:u w:val="none"/>
        </w:rPr>
        <w:t>Budget Scheme Pricing</w:t>
      </w:r>
      <w:r w:rsidR="00050D22" w:rsidRPr="00F2409E">
        <w:rPr>
          <w:rFonts w:ascii="Arial" w:hAnsi="Arial" w:cs="Arial"/>
          <w:b/>
          <w:caps/>
          <w:szCs w:val="24"/>
          <w:u w:val="none"/>
        </w:rPr>
        <w:t xml:space="preserve"> </w:t>
      </w:r>
      <w:r w:rsidR="00DE1E6C" w:rsidRPr="00F2409E">
        <w:rPr>
          <w:rFonts w:ascii="Arial" w:hAnsi="Arial" w:cs="Arial"/>
          <w:b/>
          <w:szCs w:val="24"/>
          <w:u w:val="none"/>
        </w:rPr>
        <w:t>-</w:t>
      </w:r>
      <w:r w:rsidR="00050D22" w:rsidRPr="00F2409E">
        <w:rPr>
          <w:rFonts w:ascii="Arial" w:hAnsi="Arial" w:cs="Arial"/>
          <w:b/>
          <w:szCs w:val="24"/>
          <w:u w:val="none"/>
        </w:rPr>
        <w:t xml:space="preserve"> </w:t>
      </w:r>
      <w:r w:rsidR="0039450A" w:rsidRPr="00F2409E">
        <w:rPr>
          <w:rFonts w:ascii="Arial" w:hAnsi="Arial" w:cs="Arial"/>
          <w:b/>
          <w:szCs w:val="24"/>
          <w:u w:val="none"/>
        </w:rPr>
        <w:t xml:space="preserve">Report </w:t>
      </w:r>
      <w:r w:rsidR="00A8159A" w:rsidRPr="00F2409E">
        <w:rPr>
          <w:rFonts w:ascii="Arial" w:hAnsi="Arial" w:cs="Arial"/>
          <w:b/>
          <w:szCs w:val="24"/>
          <w:u w:val="none"/>
        </w:rPr>
        <w:t>by</w:t>
      </w:r>
      <w:r w:rsidR="002B7DC4" w:rsidRPr="00F2409E">
        <w:rPr>
          <w:rFonts w:ascii="Arial" w:hAnsi="Arial" w:cs="Arial"/>
          <w:b/>
          <w:szCs w:val="24"/>
          <w:u w:val="none"/>
        </w:rPr>
        <w:t xml:space="preserve"> Chief Executive</w:t>
      </w:r>
    </w:p>
    <w:p w14:paraId="3F71FE5B" w14:textId="1337B87C" w:rsidR="00227FB0" w:rsidRPr="00227FB0" w:rsidRDefault="00227FB0" w:rsidP="00227FB0">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564BF3" w14:paraId="5CB4D9E5" w14:textId="77777777">
        <w:trPr>
          <w:cantSplit/>
        </w:trPr>
        <w:tc>
          <w:tcPr>
            <w:tcW w:w="9464" w:type="dxa"/>
          </w:tcPr>
          <w:p w14:paraId="74130AAB" w14:textId="77777777" w:rsidR="0039450A" w:rsidRPr="00564BF3" w:rsidRDefault="002B7DC4" w:rsidP="005C61F6">
            <w:pPr>
              <w:pStyle w:val="Heading2"/>
              <w:rPr>
                <w:rFonts w:ascii="Arial" w:hAnsi="Arial" w:cs="Arial"/>
                <w:b/>
                <w:szCs w:val="24"/>
                <w:u w:val="none"/>
              </w:rPr>
            </w:pPr>
            <w:r w:rsidRPr="00564BF3">
              <w:rPr>
                <w:rFonts w:ascii="Arial" w:hAnsi="Arial" w:cs="Arial"/>
                <w:b/>
                <w:szCs w:val="24"/>
                <w:u w:val="none"/>
              </w:rPr>
              <w:t>Summary</w:t>
            </w:r>
          </w:p>
          <w:p w14:paraId="198D30B8" w14:textId="77777777" w:rsidR="002B7DC4" w:rsidRPr="00564BF3" w:rsidRDefault="002B7DC4" w:rsidP="005C61F6">
            <w:pPr>
              <w:rPr>
                <w:rFonts w:ascii="Arial" w:hAnsi="Arial" w:cs="Arial"/>
                <w:szCs w:val="24"/>
              </w:rPr>
            </w:pPr>
          </w:p>
          <w:p w14:paraId="3FC1738D" w14:textId="4BC85C5D" w:rsidR="00F2409E" w:rsidRPr="00564BF3" w:rsidRDefault="00F2409E" w:rsidP="00F2409E">
            <w:pPr>
              <w:jc w:val="both"/>
              <w:rPr>
                <w:rFonts w:ascii="Arial" w:hAnsi="Arial" w:cs="Arial"/>
                <w:szCs w:val="24"/>
              </w:rPr>
            </w:pPr>
            <w:r w:rsidRPr="00564BF3">
              <w:rPr>
                <w:rFonts w:ascii="Arial" w:hAnsi="Arial" w:cs="Arial"/>
                <w:szCs w:val="24"/>
              </w:rPr>
              <w:t xml:space="preserve">This report considers options for altering the </w:t>
            </w:r>
            <w:r w:rsidRPr="00564BF3">
              <w:rPr>
                <w:rFonts w:ascii="Arial" w:hAnsi="Arial" w:cs="Arial"/>
                <w:b/>
                <w:bCs/>
                <w:i/>
                <w:iCs/>
                <w:szCs w:val="24"/>
              </w:rPr>
              <w:t>high</w:t>
            </w:r>
            <w:r w:rsidRPr="00564BF3">
              <w:rPr>
                <w:rFonts w:ascii="Arial" w:hAnsi="Arial" w:cs="Arial"/>
                <w:i/>
                <w:iCs/>
                <w:szCs w:val="24"/>
              </w:rPr>
              <w:t xml:space="preserve">life </w:t>
            </w:r>
            <w:r w:rsidRPr="00564BF3">
              <w:rPr>
                <w:rFonts w:ascii="Arial" w:hAnsi="Arial" w:cs="Arial"/>
                <w:szCs w:val="24"/>
              </w:rPr>
              <w:t xml:space="preserve">budget scheme in the context of the </w:t>
            </w:r>
            <w:proofErr w:type="gramStart"/>
            <w:r w:rsidRPr="00564BF3">
              <w:rPr>
                <w:rFonts w:ascii="Arial" w:hAnsi="Arial" w:cs="Arial"/>
                <w:szCs w:val="24"/>
              </w:rPr>
              <w:t>cost of living</w:t>
            </w:r>
            <w:proofErr w:type="gramEnd"/>
            <w:r w:rsidRPr="00564BF3">
              <w:rPr>
                <w:rFonts w:ascii="Arial" w:hAnsi="Arial" w:cs="Arial"/>
                <w:szCs w:val="24"/>
              </w:rPr>
              <w:t xml:space="preserve"> crisis. </w:t>
            </w:r>
          </w:p>
          <w:p w14:paraId="4DFD6B1B" w14:textId="77777777" w:rsidR="00DE1699" w:rsidRPr="00564BF3" w:rsidRDefault="00DE1699" w:rsidP="009A0F77">
            <w:pPr>
              <w:jc w:val="both"/>
              <w:rPr>
                <w:rFonts w:ascii="Arial" w:hAnsi="Arial" w:cs="Arial"/>
                <w:szCs w:val="24"/>
              </w:rPr>
            </w:pPr>
          </w:p>
          <w:p w14:paraId="5BE3B603" w14:textId="77777777" w:rsidR="00564BF3" w:rsidRPr="00564BF3" w:rsidRDefault="00564BF3" w:rsidP="00564BF3">
            <w:pPr>
              <w:jc w:val="both"/>
              <w:rPr>
                <w:rFonts w:ascii="Arial" w:hAnsi="Arial" w:cs="Arial"/>
                <w:szCs w:val="24"/>
              </w:rPr>
            </w:pPr>
            <w:r w:rsidRPr="00564BF3">
              <w:rPr>
                <w:rFonts w:ascii="Arial" w:hAnsi="Arial" w:cs="Arial"/>
                <w:szCs w:val="24"/>
              </w:rPr>
              <w:t>It is recommended that Directors:</w:t>
            </w:r>
          </w:p>
          <w:p w14:paraId="49CA824E" w14:textId="77777777" w:rsidR="00564BF3" w:rsidRPr="00564BF3" w:rsidRDefault="00564BF3" w:rsidP="00564BF3">
            <w:pPr>
              <w:jc w:val="both"/>
              <w:rPr>
                <w:rFonts w:ascii="Arial" w:hAnsi="Arial" w:cs="Arial"/>
                <w:szCs w:val="24"/>
              </w:rPr>
            </w:pPr>
          </w:p>
          <w:p w14:paraId="78F5D5C8" w14:textId="598E0554" w:rsidR="00564BF3" w:rsidRPr="00564BF3" w:rsidRDefault="00564BF3" w:rsidP="00564BF3">
            <w:pPr>
              <w:pStyle w:val="ListParagraph"/>
              <w:numPr>
                <w:ilvl w:val="0"/>
                <w:numId w:val="19"/>
              </w:numPr>
              <w:spacing w:line="240" w:lineRule="auto"/>
              <w:rPr>
                <w:rFonts w:ascii="Arial" w:hAnsi="Arial" w:cs="Arial"/>
                <w:sz w:val="24"/>
                <w:szCs w:val="24"/>
              </w:rPr>
            </w:pPr>
            <w:r w:rsidRPr="00564BF3">
              <w:rPr>
                <w:rFonts w:ascii="Arial" w:hAnsi="Arial" w:cs="Arial"/>
                <w:sz w:val="24"/>
                <w:szCs w:val="24"/>
              </w:rPr>
              <w:t>note th</w:t>
            </w:r>
            <w:r w:rsidR="000E1A50">
              <w:rPr>
                <w:rFonts w:ascii="Arial" w:hAnsi="Arial" w:cs="Arial"/>
                <w:sz w:val="24"/>
                <w:szCs w:val="24"/>
              </w:rPr>
              <w:t xml:space="preserve">e </w:t>
            </w:r>
            <w:r w:rsidRPr="00564BF3">
              <w:rPr>
                <w:rFonts w:ascii="Arial" w:hAnsi="Arial" w:cs="Arial"/>
                <w:sz w:val="24"/>
                <w:szCs w:val="24"/>
              </w:rPr>
              <w:t xml:space="preserve">options analysis contained in the report; </w:t>
            </w:r>
          </w:p>
          <w:p w14:paraId="0A1745A2" w14:textId="77777777" w:rsidR="00564BF3" w:rsidRPr="00564BF3" w:rsidRDefault="00564BF3" w:rsidP="00564BF3">
            <w:pPr>
              <w:pStyle w:val="ListParagraph"/>
              <w:numPr>
                <w:ilvl w:val="0"/>
                <w:numId w:val="19"/>
              </w:numPr>
              <w:spacing w:line="240" w:lineRule="auto"/>
              <w:rPr>
                <w:rFonts w:ascii="Arial" w:hAnsi="Arial" w:cs="Arial"/>
                <w:sz w:val="24"/>
                <w:szCs w:val="24"/>
              </w:rPr>
            </w:pPr>
            <w:r w:rsidRPr="00564BF3">
              <w:rPr>
                <w:rFonts w:ascii="Arial" w:hAnsi="Arial" w:cs="Arial"/>
                <w:sz w:val="24"/>
                <w:szCs w:val="24"/>
              </w:rPr>
              <w:t xml:space="preserve">agree to retain the </w:t>
            </w:r>
            <w:r w:rsidRPr="00564BF3">
              <w:rPr>
                <w:rFonts w:ascii="Arial" w:hAnsi="Arial" w:cs="Arial"/>
                <w:b/>
                <w:bCs/>
                <w:i/>
                <w:iCs/>
                <w:sz w:val="24"/>
                <w:szCs w:val="24"/>
              </w:rPr>
              <w:t>high</w:t>
            </w:r>
            <w:r w:rsidRPr="00564BF3">
              <w:rPr>
                <w:rFonts w:ascii="Arial" w:hAnsi="Arial" w:cs="Arial"/>
                <w:i/>
                <w:iCs/>
                <w:sz w:val="24"/>
                <w:szCs w:val="24"/>
              </w:rPr>
              <w:t xml:space="preserve">life </w:t>
            </w:r>
            <w:r w:rsidRPr="00564BF3">
              <w:rPr>
                <w:rFonts w:ascii="Arial" w:hAnsi="Arial" w:cs="Arial"/>
                <w:sz w:val="24"/>
                <w:szCs w:val="24"/>
              </w:rPr>
              <w:t>budget scheme fifty pence pay as you go charge;</w:t>
            </w:r>
          </w:p>
          <w:p w14:paraId="39D70196" w14:textId="77777777" w:rsidR="00564BF3" w:rsidRPr="00564BF3" w:rsidRDefault="00564BF3" w:rsidP="00564BF3">
            <w:pPr>
              <w:pStyle w:val="ListParagraph"/>
              <w:numPr>
                <w:ilvl w:val="0"/>
                <w:numId w:val="19"/>
              </w:numPr>
              <w:spacing w:line="240" w:lineRule="auto"/>
              <w:rPr>
                <w:rFonts w:ascii="Arial" w:hAnsi="Arial" w:cs="Arial"/>
                <w:sz w:val="24"/>
                <w:szCs w:val="24"/>
              </w:rPr>
            </w:pPr>
            <w:r w:rsidRPr="00564BF3">
              <w:rPr>
                <w:rFonts w:ascii="Arial" w:hAnsi="Arial" w:cs="Arial"/>
                <w:sz w:val="24"/>
                <w:szCs w:val="24"/>
              </w:rPr>
              <w:t xml:space="preserve">agree to introduce a monthly budget </w:t>
            </w:r>
            <w:r w:rsidRPr="00564BF3">
              <w:rPr>
                <w:rFonts w:ascii="Arial" w:hAnsi="Arial" w:cs="Arial"/>
                <w:b/>
                <w:bCs/>
                <w:i/>
                <w:iCs/>
                <w:sz w:val="24"/>
                <w:szCs w:val="24"/>
              </w:rPr>
              <w:t>high</w:t>
            </w:r>
            <w:r w:rsidRPr="00564BF3">
              <w:rPr>
                <w:rFonts w:ascii="Arial" w:hAnsi="Arial" w:cs="Arial"/>
                <w:i/>
                <w:iCs/>
                <w:sz w:val="24"/>
                <w:szCs w:val="24"/>
              </w:rPr>
              <w:t xml:space="preserve">life </w:t>
            </w:r>
            <w:r w:rsidRPr="00564BF3">
              <w:rPr>
                <w:rFonts w:ascii="Arial" w:hAnsi="Arial" w:cs="Arial"/>
                <w:sz w:val="24"/>
                <w:szCs w:val="24"/>
              </w:rPr>
              <w:t>subscription option;</w:t>
            </w:r>
          </w:p>
          <w:p w14:paraId="0864B801" w14:textId="0A4469DE" w:rsidR="00564BF3" w:rsidRPr="00564BF3" w:rsidRDefault="00564BF3" w:rsidP="00564BF3">
            <w:pPr>
              <w:pStyle w:val="ListParagraph"/>
              <w:numPr>
                <w:ilvl w:val="0"/>
                <w:numId w:val="19"/>
              </w:numPr>
              <w:spacing w:line="240" w:lineRule="auto"/>
              <w:rPr>
                <w:rFonts w:ascii="Arial" w:hAnsi="Arial" w:cs="Arial"/>
                <w:sz w:val="24"/>
                <w:szCs w:val="24"/>
              </w:rPr>
            </w:pPr>
            <w:r w:rsidRPr="00564BF3">
              <w:rPr>
                <w:rFonts w:ascii="Arial" w:hAnsi="Arial" w:cs="Arial"/>
                <w:sz w:val="24"/>
                <w:szCs w:val="24"/>
              </w:rPr>
              <w:t>agree to the initial monthly subscription prices of £3 and £5 for individuals and family/household subscriptions respectively;</w:t>
            </w:r>
            <w:r w:rsidR="000E1A50">
              <w:rPr>
                <w:rFonts w:ascii="Arial" w:hAnsi="Arial" w:cs="Arial"/>
                <w:sz w:val="24"/>
                <w:szCs w:val="24"/>
              </w:rPr>
              <w:t xml:space="preserve"> and</w:t>
            </w:r>
          </w:p>
          <w:p w14:paraId="171D5E3C" w14:textId="1AF3B00B" w:rsidR="0039450A" w:rsidRPr="00564BF3" w:rsidRDefault="00564BF3" w:rsidP="000E1A50">
            <w:pPr>
              <w:pStyle w:val="ListParagraph"/>
              <w:numPr>
                <w:ilvl w:val="0"/>
                <w:numId w:val="19"/>
              </w:numPr>
              <w:spacing w:line="240" w:lineRule="auto"/>
              <w:ind w:left="714" w:hanging="357"/>
              <w:jc w:val="both"/>
              <w:rPr>
                <w:rFonts w:ascii="Arial" w:hAnsi="Arial" w:cs="Arial"/>
                <w:sz w:val="24"/>
                <w:szCs w:val="24"/>
              </w:rPr>
            </w:pPr>
            <w:r w:rsidRPr="00564BF3">
              <w:rPr>
                <w:rFonts w:ascii="Arial" w:hAnsi="Arial" w:cs="Arial"/>
                <w:sz w:val="24"/>
                <w:szCs w:val="24"/>
              </w:rPr>
              <w:t>agree to delegate the ability to change the price to officers depending on the uptake of the monthly subscription option.</w:t>
            </w:r>
            <w:r w:rsidR="0039450A" w:rsidRPr="00564BF3">
              <w:rPr>
                <w:rFonts w:ascii="Arial" w:hAnsi="Arial" w:cs="Arial"/>
                <w:sz w:val="24"/>
                <w:szCs w:val="24"/>
              </w:rPr>
              <w:fldChar w:fldCharType="begin"/>
            </w:r>
            <w:r w:rsidR="0039450A" w:rsidRPr="00564BF3">
              <w:rPr>
                <w:rFonts w:ascii="Arial" w:hAnsi="Arial" w:cs="Arial"/>
                <w:sz w:val="24"/>
                <w:szCs w:val="24"/>
              </w:rPr>
              <w:instrText xml:space="preserve">  </w:instrText>
            </w:r>
            <w:r w:rsidR="0039450A" w:rsidRPr="00564BF3">
              <w:rPr>
                <w:rFonts w:ascii="Arial" w:hAnsi="Arial" w:cs="Arial"/>
                <w:sz w:val="24"/>
                <w:szCs w:val="24"/>
              </w:rPr>
              <w:fldChar w:fldCharType="end"/>
            </w:r>
          </w:p>
        </w:tc>
      </w:tr>
    </w:tbl>
    <w:p w14:paraId="21180594" w14:textId="77777777" w:rsidR="0097099E" w:rsidRPr="00F2409E" w:rsidRDefault="0097099E" w:rsidP="005C61F6">
      <w:pPr>
        <w:jc w:val="both"/>
        <w:rPr>
          <w:rFonts w:ascii="Arial" w:hAnsi="Arial" w:cs="Arial"/>
          <w:szCs w:val="24"/>
        </w:rPr>
      </w:pPr>
    </w:p>
    <w:tbl>
      <w:tblPr>
        <w:tblW w:w="9464" w:type="dxa"/>
        <w:tblLook w:val="0000" w:firstRow="0" w:lastRow="0" w:firstColumn="0" w:lastColumn="0" w:noHBand="0" w:noVBand="0"/>
      </w:tblPr>
      <w:tblGrid>
        <w:gridCol w:w="817"/>
        <w:gridCol w:w="8647"/>
      </w:tblGrid>
      <w:tr w:rsidR="00A53534" w:rsidRPr="00F2409E" w14:paraId="7C6DCE88" w14:textId="77777777" w:rsidTr="00555464">
        <w:tc>
          <w:tcPr>
            <w:tcW w:w="817" w:type="dxa"/>
          </w:tcPr>
          <w:p w14:paraId="319ABB02" w14:textId="77777777" w:rsidR="00A53534" w:rsidRPr="00F2409E" w:rsidRDefault="008B4D54" w:rsidP="005C61F6">
            <w:pPr>
              <w:rPr>
                <w:rFonts w:ascii="Arial" w:hAnsi="Arial" w:cs="Arial"/>
                <w:b/>
                <w:szCs w:val="24"/>
              </w:rPr>
            </w:pPr>
            <w:r w:rsidRPr="00F2409E">
              <w:rPr>
                <w:rFonts w:ascii="Arial" w:hAnsi="Arial" w:cs="Arial"/>
                <w:b/>
                <w:szCs w:val="24"/>
              </w:rPr>
              <w:t>1</w:t>
            </w:r>
            <w:r w:rsidR="00A53534" w:rsidRPr="00F2409E">
              <w:rPr>
                <w:rFonts w:ascii="Arial" w:hAnsi="Arial" w:cs="Arial"/>
                <w:b/>
                <w:szCs w:val="24"/>
              </w:rPr>
              <w:t>.</w:t>
            </w:r>
          </w:p>
        </w:tc>
        <w:tc>
          <w:tcPr>
            <w:tcW w:w="8647" w:type="dxa"/>
          </w:tcPr>
          <w:p w14:paraId="18051711" w14:textId="77777777" w:rsidR="00A53534" w:rsidRPr="00F2409E" w:rsidRDefault="00A53534" w:rsidP="005C61F6">
            <w:pPr>
              <w:rPr>
                <w:rFonts w:ascii="Arial" w:hAnsi="Arial" w:cs="Arial"/>
                <w:b/>
                <w:szCs w:val="24"/>
              </w:rPr>
            </w:pPr>
            <w:r w:rsidRPr="00F2409E">
              <w:rPr>
                <w:rFonts w:ascii="Arial" w:hAnsi="Arial" w:cs="Arial"/>
                <w:b/>
                <w:szCs w:val="24"/>
              </w:rPr>
              <w:t>Business Plan Contribution</w:t>
            </w:r>
          </w:p>
          <w:p w14:paraId="1652AAC4" w14:textId="77777777" w:rsidR="00A53534" w:rsidRPr="00F2409E" w:rsidRDefault="00A53534" w:rsidP="005C61F6">
            <w:pPr>
              <w:rPr>
                <w:rFonts w:ascii="Arial" w:hAnsi="Arial" w:cs="Arial"/>
                <w:szCs w:val="24"/>
              </w:rPr>
            </w:pPr>
          </w:p>
        </w:tc>
      </w:tr>
      <w:tr w:rsidR="00A53534" w:rsidRPr="00F2409E" w14:paraId="3E2C9CCE" w14:textId="77777777" w:rsidTr="00555464">
        <w:tc>
          <w:tcPr>
            <w:tcW w:w="817" w:type="dxa"/>
          </w:tcPr>
          <w:p w14:paraId="1B99337D" w14:textId="77777777" w:rsidR="00A53534" w:rsidRPr="00F2409E" w:rsidRDefault="008B4D54" w:rsidP="005C61F6">
            <w:pPr>
              <w:rPr>
                <w:rFonts w:ascii="Arial" w:hAnsi="Arial" w:cs="Arial"/>
                <w:szCs w:val="24"/>
              </w:rPr>
            </w:pPr>
            <w:r w:rsidRPr="00F2409E">
              <w:rPr>
                <w:rFonts w:ascii="Arial" w:hAnsi="Arial" w:cs="Arial"/>
                <w:szCs w:val="24"/>
              </w:rPr>
              <w:t>1</w:t>
            </w:r>
            <w:r w:rsidR="00A53534" w:rsidRPr="00F2409E">
              <w:rPr>
                <w:rFonts w:ascii="Arial" w:hAnsi="Arial" w:cs="Arial"/>
                <w:szCs w:val="24"/>
              </w:rPr>
              <w:t>.1</w:t>
            </w:r>
          </w:p>
        </w:tc>
        <w:tc>
          <w:tcPr>
            <w:tcW w:w="8647" w:type="dxa"/>
          </w:tcPr>
          <w:p w14:paraId="51322BF1" w14:textId="77777777" w:rsidR="00DE1699" w:rsidRPr="00F2409E" w:rsidRDefault="00B26FE3" w:rsidP="00DE1699">
            <w:pPr>
              <w:contextualSpacing/>
              <w:jc w:val="both"/>
              <w:rPr>
                <w:rFonts w:ascii="Arial" w:hAnsi="Arial" w:cs="Arial"/>
                <w:szCs w:val="24"/>
              </w:rPr>
            </w:pPr>
            <w:r w:rsidRPr="00F2409E">
              <w:rPr>
                <w:rFonts w:ascii="Arial" w:hAnsi="Arial" w:cs="Arial"/>
                <w:szCs w:val="24"/>
              </w:rPr>
              <w:t xml:space="preserve">This </w:t>
            </w:r>
            <w:r w:rsidR="00DE1699" w:rsidRPr="00F2409E">
              <w:rPr>
                <w:rFonts w:ascii="Arial" w:hAnsi="Arial" w:cs="Arial"/>
                <w:szCs w:val="24"/>
              </w:rPr>
              <w:t>report supports the highlighted Business Outcomes from the High Life Highland (HLH) Business Plan:</w:t>
            </w:r>
          </w:p>
          <w:p w14:paraId="0CCCA860" w14:textId="77777777" w:rsidR="00DE1699" w:rsidRPr="00F2409E" w:rsidRDefault="00DE1699" w:rsidP="00DE1699">
            <w:pPr>
              <w:contextualSpacing/>
              <w:jc w:val="both"/>
              <w:rPr>
                <w:rFonts w:ascii="Arial" w:hAnsi="Arial" w:cs="Arial"/>
                <w:szCs w:val="24"/>
              </w:rPr>
            </w:pPr>
          </w:p>
          <w:p w14:paraId="22642CF7"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Seek to continuously improve standards of health and safety.</w:t>
            </w:r>
          </w:p>
          <w:p w14:paraId="781DBB25"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Commit to the Scottish Government’s zero carbon targets and maintain the highest standards in environmental compliance.</w:t>
            </w:r>
          </w:p>
          <w:p w14:paraId="27A17C38"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Use research and market analysis to develop and improve services to meet customer needs.</w:t>
            </w:r>
          </w:p>
          <w:p w14:paraId="79273AE5"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Increase employee satisfaction, engagement and development to improve staff recruitment and retention.</w:t>
            </w:r>
          </w:p>
          <w:p w14:paraId="710B5920"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Improve the financial sustainability of the company.</w:t>
            </w:r>
          </w:p>
          <w:p w14:paraId="5B671D3B"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Value and strengthen the relationship with THC.</w:t>
            </w:r>
          </w:p>
          <w:p w14:paraId="1DD93CF9"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Develop and deliver the HLH Corporate Programme and seek to attract capital investment.</w:t>
            </w:r>
          </w:p>
          <w:p w14:paraId="3204DC72" w14:textId="77777777" w:rsidR="00DE1699" w:rsidRPr="00F2409E" w:rsidRDefault="00DE1699" w:rsidP="00F667B5">
            <w:pPr>
              <w:pStyle w:val="ListParagraph"/>
              <w:numPr>
                <w:ilvl w:val="0"/>
                <w:numId w:val="3"/>
              </w:numPr>
              <w:tabs>
                <w:tab w:val="left" w:pos="0"/>
              </w:tabs>
              <w:spacing w:after="0" w:line="240" w:lineRule="auto"/>
              <w:jc w:val="both"/>
              <w:rPr>
                <w:rFonts w:ascii="Arial" w:hAnsi="Arial" w:cs="Arial"/>
                <w:bCs/>
                <w:sz w:val="24"/>
                <w:szCs w:val="24"/>
              </w:rPr>
            </w:pPr>
            <w:r w:rsidRPr="00F2409E">
              <w:rPr>
                <w:rFonts w:ascii="Arial" w:hAnsi="Arial" w:cs="Arial"/>
                <w:sz w:val="24"/>
                <w:szCs w:val="24"/>
              </w:rPr>
              <w:t>Use research and market analysis to develop and deliver proactive marketing and promotion of HLH and its services.</w:t>
            </w:r>
          </w:p>
          <w:p w14:paraId="7F89DFE5"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Initiate and implement an ICT digital transformation strategy across the charity.</w:t>
            </w:r>
          </w:p>
          <w:p w14:paraId="675F5644" w14:textId="77777777" w:rsidR="00DE1699" w:rsidRPr="00F2409E" w:rsidRDefault="00DE1699" w:rsidP="00F667B5">
            <w:pPr>
              <w:pStyle w:val="ListParagraph"/>
              <w:numPr>
                <w:ilvl w:val="0"/>
                <w:numId w:val="3"/>
              </w:numPr>
              <w:spacing w:after="0" w:line="240" w:lineRule="auto"/>
              <w:jc w:val="both"/>
              <w:rPr>
                <w:rFonts w:ascii="Arial" w:hAnsi="Arial" w:cs="Arial"/>
                <w:sz w:val="24"/>
                <w:szCs w:val="24"/>
              </w:rPr>
            </w:pPr>
            <w:r w:rsidRPr="00F2409E">
              <w:rPr>
                <w:rFonts w:ascii="Arial" w:hAnsi="Arial" w:cs="Arial"/>
                <w:sz w:val="24"/>
                <w:szCs w:val="24"/>
              </w:rPr>
              <w:t>Develop and strengthen relationships with customers, key stakeholders and partners.</w:t>
            </w:r>
          </w:p>
          <w:p w14:paraId="4F7D5521" w14:textId="77777777" w:rsidR="00DE1699" w:rsidRPr="00F2409E" w:rsidRDefault="00DE1699" w:rsidP="00F667B5">
            <w:pPr>
              <w:pStyle w:val="ListParagraph"/>
              <w:numPr>
                <w:ilvl w:val="0"/>
                <w:numId w:val="3"/>
              </w:numPr>
              <w:spacing w:after="0" w:line="240" w:lineRule="auto"/>
              <w:jc w:val="both"/>
              <w:rPr>
                <w:rFonts w:ascii="Arial" w:hAnsi="Arial" w:cs="Arial"/>
                <w:b/>
                <w:bCs/>
                <w:sz w:val="24"/>
                <w:szCs w:val="24"/>
              </w:rPr>
            </w:pPr>
            <w:r w:rsidRPr="00F2409E">
              <w:rPr>
                <w:rFonts w:ascii="Arial" w:hAnsi="Arial" w:cs="Arial"/>
                <w:b/>
                <w:bCs/>
                <w:sz w:val="24"/>
                <w:szCs w:val="24"/>
              </w:rPr>
              <w:t xml:space="preserve">Deliver targeted programmes which support and enhance the physical and mental health and wellbeing of the </w:t>
            </w:r>
            <w:proofErr w:type="gramStart"/>
            <w:r w:rsidRPr="00F2409E">
              <w:rPr>
                <w:rFonts w:ascii="Arial" w:hAnsi="Arial" w:cs="Arial"/>
                <w:b/>
                <w:bCs/>
                <w:sz w:val="24"/>
                <w:szCs w:val="24"/>
              </w:rPr>
              <w:t>population</w:t>
            </w:r>
            <w:proofErr w:type="gramEnd"/>
            <w:r w:rsidRPr="00F2409E">
              <w:rPr>
                <w:rFonts w:ascii="Arial" w:hAnsi="Arial" w:cs="Arial"/>
                <w:b/>
                <w:bCs/>
                <w:sz w:val="24"/>
                <w:szCs w:val="24"/>
              </w:rPr>
              <w:t xml:space="preserve"> and which contribute to the prevention agenda.</w:t>
            </w:r>
          </w:p>
          <w:p w14:paraId="4CAAECBC" w14:textId="77777777" w:rsidR="002A11C0" w:rsidRDefault="002A11C0" w:rsidP="00BE5E50">
            <w:pPr>
              <w:jc w:val="both"/>
              <w:rPr>
                <w:rFonts w:ascii="Arial" w:hAnsi="Arial" w:cs="Arial"/>
                <w:b/>
                <w:szCs w:val="24"/>
              </w:rPr>
            </w:pPr>
          </w:p>
          <w:p w14:paraId="07270090" w14:textId="77777777" w:rsidR="00BE5E50" w:rsidRDefault="00BE5E50" w:rsidP="00BE5E50">
            <w:pPr>
              <w:jc w:val="both"/>
              <w:rPr>
                <w:rFonts w:ascii="Arial" w:hAnsi="Arial" w:cs="Arial"/>
                <w:b/>
                <w:szCs w:val="24"/>
              </w:rPr>
            </w:pPr>
          </w:p>
          <w:p w14:paraId="017C1AC6" w14:textId="77777777" w:rsidR="00BE5E50" w:rsidRDefault="00BE5E50" w:rsidP="00BE5E50">
            <w:pPr>
              <w:jc w:val="both"/>
              <w:rPr>
                <w:rFonts w:ascii="Arial" w:hAnsi="Arial" w:cs="Arial"/>
                <w:b/>
                <w:szCs w:val="24"/>
              </w:rPr>
            </w:pPr>
          </w:p>
          <w:p w14:paraId="558A8567" w14:textId="3C5AC674" w:rsidR="000E1A50" w:rsidRPr="00BE5E50" w:rsidRDefault="000E1A50" w:rsidP="00BE5E50">
            <w:pPr>
              <w:jc w:val="both"/>
              <w:rPr>
                <w:rFonts w:ascii="Arial" w:hAnsi="Arial" w:cs="Arial"/>
                <w:b/>
                <w:szCs w:val="24"/>
              </w:rPr>
            </w:pPr>
          </w:p>
        </w:tc>
      </w:tr>
      <w:tr w:rsidR="00A53534" w:rsidRPr="00F2409E" w14:paraId="4F6B6720" w14:textId="77777777" w:rsidTr="00555464">
        <w:tc>
          <w:tcPr>
            <w:tcW w:w="817" w:type="dxa"/>
          </w:tcPr>
          <w:p w14:paraId="50886340" w14:textId="77777777" w:rsidR="00A53534" w:rsidRPr="00F2409E" w:rsidRDefault="008B4D54" w:rsidP="005C61F6">
            <w:pPr>
              <w:rPr>
                <w:rFonts w:ascii="Arial" w:hAnsi="Arial" w:cs="Arial"/>
                <w:b/>
                <w:szCs w:val="24"/>
              </w:rPr>
            </w:pPr>
            <w:r w:rsidRPr="00F2409E">
              <w:rPr>
                <w:rFonts w:ascii="Arial" w:hAnsi="Arial" w:cs="Arial"/>
                <w:b/>
                <w:szCs w:val="24"/>
              </w:rPr>
              <w:lastRenderedPageBreak/>
              <w:t>2.</w:t>
            </w:r>
          </w:p>
        </w:tc>
        <w:tc>
          <w:tcPr>
            <w:tcW w:w="8647" w:type="dxa"/>
          </w:tcPr>
          <w:p w14:paraId="1B5474FB" w14:textId="77777777" w:rsidR="008B4D54" w:rsidRPr="00F2409E" w:rsidRDefault="008B4D54" w:rsidP="005C61F6">
            <w:pPr>
              <w:jc w:val="both"/>
              <w:rPr>
                <w:rFonts w:ascii="Arial" w:hAnsi="Arial" w:cs="Arial"/>
                <w:b/>
                <w:szCs w:val="24"/>
              </w:rPr>
            </w:pPr>
            <w:r w:rsidRPr="00F2409E">
              <w:rPr>
                <w:rFonts w:ascii="Arial" w:hAnsi="Arial" w:cs="Arial"/>
                <w:b/>
                <w:szCs w:val="24"/>
              </w:rPr>
              <w:t>Background</w:t>
            </w:r>
          </w:p>
          <w:p w14:paraId="121875C9" w14:textId="77777777" w:rsidR="00A53534" w:rsidRPr="00F2409E" w:rsidRDefault="00A53534" w:rsidP="005C61F6">
            <w:pPr>
              <w:rPr>
                <w:rFonts w:ascii="Arial" w:hAnsi="Arial" w:cs="Arial"/>
                <w:szCs w:val="24"/>
              </w:rPr>
            </w:pPr>
          </w:p>
        </w:tc>
      </w:tr>
      <w:tr w:rsidR="00A53534" w:rsidRPr="00F2409E" w14:paraId="2D5D081E" w14:textId="77777777" w:rsidTr="00555464">
        <w:tc>
          <w:tcPr>
            <w:tcW w:w="817" w:type="dxa"/>
          </w:tcPr>
          <w:p w14:paraId="66601EEC" w14:textId="77777777" w:rsidR="00A53534" w:rsidRPr="00F2409E" w:rsidRDefault="008B4D54" w:rsidP="005C61F6">
            <w:pPr>
              <w:rPr>
                <w:rFonts w:ascii="Arial" w:hAnsi="Arial" w:cs="Arial"/>
                <w:szCs w:val="24"/>
              </w:rPr>
            </w:pPr>
            <w:r w:rsidRPr="00F2409E">
              <w:rPr>
                <w:rFonts w:ascii="Arial" w:hAnsi="Arial" w:cs="Arial"/>
                <w:szCs w:val="24"/>
              </w:rPr>
              <w:t>2.1</w:t>
            </w:r>
          </w:p>
        </w:tc>
        <w:tc>
          <w:tcPr>
            <w:tcW w:w="8647" w:type="dxa"/>
          </w:tcPr>
          <w:p w14:paraId="5D66A192" w14:textId="77777777" w:rsidR="00FB5E74" w:rsidRPr="00F2409E" w:rsidRDefault="00BE49DE" w:rsidP="00DE1699">
            <w:pPr>
              <w:jc w:val="both"/>
              <w:rPr>
                <w:rFonts w:ascii="Arial" w:hAnsi="Arial" w:cs="Arial"/>
                <w:szCs w:val="24"/>
              </w:rPr>
            </w:pPr>
            <w:r w:rsidRPr="00F2409E">
              <w:rPr>
                <w:rFonts w:ascii="Arial" w:hAnsi="Arial" w:cs="Arial"/>
                <w:szCs w:val="24"/>
              </w:rPr>
              <w:t xml:space="preserve">At its meeting held on 31 March 2022, </w:t>
            </w:r>
            <w:r w:rsidR="002451A7" w:rsidRPr="00F2409E">
              <w:rPr>
                <w:rFonts w:ascii="Arial" w:hAnsi="Arial" w:cs="Arial"/>
                <w:szCs w:val="24"/>
              </w:rPr>
              <w:t>i</w:t>
            </w:r>
            <w:r w:rsidRPr="00F2409E">
              <w:rPr>
                <w:rFonts w:ascii="Arial" w:hAnsi="Arial" w:cs="Arial"/>
                <w:szCs w:val="24"/>
              </w:rPr>
              <w:t xml:space="preserve">n considering report HLH2/22 - 2022/23 Budget Approval, the HLH Board agreed that officers consider the impact of removing or changing the 50p </w:t>
            </w:r>
            <w:r w:rsidR="002451A7" w:rsidRPr="00F2409E">
              <w:rPr>
                <w:rFonts w:ascii="Arial" w:hAnsi="Arial" w:cs="Arial"/>
                <w:b/>
                <w:bCs/>
                <w:i/>
                <w:iCs/>
                <w:szCs w:val="24"/>
              </w:rPr>
              <w:t>high</w:t>
            </w:r>
            <w:r w:rsidR="002451A7" w:rsidRPr="00F2409E">
              <w:rPr>
                <w:rFonts w:ascii="Arial" w:hAnsi="Arial" w:cs="Arial"/>
                <w:i/>
                <w:iCs/>
                <w:szCs w:val="24"/>
              </w:rPr>
              <w:t>life</w:t>
            </w:r>
            <w:r w:rsidR="002451A7" w:rsidRPr="00F2409E">
              <w:rPr>
                <w:rFonts w:ascii="Arial" w:hAnsi="Arial" w:cs="Arial"/>
                <w:szCs w:val="24"/>
              </w:rPr>
              <w:t xml:space="preserve"> </w:t>
            </w:r>
            <w:r w:rsidRPr="00F2409E">
              <w:rPr>
                <w:rFonts w:ascii="Arial" w:hAnsi="Arial" w:cs="Arial"/>
                <w:szCs w:val="24"/>
              </w:rPr>
              <w:t>budget membership rate</w:t>
            </w:r>
            <w:r w:rsidR="00165375" w:rsidRPr="00F2409E">
              <w:rPr>
                <w:rFonts w:ascii="Arial" w:hAnsi="Arial" w:cs="Arial"/>
                <w:szCs w:val="24"/>
              </w:rPr>
              <w:t xml:space="preserve"> with </w:t>
            </w:r>
            <w:proofErr w:type="spellStart"/>
            <w:r w:rsidR="00165375" w:rsidRPr="00F2409E">
              <w:rPr>
                <w:rFonts w:ascii="Arial" w:hAnsi="Arial" w:cs="Arial"/>
                <w:szCs w:val="24"/>
              </w:rPr>
              <w:t>there</w:t>
            </w:r>
            <w:proofErr w:type="spellEnd"/>
            <w:r w:rsidR="00165375" w:rsidRPr="00F2409E">
              <w:rPr>
                <w:rFonts w:ascii="Arial" w:hAnsi="Arial" w:cs="Arial"/>
                <w:szCs w:val="24"/>
              </w:rPr>
              <w:t xml:space="preserve"> having been two views expressed</w:t>
            </w:r>
            <w:r w:rsidR="00FB5E74" w:rsidRPr="00F2409E">
              <w:rPr>
                <w:rFonts w:ascii="Arial" w:hAnsi="Arial" w:cs="Arial"/>
                <w:szCs w:val="24"/>
              </w:rPr>
              <w:t xml:space="preserve"> at the meeting: </w:t>
            </w:r>
          </w:p>
          <w:p w14:paraId="153FCA4E" w14:textId="4BB179D2" w:rsidR="00FB5E74" w:rsidRPr="00F2409E" w:rsidRDefault="00FB5E74" w:rsidP="00A747FF">
            <w:pPr>
              <w:pStyle w:val="ListParagraph"/>
              <w:numPr>
                <w:ilvl w:val="0"/>
                <w:numId w:val="11"/>
              </w:numPr>
              <w:spacing w:after="0" w:line="240" w:lineRule="auto"/>
              <w:ind w:left="714" w:hanging="357"/>
              <w:jc w:val="both"/>
              <w:rPr>
                <w:rFonts w:ascii="Arial" w:hAnsi="Arial" w:cs="Arial"/>
                <w:sz w:val="24"/>
                <w:szCs w:val="24"/>
              </w:rPr>
            </w:pPr>
            <w:r w:rsidRPr="00F2409E">
              <w:rPr>
                <w:rFonts w:ascii="Arial" w:hAnsi="Arial" w:cs="Arial"/>
                <w:sz w:val="24"/>
                <w:szCs w:val="24"/>
              </w:rPr>
              <w:t xml:space="preserve">one in favour of removing the charge on a temporary basis because of the </w:t>
            </w:r>
            <w:proofErr w:type="gramStart"/>
            <w:r w:rsidRPr="00F2409E">
              <w:rPr>
                <w:rFonts w:ascii="Arial" w:hAnsi="Arial" w:cs="Arial"/>
                <w:sz w:val="24"/>
                <w:szCs w:val="24"/>
              </w:rPr>
              <w:t>cost of living</w:t>
            </w:r>
            <w:proofErr w:type="gramEnd"/>
            <w:r w:rsidRPr="00F2409E">
              <w:rPr>
                <w:rFonts w:ascii="Arial" w:hAnsi="Arial" w:cs="Arial"/>
                <w:sz w:val="24"/>
                <w:szCs w:val="24"/>
              </w:rPr>
              <w:t xml:space="preserve"> crisis; and </w:t>
            </w:r>
          </w:p>
          <w:p w14:paraId="3C62D08E" w14:textId="16730905" w:rsidR="008016CB" w:rsidRPr="00F2409E" w:rsidRDefault="00FB5E74" w:rsidP="00A747FF">
            <w:pPr>
              <w:pStyle w:val="ListParagraph"/>
              <w:numPr>
                <w:ilvl w:val="0"/>
                <w:numId w:val="11"/>
              </w:numPr>
              <w:spacing w:after="0" w:line="240" w:lineRule="auto"/>
              <w:ind w:left="714" w:hanging="357"/>
              <w:jc w:val="both"/>
              <w:rPr>
                <w:rFonts w:ascii="Arial" w:hAnsi="Arial" w:cs="Arial"/>
                <w:sz w:val="24"/>
                <w:szCs w:val="24"/>
              </w:rPr>
            </w:pPr>
            <w:r w:rsidRPr="00F2409E">
              <w:rPr>
                <w:rFonts w:ascii="Arial" w:hAnsi="Arial" w:cs="Arial"/>
                <w:sz w:val="24"/>
                <w:szCs w:val="24"/>
              </w:rPr>
              <w:t xml:space="preserve">the other for retaining it on the basis that, for it to be successful the budget scheme must have </w:t>
            </w:r>
            <w:r w:rsidR="00F2409E">
              <w:rPr>
                <w:rFonts w:ascii="Arial" w:hAnsi="Arial" w:cs="Arial"/>
                <w:sz w:val="24"/>
                <w:szCs w:val="24"/>
              </w:rPr>
              <w:t>a</w:t>
            </w:r>
            <w:r w:rsidRPr="00F2409E">
              <w:rPr>
                <w:rFonts w:ascii="Arial" w:hAnsi="Arial" w:cs="Arial"/>
                <w:sz w:val="24"/>
                <w:szCs w:val="24"/>
              </w:rPr>
              <w:t xml:space="preserve"> value and that the removal of the charge would de-value the service in the eyes of customers</w:t>
            </w:r>
            <w:r w:rsidR="00BE49DE" w:rsidRPr="00F2409E">
              <w:rPr>
                <w:rFonts w:ascii="Arial" w:hAnsi="Arial" w:cs="Arial"/>
                <w:sz w:val="24"/>
                <w:szCs w:val="24"/>
              </w:rPr>
              <w:t xml:space="preserve">. </w:t>
            </w:r>
          </w:p>
          <w:p w14:paraId="4D03FF11" w14:textId="0295802C" w:rsidR="00BE49DE" w:rsidRPr="00F2409E" w:rsidRDefault="00BE49DE" w:rsidP="00DE1699">
            <w:pPr>
              <w:jc w:val="both"/>
              <w:rPr>
                <w:rFonts w:ascii="Arial" w:hAnsi="Arial" w:cs="Arial"/>
                <w:szCs w:val="24"/>
              </w:rPr>
            </w:pPr>
          </w:p>
        </w:tc>
      </w:tr>
      <w:tr w:rsidR="00DE1699" w:rsidRPr="00F2409E" w14:paraId="24107504" w14:textId="77777777" w:rsidTr="00555464">
        <w:tc>
          <w:tcPr>
            <w:tcW w:w="817" w:type="dxa"/>
          </w:tcPr>
          <w:p w14:paraId="324F030B" w14:textId="2CEEB053" w:rsidR="00DE1699" w:rsidRPr="00F2409E" w:rsidRDefault="006851DA" w:rsidP="005C61F6">
            <w:pPr>
              <w:rPr>
                <w:rFonts w:ascii="Arial" w:hAnsi="Arial" w:cs="Arial"/>
                <w:szCs w:val="24"/>
              </w:rPr>
            </w:pPr>
            <w:r w:rsidRPr="00F2409E">
              <w:rPr>
                <w:rFonts w:ascii="Arial" w:hAnsi="Arial" w:cs="Arial"/>
                <w:szCs w:val="24"/>
              </w:rPr>
              <w:t>2.2</w:t>
            </w:r>
          </w:p>
        </w:tc>
        <w:tc>
          <w:tcPr>
            <w:tcW w:w="8647" w:type="dxa"/>
          </w:tcPr>
          <w:p w14:paraId="5D996BE4" w14:textId="7DFF5301" w:rsidR="00DE1699" w:rsidRPr="00F2409E" w:rsidRDefault="006851DA" w:rsidP="00DE1699">
            <w:pPr>
              <w:jc w:val="both"/>
              <w:rPr>
                <w:rFonts w:ascii="Arial" w:hAnsi="Arial" w:cs="Arial"/>
                <w:szCs w:val="24"/>
              </w:rPr>
            </w:pPr>
            <w:r w:rsidRPr="00F2409E">
              <w:rPr>
                <w:rFonts w:ascii="Arial" w:hAnsi="Arial" w:cs="Arial"/>
                <w:szCs w:val="24"/>
              </w:rPr>
              <w:t xml:space="preserve">The </w:t>
            </w:r>
            <w:r w:rsidRPr="00F2409E">
              <w:rPr>
                <w:rFonts w:ascii="Arial" w:hAnsi="Arial" w:cs="Arial"/>
                <w:b/>
                <w:bCs/>
                <w:i/>
                <w:iCs/>
                <w:szCs w:val="24"/>
              </w:rPr>
              <w:t>high</w:t>
            </w:r>
            <w:r w:rsidRPr="00F2409E">
              <w:rPr>
                <w:rFonts w:ascii="Arial" w:hAnsi="Arial" w:cs="Arial"/>
                <w:i/>
                <w:iCs/>
                <w:szCs w:val="24"/>
              </w:rPr>
              <w:t xml:space="preserve">life </w:t>
            </w:r>
            <w:r w:rsidRPr="00F2409E">
              <w:rPr>
                <w:rFonts w:ascii="Arial" w:hAnsi="Arial" w:cs="Arial"/>
                <w:szCs w:val="24"/>
              </w:rPr>
              <w:t xml:space="preserve">leisure scheme was developed by </w:t>
            </w:r>
            <w:r w:rsidR="002451A7" w:rsidRPr="00F2409E">
              <w:rPr>
                <w:rFonts w:ascii="Arial" w:hAnsi="Arial" w:cs="Arial"/>
                <w:szCs w:val="24"/>
              </w:rPr>
              <w:t>T</w:t>
            </w:r>
            <w:r w:rsidRPr="00F2409E">
              <w:rPr>
                <w:rFonts w:ascii="Arial" w:hAnsi="Arial" w:cs="Arial"/>
                <w:szCs w:val="24"/>
              </w:rPr>
              <w:t xml:space="preserve">he Highland Council </w:t>
            </w:r>
            <w:r w:rsidR="00A86E4F" w:rsidRPr="00F2409E">
              <w:rPr>
                <w:rFonts w:ascii="Arial" w:hAnsi="Arial" w:cs="Arial"/>
                <w:szCs w:val="24"/>
              </w:rPr>
              <w:t xml:space="preserve">(THC) </w:t>
            </w:r>
            <w:r w:rsidRPr="00F2409E">
              <w:rPr>
                <w:rFonts w:ascii="Arial" w:hAnsi="Arial" w:cs="Arial"/>
                <w:szCs w:val="24"/>
              </w:rPr>
              <w:t xml:space="preserve">at a time when there was pressure on budgets and a national decline in the use of leisure centres. It was piloted in six centres in 2001 and then established at most other Highland leisure facilities in the following year. An analysis of the success of the scheme a few years later showed that attendances and income </w:t>
            </w:r>
            <w:r w:rsidR="003E44CE" w:rsidRPr="00F2409E">
              <w:rPr>
                <w:rFonts w:ascii="Arial" w:hAnsi="Arial" w:cs="Arial"/>
                <w:szCs w:val="24"/>
              </w:rPr>
              <w:t xml:space="preserve">increased by just over 90% at the sites where it was introduced. </w:t>
            </w:r>
          </w:p>
          <w:p w14:paraId="1C3478F1" w14:textId="3DDCE066" w:rsidR="003E44CE" w:rsidRPr="00F2409E" w:rsidRDefault="003E44CE" w:rsidP="00DE1699">
            <w:pPr>
              <w:jc w:val="both"/>
              <w:rPr>
                <w:rFonts w:ascii="Arial" w:hAnsi="Arial" w:cs="Arial"/>
                <w:szCs w:val="24"/>
              </w:rPr>
            </w:pPr>
          </w:p>
        </w:tc>
      </w:tr>
      <w:tr w:rsidR="003E44CE" w:rsidRPr="00F2409E" w14:paraId="399C20D7" w14:textId="77777777" w:rsidTr="00555464">
        <w:tc>
          <w:tcPr>
            <w:tcW w:w="817" w:type="dxa"/>
          </w:tcPr>
          <w:p w14:paraId="141A40B2" w14:textId="7652071F" w:rsidR="003E44CE" w:rsidRPr="00F2409E" w:rsidRDefault="003E44CE" w:rsidP="005C61F6">
            <w:pPr>
              <w:rPr>
                <w:rFonts w:ascii="Arial" w:hAnsi="Arial" w:cs="Arial"/>
                <w:szCs w:val="24"/>
              </w:rPr>
            </w:pPr>
            <w:r w:rsidRPr="00F2409E">
              <w:rPr>
                <w:rFonts w:ascii="Arial" w:hAnsi="Arial" w:cs="Arial"/>
                <w:szCs w:val="24"/>
              </w:rPr>
              <w:t>2.3</w:t>
            </w:r>
          </w:p>
        </w:tc>
        <w:tc>
          <w:tcPr>
            <w:tcW w:w="8647" w:type="dxa"/>
          </w:tcPr>
          <w:p w14:paraId="2D88383C" w14:textId="2956BB78" w:rsidR="003E44CE" w:rsidRPr="00F2409E" w:rsidRDefault="003E44CE" w:rsidP="00DE1699">
            <w:pPr>
              <w:jc w:val="both"/>
              <w:rPr>
                <w:rFonts w:ascii="Arial" w:hAnsi="Arial" w:cs="Arial"/>
                <w:szCs w:val="24"/>
              </w:rPr>
            </w:pPr>
            <w:r w:rsidRPr="00F2409E">
              <w:rPr>
                <w:rFonts w:ascii="Arial" w:hAnsi="Arial" w:cs="Arial"/>
                <w:szCs w:val="24"/>
              </w:rPr>
              <w:t>The success of the scheme was due to it being:</w:t>
            </w:r>
          </w:p>
          <w:p w14:paraId="7F62AA5B" w14:textId="77777777" w:rsidR="002451A7" w:rsidRPr="00F2409E" w:rsidRDefault="002451A7" w:rsidP="00DE1699">
            <w:pPr>
              <w:jc w:val="both"/>
              <w:rPr>
                <w:rFonts w:ascii="Arial" w:hAnsi="Arial" w:cs="Arial"/>
                <w:szCs w:val="24"/>
              </w:rPr>
            </w:pPr>
          </w:p>
          <w:p w14:paraId="15F25D0C" w14:textId="71E33E8F" w:rsidR="003E44CE" w:rsidRPr="00F2409E" w:rsidRDefault="003E44CE" w:rsidP="00A747FF">
            <w:pPr>
              <w:pStyle w:val="ListParagraph"/>
              <w:numPr>
                <w:ilvl w:val="0"/>
                <w:numId w:val="4"/>
              </w:numPr>
              <w:spacing w:after="0" w:line="240" w:lineRule="auto"/>
              <w:ind w:left="714" w:hanging="357"/>
              <w:jc w:val="both"/>
              <w:rPr>
                <w:rFonts w:ascii="Arial" w:hAnsi="Arial" w:cs="Arial"/>
                <w:sz w:val="24"/>
                <w:szCs w:val="24"/>
              </w:rPr>
            </w:pPr>
            <w:r w:rsidRPr="00F2409E">
              <w:rPr>
                <w:rFonts w:ascii="Arial" w:hAnsi="Arial" w:cs="Arial"/>
                <w:sz w:val="24"/>
                <w:szCs w:val="24"/>
              </w:rPr>
              <w:t xml:space="preserve">simple – allowing customers to access all leisure centre run activities for a single monthly fee; and </w:t>
            </w:r>
          </w:p>
          <w:p w14:paraId="177FC93A" w14:textId="77777777" w:rsidR="003E44CE" w:rsidRPr="00F2409E" w:rsidRDefault="003E44CE" w:rsidP="00A747FF">
            <w:pPr>
              <w:pStyle w:val="ListParagraph"/>
              <w:numPr>
                <w:ilvl w:val="0"/>
                <w:numId w:val="4"/>
              </w:numPr>
              <w:spacing w:after="0" w:line="240" w:lineRule="auto"/>
              <w:ind w:left="714" w:hanging="357"/>
              <w:jc w:val="both"/>
              <w:rPr>
                <w:rFonts w:ascii="Arial" w:hAnsi="Arial" w:cs="Arial"/>
                <w:sz w:val="24"/>
                <w:szCs w:val="24"/>
              </w:rPr>
            </w:pPr>
            <w:r w:rsidRPr="00F2409E">
              <w:rPr>
                <w:rFonts w:ascii="Arial" w:hAnsi="Arial" w:cs="Arial"/>
                <w:sz w:val="24"/>
                <w:szCs w:val="24"/>
              </w:rPr>
              <w:t xml:space="preserve">good value for money – the cost of a subscription equates to three to four visits per month. </w:t>
            </w:r>
          </w:p>
          <w:p w14:paraId="4E309A4B" w14:textId="072E5501" w:rsidR="002451A7" w:rsidRPr="00F2409E" w:rsidRDefault="002451A7" w:rsidP="00165375">
            <w:pPr>
              <w:pStyle w:val="ListParagraph"/>
              <w:spacing w:after="0"/>
              <w:jc w:val="both"/>
              <w:rPr>
                <w:rFonts w:ascii="Arial" w:hAnsi="Arial" w:cs="Arial"/>
                <w:sz w:val="24"/>
                <w:szCs w:val="24"/>
              </w:rPr>
            </w:pPr>
          </w:p>
        </w:tc>
      </w:tr>
      <w:tr w:rsidR="003E44CE" w:rsidRPr="00F2409E" w14:paraId="77F3E94E" w14:textId="77777777" w:rsidTr="00555464">
        <w:tc>
          <w:tcPr>
            <w:tcW w:w="817" w:type="dxa"/>
          </w:tcPr>
          <w:p w14:paraId="35A499AB" w14:textId="50511339" w:rsidR="003E44CE" w:rsidRPr="00F2409E" w:rsidRDefault="003E44CE" w:rsidP="005C61F6">
            <w:pPr>
              <w:rPr>
                <w:rFonts w:ascii="Arial" w:hAnsi="Arial" w:cs="Arial"/>
                <w:szCs w:val="24"/>
              </w:rPr>
            </w:pPr>
            <w:r w:rsidRPr="00F2409E">
              <w:rPr>
                <w:rFonts w:ascii="Arial" w:hAnsi="Arial" w:cs="Arial"/>
                <w:szCs w:val="24"/>
              </w:rPr>
              <w:t>2.4</w:t>
            </w:r>
          </w:p>
        </w:tc>
        <w:tc>
          <w:tcPr>
            <w:tcW w:w="8647" w:type="dxa"/>
          </w:tcPr>
          <w:p w14:paraId="032EDF9F" w14:textId="0E354BA1" w:rsidR="003E44CE" w:rsidRPr="00F2409E" w:rsidRDefault="003E44CE" w:rsidP="00DE1699">
            <w:pPr>
              <w:jc w:val="both"/>
              <w:rPr>
                <w:rFonts w:ascii="Arial" w:hAnsi="Arial" w:cs="Arial"/>
                <w:szCs w:val="24"/>
              </w:rPr>
            </w:pPr>
            <w:r w:rsidRPr="00F2409E">
              <w:rPr>
                <w:rFonts w:ascii="Arial" w:hAnsi="Arial" w:cs="Arial"/>
                <w:szCs w:val="24"/>
              </w:rPr>
              <w:t xml:space="preserve">The scheme was designed to support participation by </w:t>
            </w:r>
            <w:r w:rsidR="00BA6E9D" w:rsidRPr="00F2409E">
              <w:rPr>
                <w:rFonts w:ascii="Arial" w:hAnsi="Arial" w:cs="Arial"/>
                <w:szCs w:val="24"/>
              </w:rPr>
              <w:t>both adults and children</w:t>
            </w:r>
            <w:r w:rsidRPr="00F2409E">
              <w:rPr>
                <w:rFonts w:ascii="Arial" w:hAnsi="Arial" w:cs="Arial"/>
                <w:szCs w:val="24"/>
              </w:rPr>
              <w:t xml:space="preserve"> with there being a subscription which covers two adults</w:t>
            </w:r>
            <w:r w:rsidR="00BA6E9D" w:rsidRPr="00F2409E">
              <w:rPr>
                <w:rFonts w:ascii="Arial" w:hAnsi="Arial" w:cs="Arial"/>
                <w:szCs w:val="24"/>
              </w:rPr>
              <w:t xml:space="preserve"> in a household</w:t>
            </w:r>
            <w:r w:rsidRPr="00F2409E">
              <w:rPr>
                <w:rFonts w:ascii="Arial" w:hAnsi="Arial" w:cs="Arial"/>
                <w:szCs w:val="24"/>
              </w:rPr>
              <w:t xml:space="preserve"> and any number of children </w:t>
            </w:r>
            <w:r w:rsidR="002451A7" w:rsidRPr="00F2409E">
              <w:rPr>
                <w:rFonts w:ascii="Arial" w:hAnsi="Arial" w:cs="Arial"/>
                <w:szCs w:val="24"/>
              </w:rPr>
              <w:t>(under 1</w:t>
            </w:r>
            <w:r w:rsidR="00165375" w:rsidRPr="00F2409E">
              <w:rPr>
                <w:rFonts w:ascii="Arial" w:hAnsi="Arial" w:cs="Arial"/>
                <w:szCs w:val="24"/>
              </w:rPr>
              <w:t>8</w:t>
            </w:r>
            <w:r w:rsidR="002451A7" w:rsidRPr="00F2409E">
              <w:rPr>
                <w:rFonts w:ascii="Arial" w:hAnsi="Arial" w:cs="Arial"/>
                <w:szCs w:val="24"/>
              </w:rPr>
              <w:t xml:space="preserve">) </w:t>
            </w:r>
            <w:r w:rsidR="00BA6E9D" w:rsidRPr="00F2409E">
              <w:rPr>
                <w:rFonts w:ascii="Arial" w:hAnsi="Arial" w:cs="Arial"/>
                <w:szCs w:val="24"/>
              </w:rPr>
              <w:t>that</w:t>
            </w:r>
            <w:r w:rsidRPr="00F2409E">
              <w:rPr>
                <w:rFonts w:ascii="Arial" w:hAnsi="Arial" w:cs="Arial"/>
                <w:szCs w:val="24"/>
              </w:rPr>
              <w:t xml:space="preserve"> live in th</w:t>
            </w:r>
            <w:r w:rsidR="00A86E4F" w:rsidRPr="00F2409E">
              <w:rPr>
                <w:rFonts w:ascii="Arial" w:hAnsi="Arial" w:cs="Arial"/>
                <w:szCs w:val="24"/>
              </w:rPr>
              <w:t>at</w:t>
            </w:r>
            <w:r w:rsidRPr="00F2409E">
              <w:rPr>
                <w:rFonts w:ascii="Arial" w:hAnsi="Arial" w:cs="Arial"/>
                <w:szCs w:val="24"/>
              </w:rPr>
              <w:t xml:space="preserve"> household</w:t>
            </w:r>
            <w:r w:rsidR="00BA6E9D" w:rsidRPr="00F2409E">
              <w:rPr>
                <w:rFonts w:ascii="Arial" w:hAnsi="Arial" w:cs="Arial"/>
                <w:szCs w:val="24"/>
              </w:rPr>
              <w:t>. A postcode analysis has shown that two thirds of card holders are on middle to low incomes.</w:t>
            </w:r>
          </w:p>
          <w:p w14:paraId="06A80C7E" w14:textId="62FB606B" w:rsidR="003E44CE" w:rsidRPr="00F2409E" w:rsidRDefault="003E44CE" w:rsidP="00DE1699">
            <w:pPr>
              <w:jc w:val="both"/>
              <w:rPr>
                <w:rFonts w:ascii="Arial" w:hAnsi="Arial" w:cs="Arial"/>
                <w:szCs w:val="24"/>
              </w:rPr>
            </w:pPr>
          </w:p>
        </w:tc>
      </w:tr>
      <w:tr w:rsidR="003E44CE" w:rsidRPr="00C85BFD" w14:paraId="3C91BC5C" w14:textId="77777777" w:rsidTr="00555464">
        <w:tc>
          <w:tcPr>
            <w:tcW w:w="817" w:type="dxa"/>
          </w:tcPr>
          <w:p w14:paraId="634A43A1" w14:textId="0DFB517F" w:rsidR="003E44CE" w:rsidRPr="00C85BFD" w:rsidRDefault="003E44CE" w:rsidP="005C61F6">
            <w:pPr>
              <w:rPr>
                <w:rFonts w:ascii="Arial" w:hAnsi="Arial" w:cs="Arial"/>
                <w:szCs w:val="24"/>
              </w:rPr>
            </w:pPr>
            <w:r w:rsidRPr="00C85BFD">
              <w:rPr>
                <w:rFonts w:ascii="Arial" w:hAnsi="Arial" w:cs="Arial"/>
                <w:szCs w:val="24"/>
              </w:rPr>
              <w:t>2.5</w:t>
            </w:r>
          </w:p>
        </w:tc>
        <w:tc>
          <w:tcPr>
            <w:tcW w:w="8647" w:type="dxa"/>
          </w:tcPr>
          <w:p w14:paraId="33115FB7" w14:textId="3E4DD958" w:rsidR="000273AB" w:rsidRPr="00C85BFD" w:rsidRDefault="00A86E4F" w:rsidP="000E1A50">
            <w:pPr>
              <w:pStyle w:val="ListParagraph"/>
              <w:spacing w:line="240" w:lineRule="auto"/>
              <w:ind w:left="0"/>
              <w:jc w:val="both"/>
              <w:rPr>
                <w:rFonts w:ascii="Arial" w:hAnsi="Arial" w:cs="Arial"/>
                <w:sz w:val="24"/>
                <w:szCs w:val="24"/>
              </w:rPr>
            </w:pPr>
            <w:r w:rsidRPr="00C85BFD">
              <w:rPr>
                <w:rFonts w:ascii="Arial" w:hAnsi="Arial" w:cs="Arial"/>
                <w:sz w:val="24"/>
                <w:szCs w:val="24"/>
              </w:rPr>
              <w:t xml:space="preserve">The </w:t>
            </w:r>
            <w:r w:rsidRPr="00C85BFD">
              <w:rPr>
                <w:rFonts w:ascii="Arial" w:hAnsi="Arial" w:cs="Arial"/>
                <w:b/>
                <w:bCs/>
                <w:i/>
                <w:iCs/>
                <w:sz w:val="24"/>
                <w:szCs w:val="24"/>
              </w:rPr>
              <w:t>high</w:t>
            </w:r>
            <w:r w:rsidRPr="00C85BFD">
              <w:rPr>
                <w:rFonts w:ascii="Arial" w:hAnsi="Arial" w:cs="Arial"/>
                <w:i/>
                <w:iCs/>
                <w:sz w:val="24"/>
                <w:szCs w:val="24"/>
              </w:rPr>
              <w:t xml:space="preserve">life </w:t>
            </w:r>
            <w:r w:rsidRPr="00C85BFD">
              <w:rPr>
                <w:rFonts w:ascii="Arial" w:hAnsi="Arial" w:cs="Arial"/>
                <w:sz w:val="24"/>
                <w:szCs w:val="24"/>
              </w:rPr>
              <w:t xml:space="preserve">scheme </w:t>
            </w:r>
            <w:r w:rsidR="00BA6E9D" w:rsidRPr="00C85BFD">
              <w:rPr>
                <w:rFonts w:ascii="Arial" w:hAnsi="Arial" w:cs="Arial"/>
                <w:sz w:val="24"/>
                <w:szCs w:val="24"/>
              </w:rPr>
              <w:t xml:space="preserve">was also designed to support people who are financially disadvantaged. </w:t>
            </w:r>
            <w:r w:rsidR="003E44CE" w:rsidRPr="00C85BFD">
              <w:rPr>
                <w:rFonts w:ascii="Arial" w:hAnsi="Arial" w:cs="Arial"/>
                <w:sz w:val="24"/>
                <w:szCs w:val="24"/>
              </w:rPr>
              <w:t xml:space="preserve">An important part of </w:t>
            </w:r>
            <w:r w:rsidRPr="00C85BFD">
              <w:rPr>
                <w:rFonts w:ascii="Arial" w:hAnsi="Arial" w:cs="Arial"/>
                <w:sz w:val="24"/>
                <w:szCs w:val="24"/>
              </w:rPr>
              <w:t>it</w:t>
            </w:r>
            <w:r w:rsidR="003E44CE" w:rsidRPr="00C85BFD">
              <w:rPr>
                <w:rFonts w:ascii="Arial" w:hAnsi="Arial" w:cs="Arial"/>
                <w:sz w:val="24"/>
                <w:szCs w:val="24"/>
              </w:rPr>
              <w:t xml:space="preserve"> is the budget membership where people eligible for income related benefits can participate in any leisure centre run activities for fifty pence per visit.</w:t>
            </w:r>
            <w:r w:rsidR="005A10F3" w:rsidRPr="00C85BFD">
              <w:rPr>
                <w:rFonts w:ascii="Arial" w:hAnsi="Arial" w:cs="Arial"/>
                <w:sz w:val="24"/>
                <w:szCs w:val="24"/>
              </w:rPr>
              <w:t xml:space="preserve"> The 50p budget membership has become part of ‘brand HLH’, it is widely recognised, nationally acclaimed and is a key selling point in respect of our corporate social responsibility.</w:t>
            </w:r>
          </w:p>
        </w:tc>
      </w:tr>
      <w:tr w:rsidR="000273AB" w:rsidRPr="00F2409E" w14:paraId="5E4FF291" w14:textId="77777777" w:rsidTr="00555464">
        <w:tc>
          <w:tcPr>
            <w:tcW w:w="817" w:type="dxa"/>
          </w:tcPr>
          <w:p w14:paraId="7BE170BD" w14:textId="4A8A27A0" w:rsidR="000273AB" w:rsidRPr="00F2409E" w:rsidRDefault="000273AB" w:rsidP="005C61F6">
            <w:pPr>
              <w:rPr>
                <w:rFonts w:ascii="Arial" w:hAnsi="Arial" w:cs="Arial"/>
                <w:szCs w:val="24"/>
              </w:rPr>
            </w:pPr>
            <w:r w:rsidRPr="00F2409E">
              <w:rPr>
                <w:rFonts w:ascii="Arial" w:hAnsi="Arial" w:cs="Arial"/>
                <w:szCs w:val="24"/>
              </w:rPr>
              <w:t>2.6</w:t>
            </w:r>
          </w:p>
        </w:tc>
        <w:tc>
          <w:tcPr>
            <w:tcW w:w="8647" w:type="dxa"/>
          </w:tcPr>
          <w:p w14:paraId="7D92933C" w14:textId="35A9F041" w:rsidR="000273AB" w:rsidRPr="00F2409E" w:rsidRDefault="00E3130C" w:rsidP="00DE1699">
            <w:pPr>
              <w:jc w:val="both"/>
              <w:rPr>
                <w:rFonts w:ascii="Arial" w:hAnsi="Arial" w:cs="Arial"/>
                <w:szCs w:val="24"/>
              </w:rPr>
            </w:pPr>
            <w:r>
              <w:rPr>
                <w:rFonts w:ascii="Arial" w:hAnsi="Arial" w:cs="Arial"/>
                <w:szCs w:val="24"/>
              </w:rPr>
              <w:t>In a normal year, a</w:t>
            </w:r>
            <w:r w:rsidR="000273AB" w:rsidRPr="00F2409E">
              <w:rPr>
                <w:rFonts w:ascii="Arial" w:hAnsi="Arial" w:cs="Arial"/>
                <w:szCs w:val="24"/>
              </w:rPr>
              <w:t>t any one time</w:t>
            </w:r>
            <w:r>
              <w:rPr>
                <w:rFonts w:ascii="Arial" w:hAnsi="Arial" w:cs="Arial"/>
                <w:szCs w:val="24"/>
              </w:rPr>
              <w:t>,</w:t>
            </w:r>
            <w:r w:rsidR="000273AB" w:rsidRPr="00F2409E">
              <w:rPr>
                <w:rFonts w:ascii="Arial" w:hAnsi="Arial" w:cs="Arial"/>
                <w:szCs w:val="24"/>
              </w:rPr>
              <w:t xml:space="preserve"> there can be around 10,000 people in the budget scheme </w:t>
            </w:r>
            <w:r w:rsidR="00114920" w:rsidRPr="00F2409E">
              <w:rPr>
                <w:rFonts w:ascii="Arial" w:hAnsi="Arial" w:cs="Arial"/>
                <w:szCs w:val="24"/>
              </w:rPr>
              <w:t xml:space="preserve">with the average number of visits being approximately </w:t>
            </w:r>
            <w:r w:rsidR="00494443" w:rsidRPr="00F2409E">
              <w:rPr>
                <w:rFonts w:ascii="Arial" w:hAnsi="Arial" w:cs="Arial"/>
                <w:szCs w:val="24"/>
              </w:rPr>
              <w:t>once</w:t>
            </w:r>
            <w:r w:rsidR="00114920" w:rsidRPr="00F2409E">
              <w:rPr>
                <w:rFonts w:ascii="Arial" w:hAnsi="Arial" w:cs="Arial"/>
                <w:szCs w:val="24"/>
              </w:rPr>
              <w:t xml:space="preserve"> per </w:t>
            </w:r>
            <w:r w:rsidR="00494443" w:rsidRPr="00F2409E">
              <w:rPr>
                <w:rFonts w:ascii="Arial" w:hAnsi="Arial" w:cs="Arial"/>
                <w:szCs w:val="24"/>
              </w:rPr>
              <w:t>month</w:t>
            </w:r>
            <w:r w:rsidR="000273AB" w:rsidRPr="00F2409E">
              <w:rPr>
                <w:rFonts w:ascii="Arial" w:hAnsi="Arial" w:cs="Arial"/>
                <w:szCs w:val="24"/>
              </w:rPr>
              <w:t xml:space="preserve">. </w:t>
            </w:r>
            <w:r w:rsidR="000E1A50">
              <w:rPr>
                <w:rFonts w:ascii="Arial" w:hAnsi="Arial" w:cs="Arial"/>
                <w:szCs w:val="24"/>
              </w:rPr>
              <w:t>Annual i</w:t>
            </w:r>
            <w:r w:rsidR="000273AB" w:rsidRPr="00F2409E">
              <w:rPr>
                <w:rFonts w:ascii="Arial" w:hAnsi="Arial" w:cs="Arial"/>
                <w:szCs w:val="24"/>
              </w:rPr>
              <w:t>ncome is of the order of £6</w:t>
            </w:r>
            <w:r w:rsidR="001026D5">
              <w:rPr>
                <w:rFonts w:ascii="Arial" w:hAnsi="Arial" w:cs="Arial"/>
                <w:szCs w:val="24"/>
              </w:rPr>
              <w:t>0</w:t>
            </w:r>
            <w:r w:rsidR="002451A7" w:rsidRPr="00F2409E">
              <w:rPr>
                <w:rFonts w:ascii="Arial" w:hAnsi="Arial" w:cs="Arial"/>
                <w:szCs w:val="24"/>
              </w:rPr>
              <w:t>k.</w:t>
            </w:r>
          </w:p>
          <w:p w14:paraId="12AEFDEC" w14:textId="3871B752" w:rsidR="000273AB" w:rsidRPr="00F2409E" w:rsidRDefault="000273AB" w:rsidP="00DE1699">
            <w:pPr>
              <w:jc w:val="both"/>
              <w:rPr>
                <w:rFonts w:ascii="Arial" w:hAnsi="Arial" w:cs="Arial"/>
                <w:szCs w:val="24"/>
              </w:rPr>
            </w:pPr>
          </w:p>
        </w:tc>
      </w:tr>
      <w:tr w:rsidR="003E44CE" w:rsidRPr="00F2409E" w14:paraId="6F1F32BB" w14:textId="77777777" w:rsidTr="00555464">
        <w:tc>
          <w:tcPr>
            <w:tcW w:w="817" w:type="dxa"/>
          </w:tcPr>
          <w:p w14:paraId="3840B775" w14:textId="75C808FB" w:rsidR="003E44CE" w:rsidRPr="00F2409E" w:rsidRDefault="000273AB" w:rsidP="005C61F6">
            <w:pPr>
              <w:rPr>
                <w:rFonts w:ascii="Arial" w:hAnsi="Arial" w:cs="Arial"/>
                <w:szCs w:val="24"/>
              </w:rPr>
            </w:pPr>
            <w:r w:rsidRPr="00F2409E">
              <w:rPr>
                <w:rFonts w:ascii="Arial" w:hAnsi="Arial" w:cs="Arial"/>
                <w:szCs w:val="24"/>
              </w:rPr>
              <w:t>2.7</w:t>
            </w:r>
          </w:p>
        </w:tc>
        <w:tc>
          <w:tcPr>
            <w:tcW w:w="8647" w:type="dxa"/>
          </w:tcPr>
          <w:p w14:paraId="48A619B0" w14:textId="2E07CAA4" w:rsidR="003E44CE" w:rsidRPr="00F2409E" w:rsidRDefault="000273AB" w:rsidP="00662F81">
            <w:pPr>
              <w:jc w:val="both"/>
              <w:rPr>
                <w:rFonts w:ascii="Arial" w:hAnsi="Arial" w:cs="Arial"/>
                <w:szCs w:val="24"/>
              </w:rPr>
            </w:pPr>
            <w:r w:rsidRPr="00F2409E">
              <w:rPr>
                <w:rFonts w:ascii="Arial" w:hAnsi="Arial" w:cs="Arial"/>
                <w:szCs w:val="24"/>
              </w:rPr>
              <w:t xml:space="preserve">This report considers, as requested by the HLH Board, options for </w:t>
            </w:r>
            <w:r w:rsidR="00AD0F4B" w:rsidRPr="00F2409E">
              <w:rPr>
                <w:rFonts w:ascii="Arial" w:hAnsi="Arial" w:cs="Arial"/>
                <w:szCs w:val="24"/>
              </w:rPr>
              <w:t xml:space="preserve">altering the </w:t>
            </w:r>
            <w:r w:rsidR="00BA6E9D" w:rsidRPr="00F2409E">
              <w:rPr>
                <w:rFonts w:ascii="Arial" w:hAnsi="Arial" w:cs="Arial"/>
                <w:b/>
                <w:bCs/>
                <w:i/>
                <w:iCs/>
                <w:szCs w:val="24"/>
              </w:rPr>
              <w:t>high</w:t>
            </w:r>
            <w:r w:rsidR="00BA6E9D" w:rsidRPr="00F2409E">
              <w:rPr>
                <w:rFonts w:ascii="Arial" w:hAnsi="Arial" w:cs="Arial"/>
                <w:i/>
                <w:iCs/>
                <w:szCs w:val="24"/>
              </w:rPr>
              <w:t xml:space="preserve">life </w:t>
            </w:r>
            <w:r w:rsidR="00BA6E9D" w:rsidRPr="00F2409E">
              <w:rPr>
                <w:rFonts w:ascii="Arial" w:hAnsi="Arial" w:cs="Arial"/>
                <w:szCs w:val="24"/>
              </w:rPr>
              <w:t xml:space="preserve">budget </w:t>
            </w:r>
            <w:r w:rsidR="00AD0F4B" w:rsidRPr="00F2409E">
              <w:rPr>
                <w:rFonts w:ascii="Arial" w:hAnsi="Arial" w:cs="Arial"/>
                <w:szCs w:val="24"/>
              </w:rPr>
              <w:t xml:space="preserve">scheme </w:t>
            </w:r>
            <w:r w:rsidR="00A86E4F" w:rsidRPr="00F2409E">
              <w:rPr>
                <w:rFonts w:ascii="Arial" w:hAnsi="Arial" w:cs="Arial"/>
                <w:szCs w:val="24"/>
              </w:rPr>
              <w:t>in the context</w:t>
            </w:r>
            <w:r w:rsidRPr="00F2409E">
              <w:rPr>
                <w:rFonts w:ascii="Arial" w:hAnsi="Arial" w:cs="Arial"/>
                <w:szCs w:val="24"/>
              </w:rPr>
              <w:t xml:space="preserve"> of the </w:t>
            </w:r>
            <w:proofErr w:type="gramStart"/>
            <w:r w:rsidRPr="00F2409E">
              <w:rPr>
                <w:rFonts w:ascii="Arial" w:hAnsi="Arial" w:cs="Arial"/>
                <w:szCs w:val="24"/>
              </w:rPr>
              <w:t>cost of living</w:t>
            </w:r>
            <w:proofErr w:type="gramEnd"/>
            <w:r w:rsidRPr="00F2409E">
              <w:rPr>
                <w:rFonts w:ascii="Arial" w:hAnsi="Arial" w:cs="Arial"/>
                <w:szCs w:val="24"/>
              </w:rPr>
              <w:t xml:space="preserve"> crisis. </w:t>
            </w:r>
          </w:p>
          <w:p w14:paraId="25CAC61E" w14:textId="65CB7075" w:rsidR="000273AB" w:rsidRPr="00F2409E" w:rsidRDefault="000273AB" w:rsidP="00DE1699">
            <w:pPr>
              <w:jc w:val="both"/>
              <w:rPr>
                <w:rFonts w:ascii="Arial" w:hAnsi="Arial" w:cs="Arial"/>
                <w:szCs w:val="24"/>
              </w:rPr>
            </w:pPr>
          </w:p>
        </w:tc>
      </w:tr>
      <w:tr w:rsidR="003E44CE" w:rsidRPr="00F2409E" w14:paraId="2A3F7F06" w14:textId="77777777" w:rsidTr="00555464">
        <w:tc>
          <w:tcPr>
            <w:tcW w:w="817" w:type="dxa"/>
          </w:tcPr>
          <w:p w14:paraId="1AEA14DD" w14:textId="1A607541" w:rsidR="003E44CE" w:rsidRPr="00F2409E" w:rsidRDefault="000273AB" w:rsidP="005C61F6">
            <w:pPr>
              <w:rPr>
                <w:rFonts w:ascii="Arial" w:hAnsi="Arial" w:cs="Arial"/>
                <w:b/>
                <w:bCs/>
                <w:szCs w:val="24"/>
              </w:rPr>
            </w:pPr>
            <w:r w:rsidRPr="00F2409E">
              <w:rPr>
                <w:rFonts w:ascii="Arial" w:hAnsi="Arial" w:cs="Arial"/>
                <w:b/>
                <w:bCs/>
                <w:szCs w:val="24"/>
              </w:rPr>
              <w:t>3.</w:t>
            </w:r>
          </w:p>
        </w:tc>
        <w:tc>
          <w:tcPr>
            <w:tcW w:w="8647" w:type="dxa"/>
          </w:tcPr>
          <w:p w14:paraId="0B157354" w14:textId="77777777" w:rsidR="003E44CE" w:rsidRPr="00F2409E" w:rsidRDefault="000273AB" w:rsidP="00DE1699">
            <w:pPr>
              <w:jc w:val="both"/>
              <w:rPr>
                <w:rFonts w:ascii="Arial" w:hAnsi="Arial" w:cs="Arial"/>
                <w:b/>
                <w:bCs/>
                <w:szCs w:val="24"/>
              </w:rPr>
            </w:pPr>
            <w:r w:rsidRPr="00F2409E">
              <w:rPr>
                <w:rFonts w:ascii="Arial" w:hAnsi="Arial" w:cs="Arial"/>
                <w:b/>
                <w:bCs/>
                <w:szCs w:val="24"/>
              </w:rPr>
              <w:t>Options</w:t>
            </w:r>
          </w:p>
          <w:p w14:paraId="212F2F8A" w14:textId="4468FF42" w:rsidR="000273AB" w:rsidRPr="00F2409E" w:rsidRDefault="000273AB" w:rsidP="00DE1699">
            <w:pPr>
              <w:jc w:val="both"/>
              <w:rPr>
                <w:rFonts w:ascii="Arial" w:hAnsi="Arial" w:cs="Arial"/>
                <w:b/>
                <w:bCs/>
                <w:szCs w:val="24"/>
              </w:rPr>
            </w:pPr>
          </w:p>
        </w:tc>
      </w:tr>
      <w:tr w:rsidR="003E44CE" w:rsidRPr="00F2409E" w14:paraId="7387EED4" w14:textId="77777777" w:rsidTr="00555464">
        <w:tc>
          <w:tcPr>
            <w:tcW w:w="817" w:type="dxa"/>
          </w:tcPr>
          <w:p w14:paraId="60F8E45E" w14:textId="081FC9C5" w:rsidR="003E44CE" w:rsidRPr="00F2409E" w:rsidRDefault="000273AB" w:rsidP="005C61F6">
            <w:pPr>
              <w:rPr>
                <w:rFonts w:ascii="Arial" w:hAnsi="Arial" w:cs="Arial"/>
                <w:szCs w:val="24"/>
              </w:rPr>
            </w:pPr>
            <w:r w:rsidRPr="00F2409E">
              <w:rPr>
                <w:rFonts w:ascii="Arial" w:hAnsi="Arial" w:cs="Arial"/>
                <w:szCs w:val="24"/>
              </w:rPr>
              <w:t>3.1</w:t>
            </w:r>
          </w:p>
        </w:tc>
        <w:tc>
          <w:tcPr>
            <w:tcW w:w="8647" w:type="dxa"/>
          </w:tcPr>
          <w:p w14:paraId="531DC54C" w14:textId="7671420B" w:rsidR="003E44CE" w:rsidRPr="00F2409E" w:rsidRDefault="000273AB" w:rsidP="00DE1699">
            <w:pPr>
              <w:jc w:val="both"/>
              <w:rPr>
                <w:rFonts w:ascii="Arial" w:hAnsi="Arial" w:cs="Arial"/>
                <w:szCs w:val="24"/>
              </w:rPr>
            </w:pPr>
            <w:r w:rsidRPr="00F2409E">
              <w:rPr>
                <w:rFonts w:ascii="Arial" w:hAnsi="Arial" w:cs="Arial"/>
                <w:szCs w:val="24"/>
              </w:rPr>
              <w:t xml:space="preserve">There are </w:t>
            </w:r>
            <w:r w:rsidR="00662F81" w:rsidRPr="00F2409E">
              <w:rPr>
                <w:rFonts w:ascii="Arial" w:hAnsi="Arial" w:cs="Arial"/>
                <w:szCs w:val="24"/>
              </w:rPr>
              <w:t xml:space="preserve">three </w:t>
            </w:r>
            <w:r w:rsidRPr="00F2409E">
              <w:rPr>
                <w:rFonts w:ascii="Arial" w:hAnsi="Arial" w:cs="Arial"/>
                <w:szCs w:val="24"/>
              </w:rPr>
              <w:t xml:space="preserve">options which could be considered for changing the budget </w:t>
            </w:r>
            <w:r w:rsidR="00BA6E9D" w:rsidRPr="00F2409E">
              <w:rPr>
                <w:rFonts w:ascii="Arial" w:hAnsi="Arial" w:cs="Arial"/>
                <w:szCs w:val="24"/>
              </w:rPr>
              <w:t>scheme</w:t>
            </w:r>
            <w:r w:rsidRPr="00F2409E">
              <w:rPr>
                <w:rFonts w:ascii="Arial" w:hAnsi="Arial" w:cs="Arial"/>
                <w:szCs w:val="24"/>
              </w:rPr>
              <w:t xml:space="preserve"> </w:t>
            </w:r>
            <w:r w:rsidR="00EC0D56" w:rsidRPr="00F2409E">
              <w:rPr>
                <w:rFonts w:ascii="Arial" w:hAnsi="Arial" w:cs="Arial"/>
                <w:szCs w:val="24"/>
              </w:rPr>
              <w:t>and this report considers the following:</w:t>
            </w:r>
          </w:p>
          <w:p w14:paraId="2B69C23D" w14:textId="77777777" w:rsidR="002451A7" w:rsidRPr="00F2409E" w:rsidRDefault="002451A7" w:rsidP="00DE1699">
            <w:pPr>
              <w:jc w:val="both"/>
              <w:rPr>
                <w:rFonts w:ascii="Arial" w:hAnsi="Arial" w:cs="Arial"/>
                <w:szCs w:val="24"/>
              </w:rPr>
            </w:pPr>
          </w:p>
          <w:p w14:paraId="05246360" w14:textId="149EB768" w:rsidR="00EC0D56" w:rsidRPr="00F2409E" w:rsidRDefault="00BA6E9D" w:rsidP="00A747FF">
            <w:pPr>
              <w:pStyle w:val="ListParagraph"/>
              <w:numPr>
                <w:ilvl w:val="0"/>
                <w:numId w:val="8"/>
              </w:numPr>
              <w:spacing w:line="240" w:lineRule="auto"/>
              <w:ind w:left="714" w:hanging="357"/>
              <w:jc w:val="both"/>
              <w:rPr>
                <w:rFonts w:ascii="Arial" w:hAnsi="Arial" w:cs="Arial"/>
                <w:sz w:val="24"/>
                <w:szCs w:val="24"/>
              </w:rPr>
            </w:pPr>
            <w:r w:rsidRPr="00F2409E">
              <w:rPr>
                <w:rFonts w:ascii="Arial" w:hAnsi="Arial" w:cs="Arial"/>
                <w:sz w:val="24"/>
                <w:szCs w:val="24"/>
              </w:rPr>
              <w:lastRenderedPageBreak/>
              <w:t>m</w:t>
            </w:r>
            <w:r w:rsidR="00EC0D56" w:rsidRPr="00F2409E">
              <w:rPr>
                <w:rFonts w:ascii="Arial" w:hAnsi="Arial" w:cs="Arial"/>
                <w:sz w:val="24"/>
                <w:szCs w:val="24"/>
              </w:rPr>
              <w:t xml:space="preserve">aintain the current </w:t>
            </w:r>
            <w:r w:rsidR="00D37320">
              <w:rPr>
                <w:rFonts w:ascii="Arial" w:hAnsi="Arial" w:cs="Arial"/>
                <w:sz w:val="24"/>
                <w:szCs w:val="24"/>
              </w:rPr>
              <w:t>50p</w:t>
            </w:r>
            <w:r w:rsidR="00EC0D56" w:rsidRPr="00F2409E">
              <w:rPr>
                <w:rFonts w:ascii="Arial" w:hAnsi="Arial" w:cs="Arial"/>
                <w:sz w:val="24"/>
                <w:szCs w:val="24"/>
              </w:rPr>
              <w:t xml:space="preserve"> per visit model; </w:t>
            </w:r>
          </w:p>
          <w:p w14:paraId="2AFD6272" w14:textId="7FF50B5A" w:rsidR="00EC0D56" w:rsidRPr="00F2409E" w:rsidRDefault="00BA6E9D" w:rsidP="00A747FF">
            <w:pPr>
              <w:pStyle w:val="ListParagraph"/>
              <w:numPr>
                <w:ilvl w:val="0"/>
                <w:numId w:val="8"/>
              </w:numPr>
              <w:spacing w:line="240" w:lineRule="auto"/>
              <w:ind w:left="714" w:hanging="357"/>
              <w:jc w:val="both"/>
              <w:rPr>
                <w:rFonts w:ascii="Arial" w:hAnsi="Arial" w:cs="Arial"/>
                <w:sz w:val="24"/>
                <w:szCs w:val="24"/>
              </w:rPr>
            </w:pPr>
            <w:r w:rsidRPr="00F2409E">
              <w:rPr>
                <w:rFonts w:ascii="Arial" w:hAnsi="Arial" w:cs="Arial"/>
                <w:sz w:val="24"/>
                <w:szCs w:val="24"/>
              </w:rPr>
              <w:t>re</w:t>
            </w:r>
            <w:r w:rsidR="00FB5E74" w:rsidRPr="00F2409E">
              <w:rPr>
                <w:rFonts w:ascii="Arial" w:hAnsi="Arial" w:cs="Arial"/>
                <w:sz w:val="24"/>
                <w:szCs w:val="24"/>
              </w:rPr>
              <w:t xml:space="preserve">move the </w:t>
            </w:r>
            <w:r w:rsidR="00EC0D56" w:rsidRPr="00F2409E">
              <w:rPr>
                <w:rFonts w:ascii="Arial" w:hAnsi="Arial" w:cs="Arial"/>
                <w:sz w:val="24"/>
                <w:szCs w:val="24"/>
              </w:rPr>
              <w:t>charge</w:t>
            </w:r>
            <w:r w:rsidR="00FB5E74" w:rsidRPr="00F2409E">
              <w:rPr>
                <w:rFonts w:ascii="Arial" w:hAnsi="Arial" w:cs="Arial"/>
                <w:sz w:val="24"/>
                <w:szCs w:val="24"/>
              </w:rPr>
              <w:t xml:space="preserve"> </w:t>
            </w:r>
            <w:r w:rsidR="00A86E4F" w:rsidRPr="00F2409E">
              <w:rPr>
                <w:rFonts w:ascii="Arial" w:hAnsi="Arial" w:cs="Arial"/>
                <w:sz w:val="24"/>
                <w:szCs w:val="24"/>
              </w:rPr>
              <w:t>for a year</w:t>
            </w:r>
            <w:r w:rsidR="00EC0D56" w:rsidRPr="00F2409E">
              <w:rPr>
                <w:rFonts w:ascii="Arial" w:hAnsi="Arial" w:cs="Arial"/>
                <w:sz w:val="24"/>
                <w:szCs w:val="24"/>
              </w:rPr>
              <w:t>; and</w:t>
            </w:r>
          </w:p>
          <w:p w14:paraId="475DC629" w14:textId="4053AA19" w:rsidR="00A965B4" w:rsidRPr="000E1A50" w:rsidRDefault="00A965B4" w:rsidP="00A965B4">
            <w:pPr>
              <w:pStyle w:val="ListParagraph"/>
              <w:numPr>
                <w:ilvl w:val="0"/>
                <w:numId w:val="8"/>
              </w:numPr>
              <w:spacing w:line="240" w:lineRule="auto"/>
              <w:ind w:left="714" w:hanging="357"/>
              <w:jc w:val="both"/>
              <w:rPr>
                <w:rFonts w:ascii="Arial" w:hAnsi="Arial" w:cs="Arial"/>
                <w:sz w:val="24"/>
                <w:szCs w:val="24"/>
              </w:rPr>
            </w:pPr>
            <w:r>
              <w:rPr>
                <w:rFonts w:ascii="Arial" w:hAnsi="Arial" w:cs="Arial"/>
                <w:sz w:val="24"/>
                <w:szCs w:val="24"/>
              </w:rPr>
              <w:t xml:space="preserve">retain the fifty pence per visit model and, in addition, </w:t>
            </w:r>
            <w:r w:rsidR="00F2409E">
              <w:rPr>
                <w:rFonts w:ascii="Arial" w:hAnsi="Arial" w:cs="Arial"/>
                <w:sz w:val="24"/>
                <w:szCs w:val="24"/>
              </w:rPr>
              <w:t>o</w:t>
            </w:r>
            <w:r w:rsidR="00A23301" w:rsidRPr="00F2409E">
              <w:rPr>
                <w:rFonts w:ascii="Arial" w:hAnsi="Arial" w:cs="Arial"/>
                <w:sz w:val="24"/>
                <w:szCs w:val="24"/>
              </w:rPr>
              <w:t>ffer a</w:t>
            </w:r>
            <w:r w:rsidR="00EC0D56" w:rsidRPr="00F2409E">
              <w:rPr>
                <w:rFonts w:ascii="Arial" w:hAnsi="Arial" w:cs="Arial"/>
                <w:sz w:val="24"/>
                <w:szCs w:val="24"/>
              </w:rPr>
              <w:t xml:space="preserve"> monthly </w:t>
            </w:r>
            <w:r w:rsidR="00F2409E">
              <w:rPr>
                <w:rFonts w:ascii="Arial" w:hAnsi="Arial" w:cs="Arial"/>
                <w:sz w:val="24"/>
                <w:szCs w:val="24"/>
              </w:rPr>
              <w:t>payment</w:t>
            </w:r>
            <w:r w:rsidR="00A23301" w:rsidRPr="00F2409E">
              <w:rPr>
                <w:rFonts w:ascii="Arial" w:hAnsi="Arial" w:cs="Arial"/>
                <w:sz w:val="24"/>
                <w:szCs w:val="24"/>
              </w:rPr>
              <w:t xml:space="preserve"> option</w:t>
            </w:r>
            <w:r w:rsidR="00EC0D56" w:rsidRPr="00F2409E">
              <w:rPr>
                <w:rFonts w:ascii="Arial" w:hAnsi="Arial" w:cs="Arial"/>
                <w:sz w:val="24"/>
                <w:szCs w:val="24"/>
              </w:rPr>
              <w:t xml:space="preserve"> that mirrors the individual and family subscription model</w:t>
            </w:r>
            <w:r w:rsidR="00114920" w:rsidRPr="00F2409E">
              <w:rPr>
                <w:rFonts w:ascii="Arial" w:hAnsi="Arial" w:cs="Arial"/>
                <w:sz w:val="24"/>
                <w:szCs w:val="24"/>
              </w:rPr>
              <w:t xml:space="preserve"> </w:t>
            </w:r>
            <w:r w:rsidR="00F2409E">
              <w:rPr>
                <w:rFonts w:ascii="Arial" w:hAnsi="Arial" w:cs="Arial"/>
                <w:sz w:val="24"/>
                <w:szCs w:val="24"/>
              </w:rPr>
              <w:t xml:space="preserve">(above) </w:t>
            </w:r>
            <w:r w:rsidR="00114920" w:rsidRPr="00F2409E">
              <w:rPr>
                <w:rFonts w:ascii="Arial" w:hAnsi="Arial" w:cs="Arial"/>
                <w:sz w:val="24"/>
                <w:szCs w:val="24"/>
              </w:rPr>
              <w:t xml:space="preserve">but on a </w:t>
            </w:r>
            <w:r w:rsidR="00A23301" w:rsidRPr="00F2409E">
              <w:rPr>
                <w:rFonts w:ascii="Arial" w:hAnsi="Arial" w:cs="Arial"/>
                <w:sz w:val="24"/>
                <w:szCs w:val="24"/>
              </w:rPr>
              <w:t>reduced</w:t>
            </w:r>
            <w:r w:rsidR="00114920" w:rsidRPr="00F2409E">
              <w:rPr>
                <w:rFonts w:ascii="Arial" w:hAnsi="Arial" w:cs="Arial"/>
                <w:sz w:val="24"/>
                <w:szCs w:val="24"/>
              </w:rPr>
              <w:t xml:space="preserve"> charge basis</w:t>
            </w:r>
            <w:r>
              <w:rPr>
                <w:rFonts w:ascii="Arial" w:hAnsi="Arial" w:cs="Arial"/>
                <w:sz w:val="24"/>
                <w:szCs w:val="24"/>
              </w:rPr>
              <w:t>.</w:t>
            </w:r>
          </w:p>
        </w:tc>
      </w:tr>
      <w:tr w:rsidR="00FD7948" w:rsidRPr="00F2409E" w14:paraId="560170F2" w14:textId="77777777" w:rsidTr="00555464">
        <w:tc>
          <w:tcPr>
            <w:tcW w:w="817" w:type="dxa"/>
          </w:tcPr>
          <w:p w14:paraId="0E214EA2" w14:textId="0008CBF2" w:rsidR="00FD7948" w:rsidRPr="00F2409E" w:rsidRDefault="00FD7948" w:rsidP="005C61F6">
            <w:pPr>
              <w:rPr>
                <w:rFonts w:ascii="Arial" w:hAnsi="Arial" w:cs="Arial"/>
                <w:szCs w:val="24"/>
              </w:rPr>
            </w:pPr>
            <w:r>
              <w:rPr>
                <w:rFonts w:ascii="Arial" w:hAnsi="Arial" w:cs="Arial"/>
                <w:szCs w:val="24"/>
              </w:rPr>
              <w:lastRenderedPageBreak/>
              <w:t>3.2</w:t>
            </w:r>
          </w:p>
        </w:tc>
        <w:tc>
          <w:tcPr>
            <w:tcW w:w="8647" w:type="dxa"/>
          </w:tcPr>
          <w:p w14:paraId="598EF416" w14:textId="42C27659" w:rsidR="00FD7948" w:rsidRPr="00467E0B" w:rsidRDefault="00FD7948" w:rsidP="00DE1699">
            <w:pPr>
              <w:jc w:val="both"/>
              <w:rPr>
                <w:rFonts w:ascii="Arial" w:hAnsi="Arial" w:cs="Arial"/>
                <w:szCs w:val="24"/>
              </w:rPr>
            </w:pPr>
            <w:r w:rsidRPr="00467E0B">
              <w:rPr>
                <w:rFonts w:ascii="Arial" w:hAnsi="Arial" w:cs="Arial"/>
                <w:szCs w:val="24"/>
              </w:rPr>
              <w:t xml:space="preserve">Increasing the </w:t>
            </w:r>
            <w:r w:rsidR="000E1A50" w:rsidRPr="00467E0B">
              <w:rPr>
                <w:rFonts w:ascii="Arial" w:hAnsi="Arial" w:cs="Arial"/>
                <w:szCs w:val="24"/>
              </w:rPr>
              <w:t xml:space="preserve">current </w:t>
            </w:r>
            <w:r w:rsidR="00467E0B">
              <w:rPr>
                <w:rFonts w:ascii="Arial" w:hAnsi="Arial" w:cs="Arial"/>
                <w:szCs w:val="24"/>
              </w:rPr>
              <w:t>50p</w:t>
            </w:r>
            <w:r w:rsidR="000E1A50" w:rsidRPr="00467E0B">
              <w:rPr>
                <w:rFonts w:ascii="Arial" w:hAnsi="Arial" w:cs="Arial"/>
                <w:szCs w:val="24"/>
              </w:rPr>
              <w:t xml:space="preserve"> per visit </w:t>
            </w:r>
            <w:r w:rsidRPr="00467E0B">
              <w:rPr>
                <w:rFonts w:ascii="Arial" w:hAnsi="Arial" w:cs="Arial"/>
                <w:szCs w:val="24"/>
              </w:rPr>
              <w:t xml:space="preserve">charge has not been considered </w:t>
            </w:r>
            <w:r w:rsidR="00E56BCC" w:rsidRPr="00467E0B">
              <w:rPr>
                <w:rFonts w:ascii="Arial" w:hAnsi="Arial" w:cs="Arial"/>
                <w:szCs w:val="24"/>
              </w:rPr>
              <w:t>given</w:t>
            </w:r>
            <w:r w:rsidRPr="00467E0B">
              <w:rPr>
                <w:rFonts w:ascii="Arial" w:hAnsi="Arial" w:cs="Arial"/>
                <w:szCs w:val="24"/>
              </w:rPr>
              <w:t xml:space="preserve"> </w:t>
            </w:r>
            <w:r w:rsidR="00E56BCC" w:rsidRPr="00467E0B">
              <w:rPr>
                <w:rFonts w:ascii="Arial" w:hAnsi="Arial" w:cs="Arial"/>
                <w:szCs w:val="24"/>
              </w:rPr>
              <w:t>t</w:t>
            </w:r>
            <w:r w:rsidRPr="00467E0B">
              <w:rPr>
                <w:rFonts w:ascii="Arial" w:hAnsi="Arial" w:cs="Arial"/>
                <w:szCs w:val="24"/>
              </w:rPr>
              <w:t>he context of the discussion at the HLH B</w:t>
            </w:r>
            <w:r w:rsidR="00E56BCC" w:rsidRPr="00467E0B">
              <w:rPr>
                <w:rFonts w:ascii="Arial" w:hAnsi="Arial" w:cs="Arial"/>
                <w:szCs w:val="24"/>
              </w:rPr>
              <w:t xml:space="preserve">oard </w:t>
            </w:r>
            <w:r w:rsidR="0021444C" w:rsidRPr="00467E0B">
              <w:rPr>
                <w:rFonts w:ascii="Arial" w:hAnsi="Arial" w:cs="Arial"/>
                <w:szCs w:val="24"/>
              </w:rPr>
              <w:t>meeting in March and it is not considered to be a good option in the current economic context.</w:t>
            </w:r>
          </w:p>
          <w:p w14:paraId="2ED25486" w14:textId="1B63AA74" w:rsidR="0021444C" w:rsidRPr="00467E0B" w:rsidRDefault="0021444C" w:rsidP="00DE1699">
            <w:pPr>
              <w:jc w:val="both"/>
              <w:rPr>
                <w:rFonts w:ascii="Arial" w:hAnsi="Arial" w:cs="Arial"/>
                <w:szCs w:val="24"/>
              </w:rPr>
            </w:pPr>
          </w:p>
        </w:tc>
      </w:tr>
      <w:tr w:rsidR="00F2409E" w:rsidRPr="00F2409E" w14:paraId="0FFBAB06" w14:textId="77777777" w:rsidTr="00555464">
        <w:tc>
          <w:tcPr>
            <w:tcW w:w="817" w:type="dxa"/>
          </w:tcPr>
          <w:p w14:paraId="23500214" w14:textId="1DA816C3" w:rsidR="00F2409E" w:rsidRPr="00F2409E" w:rsidRDefault="00F2409E" w:rsidP="00F2409E">
            <w:pPr>
              <w:rPr>
                <w:rFonts w:ascii="Arial" w:hAnsi="Arial" w:cs="Arial"/>
                <w:b/>
                <w:bCs/>
                <w:szCs w:val="24"/>
              </w:rPr>
            </w:pPr>
            <w:r w:rsidRPr="00F2409E">
              <w:rPr>
                <w:rFonts w:ascii="Arial" w:hAnsi="Arial" w:cs="Arial"/>
                <w:b/>
                <w:bCs/>
                <w:szCs w:val="24"/>
              </w:rPr>
              <w:t>4.</w:t>
            </w:r>
          </w:p>
        </w:tc>
        <w:tc>
          <w:tcPr>
            <w:tcW w:w="8647" w:type="dxa"/>
          </w:tcPr>
          <w:p w14:paraId="019651B0" w14:textId="77777777" w:rsidR="00F2409E" w:rsidRPr="00F2409E" w:rsidRDefault="00F2409E" w:rsidP="00F2409E">
            <w:pPr>
              <w:jc w:val="both"/>
              <w:rPr>
                <w:rFonts w:ascii="Arial" w:hAnsi="Arial" w:cs="Arial"/>
                <w:b/>
                <w:bCs/>
                <w:szCs w:val="24"/>
              </w:rPr>
            </w:pPr>
            <w:r w:rsidRPr="00F2409E">
              <w:rPr>
                <w:rFonts w:ascii="Arial" w:hAnsi="Arial" w:cs="Arial"/>
                <w:b/>
                <w:bCs/>
                <w:szCs w:val="24"/>
              </w:rPr>
              <w:t>Options Analysis</w:t>
            </w:r>
          </w:p>
          <w:p w14:paraId="4F6C7CC7" w14:textId="42744560" w:rsidR="00F2409E" w:rsidRPr="00F2409E" w:rsidRDefault="00F2409E" w:rsidP="00F2409E">
            <w:pPr>
              <w:jc w:val="both"/>
              <w:rPr>
                <w:rFonts w:ascii="Arial" w:hAnsi="Arial" w:cs="Arial"/>
                <w:b/>
                <w:bCs/>
                <w:szCs w:val="24"/>
              </w:rPr>
            </w:pPr>
          </w:p>
        </w:tc>
      </w:tr>
      <w:tr w:rsidR="00F2409E" w:rsidRPr="00F2409E" w14:paraId="4FC38B2A" w14:textId="77777777" w:rsidTr="00555464">
        <w:tc>
          <w:tcPr>
            <w:tcW w:w="817" w:type="dxa"/>
          </w:tcPr>
          <w:p w14:paraId="311EA9D1" w14:textId="547E01B1" w:rsidR="00F2409E" w:rsidRPr="00F2409E" w:rsidRDefault="00F2409E" w:rsidP="00F2409E">
            <w:pPr>
              <w:rPr>
                <w:rFonts w:ascii="Arial" w:hAnsi="Arial" w:cs="Arial"/>
                <w:szCs w:val="24"/>
              </w:rPr>
            </w:pPr>
            <w:r w:rsidRPr="00F2409E">
              <w:rPr>
                <w:rFonts w:ascii="Arial" w:hAnsi="Arial" w:cs="Arial"/>
                <w:szCs w:val="24"/>
              </w:rPr>
              <w:t>4.1</w:t>
            </w:r>
          </w:p>
        </w:tc>
        <w:tc>
          <w:tcPr>
            <w:tcW w:w="8647" w:type="dxa"/>
          </w:tcPr>
          <w:p w14:paraId="06A3AAE6" w14:textId="7205E566" w:rsidR="00F2409E" w:rsidRPr="00F2409E" w:rsidRDefault="00F2409E" w:rsidP="00F2409E">
            <w:pPr>
              <w:jc w:val="both"/>
              <w:rPr>
                <w:rFonts w:ascii="Arial" w:hAnsi="Arial" w:cs="Arial"/>
                <w:szCs w:val="24"/>
              </w:rPr>
            </w:pPr>
            <w:r w:rsidRPr="00F2409E">
              <w:rPr>
                <w:rFonts w:ascii="Arial" w:hAnsi="Arial" w:cs="Arial"/>
                <w:szCs w:val="24"/>
              </w:rPr>
              <w:t xml:space="preserve">This section considers the pros and cons of each of the above to </w:t>
            </w:r>
            <w:r w:rsidR="00A965B4">
              <w:rPr>
                <w:rFonts w:ascii="Arial" w:hAnsi="Arial" w:cs="Arial"/>
                <w:szCs w:val="24"/>
              </w:rPr>
              <w:t>inform the scoring matrix in section 5 of this report</w:t>
            </w:r>
            <w:r w:rsidRPr="00F2409E">
              <w:rPr>
                <w:rFonts w:ascii="Arial" w:hAnsi="Arial" w:cs="Arial"/>
                <w:szCs w:val="24"/>
              </w:rPr>
              <w:t xml:space="preserve">. </w:t>
            </w:r>
          </w:p>
          <w:p w14:paraId="00657844" w14:textId="3BB0BF32" w:rsidR="00F2409E" w:rsidRPr="00F2409E" w:rsidRDefault="00F2409E" w:rsidP="00F2409E">
            <w:pPr>
              <w:jc w:val="both"/>
              <w:rPr>
                <w:rFonts w:ascii="Arial" w:hAnsi="Arial" w:cs="Arial"/>
                <w:szCs w:val="24"/>
              </w:rPr>
            </w:pPr>
          </w:p>
        </w:tc>
      </w:tr>
      <w:tr w:rsidR="00F2409E" w:rsidRPr="00F2409E" w14:paraId="35B32839" w14:textId="77777777" w:rsidTr="00555464">
        <w:tc>
          <w:tcPr>
            <w:tcW w:w="817" w:type="dxa"/>
          </w:tcPr>
          <w:p w14:paraId="1BBEA886" w14:textId="0113CEC1" w:rsidR="00F2409E" w:rsidRPr="00F2409E" w:rsidRDefault="00F2409E" w:rsidP="00F2409E">
            <w:pPr>
              <w:rPr>
                <w:rFonts w:ascii="Arial" w:hAnsi="Arial" w:cs="Arial"/>
                <w:szCs w:val="24"/>
              </w:rPr>
            </w:pPr>
            <w:r w:rsidRPr="00F2409E">
              <w:rPr>
                <w:rFonts w:ascii="Arial" w:hAnsi="Arial" w:cs="Arial"/>
                <w:szCs w:val="24"/>
              </w:rPr>
              <w:t>4.2</w:t>
            </w:r>
          </w:p>
        </w:tc>
        <w:tc>
          <w:tcPr>
            <w:tcW w:w="8647" w:type="dxa"/>
          </w:tcPr>
          <w:p w14:paraId="3FDD7D02" w14:textId="62A879F4" w:rsidR="00F2409E" w:rsidRPr="00F2409E" w:rsidRDefault="000E1A50" w:rsidP="00F2409E">
            <w:pPr>
              <w:jc w:val="both"/>
              <w:rPr>
                <w:rFonts w:ascii="Arial" w:hAnsi="Arial" w:cs="Arial"/>
                <w:szCs w:val="24"/>
              </w:rPr>
            </w:pPr>
            <w:r>
              <w:rPr>
                <w:rFonts w:ascii="Arial" w:hAnsi="Arial" w:cs="Arial"/>
                <w:b/>
                <w:bCs/>
                <w:szCs w:val="24"/>
              </w:rPr>
              <w:t xml:space="preserve">Option 1 - </w:t>
            </w:r>
            <w:r w:rsidR="00F2409E" w:rsidRPr="00F2409E">
              <w:rPr>
                <w:rFonts w:ascii="Arial" w:hAnsi="Arial" w:cs="Arial"/>
                <w:b/>
                <w:bCs/>
                <w:szCs w:val="24"/>
              </w:rPr>
              <w:t>Maintain the current model</w:t>
            </w:r>
            <w:r w:rsidR="00F2409E" w:rsidRPr="00F2409E">
              <w:rPr>
                <w:rFonts w:ascii="Arial" w:hAnsi="Arial" w:cs="Arial"/>
                <w:szCs w:val="24"/>
              </w:rPr>
              <w:t xml:space="preserve"> where eligible individuals/families pay </w:t>
            </w:r>
            <w:r w:rsidR="00D37320">
              <w:rPr>
                <w:rFonts w:ascii="Arial" w:hAnsi="Arial" w:cs="Arial"/>
                <w:szCs w:val="24"/>
              </w:rPr>
              <w:t>50p</w:t>
            </w:r>
            <w:r w:rsidR="00F2409E" w:rsidRPr="00F2409E">
              <w:rPr>
                <w:rFonts w:ascii="Arial" w:hAnsi="Arial" w:cs="Arial"/>
                <w:szCs w:val="24"/>
              </w:rPr>
              <w:t xml:space="preserve"> per visit. </w:t>
            </w:r>
          </w:p>
          <w:p w14:paraId="3C727C0A" w14:textId="77777777" w:rsidR="00F2409E" w:rsidRPr="00F2409E" w:rsidRDefault="00F2409E" w:rsidP="00F2409E">
            <w:pPr>
              <w:jc w:val="both"/>
              <w:rPr>
                <w:rFonts w:ascii="Arial" w:hAnsi="Arial" w:cs="Arial"/>
                <w:szCs w:val="24"/>
              </w:rPr>
            </w:pPr>
          </w:p>
          <w:tbl>
            <w:tblPr>
              <w:tblStyle w:val="TableGrid"/>
              <w:tblW w:w="0" w:type="auto"/>
              <w:tblLook w:val="04A0" w:firstRow="1" w:lastRow="0" w:firstColumn="1" w:lastColumn="0" w:noHBand="0" w:noVBand="1"/>
            </w:tblPr>
            <w:tblGrid>
              <w:gridCol w:w="4210"/>
              <w:gridCol w:w="4211"/>
            </w:tblGrid>
            <w:tr w:rsidR="00F2409E" w:rsidRPr="00F2409E" w14:paraId="6C832F74" w14:textId="77777777" w:rsidTr="00B207B0">
              <w:tc>
                <w:tcPr>
                  <w:tcW w:w="4210" w:type="dxa"/>
                </w:tcPr>
                <w:p w14:paraId="5EA00C2E" w14:textId="77777777" w:rsidR="00F2409E" w:rsidRPr="00F2409E" w:rsidRDefault="00F2409E" w:rsidP="00F2409E">
                  <w:pPr>
                    <w:jc w:val="both"/>
                    <w:rPr>
                      <w:rFonts w:ascii="Arial" w:hAnsi="Arial" w:cs="Arial"/>
                      <w:szCs w:val="24"/>
                    </w:rPr>
                  </w:pPr>
                  <w:r w:rsidRPr="00F2409E">
                    <w:rPr>
                      <w:rFonts w:ascii="Arial" w:hAnsi="Arial" w:cs="Arial"/>
                      <w:szCs w:val="24"/>
                    </w:rPr>
                    <w:t>Pros</w:t>
                  </w:r>
                </w:p>
                <w:p w14:paraId="3D0019F3" w14:textId="77777777" w:rsidR="00F2409E" w:rsidRPr="00F2409E" w:rsidRDefault="00F2409E" w:rsidP="00F2409E">
                  <w:pPr>
                    <w:jc w:val="both"/>
                    <w:rPr>
                      <w:rFonts w:ascii="Arial" w:hAnsi="Arial" w:cs="Arial"/>
                      <w:szCs w:val="24"/>
                    </w:rPr>
                  </w:pPr>
                </w:p>
              </w:tc>
              <w:tc>
                <w:tcPr>
                  <w:tcW w:w="4211" w:type="dxa"/>
                </w:tcPr>
                <w:p w14:paraId="47F065EE" w14:textId="3FA94F68" w:rsidR="00F2409E" w:rsidRPr="00F2409E" w:rsidRDefault="00F2409E" w:rsidP="00F2409E">
                  <w:pPr>
                    <w:jc w:val="both"/>
                    <w:rPr>
                      <w:rFonts w:ascii="Arial" w:hAnsi="Arial" w:cs="Arial"/>
                      <w:szCs w:val="24"/>
                    </w:rPr>
                  </w:pPr>
                  <w:r w:rsidRPr="00F2409E">
                    <w:rPr>
                      <w:rFonts w:ascii="Arial" w:hAnsi="Arial" w:cs="Arial"/>
                      <w:szCs w:val="24"/>
                    </w:rPr>
                    <w:t>Cons</w:t>
                  </w:r>
                </w:p>
              </w:tc>
            </w:tr>
            <w:tr w:rsidR="00F2409E" w:rsidRPr="00F2409E" w14:paraId="05060EA7" w14:textId="77777777" w:rsidTr="00B207B0">
              <w:tc>
                <w:tcPr>
                  <w:tcW w:w="4210" w:type="dxa"/>
                </w:tcPr>
                <w:p w14:paraId="7FC066BA" w14:textId="4237BCC0" w:rsidR="00F2409E" w:rsidRP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Well tested</w:t>
                  </w:r>
                </w:p>
                <w:p w14:paraId="6F50E2AC" w14:textId="3C6868B4" w:rsidR="00F2409E" w:rsidRP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Retains income</w:t>
                  </w:r>
                </w:p>
                <w:p w14:paraId="0C858A00" w14:textId="3C122F42" w:rsidR="00F2409E" w:rsidRP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No risk associated with change</w:t>
                  </w:r>
                </w:p>
                <w:p w14:paraId="20ABC966" w14:textId="45E66393" w:rsidR="00F2409E" w:rsidRP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No reputational risks</w:t>
                  </w:r>
                </w:p>
                <w:p w14:paraId="1331FBDD" w14:textId="49749EE7" w:rsidR="00F2409E" w:rsidRPr="00A747FF"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No political risks</w:t>
                  </w:r>
                </w:p>
              </w:tc>
              <w:tc>
                <w:tcPr>
                  <w:tcW w:w="4211" w:type="dxa"/>
                </w:tcPr>
                <w:p w14:paraId="3B52ACFE" w14:textId="4EBE2B1D" w:rsidR="00F2409E" w:rsidRP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Cost of living crisis might reduce income</w:t>
                  </w:r>
                </w:p>
                <w:p w14:paraId="7F97FE5C" w14:textId="534C908F" w:rsidR="00F2409E" w:rsidRPr="00F2409E" w:rsidRDefault="00F2409E" w:rsidP="00A747FF">
                  <w:pPr>
                    <w:jc w:val="both"/>
                    <w:rPr>
                      <w:rFonts w:ascii="Arial" w:hAnsi="Arial" w:cs="Arial"/>
                      <w:szCs w:val="24"/>
                    </w:rPr>
                  </w:pPr>
                </w:p>
              </w:tc>
            </w:tr>
          </w:tbl>
          <w:p w14:paraId="7C53CB82" w14:textId="52A14EC2" w:rsidR="00F2409E" w:rsidRPr="00F2409E" w:rsidRDefault="00F2409E" w:rsidP="00F2409E">
            <w:pPr>
              <w:jc w:val="both"/>
              <w:rPr>
                <w:rFonts w:ascii="Arial" w:hAnsi="Arial" w:cs="Arial"/>
                <w:szCs w:val="24"/>
              </w:rPr>
            </w:pPr>
          </w:p>
        </w:tc>
      </w:tr>
      <w:tr w:rsidR="00A965B4" w:rsidRPr="00F2409E" w14:paraId="426040DC" w14:textId="77777777" w:rsidTr="00555464">
        <w:tc>
          <w:tcPr>
            <w:tcW w:w="817" w:type="dxa"/>
          </w:tcPr>
          <w:p w14:paraId="6A60DEBD" w14:textId="77777777" w:rsidR="00A965B4" w:rsidRDefault="00A965B4" w:rsidP="00F2409E">
            <w:pPr>
              <w:rPr>
                <w:rFonts w:ascii="Arial" w:hAnsi="Arial" w:cs="Arial"/>
                <w:szCs w:val="24"/>
              </w:rPr>
            </w:pPr>
          </w:p>
        </w:tc>
        <w:tc>
          <w:tcPr>
            <w:tcW w:w="8647" w:type="dxa"/>
          </w:tcPr>
          <w:p w14:paraId="214DD7E5" w14:textId="77777777" w:rsidR="00A965B4" w:rsidRDefault="00A965B4" w:rsidP="00F2409E">
            <w:pPr>
              <w:jc w:val="both"/>
              <w:rPr>
                <w:rFonts w:ascii="Arial" w:hAnsi="Arial" w:cs="Arial"/>
                <w:b/>
                <w:bCs/>
                <w:szCs w:val="24"/>
              </w:rPr>
            </w:pPr>
          </w:p>
        </w:tc>
      </w:tr>
      <w:tr w:rsidR="00F2409E" w:rsidRPr="00F2409E" w14:paraId="178D2E7B" w14:textId="77777777" w:rsidTr="00555464">
        <w:tc>
          <w:tcPr>
            <w:tcW w:w="817" w:type="dxa"/>
          </w:tcPr>
          <w:p w14:paraId="351ADF0F" w14:textId="673E7443" w:rsidR="00F2409E" w:rsidRPr="00F2409E" w:rsidRDefault="00F2409E" w:rsidP="00F2409E">
            <w:pPr>
              <w:rPr>
                <w:rFonts w:ascii="Arial" w:hAnsi="Arial" w:cs="Arial"/>
                <w:szCs w:val="24"/>
              </w:rPr>
            </w:pPr>
            <w:r w:rsidRPr="00F2409E">
              <w:rPr>
                <w:rFonts w:ascii="Arial" w:hAnsi="Arial" w:cs="Arial"/>
                <w:szCs w:val="24"/>
              </w:rPr>
              <w:t>4.</w:t>
            </w:r>
            <w:r w:rsidR="005F3DE5">
              <w:rPr>
                <w:rFonts w:ascii="Arial" w:hAnsi="Arial" w:cs="Arial"/>
                <w:szCs w:val="24"/>
              </w:rPr>
              <w:t>3</w:t>
            </w:r>
          </w:p>
        </w:tc>
        <w:tc>
          <w:tcPr>
            <w:tcW w:w="8647" w:type="dxa"/>
          </w:tcPr>
          <w:p w14:paraId="1E354118" w14:textId="2F4A1BA7" w:rsidR="00F2409E" w:rsidRPr="00F2409E" w:rsidRDefault="000E1A50" w:rsidP="00F2409E">
            <w:pPr>
              <w:jc w:val="both"/>
              <w:rPr>
                <w:rFonts w:ascii="Arial" w:hAnsi="Arial" w:cs="Arial"/>
                <w:b/>
                <w:bCs/>
                <w:szCs w:val="24"/>
              </w:rPr>
            </w:pPr>
            <w:r>
              <w:rPr>
                <w:rFonts w:ascii="Arial" w:hAnsi="Arial" w:cs="Arial"/>
                <w:b/>
                <w:bCs/>
                <w:szCs w:val="24"/>
              </w:rPr>
              <w:t xml:space="preserve">Option 2 - </w:t>
            </w:r>
            <w:r w:rsidR="00F2409E" w:rsidRPr="00F2409E">
              <w:rPr>
                <w:rFonts w:ascii="Arial" w:hAnsi="Arial" w:cs="Arial"/>
                <w:b/>
                <w:bCs/>
                <w:szCs w:val="24"/>
              </w:rPr>
              <w:t>Remove the charge (temporarily for a year)</w:t>
            </w:r>
          </w:p>
          <w:p w14:paraId="16305A5F" w14:textId="77777777" w:rsidR="00F2409E" w:rsidRPr="00F2409E" w:rsidRDefault="00F2409E" w:rsidP="00F2409E">
            <w:pPr>
              <w:jc w:val="both"/>
              <w:rPr>
                <w:rFonts w:ascii="Arial" w:hAnsi="Arial" w:cs="Arial"/>
                <w:szCs w:val="24"/>
              </w:rPr>
            </w:pPr>
          </w:p>
          <w:tbl>
            <w:tblPr>
              <w:tblStyle w:val="TableGrid"/>
              <w:tblW w:w="0" w:type="auto"/>
              <w:tblLook w:val="04A0" w:firstRow="1" w:lastRow="0" w:firstColumn="1" w:lastColumn="0" w:noHBand="0" w:noVBand="1"/>
            </w:tblPr>
            <w:tblGrid>
              <w:gridCol w:w="4210"/>
              <w:gridCol w:w="4211"/>
            </w:tblGrid>
            <w:tr w:rsidR="00F2409E" w:rsidRPr="00F2409E" w14:paraId="461903CF" w14:textId="77777777" w:rsidTr="00B207B0">
              <w:tc>
                <w:tcPr>
                  <w:tcW w:w="4210" w:type="dxa"/>
                </w:tcPr>
                <w:p w14:paraId="58079E64" w14:textId="77777777" w:rsidR="00F2409E" w:rsidRPr="00F2409E" w:rsidRDefault="00F2409E" w:rsidP="00F2409E">
                  <w:pPr>
                    <w:jc w:val="both"/>
                    <w:rPr>
                      <w:rFonts w:ascii="Arial" w:hAnsi="Arial" w:cs="Arial"/>
                      <w:szCs w:val="24"/>
                    </w:rPr>
                  </w:pPr>
                  <w:r w:rsidRPr="00F2409E">
                    <w:rPr>
                      <w:rFonts w:ascii="Arial" w:hAnsi="Arial" w:cs="Arial"/>
                      <w:szCs w:val="24"/>
                    </w:rPr>
                    <w:t>Pros</w:t>
                  </w:r>
                </w:p>
                <w:p w14:paraId="37543ECA" w14:textId="77777777" w:rsidR="00F2409E" w:rsidRPr="00F2409E" w:rsidRDefault="00F2409E" w:rsidP="00F2409E">
                  <w:pPr>
                    <w:jc w:val="both"/>
                    <w:rPr>
                      <w:rFonts w:ascii="Arial" w:hAnsi="Arial" w:cs="Arial"/>
                      <w:szCs w:val="24"/>
                    </w:rPr>
                  </w:pPr>
                </w:p>
              </w:tc>
              <w:tc>
                <w:tcPr>
                  <w:tcW w:w="4211" w:type="dxa"/>
                </w:tcPr>
                <w:p w14:paraId="35F9AAC4" w14:textId="1CCD4ACF" w:rsidR="00F2409E" w:rsidRPr="00F2409E" w:rsidRDefault="00F2409E" w:rsidP="00F2409E">
                  <w:pPr>
                    <w:jc w:val="both"/>
                    <w:rPr>
                      <w:rFonts w:ascii="Arial" w:hAnsi="Arial" w:cs="Arial"/>
                      <w:szCs w:val="24"/>
                    </w:rPr>
                  </w:pPr>
                  <w:r w:rsidRPr="00F2409E">
                    <w:rPr>
                      <w:rFonts w:ascii="Arial" w:hAnsi="Arial" w:cs="Arial"/>
                      <w:szCs w:val="24"/>
                    </w:rPr>
                    <w:t>Cons</w:t>
                  </w:r>
                </w:p>
              </w:tc>
            </w:tr>
            <w:tr w:rsidR="00F2409E" w:rsidRPr="00F2409E" w14:paraId="5E1D1DD9" w14:textId="77777777" w:rsidTr="00B207B0">
              <w:tc>
                <w:tcPr>
                  <w:tcW w:w="4210" w:type="dxa"/>
                </w:tcPr>
                <w:p w14:paraId="48B3F789" w14:textId="7AAB8558" w:rsidR="00F2409E" w:rsidRPr="00F2409E" w:rsidRDefault="00F2409E" w:rsidP="00A747FF">
                  <w:pPr>
                    <w:pStyle w:val="ListParagraph"/>
                    <w:numPr>
                      <w:ilvl w:val="0"/>
                      <w:numId w:val="6"/>
                    </w:numPr>
                    <w:spacing w:line="240" w:lineRule="auto"/>
                    <w:rPr>
                      <w:rFonts w:ascii="Arial" w:hAnsi="Arial" w:cs="Arial"/>
                      <w:sz w:val="24"/>
                      <w:szCs w:val="24"/>
                    </w:rPr>
                  </w:pPr>
                  <w:r w:rsidRPr="00F2409E">
                    <w:rPr>
                      <w:rFonts w:ascii="Arial" w:hAnsi="Arial" w:cs="Arial"/>
                      <w:sz w:val="24"/>
                      <w:szCs w:val="24"/>
                    </w:rPr>
                    <w:t>Opportunity to better support some of the most marginalised/</w:t>
                  </w:r>
                  <w:r w:rsidR="00A747FF">
                    <w:rPr>
                      <w:rFonts w:ascii="Arial" w:hAnsi="Arial" w:cs="Arial"/>
                      <w:sz w:val="24"/>
                      <w:szCs w:val="24"/>
                    </w:rPr>
                    <w:t xml:space="preserve"> </w:t>
                  </w:r>
                  <w:r w:rsidRPr="00F2409E">
                    <w:rPr>
                      <w:rFonts w:ascii="Arial" w:hAnsi="Arial" w:cs="Arial"/>
                      <w:sz w:val="24"/>
                      <w:szCs w:val="24"/>
                    </w:rPr>
                    <w:t>disadvantaged people in the Highlands.</w:t>
                  </w:r>
                </w:p>
                <w:p w14:paraId="1ACEF4EA" w14:textId="43EFACE2" w:rsidR="00F2409E" w:rsidRDefault="00F2409E" w:rsidP="00A747FF">
                  <w:pPr>
                    <w:pStyle w:val="ListParagraph"/>
                    <w:numPr>
                      <w:ilvl w:val="0"/>
                      <w:numId w:val="7"/>
                    </w:numPr>
                    <w:spacing w:line="240" w:lineRule="auto"/>
                    <w:rPr>
                      <w:rFonts w:ascii="Arial" w:hAnsi="Arial" w:cs="Arial"/>
                      <w:sz w:val="24"/>
                      <w:szCs w:val="24"/>
                    </w:rPr>
                  </w:pPr>
                  <w:r w:rsidRPr="00F2409E">
                    <w:rPr>
                      <w:rFonts w:ascii="Arial" w:hAnsi="Arial" w:cs="Arial"/>
                      <w:sz w:val="24"/>
                      <w:szCs w:val="24"/>
                    </w:rPr>
                    <w:t>Likely to increase participation/</w:t>
                  </w:r>
                  <w:r w:rsidR="000E1A50">
                    <w:rPr>
                      <w:rFonts w:ascii="Arial" w:hAnsi="Arial" w:cs="Arial"/>
                      <w:sz w:val="24"/>
                      <w:szCs w:val="24"/>
                    </w:rPr>
                    <w:t xml:space="preserve"> </w:t>
                  </w:r>
                  <w:r w:rsidRPr="00F2409E">
                    <w:rPr>
                      <w:rFonts w:ascii="Arial" w:hAnsi="Arial" w:cs="Arial"/>
                      <w:sz w:val="24"/>
                      <w:szCs w:val="24"/>
                    </w:rPr>
                    <w:t>lead to improved health outcomes for customers</w:t>
                  </w:r>
                </w:p>
                <w:p w14:paraId="56E76DC5" w14:textId="0BF2C7B1" w:rsidR="00FF01EE" w:rsidRPr="00F2409E" w:rsidRDefault="00FF01EE" w:rsidP="00A747FF">
                  <w:pPr>
                    <w:pStyle w:val="ListParagraph"/>
                    <w:numPr>
                      <w:ilvl w:val="0"/>
                      <w:numId w:val="7"/>
                    </w:numPr>
                    <w:spacing w:line="240" w:lineRule="auto"/>
                    <w:rPr>
                      <w:rFonts w:ascii="Arial" w:hAnsi="Arial" w:cs="Arial"/>
                      <w:sz w:val="24"/>
                      <w:szCs w:val="24"/>
                    </w:rPr>
                  </w:pPr>
                  <w:r>
                    <w:rPr>
                      <w:rFonts w:ascii="Arial" w:hAnsi="Arial" w:cs="Arial"/>
                      <w:sz w:val="24"/>
                      <w:szCs w:val="24"/>
                    </w:rPr>
                    <w:t>T</w:t>
                  </w:r>
                  <w:r w:rsidR="005A10F3">
                    <w:rPr>
                      <w:rFonts w:ascii="Arial" w:hAnsi="Arial" w:cs="Arial"/>
                      <w:sz w:val="24"/>
                      <w:szCs w:val="24"/>
                    </w:rPr>
                    <w:t>he</w:t>
                  </w:r>
                  <w:r>
                    <w:rPr>
                      <w:rFonts w:ascii="Arial" w:hAnsi="Arial" w:cs="Arial"/>
                      <w:sz w:val="24"/>
                      <w:szCs w:val="24"/>
                    </w:rPr>
                    <w:t xml:space="preserve"> 50p budget membership has become part of ‘brand HLH</w:t>
                  </w:r>
                  <w:proofErr w:type="gramStart"/>
                  <w:r>
                    <w:rPr>
                      <w:rFonts w:ascii="Arial" w:hAnsi="Arial" w:cs="Arial"/>
                      <w:sz w:val="24"/>
                      <w:szCs w:val="24"/>
                    </w:rPr>
                    <w:t>’ ,</w:t>
                  </w:r>
                  <w:proofErr w:type="gramEnd"/>
                  <w:r>
                    <w:rPr>
                      <w:rFonts w:ascii="Arial" w:hAnsi="Arial" w:cs="Arial"/>
                      <w:sz w:val="24"/>
                      <w:szCs w:val="24"/>
                    </w:rPr>
                    <w:t xml:space="preserve"> it is widely recognised, nationally acclaimed and is a key selling point in respect of our corporate social responsibility.</w:t>
                  </w:r>
                </w:p>
                <w:p w14:paraId="3B2C2CB8" w14:textId="10967BD1" w:rsidR="00F2409E" w:rsidRPr="00F2409E" w:rsidRDefault="00F2409E" w:rsidP="00A747FF">
                  <w:pPr>
                    <w:jc w:val="both"/>
                    <w:rPr>
                      <w:rFonts w:ascii="Arial" w:hAnsi="Arial" w:cs="Arial"/>
                      <w:szCs w:val="24"/>
                    </w:rPr>
                  </w:pPr>
                </w:p>
              </w:tc>
              <w:tc>
                <w:tcPr>
                  <w:tcW w:w="4211" w:type="dxa"/>
                </w:tcPr>
                <w:p w14:paraId="001844EB" w14:textId="77777777" w:rsidR="00F2409E" w:rsidRPr="00F2409E" w:rsidRDefault="00F2409E" w:rsidP="00A747FF">
                  <w:pPr>
                    <w:pStyle w:val="ListParagraph"/>
                    <w:numPr>
                      <w:ilvl w:val="0"/>
                      <w:numId w:val="5"/>
                    </w:numPr>
                    <w:spacing w:line="240" w:lineRule="auto"/>
                    <w:jc w:val="both"/>
                    <w:rPr>
                      <w:rFonts w:ascii="Arial" w:hAnsi="Arial" w:cs="Arial"/>
                      <w:sz w:val="24"/>
                      <w:szCs w:val="24"/>
                    </w:rPr>
                  </w:pPr>
                  <w:r w:rsidRPr="00F2409E">
                    <w:rPr>
                      <w:rFonts w:ascii="Arial" w:hAnsi="Arial" w:cs="Arial"/>
                      <w:sz w:val="24"/>
                      <w:szCs w:val="24"/>
                    </w:rPr>
                    <w:t>Loss of £60-£70K income p.a.</w:t>
                  </w:r>
                </w:p>
                <w:p w14:paraId="4547EF47" w14:textId="5CC845FF" w:rsidR="00F2409E" w:rsidRPr="00F2409E" w:rsidRDefault="00F2409E" w:rsidP="00A747FF">
                  <w:pPr>
                    <w:pStyle w:val="ListParagraph"/>
                    <w:numPr>
                      <w:ilvl w:val="0"/>
                      <w:numId w:val="5"/>
                    </w:numPr>
                    <w:spacing w:line="240" w:lineRule="auto"/>
                    <w:jc w:val="both"/>
                    <w:rPr>
                      <w:rFonts w:ascii="Arial" w:hAnsi="Arial" w:cs="Arial"/>
                      <w:sz w:val="24"/>
                      <w:szCs w:val="24"/>
                    </w:rPr>
                  </w:pPr>
                  <w:r w:rsidRPr="00F2409E">
                    <w:rPr>
                      <w:rFonts w:ascii="Arial" w:hAnsi="Arial" w:cs="Arial"/>
                      <w:sz w:val="24"/>
                      <w:szCs w:val="24"/>
                    </w:rPr>
                    <w:t>Possible devaluation of the service in the minds of customers.</w:t>
                  </w:r>
                </w:p>
                <w:p w14:paraId="7F0F83A6" w14:textId="77777777" w:rsidR="00F2409E" w:rsidRPr="00F2409E" w:rsidRDefault="00F2409E" w:rsidP="00A747FF">
                  <w:pPr>
                    <w:pStyle w:val="ListParagraph"/>
                    <w:numPr>
                      <w:ilvl w:val="0"/>
                      <w:numId w:val="5"/>
                    </w:numPr>
                    <w:spacing w:line="240" w:lineRule="auto"/>
                    <w:jc w:val="both"/>
                    <w:rPr>
                      <w:rFonts w:ascii="Arial" w:hAnsi="Arial" w:cs="Arial"/>
                      <w:sz w:val="24"/>
                      <w:szCs w:val="24"/>
                    </w:rPr>
                  </w:pPr>
                  <w:r w:rsidRPr="00F2409E">
                    <w:rPr>
                      <w:rFonts w:ascii="Arial" w:hAnsi="Arial" w:cs="Arial"/>
                      <w:sz w:val="24"/>
                      <w:szCs w:val="24"/>
                    </w:rPr>
                    <w:t>Reputational risk with THC – reducing income at a time when budgets are under pressure.</w:t>
                  </w:r>
                </w:p>
                <w:p w14:paraId="6FF3FC00" w14:textId="77777777" w:rsidR="00F2409E" w:rsidRDefault="00F2409E" w:rsidP="00A747FF">
                  <w:pPr>
                    <w:pStyle w:val="ListParagraph"/>
                    <w:numPr>
                      <w:ilvl w:val="0"/>
                      <w:numId w:val="5"/>
                    </w:numPr>
                    <w:spacing w:line="240" w:lineRule="auto"/>
                    <w:jc w:val="both"/>
                    <w:rPr>
                      <w:rFonts w:ascii="Arial" w:hAnsi="Arial" w:cs="Arial"/>
                      <w:sz w:val="24"/>
                      <w:szCs w:val="24"/>
                    </w:rPr>
                  </w:pPr>
                  <w:r w:rsidRPr="00F2409E">
                    <w:rPr>
                      <w:rFonts w:ascii="Arial" w:hAnsi="Arial" w:cs="Arial"/>
                      <w:sz w:val="24"/>
                      <w:szCs w:val="24"/>
                    </w:rPr>
                    <w:t xml:space="preserve">Removal of the charge on a temporary basis could lead to reputational issues at the point a charge is re-introduced. </w:t>
                  </w:r>
                </w:p>
                <w:p w14:paraId="28BC628A" w14:textId="37E4BEF4" w:rsidR="00FF01EE" w:rsidRPr="00F2409E" w:rsidRDefault="00FF01EE" w:rsidP="00C85BFD">
                  <w:pPr>
                    <w:pStyle w:val="ListParagraph"/>
                    <w:spacing w:line="240" w:lineRule="auto"/>
                    <w:ind w:left="360"/>
                    <w:jc w:val="both"/>
                    <w:rPr>
                      <w:rFonts w:ascii="Arial" w:hAnsi="Arial" w:cs="Arial"/>
                      <w:sz w:val="24"/>
                      <w:szCs w:val="24"/>
                    </w:rPr>
                  </w:pPr>
                </w:p>
              </w:tc>
            </w:tr>
          </w:tbl>
          <w:p w14:paraId="62EC1FCF" w14:textId="22FE8ABF" w:rsidR="005F3DE5" w:rsidRPr="00F2409E" w:rsidRDefault="005F3DE5" w:rsidP="00F2409E">
            <w:pPr>
              <w:jc w:val="both"/>
              <w:rPr>
                <w:rFonts w:ascii="Arial" w:hAnsi="Arial" w:cs="Arial"/>
                <w:szCs w:val="24"/>
              </w:rPr>
            </w:pPr>
          </w:p>
        </w:tc>
      </w:tr>
      <w:tr w:rsidR="00A965B4" w:rsidRPr="00F2409E" w14:paraId="78D2E407" w14:textId="77777777" w:rsidTr="00555464">
        <w:tc>
          <w:tcPr>
            <w:tcW w:w="817" w:type="dxa"/>
          </w:tcPr>
          <w:p w14:paraId="70FA7CE3" w14:textId="77777777" w:rsidR="00A965B4" w:rsidRDefault="00A965B4" w:rsidP="00F2409E">
            <w:pPr>
              <w:rPr>
                <w:rFonts w:ascii="Arial" w:hAnsi="Arial" w:cs="Arial"/>
                <w:szCs w:val="24"/>
              </w:rPr>
            </w:pPr>
          </w:p>
          <w:p w14:paraId="19D6DB38" w14:textId="77777777" w:rsidR="00D37320" w:rsidRDefault="00D37320" w:rsidP="00F2409E">
            <w:pPr>
              <w:rPr>
                <w:rFonts w:ascii="Arial" w:hAnsi="Arial" w:cs="Arial"/>
                <w:szCs w:val="24"/>
              </w:rPr>
            </w:pPr>
          </w:p>
          <w:p w14:paraId="62EB2916" w14:textId="77777777" w:rsidR="00D37320" w:rsidRDefault="00D37320" w:rsidP="00F2409E">
            <w:pPr>
              <w:rPr>
                <w:rFonts w:ascii="Arial" w:hAnsi="Arial" w:cs="Arial"/>
                <w:szCs w:val="24"/>
              </w:rPr>
            </w:pPr>
          </w:p>
          <w:p w14:paraId="57034D3F" w14:textId="62A4AF6F" w:rsidR="00D37320" w:rsidRDefault="00D37320" w:rsidP="00F2409E">
            <w:pPr>
              <w:rPr>
                <w:rFonts w:ascii="Arial" w:hAnsi="Arial" w:cs="Arial"/>
                <w:szCs w:val="24"/>
              </w:rPr>
            </w:pPr>
          </w:p>
        </w:tc>
        <w:tc>
          <w:tcPr>
            <w:tcW w:w="8647" w:type="dxa"/>
          </w:tcPr>
          <w:p w14:paraId="34B758B5" w14:textId="77777777" w:rsidR="00A965B4" w:rsidRDefault="00A965B4" w:rsidP="00F2409E">
            <w:pPr>
              <w:jc w:val="both"/>
              <w:rPr>
                <w:rFonts w:ascii="Arial" w:hAnsi="Arial" w:cs="Arial"/>
                <w:b/>
                <w:bCs/>
                <w:szCs w:val="24"/>
              </w:rPr>
            </w:pPr>
          </w:p>
        </w:tc>
      </w:tr>
      <w:tr w:rsidR="00F2409E" w:rsidRPr="00F2409E" w14:paraId="76895FF2" w14:textId="77777777" w:rsidTr="00555464">
        <w:tc>
          <w:tcPr>
            <w:tcW w:w="817" w:type="dxa"/>
          </w:tcPr>
          <w:p w14:paraId="6F273E5E" w14:textId="17CFAF44" w:rsidR="00F2409E" w:rsidRPr="00F2409E" w:rsidRDefault="00F2409E" w:rsidP="00F2409E">
            <w:pPr>
              <w:rPr>
                <w:rFonts w:ascii="Arial" w:hAnsi="Arial" w:cs="Arial"/>
                <w:szCs w:val="24"/>
              </w:rPr>
            </w:pPr>
            <w:r w:rsidRPr="00F2409E">
              <w:rPr>
                <w:rFonts w:ascii="Arial" w:hAnsi="Arial" w:cs="Arial"/>
                <w:szCs w:val="24"/>
              </w:rPr>
              <w:lastRenderedPageBreak/>
              <w:t>4.</w:t>
            </w:r>
            <w:r w:rsidR="005F3DE5">
              <w:rPr>
                <w:rFonts w:ascii="Arial" w:hAnsi="Arial" w:cs="Arial"/>
                <w:szCs w:val="24"/>
              </w:rPr>
              <w:t>4</w:t>
            </w:r>
          </w:p>
        </w:tc>
        <w:tc>
          <w:tcPr>
            <w:tcW w:w="8647" w:type="dxa"/>
          </w:tcPr>
          <w:p w14:paraId="3AF8CCBA" w14:textId="71AA15C5" w:rsidR="00F2409E" w:rsidRPr="00F2409E" w:rsidRDefault="000E1A50" w:rsidP="00F2409E">
            <w:pPr>
              <w:jc w:val="both"/>
              <w:rPr>
                <w:rFonts w:ascii="Arial" w:hAnsi="Arial" w:cs="Arial"/>
                <w:szCs w:val="24"/>
              </w:rPr>
            </w:pPr>
            <w:r>
              <w:rPr>
                <w:rFonts w:ascii="Arial" w:hAnsi="Arial" w:cs="Arial"/>
                <w:b/>
                <w:bCs/>
                <w:szCs w:val="24"/>
              </w:rPr>
              <w:t xml:space="preserve">Option 3 - </w:t>
            </w:r>
            <w:r w:rsidR="00F2409E" w:rsidRPr="00F2409E">
              <w:rPr>
                <w:rFonts w:ascii="Arial" w:hAnsi="Arial" w:cs="Arial"/>
                <w:b/>
                <w:bCs/>
                <w:szCs w:val="24"/>
              </w:rPr>
              <w:t>Subscription Option</w:t>
            </w:r>
            <w:r w:rsidR="005F3DE5">
              <w:rPr>
                <w:rFonts w:ascii="Arial" w:hAnsi="Arial" w:cs="Arial"/>
                <w:b/>
                <w:bCs/>
                <w:szCs w:val="24"/>
              </w:rPr>
              <w:t xml:space="preserve"> </w:t>
            </w:r>
            <w:r w:rsidR="00F2409E" w:rsidRPr="00F2409E">
              <w:rPr>
                <w:rFonts w:ascii="Arial" w:hAnsi="Arial" w:cs="Arial"/>
                <w:b/>
                <w:bCs/>
                <w:szCs w:val="24"/>
              </w:rPr>
              <w:t xml:space="preserve">– </w:t>
            </w:r>
            <w:r w:rsidR="00F2409E" w:rsidRPr="00F2409E">
              <w:rPr>
                <w:rFonts w:ascii="Arial" w:hAnsi="Arial" w:cs="Arial"/>
                <w:szCs w:val="24"/>
              </w:rPr>
              <w:t>Introduce a low</w:t>
            </w:r>
            <w:r w:rsidR="00FF01EE">
              <w:rPr>
                <w:rFonts w:ascii="Arial" w:hAnsi="Arial" w:cs="Arial"/>
                <w:szCs w:val="24"/>
              </w:rPr>
              <w:t>-</w:t>
            </w:r>
            <w:r w:rsidR="00F2409E" w:rsidRPr="00F2409E">
              <w:rPr>
                <w:rFonts w:ascii="Arial" w:hAnsi="Arial" w:cs="Arial"/>
                <w:szCs w:val="24"/>
              </w:rPr>
              <w:t>cost subscription option for families/individuals</w:t>
            </w:r>
            <w:r w:rsidR="005F3DE5">
              <w:rPr>
                <w:rFonts w:ascii="Arial" w:hAnsi="Arial" w:cs="Arial"/>
                <w:szCs w:val="24"/>
              </w:rPr>
              <w:t xml:space="preserve">, </w:t>
            </w:r>
            <w:r w:rsidR="00F2409E" w:rsidRPr="00F2409E">
              <w:rPr>
                <w:rFonts w:ascii="Arial" w:hAnsi="Arial" w:cs="Arial"/>
                <w:szCs w:val="24"/>
              </w:rPr>
              <w:t xml:space="preserve">retaining </w:t>
            </w:r>
            <w:r w:rsidR="005F3DE5">
              <w:rPr>
                <w:rFonts w:ascii="Arial" w:hAnsi="Arial" w:cs="Arial"/>
                <w:szCs w:val="24"/>
              </w:rPr>
              <w:t xml:space="preserve">the </w:t>
            </w:r>
            <w:r w:rsidR="00A747FF">
              <w:rPr>
                <w:rFonts w:ascii="Arial" w:hAnsi="Arial" w:cs="Arial"/>
                <w:szCs w:val="24"/>
              </w:rPr>
              <w:t>fifty pence</w:t>
            </w:r>
            <w:r w:rsidR="00F2409E" w:rsidRPr="00F2409E">
              <w:rPr>
                <w:rFonts w:ascii="Arial" w:hAnsi="Arial" w:cs="Arial"/>
                <w:szCs w:val="24"/>
              </w:rPr>
              <w:t xml:space="preserve"> pay as you go (PAYG)</w:t>
            </w:r>
            <w:r w:rsidR="005F3DE5">
              <w:rPr>
                <w:rFonts w:ascii="Arial" w:hAnsi="Arial" w:cs="Arial"/>
                <w:szCs w:val="24"/>
              </w:rPr>
              <w:t xml:space="preserve"> option</w:t>
            </w:r>
            <w:r w:rsidR="00F2409E" w:rsidRPr="00F2409E">
              <w:rPr>
                <w:rFonts w:ascii="Arial" w:hAnsi="Arial" w:cs="Arial"/>
                <w:szCs w:val="24"/>
              </w:rPr>
              <w:t xml:space="preserve">.  </w:t>
            </w:r>
          </w:p>
          <w:p w14:paraId="327A8407" w14:textId="77777777" w:rsidR="00F2409E" w:rsidRPr="00F2409E" w:rsidRDefault="00F2409E" w:rsidP="00F2409E">
            <w:pPr>
              <w:jc w:val="both"/>
              <w:rPr>
                <w:rFonts w:ascii="Arial" w:hAnsi="Arial" w:cs="Arial"/>
                <w:szCs w:val="24"/>
              </w:rPr>
            </w:pPr>
          </w:p>
          <w:tbl>
            <w:tblPr>
              <w:tblStyle w:val="TableGrid"/>
              <w:tblW w:w="0" w:type="auto"/>
              <w:tblLook w:val="04A0" w:firstRow="1" w:lastRow="0" w:firstColumn="1" w:lastColumn="0" w:noHBand="0" w:noVBand="1"/>
            </w:tblPr>
            <w:tblGrid>
              <w:gridCol w:w="4210"/>
              <w:gridCol w:w="4211"/>
            </w:tblGrid>
            <w:tr w:rsidR="00F2409E" w:rsidRPr="00F2409E" w14:paraId="21B866F7" w14:textId="77777777" w:rsidTr="00B207B0">
              <w:tc>
                <w:tcPr>
                  <w:tcW w:w="4210" w:type="dxa"/>
                </w:tcPr>
                <w:p w14:paraId="2127CB66" w14:textId="4E89D5EC" w:rsidR="00F2409E" w:rsidRPr="00F2409E" w:rsidRDefault="00F2409E" w:rsidP="00F2409E">
                  <w:pPr>
                    <w:jc w:val="both"/>
                    <w:rPr>
                      <w:rFonts w:ascii="Arial" w:hAnsi="Arial" w:cs="Arial"/>
                      <w:szCs w:val="24"/>
                    </w:rPr>
                  </w:pPr>
                  <w:r w:rsidRPr="00F2409E">
                    <w:rPr>
                      <w:rFonts w:ascii="Arial" w:hAnsi="Arial" w:cs="Arial"/>
                      <w:szCs w:val="24"/>
                    </w:rPr>
                    <w:t>Pros</w:t>
                  </w:r>
                </w:p>
                <w:p w14:paraId="0EB2CD24" w14:textId="77777777" w:rsidR="00F2409E" w:rsidRPr="00F2409E" w:rsidRDefault="00F2409E" w:rsidP="00F2409E">
                  <w:pPr>
                    <w:jc w:val="both"/>
                    <w:rPr>
                      <w:rFonts w:ascii="Arial" w:hAnsi="Arial" w:cs="Arial"/>
                      <w:szCs w:val="24"/>
                    </w:rPr>
                  </w:pPr>
                </w:p>
              </w:tc>
              <w:tc>
                <w:tcPr>
                  <w:tcW w:w="4211" w:type="dxa"/>
                </w:tcPr>
                <w:p w14:paraId="7C74A3AF" w14:textId="135EB985" w:rsidR="00F2409E" w:rsidRPr="00F2409E" w:rsidRDefault="00F2409E" w:rsidP="00F2409E">
                  <w:pPr>
                    <w:jc w:val="both"/>
                    <w:rPr>
                      <w:rFonts w:ascii="Arial" w:hAnsi="Arial" w:cs="Arial"/>
                      <w:szCs w:val="24"/>
                    </w:rPr>
                  </w:pPr>
                  <w:r w:rsidRPr="00F2409E">
                    <w:rPr>
                      <w:rFonts w:ascii="Arial" w:hAnsi="Arial" w:cs="Arial"/>
                      <w:szCs w:val="24"/>
                    </w:rPr>
                    <w:t>Cons</w:t>
                  </w:r>
                </w:p>
              </w:tc>
            </w:tr>
            <w:tr w:rsidR="00F2409E" w:rsidRPr="00F2409E" w14:paraId="1D5A3CD4" w14:textId="77777777" w:rsidTr="00B207B0">
              <w:tc>
                <w:tcPr>
                  <w:tcW w:w="4210" w:type="dxa"/>
                </w:tcPr>
                <w:p w14:paraId="11942A9C" w14:textId="7DA4F03E" w:rsidR="00F2409E" w:rsidRPr="00F2409E" w:rsidRDefault="00F2409E" w:rsidP="00A747FF">
                  <w:pPr>
                    <w:pStyle w:val="ListParagraph"/>
                    <w:numPr>
                      <w:ilvl w:val="0"/>
                      <w:numId w:val="7"/>
                    </w:numPr>
                    <w:spacing w:line="240" w:lineRule="auto"/>
                    <w:rPr>
                      <w:rFonts w:ascii="Arial" w:hAnsi="Arial" w:cs="Arial"/>
                      <w:sz w:val="24"/>
                      <w:szCs w:val="24"/>
                    </w:rPr>
                  </w:pPr>
                  <w:r w:rsidRPr="00F2409E">
                    <w:rPr>
                      <w:rFonts w:ascii="Arial" w:hAnsi="Arial" w:cs="Arial"/>
                      <w:sz w:val="24"/>
                      <w:szCs w:val="24"/>
                    </w:rPr>
                    <w:t>Likely to retain income</w:t>
                  </w:r>
                </w:p>
                <w:p w14:paraId="24E10A58" w14:textId="1B1EBFCA" w:rsidR="00F2409E" w:rsidRPr="00F2409E" w:rsidRDefault="00F2409E" w:rsidP="00A747FF">
                  <w:pPr>
                    <w:pStyle w:val="ListParagraph"/>
                    <w:numPr>
                      <w:ilvl w:val="0"/>
                      <w:numId w:val="7"/>
                    </w:numPr>
                    <w:spacing w:line="240" w:lineRule="auto"/>
                    <w:rPr>
                      <w:rFonts w:ascii="Arial" w:hAnsi="Arial" w:cs="Arial"/>
                      <w:sz w:val="24"/>
                      <w:szCs w:val="24"/>
                    </w:rPr>
                  </w:pPr>
                  <w:r w:rsidRPr="00F2409E">
                    <w:rPr>
                      <w:rFonts w:ascii="Arial" w:hAnsi="Arial" w:cs="Arial"/>
                      <w:sz w:val="24"/>
                      <w:szCs w:val="24"/>
                    </w:rPr>
                    <w:t>Could increase participation/lead to improved health outcomes for customers</w:t>
                  </w:r>
                </w:p>
                <w:p w14:paraId="5796CBD2" w14:textId="7F1D5F61" w:rsidR="00F2409E" w:rsidRPr="00F2409E" w:rsidRDefault="00F2409E" w:rsidP="00A747FF">
                  <w:pPr>
                    <w:pStyle w:val="ListParagraph"/>
                    <w:numPr>
                      <w:ilvl w:val="0"/>
                      <w:numId w:val="7"/>
                    </w:numPr>
                    <w:spacing w:line="240" w:lineRule="auto"/>
                    <w:rPr>
                      <w:rFonts w:ascii="Arial" w:hAnsi="Arial" w:cs="Arial"/>
                      <w:sz w:val="24"/>
                      <w:szCs w:val="24"/>
                    </w:rPr>
                  </w:pPr>
                  <w:r w:rsidRPr="00F2409E">
                    <w:rPr>
                      <w:rFonts w:ascii="Arial" w:hAnsi="Arial" w:cs="Arial"/>
                      <w:sz w:val="24"/>
                      <w:szCs w:val="24"/>
                    </w:rPr>
                    <w:t>Could improve HLH’s reputation</w:t>
                  </w:r>
                </w:p>
                <w:p w14:paraId="6275E114" w14:textId="77777777" w:rsidR="00F2409E" w:rsidRDefault="00F2409E" w:rsidP="00A747FF">
                  <w:pPr>
                    <w:pStyle w:val="ListParagraph"/>
                    <w:numPr>
                      <w:ilvl w:val="0"/>
                      <w:numId w:val="7"/>
                    </w:numPr>
                    <w:spacing w:line="240" w:lineRule="auto"/>
                    <w:rPr>
                      <w:rFonts w:ascii="Arial" w:hAnsi="Arial" w:cs="Arial"/>
                      <w:sz w:val="24"/>
                      <w:szCs w:val="24"/>
                    </w:rPr>
                  </w:pPr>
                  <w:r w:rsidRPr="00F2409E">
                    <w:rPr>
                      <w:rFonts w:ascii="Arial" w:hAnsi="Arial" w:cs="Arial"/>
                      <w:sz w:val="24"/>
                      <w:szCs w:val="24"/>
                    </w:rPr>
                    <w:t>No political risks</w:t>
                  </w:r>
                </w:p>
                <w:p w14:paraId="1458D472" w14:textId="7B50D8F3" w:rsidR="00227FB0" w:rsidRPr="00A747FF" w:rsidRDefault="00227FB0" w:rsidP="00A747FF">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Retaining the 50p PAYG option provides a safety net for people who might not want to sign up to a monthly payment. </w:t>
                  </w:r>
                </w:p>
              </w:tc>
              <w:tc>
                <w:tcPr>
                  <w:tcW w:w="4211" w:type="dxa"/>
                </w:tcPr>
                <w:p w14:paraId="1A4606D5" w14:textId="77777777" w:rsidR="00F2409E" w:rsidRDefault="00F2409E" w:rsidP="00A747FF">
                  <w:pPr>
                    <w:pStyle w:val="ListParagraph"/>
                    <w:numPr>
                      <w:ilvl w:val="0"/>
                      <w:numId w:val="7"/>
                    </w:numPr>
                    <w:spacing w:line="240" w:lineRule="auto"/>
                    <w:jc w:val="both"/>
                    <w:rPr>
                      <w:rFonts w:ascii="Arial" w:hAnsi="Arial" w:cs="Arial"/>
                      <w:sz w:val="24"/>
                      <w:szCs w:val="24"/>
                    </w:rPr>
                  </w:pPr>
                  <w:r w:rsidRPr="00F2409E">
                    <w:rPr>
                      <w:rFonts w:ascii="Arial" w:hAnsi="Arial" w:cs="Arial"/>
                      <w:sz w:val="24"/>
                      <w:szCs w:val="24"/>
                    </w:rPr>
                    <w:t xml:space="preserve">Subscription model might not be desirable for people eligible for income related benefits. </w:t>
                  </w:r>
                </w:p>
                <w:p w14:paraId="27B7C63A" w14:textId="77777777" w:rsidR="00A747FF" w:rsidRDefault="00A747FF" w:rsidP="00A747FF">
                  <w:pPr>
                    <w:pStyle w:val="ListParagraph"/>
                    <w:spacing w:line="240" w:lineRule="auto"/>
                    <w:ind w:left="360"/>
                    <w:jc w:val="both"/>
                    <w:rPr>
                      <w:rFonts w:ascii="Arial" w:hAnsi="Arial" w:cs="Arial"/>
                      <w:sz w:val="24"/>
                      <w:szCs w:val="24"/>
                    </w:rPr>
                  </w:pPr>
                </w:p>
                <w:p w14:paraId="35C47032" w14:textId="77777777" w:rsidR="00A747FF" w:rsidRDefault="00A747FF" w:rsidP="00A747FF">
                  <w:pPr>
                    <w:pStyle w:val="ListParagraph"/>
                    <w:spacing w:line="240" w:lineRule="auto"/>
                    <w:ind w:left="360"/>
                    <w:jc w:val="both"/>
                    <w:rPr>
                      <w:rFonts w:ascii="Arial" w:hAnsi="Arial" w:cs="Arial"/>
                      <w:sz w:val="24"/>
                      <w:szCs w:val="24"/>
                    </w:rPr>
                  </w:pPr>
                </w:p>
                <w:p w14:paraId="2EDADCED" w14:textId="503C5638" w:rsidR="00A747FF" w:rsidRPr="00F2409E" w:rsidRDefault="00A747FF" w:rsidP="00A747FF">
                  <w:pPr>
                    <w:pStyle w:val="ListParagraph"/>
                    <w:spacing w:line="240" w:lineRule="auto"/>
                    <w:ind w:left="360"/>
                    <w:jc w:val="both"/>
                    <w:rPr>
                      <w:rFonts w:ascii="Arial" w:hAnsi="Arial" w:cs="Arial"/>
                      <w:sz w:val="24"/>
                      <w:szCs w:val="24"/>
                    </w:rPr>
                  </w:pPr>
                </w:p>
              </w:tc>
            </w:tr>
          </w:tbl>
          <w:p w14:paraId="4F90869F" w14:textId="29DC447E" w:rsidR="00F2409E" w:rsidRPr="00F2409E" w:rsidRDefault="00F2409E" w:rsidP="00F2409E">
            <w:pPr>
              <w:jc w:val="both"/>
              <w:rPr>
                <w:rFonts w:ascii="Arial" w:hAnsi="Arial" w:cs="Arial"/>
                <w:szCs w:val="24"/>
              </w:rPr>
            </w:pPr>
          </w:p>
        </w:tc>
      </w:tr>
      <w:tr w:rsidR="00A965B4" w:rsidRPr="005F3DE5" w14:paraId="23826E15" w14:textId="77777777" w:rsidTr="00555464">
        <w:tc>
          <w:tcPr>
            <w:tcW w:w="817" w:type="dxa"/>
          </w:tcPr>
          <w:p w14:paraId="0DCB3BC5" w14:textId="77777777" w:rsidR="00A965B4" w:rsidRDefault="00A965B4" w:rsidP="00F2409E">
            <w:pPr>
              <w:rPr>
                <w:rFonts w:ascii="Arial" w:hAnsi="Arial" w:cs="Arial"/>
                <w:b/>
                <w:bCs/>
                <w:szCs w:val="24"/>
              </w:rPr>
            </w:pPr>
          </w:p>
        </w:tc>
        <w:tc>
          <w:tcPr>
            <w:tcW w:w="8647" w:type="dxa"/>
          </w:tcPr>
          <w:p w14:paraId="48C0B23B" w14:textId="77777777" w:rsidR="00A965B4" w:rsidRDefault="00A965B4" w:rsidP="00F2409E">
            <w:pPr>
              <w:jc w:val="both"/>
              <w:rPr>
                <w:rFonts w:ascii="Arial" w:hAnsi="Arial" w:cs="Arial"/>
                <w:b/>
                <w:bCs/>
                <w:szCs w:val="24"/>
              </w:rPr>
            </w:pPr>
          </w:p>
        </w:tc>
      </w:tr>
      <w:tr w:rsidR="00F2409E" w:rsidRPr="005F3DE5" w14:paraId="6DA4815E" w14:textId="77777777" w:rsidTr="00555464">
        <w:tc>
          <w:tcPr>
            <w:tcW w:w="817" w:type="dxa"/>
          </w:tcPr>
          <w:p w14:paraId="0F32AD1F" w14:textId="5DC5DDA4" w:rsidR="00F2409E" w:rsidRPr="005F3DE5" w:rsidRDefault="005F3DE5" w:rsidP="00F2409E">
            <w:pPr>
              <w:rPr>
                <w:rFonts w:ascii="Arial" w:hAnsi="Arial" w:cs="Arial"/>
                <w:b/>
                <w:bCs/>
                <w:szCs w:val="24"/>
              </w:rPr>
            </w:pPr>
            <w:r w:rsidRPr="005F3DE5">
              <w:rPr>
                <w:rFonts w:ascii="Arial" w:hAnsi="Arial" w:cs="Arial"/>
                <w:b/>
                <w:bCs/>
                <w:szCs w:val="24"/>
              </w:rPr>
              <w:t>5.</w:t>
            </w:r>
          </w:p>
        </w:tc>
        <w:tc>
          <w:tcPr>
            <w:tcW w:w="8647" w:type="dxa"/>
          </w:tcPr>
          <w:p w14:paraId="5CF47A6A" w14:textId="067D9F7D" w:rsidR="00F2409E" w:rsidRPr="005F3DE5" w:rsidRDefault="00F2409E" w:rsidP="00F2409E">
            <w:pPr>
              <w:jc w:val="both"/>
              <w:rPr>
                <w:rFonts w:ascii="Arial" w:hAnsi="Arial" w:cs="Arial"/>
                <w:b/>
                <w:bCs/>
                <w:szCs w:val="24"/>
              </w:rPr>
            </w:pPr>
            <w:r w:rsidRPr="005F3DE5">
              <w:rPr>
                <w:rFonts w:ascii="Arial" w:hAnsi="Arial" w:cs="Arial"/>
                <w:b/>
                <w:bCs/>
                <w:szCs w:val="24"/>
              </w:rPr>
              <w:t>Consideration of Options</w:t>
            </w:r>
          </w:p>
          <w:p w14:paraId="26282873" w14:textId="224F72D1" w:rsidR="00F2409E" w:rsidRPr="005F3DE5" w:rsidRDefault="00F2409E" w:rsidP="00F2409E">
            <w:pPr>
              <w:jc w:val="both"/>
              <w:rPr>
                <w:rFonts w:ascii="Arial" w:hAnsi="Arial" w:cs="Arial"/>
                <w:b/>
                <w:bCs/>
                <w:szCs w:val="24"/>
              </w:rPr>
            </w:pPr>
          </w:p>
        </w:tc>
      </w:tr>
      <w:tr w:rsidR="00F2409E" w:rsidRPr="00F2409E" w14:paraId="0B62831E" w14:textId="77777777" w:rsidTr="00555464">
        <w:tc>
          <w:tcPr>
            <w:tcW w:w="817" w:type="dxa"/>
          </w:tcPr>
          <w:p w14:paraId="5B03D8D3" w14:textId="16D0BFDC" w:rsidR="00F2409E" w:rsidRPr="00F2409E" w:rsidRDefault="005F3DE5" w:rsidP="00F2409E">
            <w:pPr>
              <w:rPr>
                <w:rFonts w:ascii="Arial" w:hAnsi="Arial" w:cs="Arial"/>
                <w:szCs w:val="24"/>
              </w:rPr>
            </w:pPr>
            <w:r>
              <w:rPr>
                <w:rFonts w:ascii="Arial" w:hAnsi="Arial" w:cs="Arial"/>
                <w:szCs w:val="24"/>
              </w:rPr>
              <w:t>5.1</w:t>
            </w:r>
          </w:p>
        </w:tc>
        <w:tc>
          <w:tcPr>
            <w:tcW w:w="8647" w:type="dxa"/>
          </w:tcPr>
          <w:p w14:paraId="1AFD2CE1" w14:textId="5A8DEEB6" w:rsidR="00F2409E" w:rsidRDefault="00227FB0" w:rsidP="00F2409E">
            <w:pPr>
              <w:jc w:val="both"/>
              <w:rPr>
                <w:rFonts w:ascii="Arial" w:hAnsi="Arial" w:cs="Arial"/>
                <w:szCs w:val="24"/>
              </w:rPr>
            </w:pPr>
            <w:r>
              <w:rPr>
                <w:rFonts w:ascii="Arial" w:hAnsi="Arial" w:cs="Arial"/>
                <w:szCs w:val="24"/>
              </w:rPr>
              <w:t>Consideration of the pros and cons identifies that t</w:t>
            </w:r>
            <w:r w:rsidR="00F2409E" w:rsidRPr="00F2409E">
              <w:rPr>
                <w:rFonts w:ascii="Arial" w:hAnsi="Arial" w:cs="Arial"/>
                <w:szCs w:val="24"/>
              </w:rPr>
              <w:t>here are benefits associated with each option and these come down to the balance between the:</w:t>
            </w:r>
          </w:p>
          <w:p w14:paraId="42D79245" w14:textId="77777777" w:rsidR="00A747FF" w:rsidRPr="00F2409E" w:rsidRDefault="00A747FF" w:rsidP="000E1A50">
            <w:pPr>
              <w:jc w:val="both"/>
              <w:rPr>
                <w:rFonts w:ascii="Arial" w:hAnsi="Arial" w:cs="Arial"/>
                <w:szCs w:val="24"/>
              </w:rPr>
            </w:pPr>
          </w:p>
          <w:p w14:paraId="63D1EAD2" w14:textId="6CB88BEA" w:rsidR="00F2409E" w:rsidRPr="00F2409E" w:rsidRDefault="00F2409E" w:rsidP="000E1A50">
            <w:pPr>
              <w:pStyle w:val="ListParagraph"/>
              <w:numPr>
                <w:ilvl w:val="0"/>
                <w:numId w:val="12"/>
              </w:numPr>
              <w:spacing w:after="0"/>
              <w:jc w:val="both"/>
              <w:rPr>
                <w:rFonts w:ascii="Arial" w:hAnsi="Arial" w:cs="Arial"/>
                <w:sz w:val="24"/>
                <w:szCs w:val="24"/>
              </w:rPr>
            </w:pPr>
            <w:r w:rsidRPr="00F2409E">
              <w:rPr>
                <w:rFonts w:ascii="Arial" w:hAnsi="Arial" w:cs="Arial"/>
                <w:sz w:val="24"/>
                <w:szCs w:val="24"/>
              </w:rPr>
              <w:t xml:space="preserve">social/health benefits; </w:t>
            </w:r>
          </w:p>
          <w:p w14:paraId="1C8D40AE" w14:textId="13EC6452" w:rsidR="00F2409E" w:rsidRPr="00F2409E" w:rsidRDefault="00F2409E" w:rsidP="000E1A50">
            <w:pPr>
              <w:pStyle w:val="ListParagraph"/>
              <w:numPr>
                <w:ilvl w:val="0"/>
                <w:numId w:val="12"/>
              </w:numPr>
              <w:spacing w:after="0"/>
              <w:jc w:val="both"/>
              <w:rPr>
                <w:rFonts w:ascii="Arial" w:hAnsi="Arial" w:cs="Arial"/>
                <w:sz w:val="24"/>
                <w:szCs w:val="24"/>
              </w:rPr>
            </w:pPr>
            <w:r w:rsidRPr="00F2409E">
              <w:rPr>
                <w:rFonts w:ascii="Arial" w:hAnsi="Arial" w:cs="Arial"/>
                <w:sz w:val="24"/>
                <w:szCs w:val="24"/>
              </w:rPr>
              <w:t xml:space="preserve">financial implications; and </w:t>
            </w:r>
          </w:p>
          <w:p w14:paraId="44634584" w14:textId="77777777" w:rsidR="00F2409E" w:rsidRDefault="00F2409E" w:rsidP="000E1A50">
            <w:pPr>
              <w:pStyle w:val="ListParagraph"/>
              <w:numPr>
                <w:ilvl w:val="0"/>
                <w:numId w:val="12"/>
              </w:numPr>
              <w:spacing w:after="0"/>
              <w:jc w:val="both"/>
              <w:rPr>
                <w:rFonts w:ascii="Arial" w:hAnsi="Arial" w:cs="Arial"/>
                <w:sz w:val="24"/>
                <w:szCs w:val="24"/>
              </w:rPr>
            </w:pPr>
            <w:r w:rsidRPr="00F2409E">
              <w:rPr>
                <w:rFonts w:ascii="Arial" w:hAnsi="Arial" w:cs="Arial"/>
                <w:sz w:val="24"/>
                <w:szCs w:val="24"/>
              </w:rPr>
              <w:t xml:space="preserve">reputational implications. </w:t>
            </w:r>
          </w:p>
          <w:p w14:paraId="3DA20339" w14:textId="251226B2" w:rsidR="000E1A50" w:rsidRPr="005F3DE5" w:rsidRDefault="000E1A50" w:rsidP="000E1A50">
            <w:pPr>
              <w:pStyle w:val="ListParagraph"/>
              <w:spacing w:after="0"/>
              <w:jc w:val="both"/>
              <w:rPr>
                <w:rFonts w:ascii="Arial" w:hAnsi="Arial" w:cs="Arial"/>
                <w:sz w:val="24"/>
                <w:szCs w:val="24"/>
              </w:rPr>
            </w:pPr>
          </w:p>
        </w:tc>
      </w:tr>
      <w:tr w:rsidR="00F2409E" w:rsidRPr="00F2409E" w14:paraId="728922C7" w14:textId="77777777" w:rsidTr="005C3235">
        <w:tc>
          <w:tcPr>
            <w:tcW w:w="817" w:type="dxa"/>
          </w:tcPr>
          <w:p w14:paraId="10D5A694" w14:textId="3EBED11D" w:rsidR="00F2409E" w:rsidRPr="00F2409E" w:rsidRDefault="005F3DE5" w:rsidP="00F2409E">
            <w:pPr>
              <w:rPr>
                <w:rFonts w:ascii="Arial" w:hAnsi="Arial" w:cs="Arial"/>
                <w:szCs w:val="24"/>
              </w:rPr>
            </w:pPr>
            <w:r>
              <w:rPr>
                <w:rFonts w:ascii="Arial" w:hAnsi="Arial" w:cs="Arial"/>
                <w:szCs w:val="24"/>
              </w:rPr>
              <w:t>5.2</w:t>
            </w:r>
          </w:p>
        </w:tc>
        <w:tc>
          <w:tcPr>
            <w:tcW w:w="8647" w:type="dxa"/>
          </w:tcPr>
          <w:p w14:paraId="2C8FB728" w14:textId="7BD002CE" w:rsidR="00F2409E" w:rsidRDefault="00F2409E" w:rsidP="00F2409E">
            <w:pPr>
              <w:jc w:val="both"/>
              <w:rPr>
                <w:rFonts w:ascii="Arial" w:hAnsi="Arial" w:cs="Arial"/>
                <w:szCs w:val="24"/>
              </w:rPr>
            </w:pPr>
            <w:r w:rsidRPr="00F2409E">
              <w:rPr>
                <w:rFonts w:ascii="Arial" w:hAnsi="Arial" w:cs="Arial"/>
                <w:szCs w:val="24"/>
              </w:rPr>
              <w:t xml:space="preserve">The three options are compared against the benefits and implications listed in paragraph </w:t>
            </w:r>
            <w:r w:rsidR="00A965B4">
              <w:rPr>
                <w:rFonts w:ascii="Arial" w:hAnsi="Arial" w:cs="Arial"/>
                <w:szCs w:val="24"/>
              </w:rPr>
              <w:t>5</w:t>
            </w:r>
            <w:r w:rsidRPr="00F2409E">
              <w:rPr>
                <w:rFonts w:ascii="Arial" w:hAnsi="Arial" w:cs="Arial"/>
                <w:szCs w:val="24"/>
              </w:rPr>
              <w:t xml:space="preserve">.1 and then scored in the table in </w:t>
            </w:r>
            <w:r w:rsidRPr="00A965B4">
              <w:rPr>
                <w:rFonts w:ascii="Arial" w:hAnsi="Arial" w:cs="Arial"/>
                <w:szCs w:val="24"/>
              </w:rPr>
              <w:t xml:space="preserve">paragraph </w:t>
            </w:r>
            <w:r w:rsidR="00A965B4" w:rsidRPr="00A965B4">
              <w:rPr>
                <w:rFonts w:ascii="Arial" w:hAnsi="Arial" w:cs="Arial"/>
                <w:szCs w:val="24"/>
              </w:rPr>
              <w:t>5.5</w:t>
            </w:r>
            <w:r w:rsidR="005F3DE5" w:rsidRPr="00A965B4">
              <w:rPr>
                <w:rFonts w:ascii="Arial" w:hAnsi="Arial" w:cs="Arial"/>
                <w:szCs w:val="24"/>
              </w:rPr>
              <w:t xml:space="preserve"> below</w:t>
            </w:r>
            <w:r w:rsidRPr="00F2409E">
              <w:rPr>
                <w:rFonts w:ascii="Arial" w:hAnsi="Arial" w:cs="Arial"/>
                <w:szCs w:val="24"/>
              </w:rPr>
              <w:t xml:space="preserve">. </w:t>
            </w:r>
            <w:r w:rsidR="00227FB0">
              <w:rPr>
                <w:rFonts w:ascii="Arial" w:hAnsi="Arial" w:cs="Arial"/>
                <w:szCs w:val="24"/>
              </w:rPr>
              <w:t xml:space="preserve">The following scoring </w:t>
            </w:r>
            <w:r w:rsidRPr="00F2409E">
              <w:rPr>
                <w:rFonts w:ascii="Arial" w:hAnsi="Arial" w:cs="Arial"/>
                <w:szCs w:val="24"/>
              </w:rPr>
              <w:t>scale has been used:</w:t>
            </w:r>
          </w:p>
          <w:p w14:paraId="0738BA1E" w14:textId="77777777" w:rsidR="00A747FF" w:rsidRPr="00F2409E" w:rsidRDefault="00A747FF" w:rsidP="00F2409E">
            <w:pPr>
              <w:jc w:val="both"/>
              <w:rPr>
                <w:rFonts w:ascii="Arial" w:hAnsi="Arial" w:cs="Arial"/>
                <w:szCs w:val="24"/>
              </w:rPr>
            </w:pPr>
          </w:p>
          <w:p w14:paraId="65E9C3C4" w14:textId="36CB62A9" w:rsidR="00F2409E" w:rsidRPr="00F2409E" w:rsidRDefault="005F3DE5" w:rsidP="00A747FF">
            <w:pPr>
              <w:pStyle w:val="ListParagraph"/>
              <w:numPr>
                <w:ilvl w:val="0"/>
                <w:numId w:val="13"/>
              </w:numPr>
              <w:spacing w:line="240" w:lineRule="auto"/>
              <w:ind w:left="714" w:hanging="357"/>
              <w:jc w:val="both"/>
              <w:rPr>
                <w:rFonts w:ascii="Arial" w:hAnsi="Arial" w:cs="Arial"/>
                <w:sz w:val="24"/>
                <w:szCs w:val="24"/>
              </w:rPr>
            </w:pPr>
            <w:r>
              <w:rPr>
                <w:rFonts w:ascii="Arial" w:hAnsi="Arial" w:cs="Arial"/>
                <w:sz w:val="24"/>
                <w:szCs w:val="24"/>
              </w:rPr>
              <w:t>1</w:t>
            </w:r>
            <w:r w:rsidR="00F2409E" w:rsidRPr="00F2409E">
              <w:rPr>
                <w:rFonts w:ascii="Arial" w:hAnsi="Arial" w:cs="Arial"/>
                <w:sz w:val="24"/>
                <w:szCs w:val="24"/>
              </w:rPr>
              <w:t xml:space="preserve"> </w:t>
            </w:r>
            <w:proofErr w:type="gramStart"/>
            <w:r w:rsidR="00F2409E" w:rsidRPr="00F2409E">
              <w:rPr>
                <w:rFonts w:ascii="Arial" w:hAnsi="Arial" w:cs="Arial"/>
                <w:sz w:val="24"/>
                <w:szCs w:val="24"/>
              </w:rPr>
              <w:t xml:space="preserve">is </w:t>
            </w:r>
            <w:r>
              <w:rPr>
                <w:rFonts w:ascii="Arial" w:hAnsi="Arial" w:cs="Arial"/>
                <w:sz w:val="24"/>
                <w:szCs w:val="24"/>
              </w:rPr>
              <w:t>considered to be</w:t>
            </w:r>
            <w:proofErr w:type="gramEnd"/>
            <w:r>
              <w:rPr>
                <w:rFonts w:ascii="Arial" w:hAnsi="Arial" w:cs="Arial"/>
                <w:sz w:val="24"/>
                <w:szCs w:val="24"/>
              </w:rPr>
              <w:t xml:space="preserve"> </w:t>
            </w:r>
            <w:r w:rsidR="00227FB0">
              <w:rPr>
                <w:rFonts w:ascii="Arial" w:hAnsi="Arial" w:cs="Arial"/>
                <w:sz w:val="24"/>
                <w:szCs w:val="24"/>
              </w:rPr>
              <w:t>worse</w:t>
            </w:r>
            <w:r w:rsidR="00F2409E" w:rsidRPr="00F2409E">
              <w:rPr>
                <w:rFonts w:ascii="Arial" w:hAnsi="Arial" w:cs="Arial"/>
                <w:sz w:val="24"/>
                <w:szCs w:val="24"/>
              </w:rPr>
              <w:t xml:space="preserve"> than the current model; </w:t>
            </w:r>
          </w:p>
          <w:p w14:paraId="74819709" w14:textId="07C0EE27" w:rsidR="00F2409E" w:rsidRPr="00F2409E" w:rsidRDefault="005F3DE5" w:rsidP="00A747FF">
            <w:pPr>
              <w:pStyle w:val="ListParagraph"/>
              <w:numPr>
                <w:ilvl w:val="0"/>
                <w:numId w:val="13"/>
              </w:numPr>
              <w:spacing w:line="240" w:lineRule="auto"/>
              <w:ind w:left="714" w:hanging="357"/>
              <w:jc w:val="both"/>
              <w:rPr>
                <w:rFonts w:ascii="Arial" w:hAnsi="Arial" w:cs="Arial"/>
                <w:sz w:val="24"/>
                <w:szCs w:val="24"/>
              </w:rPr>
            </w:pPr>
            <w:r>
              <w:rPr>
                <w:rFonts w:ascii="Arial" w:hAnsi="Arial" w:cs="Arial"/>
                <w:sz w:val="24"/>
                <w:szCs w:val="24"/>
              </w:rPr>
              <w:t>2</w:t>
            </w:r>
            <w:r w:rsidR="00F2409E" w:rsidRPr="00F2409E">
              <w:rPr>
                <w:rFonts w:ascii="Arial" w:hAnsi="Arial" w:cs="Arial"/>
                <w:sz w:val="24"/>
                <w:szCs w:val="24"/>
              </w:rPr>
              <w:t xml:space="preserve"> is equal to the current model; </w:t>
            </w:r>
            <w:r w:rsidR="00782CC4">
              <w:rPr>
                <w:rFonts w:ascii="Arial" w:hAnsi="Arial" w:cs="Arial"/>
                <w:sz w:val="24"/>
                <w:szCs w:val="24"/>
              </w:rPr>
              <w:t>and</w:t>
            </w:r>
          </w:p>
          <w:p w14:paraId="6F64366F" w14:textId="38169505" w:rsidR="00F2409E" w:rsidRPr="00782CC4" w:rsidRDefault="005F3DE5" w:rsidP="00782CC4">
            <w:pPr>
              <w:pStyle w:val="ListParagraph"/>
              <w:numPr>
                <w:ilvl w:val="0"/>
                <w:numId w:val="13"/>
              </w:numPr>
              <w:spacing w:line="240" w:lineRule="auto"/>
              <w:ind w:left="714" w:hanging="357"/>
              <w:jc w:val="both"/>
              <w:rPr>
                <w:rFonts w:ascii="Arial" w:hAnsi="Arial" w:cs="Arial"/>
                <w:sz w:val="24"/>
                <w:szCs w:val="24"/>
              </w:rPr>
            </w:pPr>
            <w:r>
              <w:rPr>
                <w:rFonts w:ascii="Arial" w:hAnsi="Arial" w:cs="Arial"/>
                <w:sz w:val="24"/>
                <w:szCs w:val="24"/>
              </w:rPr>
              <w:t>3</w:t>
            </w:r>
            <w:r w:rsidR="00F2409E" w:rsidRPr="00F2409E">
              <w:rPr>
                <w:rFonts w:ascii="Arial" w:hAnsi="Arial" w:cs="Arial"/>
                <w:sz w:val="24"/>
                <w:szCs w:val="24"/>
              </w:rPr>
              <w:t xml:space="preserve"> </w:t>
            </w:r>
            <w:r w:rsidR="00A965B4">
              <w:rPr>
                <w:rFonts w:ascii="Arial" w:hAnsi="Arial" w:cs="Arial"/>
                <w:sz w:val="24"/>
                <w:szCs w:val="24"/>
              </w:rPr>
              <w:t xml:space="preserve">is </w:t>
            </w:r>
            <w:r w:rsidR="00F2409E" w:rsidRPr="00F2409E">
              <w:rPr>
                <w:rFonts w:ascii="Arial" w:hAnsi="Arial" w:cs="Arial"/>
                <w:sz w:val="24"/>
                <w:szCs w:val="24"/>
              </w:rPr>
              <w:t>an improvement on the current model</w:t>
            </w:r>
            <w:r w:rsidR="00D37320">
              <w:rPr>
                <w:rFonts w:ascii="Arial" w:hAnsi="Arial" w:cs="Arial"/>
                <w:sz w:val="24"/>
                <w:szCs w:val="24"/>
              </w:rPr>
              <w:t>.</w:t>
            </w:r>
          </w:p>
        </w:tc>
      </w:tr>
      <w:tr w:rsidR="00F2409E" w:rsidRPr="00F2409E" w14:paraId="478F57F4" w14:textId="77777777" w:rsidTr="005C3235">
        <w:tc>
          <w:tcPr>
            <w:tcW w:w="817" w:type="dxa"/>
          </w:tcPr>
          <w:p w14:paraId="0C8696FD" w14:textId="008AED26" w:rsidR="00F2409E" w:rsidRPr="00F2409E" w:rsidRDefault="005F3DE5" w:rsidP="00F2409E">
            <w:pPr>
              <w:rPr>
                <w:rFonts w:ascii="Arial" w:hAnsi="Arial" w:cs="Arial"/>
                <w:szCs w:val="24"/>
              </w:rPr>
            </w:pPr>
            <w:r>
              <w:rPr>
                <w:rFonts w:ascii="Arial" w:hAnsi="Arial" w:cs="Arial"/>
                <w:szCs w:val="24"/>
              </w:rPr>
              <w:t>5.2</w:t>
            </w:r>
          </w:p>
        </w:tc>
        <w:tc>
          <w:tcPr>
            <w:tcW w:w="8647" w:type="dxa"/>
          </w:tcPr>
          <w:p w14:paraId="7B56094F" w14:textId="1717842A" w:rsidR="00F2409E" w:rsidRDefault="00F2409E" w:rsidP="00A747FF">
            <w:pPr>
              <w:jc w:val="both"/>
              <w:rPr>
                <w:rFonts w:ascii="Arial" w:hAnsi="Arial" w:cs="Arial"/>
                <w:szCs w:val="24"/>
              </w:rPr>
            </w:pPr>
            <w:r w:rsidRPr="00F2409E">
              <w:rPr>
                <w:rFonts w:ascii="Arial" w:hAnsi="Arial" w:cs="Arial"/>
                <w:b/>
                <w:bCs/>
                <w:szCs w:val="24"/>
              </w:rPr>
              <w:t xml:space="preserve">Social/health benefits </w:t>
            </w:r>
            <w:r w:rsidRPr="00F2409E">
              <w:rPr>
                <w:rFonts w:ascii="Arial" w:hAnsi="Arial" w:cs="Arial"/>
                <w:szCs w:val="24"/>
              </w:rPr>
              <w:t xml:space="preserve">– all three options are good in terms of their health and social benefits with </w:t>
            </w:r>
            <w:r w:rsidR="00833874">
              <w:rPr>
                <w:rFonts w:ascii="Arial" w:hAnsi="Arial" w:cs="Arial"/>
                <w:szCs w:val="24"/>
              </w:rPr>
              <w:t xml:space="preserve">the options of </w:t>
            </w:r>
            <w:r w:rsidRPr="00F2409E">
              <w:rPr>
                <w:rFonts w:ascii="Arial" w:hAnsi="Arial" w:cs="Arial"/>
                <w:szCs w:val="24"/>
              </w:rPr>
              <w:t xml:space="preserve">removing the charge and introducing a subscription </w:t>
            </w:r>
            <w:r w:rsidR="00833874">
              <w:rPr>
                <w:rFonts w:ascii="Arial" w:hAnsi="Arial" w:cs="Arial"/>
                <w:szCs w:val="24"/>
              </w:rPr>
              <w:t xml:space="preserve">both </w:t>
            </w:r>
            <w:r w:rsidRPr="00F2409E">
              <w:rPr>
                <w:rFonts w:ascii="Arial" w:hAnsi="Arial" w:cs="Arial"/>
                <w:szCs w:val="24"/>
              </w:rPr>
              <w:t xml:space="preserve">potentially increasing participation. </w:t>
            </w:r>
          </w:p>
          <w:p w14:paraId="00E95DD2" w14:textId="77777777" w:rsidR="00A747FF" w:rsidRPr="00F2409E" w:rsidRDefault="00A747FF" w:rsidP="00A747FF">
            <w:pPr>
              <w:jc w:val="both"/>
              <w:rPr>
                <w:rFonts w:ascii="Arial" w:hAnsi="Arial" w:cs="Arial"/>
                <w:szCs w:val="24"/>
              </w:rPr>
            </w:pPr>
          </w:p>
          <w:p w14:paraId="0815E2A9" w14:textId="71ABA031" w:rsidR="00F2409E" w:rsidRPr="00F2409E" w:rsidRDefault="00F2409E" w:rsidP="00A747FF">
            <w:pPr>
              <w:pStyle w:val="ListParagraph"/>
              <w:numPr>
                <w:ilvl w:val="0"/>
                <w:numId w:val="15"/>
              </w:numPr>
              <w:spacing w:line="240" w:lineRule="auto"/>
              <w:jc w:val="both"/>
              <w:rPr>
                <w:rFonts w:ascii="Arial" w:hAnsi="Arial" w:cs="Arial"/>
                <w:sz w:val="24"/>
                <w:szCs w:val="24"/>
              </w:rPr>
            </w:pPr>
            <w:r w:rsidRPr="00F2409E">
              <w:rPr>
                <w:rFonts w:ascii="Arial" w:hAnsi="Arial" w:cs="Arial"/>
                <w:sz w:val="24"/>
                <w:szCs w:val="24"/>
              </w:rPr>
              <w:t>Removing the charge could undermine the value of the service so it has been scored as at 3 as a</w:t>
            </w:r>
            <w:r w:rsidR="005F3DE5">
              <w:rPr>
                <w:rFonts w:ascii="Arial" w:hAnsi="Arial" w:cs="Arial"/>
                <w:sz w:val="24"/>
                <w:szCs w:val="24"/>
              </w:rPr>
              <w:t xml:space="preserve">n improvement rather than significant improvement </w:t>
            </w:r>
            <w:r w:rsidRPr="00F2409E">
              <w:rPr>
                <w:rFonts w:ascii="Arial" w:hAnsi="Arial" w:cs="Arial"/>
                <w:sz w:val="24"/>
                <w:szCs w:val="24"/>
              </w:rPr>
              <w:t>on the current model.</w:t>
            </w:r>
          </w:p>
          <w:p w14:paraId="47716907" w14:textId="77777777" w:rsidR="00F2409E" w:rsidRDefault="00F2409E" w:rsidP="00A747FF">
            <w:pPr>
              <w:pStyle w:val="ListParagraph"/>
              <w:numPr>
                <w:ilvl w:val="0"/>
                <w:numId w:val="15"/>
              </w:numPr>
              <w:spacing w:line="240" w:lineRule="auto"/>
              <w:jc w:val="both"/>
              <w:rPr>
                <w:rFonts w:ascii="Arial" w:hAnsi="Arial" w:cs="Arial"/>
                <w:sz w:val="24"/>
                <w:szCs w:val="24"/>
              </w:rPr>
            </w:pPr>
            <w:r w:rsidRPr="00F2409E">
              <w:rPr>
                <w:rFonts w:ascii="Arial" w:hAnsi="Arial" w:cs="Arial"/>
                <w:sz w:val="24"/>
                <w:szCs w:val="24"/>
              </w:rPr>
              <w:t>the addition of a subscription model while retaining the 50p PAYG option (</w:t>
            </w:r>
            <w:proofErr w:type="gramStart"/>
            <w:r w:rsidRPr="00F2409E">
              <w:rPr>
                <w:rFonts w:ascii="Arial" w:hAnsi="Arial" w:cs="Arial"/>
                <w:sz w:val="24"/>
                <w:szCs w:val="24"/>
              </w:rPr>
              <w:t>as long as</w:t>
            </w:r>
            <w:proofErr w:type="gramEnd"/>
            <w:r w:rsidRPr="00F2409E">
              <w:rPr>
                <w:rFonts w:ascii="Arial" w:hAnsi="Arial" w:cs="Arial"/>
                <w:sz w:val="24"/>
                <w:szCs w:val="24"/>
              </w:rPr>
              <w:t xml:space="preserve"> </w:t>
            </w:r>
            <w:r w:rsidR="00FD7948">
              <w:rPr>
                <w:rFonts w:ascii="Arial" w:hAnsi="Arial" w:cs="Arial"/>
                <w:sz w:val="24"/>
                <w:szCs w:val="24"/>
              </w:rPr>
              <w:t>it is set at the correct price</w:t>
            </w:r>
            <w:r w:rsidRPr="00F2409E">
              <w:rPr>
                <w:rFonts w:ascii="Arial" w:hAnsi="Arial" w:cs="Arial"/>
                <w:sz w:val="24"/>
                <w:szCs w:val="24"/>
              </w:rPr>
              <w:t>) could increase participation while at the same time avoiding the risk of devaluing it</w:t>
            </w:r>
            <w:r w:rsidR="00782CC4">
              <w:rPr>
                <w:rFonts w:ascii="Arial" w:hAnsi="Arial" w:cs="Arial"/>
                <w:sz w:val="24"/>
                <w:szCs w:val="24"/>
              </w:rPr>
              <w:t>. This has been scored 2 because it is unlikely to have the same social benefits as removing the charge</w:t>
            </w:r>
            <w:r w:rsidRPr="00F2409E">
              <w:rPr>
                <w:rFonts w:ascii="Arial" w:hAnsi="Arial" w:cs="Arial"/>
                <w:sz w:val="24"/>
                <w:szCs w:val="24"/>
              </w:rPr>
              <w:t xml:space="preserve">. </w:t>
            </w:r>
          </w:p>
          <w:p w14:paraId="445E7095" w14:textId="77777777" w:rsidR="000E1A50" w:rsidRDefault="000E1A50" w:rsidP="000E1A50">
            <w:pPr>
              <w:jc w:val="both"/>
              <w:rPr>
                <w:rFonts w:ascii="Arial" w:hAnsi="Arial" w:cs="Arial"/>
                <w:szCs w:val="24"/>
              </w:rPr>
            </w:pPr>
          </w:p>
          <w:p w14:paraId="285E5FD6" w14:textId="371539FD" w:rsidR="000E1A50" w:rsidRPr="000E1A50" w:rsidRDefault="000E1A50" w:rsidP="000E1A50">
            <w:pPr>
              <w:jc w:val="both"/>
              <w:rPr>
                <w:rFonts w:ascii="Arial" w:hAnsi="Arial" w:cs="Arial"/>
                <w:szCs w:val="24"/>
              </w:rPr>
            </w:pPr>
          </w:p>
        </w:tc>
      </w:tr>
      <w:tr w:rsidR="00F2409E" w:rsidRPr="00F2409E" w14:paraId="1C827E40" w14:textId="77777777" w:rsidTr="00555464">
        <w:tc>
          <w:tcPr>
            <w:tcW w:w="817" w:type="dxa"/>
          </w:tcPr>
          <w:p w14:paraId="6C8B1361" w14:textId="5BF4C06C" w:rsidR="00F2409E" w:rsidRPr="00F2409E" w:rsidRDefault="005F3DE5" w:rsidP="00F2409E">
            <w:pPr>
              <w:rPr>
                <w:rFonts w:ascii="Arial" w:hAnsi="Arial" w:cs="Arial"/>
                <w:szCs w:val="24"/>
              </w:rPr>
            </w:pPr>
            <w:r>
              <w:rPr>
                <w:rFonts w:ascii="Arial" w:hAnsi="Arial" w:cs="Arial"/>
                <w:szCs w:val="24"/>
              </w:rPr>
              <w:lastRenderedPageBreak/>
              <w:t>5.3</w:t>
            </w:r>
          </w:p>
        </w:tc>
        <w:tc>
          <w:tcPr>
            <w:tcW w:w="8647" w:type="dxa"/>
          </w:tcPr>
          <w:p w14:paraId="4CAB5906" w14:textId="77777777" w:rsidR="00F2409E" w:rsidRPr="00F2409E" w:rsidRDefault="00F2409E" w:rsidP="00F2409E">
            <w:pPr>
              <w:jc w:val="both"/>
              <w:rPr>
                <w:rFonts w:ascii="Arial" w:hAnsi="Arial" w:cs="Arial"/>
                <w:szCs w:val="24"/>
              </w:rPr>
            </w:pPr>
            <w:r w:rsidRPr="00F2409E">
              <w:rPr>
                <w:rFonts w:ascii="Arial" w:hAnsi="Arial" w:cs="Arial"/>
                <w:b/>
                <w:bCs/>
                <w:szCs w:val="24"/>
              </w:rPr>
              <w:t>Financial Implications</w:t>
            </w:r>
            <w:r w:rsidRPr="00F2409E">
              <w:rPr>
                <w:rFonts w:ascii="Arial" w:hAnsi="Arial" w:cs="Arial"/>
                <w:szCs w:val="24"/>
              </w:rPr>
              <w:t xml:space="preserve"> – the current option generates £60-£70K in a normal year. </w:t>
            </w:r>
          </w:p>
          <w:p w14:paraId="29BB4A89" w14:textId="16EEB029" w:rsidR="00F2409E" w:rsidRPr="00F2409E" w:rsidRDefault="00F2409E" w:rsidP="00A747FF">
            <w:pPr>
              <w:pStyle w:val="ListParagraph"/>
              <w:numPr>
                <w:ilvl w:val="0"/>
                <w:numId w:val="16"/>
              </w:numPr>
              <w:spacing w:line="240" w:lineRule="auto"/>
              <w:ind w:left="714" w:hanging="357"/>
              <w:jc w:val="both"/>
              <w:rPr>
                <w:rFonts w:ascii="Arial" w:hAnsi="Arial" w:cs="Arial"/>
                <w:sz w:val="24"/>
                <w:szCs w:val="24"/>
              </w:rPr>
            </w:pPr>
            <w:r w:rsidRPr="00F2409E">
              <w:rPr>
                <w:rFonts w:ascii="Arial" w:hAnsi="Arial" w:cs="Arial"/>
                <w:sz w:val="24"/>
                <w:szCs w:val="24"/>
              </w:rPr>
              <w:t xml:space="preserve">Removal of the charge will have a negative impact </w:t>
            </w:r>
            <w:r w:rsidR="005F3DE5">
              <w:rPr>
                <w:rFonts w:ascii="Arial" w:hAnsi="Arial" w:cs="Arial"/>
                <w:sz w:val="24"/>
                <w:szCs w:val="24"/>
              </w:rPr>
              <w:t xml:space="preserve">on HLH’s budget </w:t>
            </w:r>
            <w:r w:rsidRPr="00F2409E">
              <w:rPr>
                <w:rFonts w:ascii="Arial" w:hAnsi="Arial" w:cs="Arial"/>
                <w:sz w:val="24"/>
                <w:szCs w:val="24"/>
              </w:rPr>
              <w:t xml:space="preserve">and has been scored 1. </w:t>
            </w:r>
          </w:p>
          <w:p w14:paraId="2E7368A6" w14:textId="41244D76" w:rsidR="00F2409E" w:rsidRPr="00A747FF" w:rsidRDefault="005F3DE5" w:rsidP="00F2409E">
            <w:pPr>
              <w:pStyle w:val="ListParagraph"/>
              <w:numPr>
                <w:ilvl w:val="0"/>
                <w:numId w:val="16"/>
              </w:numPr>
              <w:spacing w:line="240" w:lineRule="auto"/>
              <w:ind w:left="714" w:hanging="357"/>
              <w:jc w:val="both"/>
              <w:rPr>
                <w:rFonts w:ascii="Arial" w:hAnsi="Arial" w:cs="Arial"/>
                <w:sz w:val="24"/>
                <w:szCs w:val="24"/>
              </w:rPr>
            </w:pPr>
            <w:r>
              <w:rPr>
                <w:rFonts w:ascii="Arial" w:hAnsi="Arial" w:cs="Arial"/>
                <w:sz w:val="24"/>
                <w:szCs w:val="24"/>
              </w:rPr>
              <w:t>M</w:t>
            </w:r>
            <w:r w:rsidR="00F2409E" w:rsidRPr="00F2409E">
              <w:rPr>
                <w:rFonts w:ascii="Arial" w:hAnsi="Arial" w:cs="Arial"/>
                <w:sz w:val="24"/>
                <w:szCs w:val="24"/>
              </w:rPr>
              <w:t xml:space="preserve">aintaining the current model and introducing a subscription </w:t>
            </w:r>
            <w:r w:rsidR="00782CC4">
              <w:rPr>
                <w:rFonts w:ascii="Arial" w:hAnsi="Arial" w:cs="Arial"/>
                <w:sz w:val="24"/>
                <w:szCs w:val="24"/>
              </w:rPr>
              <w:t>has been scored 3 because, d</w:t>
            </w:r>
            <w:r w:rsidR="00F2409E" w:rsidRPr="00F2409E">
              <w:rPr>
                <w:rFonts w:ascii="Arial" w:hAnsi="Arial" w:cs="Arial"/>
                <w:sz w:val="24"/>
                <w:szCs w:val="24"/>
              </w:rPr>
              <w:t xml:space="preserve">ependant on the price-point the addition of a subscription </w:t>
            </w:r>
            <w:r>
              <w:rPr>
                <w:rFonts w:ascii="Arial" w:hAnsi="Arial" w:cs="Arial"/>
                <w:sz w:val="24"/>
                <w:szCs w:val="24"/>
              </w:rPr>
              <w:t xml:space="preserve">as a payment </w:t>
            </w:r>
            <w:r w:rsidR="00F2409E" w:rsidRPr="00F2409E">
              <w:rPr>
                <w:rFonts w:ascii="Arial" w:hAnsi="Arial" w:cs="Arial"/>
                <w:sz w:val="24"/>
                <w:szCs w:val="24"/>
              </w:rPr>
              <w:t xml:space="preserve">option could generate additional income for HLH. If too high a price is charged HLH could be seen to be profiteering from a disadvantaged customer </w:t>
            </w:r>
            <w:proofErr w:type="gramStart"/>
            <w:r w:rsidR="00F2409E" w:rsidRPr="00F2409E">
              <w:rPr>
                <w:rFonts w:ascii="Arial" w:hAnsi="Arial" w:cs="Arial"/>
                <w:sz w:val="24"/>
                <w:szCs w:val="24"/>
              </w:rPr>
              <w:t>group</w:t>
            </w:r>
            <w:proofErr w:type="gramEnd"/>
            <w:r w:rsidR="00F2409E" w:rsidRPr="00F2409E">
              <w:rPr>
                <w:rFonts w:ascii="Arial" w:hAnsi="Arial" w:cs="Arial"/>
                <w:sz w:val="24"/>
                <w:szCs w:val="24"/>
              </w:rPr>
              <w:t xml:space="preserve"> but this is mitigated by maintaining the fifty pence pay as you go option. </w:t>
            </w:r>
          </w:p>
        </w:tc>
      </w:tr>
      <w:tr w:rsidR="00F2409E" w:rsidRPr="00F2409E" w14:paraId="582D0833" w14:textId="77777777" w:rsidTr="00555464">
        <w:tc>
          <w:tcPr>
            <w:tcW w:w="817" w:type="dxa"/>
          </w:tcPr>
          <w:p w14:paraId="6A37B940" w14:textId="02390A53" w:rsidR="00F2409E" w:rsidRPr="00F2409E" w:rsidRDefault="005F3DE5" w:rsidP="00F2409E">
            <w:pPr>
              <w:rPr>
                <w:rFonts w:ascii="Arial" w:hAnsi="Arial" w:cs="Arial"/>
                <w:szCs w:val="24"/>
              </w:rPr>
            </w:pPr>
            <w:r>
              <w:rPr>
                <w:rFonts w:ascii="Arial" w:hAnsi="Arial" w:cs="Arial"/>
                <w:szCs w:val="24"/>
              </w:rPr>
              <w:t>5.4</w:t>
            </w:r>
          </w:p>
        </w:tc>
        <w:tc>
          <w:tcPr>
            <w:tcW w:w="8647" w:type="dxa"/>
          </w:tcPr>
          <w:p w14:paraId="3F22CBA1" w14:textId="2ADCC3EA" w:rsidR="00F2409E" w:rsidRDefault="00F2409E" w:rsidP="00F2409E">
            <w:pPr>
              <w:jc w:val="both"/>
              <w:rPr>
                <w:rFonts w:ascii="Arial" w:hAnsi="Arial" w:cs="Arial"/>
                <w:szCs w:val="24"/>
              </w:rPr>
            </w:pPr>
            <w:r w:rsidRPr="00F2409E">
              <w:rPr>
                <w:rFonts w:ascii="Arial" w:hAnsi="Arial" w:cs="Arial"/>
                <w:b/>
                <w:bCs/>
                <w:szCs w:val="24"/>
              </w:rPr>
              <w:t>Reputational Implications</w:t>
            </w:r>
            <w:r w:rsidRPr="00F2409E">
              <w:rPr>
                <w:rFonts w:ascii="Arial" w:hAnsi="Arial" w:cs="Arial"/>
                <w:szCs w:val="24"/>
              </w:rPr>
              <w:t xml:space="preserve"> – the budget scheme is already the cheapest in the country and HLH has a good track record of being able to balance social and financial objectives. </w:t>
            </w:r>
          </w:p>
          <w:p w14:paraId="7254A05A" w14:textId="77777777" w:rsidR="00A747FF" w:rsidRPr="00F2409E" w:rsidRDefault="00A747FF" w:rsidP="00F2409E">
            <w:pPr>
              <w:jc w:val="both"/>
              <w:rPr>
                <w:rFonts w:ascii="Arial" w:hAnsi="Arial" w:cs="Arial"/>
                <w:szCs w:val="24"/>
              </w:rPr>
            </w:pPr>
          </w:p>
          <w:p w14:paraId="5E0F0B33" w14:textId="0B5CF5F3" w:rsidR="00F2409E" w:rsidRPr="00F2409E" w:rsidRDefault="00F2409E" w:rsidP="00A747FF">
            <w:pPr>
              <w:pStyle w:val="ListParagraph"/>
              <w:numPr>
                <w:ilvl w:val="0"/>
                <w:numId w:val="14"/>
              </w:numPr>
              <w:spacing w:line="240" w:lineRule="auto"/>
              <w:ind w:left="714" w:hanging="357"/>
              <w:jc w:val="both"/>
              <w:rPr>
                <w:rFonts w:ascii="Arial" w:hAnsi="Arial" w:cs="Arial"/>
                <w:sz w:val="24"/>
                <w:szCs w:val="24"/>
              </w:rPr>
            </w:pPr>
            <w:r w:rsidRPr="00F2409E">
              <w:rPr>
                <w:rFonts w:ascii="Arial" w:hAnsi="Arial" w:cs="Arial"/>
                <w:sz w:val="24"/>
                <w:szCs w:val="24"/>
              </w:rPr>
              <w:t xml:space="preserve">Removing the charge </w:t>
            </w:r>
            <w:r w:rsidR="00FF01EE">
              <w:rPr>
                <w:rFonts w:ascii="Arial" w:hAnsi="Arial" w:cs="Arial"/>
                <w:sz w:val="24"/>
                <w:szCs w:val="24"/>
              </w:rPr>
              <w:t>c</w:t>
            </w:r>
            <w:r w:rsidRPr="00F2409E">
              <w:rPr>
                <w:rFonts w:ascii="Arial" w:hAnsi="Arial" w:cs="Arial"/>
                <w:sz w:val="24"/>
                <w:szCs w:val="24"/>
              </w:rPr>
              <w:t xml:space="preserve">ould be positive in terms of </w:t>
            </w:r>
            <w:r w:rsidR="005F3DE5">
              <w:rPr>
                <w:rFonts w:ascii="Arial" w:hAnsi="Arial" w:cs="Arial"/>
                <w:sz w:val="24"/>
                <w:szCs w:val="24"/>
              </w:rPr>
              <w:t xml:space="preserve">improving support to </w:t>
            </w:r>
            <w:r w:rsidRPr="00F2409E">
              <w:rPr>
                <w:rFonts w:ascii="Arial" w:hAnsi="Arial" w:cs="Arial"/>
                <w:sz w:val="24"/>
                <w:szCs w:val="24"/>
              </w:rPr>
              <w:t xml:space="preserve">some of the most disadvantaged people in </w:t>
            </w:r>
            <w:r w:rsidR="005F3DE5">
              <w:rPr>
                <w:rFonts w:ascii="Arial" w:hAnsi="Arial" w:cs="Arial"/>
                <w:sz w:val="24"/>
                <w:szCs w:val="24"/>
              </w:rPr>
              <w:t>Highland</w:t>
            </w:r>
            <w:r w:rsidRPr="00F2409E">
              <w:rPr>
                <w:rFonts w:ascii="Arial" w:hAnsi="Arial" w:cs="Arial"/>
                <w:sz w:val="24"/>
                <w:szCs w:val="24"/>
              </w:rPr>
              <w:t xml:space="preserve"> communities</w:t>
            </w:r>
            <w:r w:rsidR="00FF01EE">
              <w:rPr>
                <w:rFonts w:ascii="Arial" w:hAnsi="Arial" w:cs="Arial"/>
                <w:sz w:val="24"/>
                <w:szCs w:val="24"/>
              </w:rPr>
              <w:t>.</w:t>
            </w:r>
            <w:r w:rsidRPr="00F2409E">
              <w:rPr>
                <w:rFonts w:ascii="Arial" w:hAnsi="Arial" w:cs="Arial"/>
                <w:sz w:val="24"/>
                <w:szCs w:val="24"/>
              </w:rPr>
              <w:t xml:space="preserve"> </w:t>
            </w:r>
            <w:r w:rsidR="00FF01EE">
              <w:rPr>
                <w:rFonts w:ascii="Arial" w:hAnsi="Arial" w:cs="Arial"/>
                <w:sz w:val="24"/>
                <w:szCs w:val="24"/>
              </w:rPr>
              <w:t>H</w:t>
            </w:r>
            <w:r w:rsidRPr="00F2409E">
              <w:rPr>
                <w:rFonts w:ascii="Arial" w:hAnsi="Arial" w:cs="Arial"/>
                <w:sz w:val="24"/>
                <w:szCs w:val="24"/>
              </w:rPr>
              <w:t xml:space="preserve">owever, removing a charge at a time when HLH is receiving additional support while recovering from the impact of the pandemic </w:t>
            </w:r>
            <w:r w:rsidR="00FF01EE">
              <w:rPr>
                <w:rFonts w:ascii="Arial" w:hAnsi="Arial" w:cs="Arial"/>
                <w:sz w:val="24"/>
                <w:szCs w:val="24"/>
              </w:rPr>
              <w:t>would inevitably</w:t>
            </w:r>
            <w:r w:rsidRPr="00F2409E">
              <w:rPr>
                <w:rFonts w:ascii="Arial" w:hAnsi="Arial" w:cs="Arial"/>
                <w:sz w:val="24"/>
                <w:szCs w:val="24"/>
              </w:rPr>
              <w:t xml:space="preserve"> be called into question by the Council and others. Removing the charge temporarily would be very likely to lead to a campaign to maintain free access </w:t>
            </w:r>
            <w:r w:rsidR="00A965B4">
              <w:rPr>
                <w:rFonts w:ascii="Arial" w:hAnsi="Arial" w:cs="Arial"/>
                <w:sz w:val="24"/>
                <w:szCs w:val="24"/>
              </w:rPr>
              <w:t xml:space="preserve">when it is reintroduced </w:t>
            </w:r>
            <w:r w:rsidRPr="00F2409E">
              <w:rPr>
                <w:rFonts w:ascii="Arial" w:hAnsi="Arial" w:cs="Arial"/>
                <w:sz w:val="24"/>
                <w:szCs w:val="24"/>
              </w:rPr>
              <w:t xml:space="preserve">and, therefore negative overall. On balance removal of the charge has, therefore been scored 2. </w:t>
            </w:r>
          </w:p>
          <w:p w14:paraId="76CAABC8" w14:textId="157E6D54" w:rsidR="00F2409E" w:rsidRPr="005F3DE5" w:rsidRDefault="00F2409E" w:rsidP="00A747FF">
            <w:pPr>
              <w:pStyle w:val="ListParagraph"/>
              <w:numPr>
                <w:ilvl w:val="0"/>
                <w:numId w:val="14"/>
              </w:numPr>
              <w:spacing w:line="240" w:lineRule="auto"/>
              <w:ind w:left="714" w:hanging="357"/>
              <w:jc w:val="both"/>
              <w:rPr>
                <w:rFonts w:ascii="Arial" w:hAnsi="Arial" w:cs="Arial"/>
                <w:sz w:val="24"/>
                <w:szCs w:val="24"/>
              </w:rPr>
            </w:pPr>
            <w:r w:rsidRPr="00F2409E">
              <w:rPr>
                <w:rFonts w:ascii="Arial" w:hAnsi="Arial" w:cs="Arial"/>
                <w:sz w:val="24"/>
                <w:szCs w:val="24"/>
              </w:rPr>
              <w:t>Adding a subscription in addition to retaining the 50p PAYG option</w:t>
            </w:r>
            <w:r w:rsidR="005F3DE5">
              <w:rPr>
                <w:rFonts w:ascii="Arial" w:hAnsi="Arial" w:cs="Arial"/>
                <w:sz w:val="24"/>
                <w:szCs w:val="24"/>
              </w:rPr>
              <w:t xml:space="preserve"> (</w:t>
            </w:r>
            <w:r w:rsidR="00FD7948" w:rsidRPr="00F2409E">
              <w:rPr>
                <w:rFonts w:ascii="Arial" w:hAnsi="Arial" w:cs="Arial"/>
                <w:sz w:val="24"/>
                <w:szCs w:val="24"/>
              </w:rPr>
              <w:t xml:space="preserve">as long as </w:t>
            </w:r>
            <w:r w:rsidR="00FD7948">
              <w:rPr>
                <w:rFonts w:ascii="Arial" w:hAnsi="Arial" w:cs="Arial"/>
                <w:sz w:val="24"/>
                <w:szCs w:val="24"/>
              </w:rPr>
              <w:t>it is set at the correct price</w:t>
            </w:r>
            <w:r w:rsidR="005F3DE5">
              <w:rPr>
                <w:rFonts w:ascii="Arial" w:hAnsi="Arial" w:cs="Arial"/>
                <w:sz w:val="24"/>
                <w:szCs w:val="24"/>
              </w:rPr>
              <w:t>)</w:t>
            </w:r>
            <w:r w:rsidRPr="00F2409E">
              <w:rPr>
                <w:rFonts w:ascii="Arial" w:hAnsi="Arial" w:cs="Arial"/>
                <w:sz w:val="24"/>
                <w:szCs w:val="24"/>
              </w:rPr>
              <w:t xml:space="preserve"> would be a positive contribution to supporting </w:t>
            </w:r>
            <w:r w:rsidR="00833874">
              <w:rPr>
                <w:rFonts w:ascii="Arial" w:hAnsi="Arial" w:cs="Arial"/>
                <w:sz w:val="24"/>
                <w:szCs w:val="24"/>
              </w:rPr>
              <w:t xml:space="preserve">people </w:t>
            </w:r>
            <w:r w:rsidRPr="00F2409E">
              <w:rPr>
                <w:rFonts w:ascii="Arial" w:hAnsi="Arial" w:cs="Arial"/>
                <w:sz w:val="24"/>
                <w:szCs w:val="24"/>
              </w:rPr>
              <w:t xml:space="preserve">through the </w:t>
            </w:r>
            <w:proofErr w:type="gramStart"/>
            <w:r w:rsidRPr="00F2409E">
              <w:rPr>
                <w:rFonts w:ascii="Arial" w:hAnsi="Arial" w:cs="Arial"/>
                <w:sz w:val="24"/>
                <w:szCs w:val="24"/>
              </w:rPr>
              <w:t>cost of living</w:t>
            </w:r>
            <w:proofErr w:type="gramEnd"/>
            <w:r w:rsidRPr="00F2409E">
              <w:rPr>
                <w:rFonts w:ascii="Arial" w:hAnsi="Arial" w:cs="Arial"/>
                <w:sz w:val="24"/>
                <w:szCs w:val="24"/>
              </w:rPr>
              <w:t xml:space="preserve"> crisis</w:t>
            </w:r>
            <w:r w:rsidR="005F3DE5">
              <w:rPr>
                <w:rFonts w:ascii="Arial" w:hAnsi="Arial" w:cs="Arial"/>
                <w:sz w:val="24"/>
                <w:szCs w:val="24"/>
              </w:rPr>
              <w:t xml:space="preserve"> and in the long term</w:t>
            </w:r>
            <w:r w:rsidRPr="00F2409E">
              <w:rPr>
                <w:rFonts w:ascii="Arial" w:hAnsi="Arial" w:cs="Arial"/>
                <w:sz w:val="24"/>
                <w:szCs w:val="24"/>
              </w:rPr>
              <w:t xml:space="preserve">. </w:t>
            </w:r>
          </w:p>
        </w:tc>
      </w:tr>
      <w:tr w:rsidR="00F2409E" w:rsidRPr="00F2409E" w14:paraId="4732CF8D" w14:textId="77777777" w:rsidTr="00555464">
        <w:tc>
          <w:tcPr>
            <w:tcW w:w="817" w:type="dxa"/>
          </w:tcPr>
          <w:p w14:paraId="4F4C4C7D" w14:textId="77777777" w:rsidR="00F2409E" w:rsidRDefault="005F3DE5" w:rsidP="00F2409E">
            <w:pPr>
              <w:rPr>
                <w:rFonts w:ascii="Arial" w:hAnsi="Arial" w:cs="Arial"/>
                <w:szCs w:val="24"/>
              </w:rPr>
            </w:pPr>
            <w:r>
              <w:rPr>
                <w:rFonts w:ascii="Arial" w:hAnsi="Arial" w:cs="Arial"/>
                <w:szCs w:val="24"/>
              </w:rPr>
              <w:t>5.5</w:t>
            </w:r>
          </w:p>
          <w:p w14:paraId="740CAF40" w14:textId="77777777" w:rsidR="00A747FF" w:rsidRDefault="00A747FF" w:rsidP="00F2409E">
            <w:pPr>
              <w:rPr>
                <w:rFonts w:ascii="Arial" w:hAnsi="Arial" w:cs="Arial"/>
                <w:szCs w:val="24"/>
              </w:rPr>
            </w:pPr>
          </w:p>
          <w:p w14:paraId="5824DE7A" w14:textId="77777777" w:rsidR="00A747FF" w:rsidRDefault="00A747FF" w:rsidP="00F2409E">
            <w:pPr>
              <w:rPr>
                <w:rFonts w:ascii="Arial" w:hAnsi="Arial" w:cs="Arial"/>
                <w:szCs w:val="24"/>
              </w:rPr>
            </w:pPr>
          </w:p>
          <w:p w14:paraId="2457B248" w14:textId="77777777" w:rsidR="00A747FF" w:rsidRDefault="00A747FF" w:rsidP="00F2409E">
            <w:pPr>
              <w:rPr>
                <w:rFonts w:ascii="Arial" w:hAnsi="Arial" w:cs="Arial"/>
                <w:szCs w:val="24"/>
              </w:rPr>
            </w:pPr>
          </w:p>
          <w:p w14:paraId="0900EFAB" w14:textId="77777777" w:rsidR="00A747FF" w:rsidRDefault="00A747FF" w:rsidP="00F2409E">
            <w:pPr>
              <w:rPr>
                <w:rFonts w:ascii="Arial" w:hAnsi="Arial" w:cs="Arial"/>
                <w:szCs w:val="24"/>
              </w:rPr>
            </w:pPr>
          </w:p>
          <w:p w14:paraId="3B0F3313" w14:textId="77777777" w:rsidR="00A747FF" w:rsidRDefault="00A747FF" w:rsidP="00F2409E">
            <w:pPr>
              <w:rPr>
                <w:rFonts w:ascii="Arial" w:hAnsi="Arial" w:cs="Arial"/>
                <w:szCs w:val="24"/>
              </w:rPr>
            </w:pPr>
          </w:p>
          <w:p w14:paraId="67D96B76" w14:textId="77777777" w:rsidR="00A747FF" w:rsidRDefault="00A747FF" w:rsidP="00F2409E">
            <w:pPr>
              <w:rPr>
                <w:rFonts w:ascii="Arial" w:hAnsi="Arial" w:cs="Arial"/>
                <w:szCs w:val="24"/>
              </w:rPr>
            </w:pPr>
          </w:p>
          <w:p w14:paraId="648749DC" w14:textId="77777777" w:rsidR="00A747FF" w:rsidRDefault="00A747FF" w:rsidP="00F2409E">
            <w:pPr>
              <w:rPr>
                <w:rFonts w:ascii="Arial" w:hAnsi="Arial" w:cs="Arial"/>
                <w:szCs w:val="24"/>
              </w:rPr>
            </w:pPr>
          </w:p>
          <w:p w14:paraId="0DDE296C" w14:textId="77777777" w:rsidR="00A747FF" w:rsidRDefault="00A747FF" w:rsidP="00F2409E">
            <w:pPr>
              <w:rPr>
                <w:rFonts w:ascii="Arial" w:hAnsi="Arial" w:cs="Arial"/>
                <w:szCs w:val="24"/>
              </w:rPr>
            </w:pPr>
          </w:p>
          <w:p w14:paraId="3B6713FD" w14:textId="77777777" w:rsidR="00A747FF" w:rsidRDefault="00A747FF" w:rsidP="00F2409E">
            <w:pPr>
              <w:rPr>
                <w:rFonts w:ascii="Arial" w:hAnsi="Arial" w:cs="Arial"/>
                <w:szCs w:val="24"/>
              </w:rPr>
            </w:pPr>
          </w:p>
          <w:p w14:paraId="7116A72F" w14:textId="77777777" w:rsidR="00A747FF" w:rsidRDefault="00A747FF" w:rsidP="00F2409E">
            <w:pPr>
              <w:rPr>
                <w:rFonts w:ascii="Arial" w:hAnsi="Arial" w:cs="Arial"/>
                <w:szCs w:val="24"/>
              </w:rPr>
            </w:pPr>
          </w:p>
          <w:p w14:paraId="072F9DE4" w14:textId="77777777" w:rsidR="00A747FF" w:rsidRDefault="00A747FF" w:rsidP="00F2409E">
            <w:pPr>
              <w:rPr>
                <w:rFonts w:ascii="Arial" w:hAnsi="Arial" w:cs="Arial"/>
                <w:szCs w:val="24"/>
              </w:rPr>
            </w:pPr>
          </w:p>
          <w:p w14:paraId="5D029CA8" w14:textId="77777777" w:rsidR="00A747FF" w:rsidRDefault="00A747FF" w:rsidP="00F2409E">
            <w:pPr>
              <w:rPr>
                <w:rFonts w:ascii="Arial" w:hAnsi="Arial" w:cs="Arial"/>
                <w:szCs w:val="24"/>
              </w:rPr>
            </w:pPr>
          </w:p>
          <w:p w14:paraId="365DC893" w14:textId="48C8DE3D" w:rsidR="00A747FF" w:rsidRPr="00F2409E" w:rsidRDefault="00A747FF" w:rsidP="00F2409E">
            <w:pPr>
              <w:rPr>
                <w:rFonts w:ascii="Arial" w:hAnsi="Arial" w:cs="Arial"/>
                <w:szCs w:val="24"/>
              </w:rPr>
            </w:pPr>
          </w:p>
        </w:tc>
        <w:tc>
          <w:tcPr>
            <w:tcW w:w="8647" w:type="dxa"/>
          </w:tcPr>
          <w:p w14:paraId="2B9CA411" w14:textId="1E1B17E7" w:rsidR="00F2409E" w:rsidRDefault="00F2409E" w:rsidP="00F2409E">
            <w:pPr>
              <w:jc w:val="both"/>
              <w:rPr>
                <w:rFonts w:ascii="Arial" w:hAnsi="Arial" w:cs="Arial"/>
                <w:szCs w:val="24"/>
              </w:rPr>
            </w:pPr>
            <w:r w:rsidRPr="00F2409E">
              <w:rPr>
                <w:rFonts w:ascii="Arial" w:hAnsi="Arial" w:cs="Arial"/>
                <w:szCs w:val="24"/>
              </w:rPr>
              <w:t xml:space="preserve">The scores above </w:t>
            </w:r>
            <w:r w:rsidR="005F3DE5">
              <w:rPr>
                <w:rFonts w:ascii="Arial" w:hAnsi="Arial" w:cs="Arial"/>
                <w:szCs w:val="24"/>
              </w:rPr>
              <w:t xml:space="preserve">have been collated in this table. </w:t>
            </w:r>
          </w:p>
          <w:p w14:paraId="44ED03D8" w14:textId="77777777" w:rsidR="005F3DE5" w:rsidRPr="00F2409E" w:rsidRDefault="005F3DE5" w:rsidP="00F2409E">
            <w:pPr>
              <w:jc w:val="both"/>
              <w:rPr>
                <w:rFonts w:ascii="Arial" w:hAnsi="Arial" w:cs="Arial"/>
                <w:szCs w:val="24"/>
              </w:rPr>
            </w:pPr>
          </w:p>
          <w:tbl>
            <w:tblPr>
              <w:tblStyle w:val="TableGrid"/>
              <w:tblW w:w="0" w:type="auto"/>
              <w:tblLook w:val="04A0" w:firstRow="1" w:lastRow="0" w:firstColumn="1" w:lastColumn="0" w:noHBand="0" w:noVBand="1"/>
            </w:tblPr>
            <w:tblGrid>
              <w:gridCol w:w="1617"/>
              <w:gridCol w:w="2126"/>
              <w:gridCol w:w="2132"/>
              <w:gridCol w:w="2268"/>
            </w:tblGrid>
            <w:tr w:rsidR="00F2409E" w:rsidRPr="00F2409E" w14:paraId="490DEBFB" w14:textId="77777777" w:rsidTr="00FF5776">
              <w:tc>
                <w:tcPr>
                  <w:tcW w:w="1617" w:type="dxa"/>
                </w:tcPr>
                <w:p w14:paraId="334EEEED" w14:textId="77777777" w:rsidR="00F2409E" w:rsidRPr="005F3DE5" w:rsidRDefault="00F2409E" w:rsidP="005F3DE5">
                  <w:pPr>
                    <w:jc w:val="center"/>
                    <w:rPr>
                      <w:rFonts w:ascii="Arial" w:hAnsi="Arial" w:cs="Arial"/>
                      <w:b/>
                      <w:bCs/>
                      <w:szCs w:val="24"/>
                    </w:rPr>
                  </w:pPr>
                </w:p>
              </w:tc>
              <w:tc>
                <w:tcPr>
                  <w:tcW w:w="2126" w:type="dxa"/>
                </w:tcPr>
                <w:p w14:paraId="7630D043" w14:textId="77777777" w:rsidR="00F2409E" w:rsidRPr="005F3DE5" w:rsidRDefault="00F2409E" w:rsidP="005F3DE5">
                  <w:pPr>
                    <w:jc w:val="center"/>
                    <w:rPr>
                      <w:rFonts w:ascii="Arial" w:hAnsi="Arial" w:cs="Arial"/>
                      <w:b/>
                      <w:bCs/>
                      <w:szCs w:val="24"/>
                    </w:rPr>
                  </w:pPr>
                  <w:r w:rsidRPr="005F3DE5">
                    <w:rPr>
                      <w:rFonts w:ascii="Arial" w:hAnsi="Arial" w:cs="Arial"/>
                      <w:b/>
                      <w:bCs/>
                      <w:szCs w:val="24"/>
                    </w:rPr>
                    <w:t>Maintain current (baseline score)</w:t>
                  </w:r>
                </w:p>
                <w:p w14:paraId="49B29632" w14:textId="77777777" w:rsidR="00F2409E" w:rsidRPr="005F3DE5" w:rsidRDefault="00F2409E" w:rsidP="005F3DE5">
                  <w:pPr>
                    <w:jc w:val="center"/>
                    <w:rPr>
                      <w:rFonts w:ascii="Arial" w:hAnsi="Arial" w:cs="Arial"/>
                      <w:b/>
                      <w:bCs/>
                      <w:szCs w:val="24"/>
                    </w:rPr>
                  </w:pPr>
                </w:p>
              </w:tc>
              <w:tc>
                <w:tcPr>
                  <w:tcW w:w="2132" w:type="dxa"/>
                </w:tcPr>
                <w:p w14:paraId="6338DFBE" w14:textId="77777777" w:rsidR="00F2409E" w:rsidRPr="005F3DE5" w:rsidRDefault="00F2409E" w:rsidP="005F3DE5">
                  <w:pPr>
                    <w:jc w:val="center"/>
                    <w:rPr>
                      <w:rFonts w:ascii="Arial" w:hAnsi="Arial" w:cs="Arial"/>
                      <w:b/>
                      <w:bCs/>
                      <w:szCs w:val="24"/>
                    </w:rPr>
                  </w:pPr>
                  <w:r w:rsidRPr="005F3DE5">
                    <w:rPr>
                      <w:rFonts w:ascii="Arial" w:hAnsi="Arial" w:cs="Arial"/>
                      <w:b/>
                      <w:bCs/>
                      <w:szCs w:val="24"/>
                    </w:rPr>
                    <w:t>Remove charge</w:t>
                  </w:r>
                </w:p>
              </w:tc>
              <w:tc>
                <w:tcPr>
                  <w:tcW w:w="2268" w:type="dxa"/>
                </w:tcPr>
                <w:p w14:paraId="17EC653A" w14:textId="02F4A9E7" w:rsidR="00F2409E" w:rsidRPr="005F3DE5" w:rsidRDefault="00F2409E" w:rsidP="005F3DE5">
                  <w:pPr>
                    <w:jc w:val="center"/>
                    <w:rPr>
                      <w:rFonts w:ascii="Arial" w:hAnsi="Arial" w:cs="Arial"/>
                      <w:b/>
                      <w:bCs/>
                      <w:szCs w:val="24"/>
                    </w:rPr>
                  </w:pPr>
                  <w:r w:rsidRPr="005F3DE5">
                    <w:rPr>
                      <w:rFonts w:ascii="Arial" w:hAnsi="Arial" w:cs="Arial"/>
                      <w:b/>
                      <w:bCs/>
                      <w:szCs w:val="24"/>
                    </w:rPr>
                    <w:t xml:space="preserve">Add </w:t>
                  </w:r>
                  <w:r w:rsidR="009B564F">
                    <w:rPr>
                      <w:rFonts w:ascii="Arial" w:hAnsi="Arial" w:cs="Arial"/>
                      <w:b/>
                      <w:bCs/>
                      <w:szCs w:val="24"/>
                    </w:rPr>
                    <w:t xml:space="preserve">monthly </w:t>
                  </w:r>
                  <w:r w:rsidRPr="005F3DE5">
                    <w:rPr>
                      <w:rFonts w:ascii="Arial" w:hAnsi="Arial" w:cs="Arial"/>
                      <w:b/>
                      <w:bCs/>
                      <w:szCs w:val="24"/>
                    </w:rPr>
                    <w:t>subscription retaining 50p PAYG option.</w:t>
                  </w:r>
                </w:p>
                <w:p w14:paraId="62F41672" w14:textId="77777777" w:rsidR="00F2409E" w:rsidRPr="005F3DE5" w:rsidRDefault="00F2409E" w:rsidP="005F3DE5">
                  <w:pPr>
                    <w:jc w:val="center"/>
                    <w:rPr>
                      <w:rFonts w:ascii="Arial" w:hAnsi="Arial" w:cs="Arial"/>
                      <w:b/>
                      <w:bCs/>
                      <w:szCs w:val="24"/>
                    </w:rPr>
                  </w:pPr>
                </w:p>
              </w:tc>
            </w:tr>
            <w:tr w:rsidR="00F2409E" w:rsidRPr="00F2409E" w14:paraId="2DE2C4A5" w14:textId="77777777" w:rsidTr="00FF5776">
              <w:tc>
                <w:tcPr>
                  <w:tcW w:w="1617" w:type="dxa"/>
                </w:tcPr>
                <w:p w14:paraId="3622CA7C" w14:textId="77777777" w:rsidR="00F2409E" w:rsidRPr="00F2409E" w:rsidRDefault="00F2409E" w:rsidP="00F2409E">
                  <w:pPr>
                    <w:jc w:val="both"/>
                    <w:rPr>
                      <w:rFonts w:ascii="Arial" w:hAnsi="Arial" w:cs="Arial"/>
                      <w:szCs w:val="24"/>
                    </w:rPr>
                  </w:pPr>
                  <w:r w:rsidRPr="00F2409E">
                    <w:rPr>
                      <w:rFonts w:ascii="Arial" w:hAnsi="Arial" w:cs="Arial"/>
                      <w:szCs w:val="24"/>
                    </w:rPr>
                    <w:t>Social/health benefits</w:t>
                  </w:r>
                </w:p>
              </w:tc>
              <w:tc>
                <w:tcPr>
                  <w:tcW w:w="2126" w:type="dxa"/>
                </w:tcPr>
                <w:p w14:paraId="6FBEC9C4" w14:textId="77777777" w:rsidR="00F2409E" w:rsidRPr="00F2409E" w:rsidRDefault="00F2409E" w:rsidP="005F3DE5">
                  <w:pPr>
                    <w:jc w:val="center"/>
                    <w:rPr>
                      <w:rFonts w:ascii="Arial" w:hAnsi="Arial" w:cs="Arial"/>
                      <w:szCs w:val="24"/>
                    </w:rPr>
                  </w:pPr>
                  <w:r w:rsidRPr="00F2409E">
                    <w:rPr>
                      <w:rFonts w:ascii="Arial" w:hAnsi="Arial" w:cs="Arial"/>
                      <w:szCs w:val="24"/>
                    </w:rPr>
                    <w:t>2</w:t>
                  </w:r>
                </w:p>
              </w:tc>
              <w:tc>
                <w:tcPr>
                  <w:tcW w:w="2132" w:type="dxa"/>
                </w:tcPr>
                <w:p w14:paraId="054F526D" w14:textId="77777777" w:rsidR="00F2409E" w:rsidRPr="00F2409E" w:rsidRDefault="00F2409E" w:rsidP="005F3DE5">
                  <w:pPr>
                    <w:jc w:val="center"/>
                    <w:rPr>
                      <w:rFonts w:ascii="Arial" w:hAnsi="Arial" w:cs="Arial"/>
                      <w:szCs w:val="24"/>
                    </w:rPr>
                  </w:pPr>
                  <w:r w:rsidRPr="00F2409E">
                    <w:rPr>
                      <w:rFonts w:ascii="Arial" w:hAnsi="Arial" w:cs="Arial"/>
                      <w:szCs w:val="24"/>
                    </w:rPr>
                    <w:t>3</w:t>
                  </w:r>
                </w:p>
              </w:tc>
              <w:tc>
                <w:tcPr>
                  <w:tcW w:w="2268" w:type="dxa"/>
                </w:tcPr>
                <w:p w14:paraId="4F19DA91" w14:textId="78149507" w:rsidR="00F2409E" w:rsidRPr="00F2409E" w:rsidRDefault="00782CC4" w:rsidP="005F3DE5">
                  <w:pPr>
                    <w:jc w:val="center"/>
                    <w:rPr>
                      <w:rFonts w:ascii="Arial" w:hAnsi="Arial" w:cs="Arial"/>
                      <w:szCs w:val="24"/>
                    </w:rPr>
                  </w:pPr>
                  <w:r>
                    <w:rPr>
                      <w:rFonts w:ascii="Arial" w:hAnsi="Arial" w:cs="Arial"/>
                      <w:szCs w:val="24"/>
                    </w:rPr>
                    <w:t>2</w:t>
                  </w:r>
                </w:p>
              </w:tc>
            </w:tr>
            <w:tr w:rsidR="00F2409E" w:rsidRPr="00F2409E" w14:paraId="41D2248C" w14:textId="77777777" w:rsidTr="00FF5776">
              <w:tc>
                <w:tcPr>
                  <w:tcW w:w="1617" w:type="dxa"/>
                </w:tcPr>
                <w:p w14:paraId="6F9EAADB" w14:textId="2440E7CE" w:rsidR="00F2409E" w:rsidRPr="00F2409E" w:rsidRDefault="003714C4" w:rsidP="00F2409E">
                  <w:pPr>
                    <w:jc w:val="both"/>
                    <w:rPr>
                      <w:rFonts w:ascii="Arial" w:hAnsi="Arial" w:cs="Arial"/>
                      <w:szCs w:val="24"/>
                    </w:rPr>
                  </w:pPr>
                  <w:r>
                    <w:rPr>
                      <w:rFonts w:ascii="Arial" w:hAnsi="Arial" w:cs="Arial"/>
                      <w:szCs w:val="24"/>
                    </w:rPr>
                    <w:t>F</w:t>
                  </w:r>
                  <w:r w:rsidR="00F2409E" w:rsidRPr="00F2409E">
                    <w:rPr>
                      <w:rFonts w:ascii="Arial" w:hAnsi="Arial" w:cs="Arial"/>
                      <w:szCs w:val="24"/>
                    </w:rPr>
                    <w:t>inancial implications</w:t>
                  </w:r>
                </w:p>
              </w:tc>
              <w:tc>
                <w:tcPr>
                  <w:tcW w:w="2126" w:type="dxa"/>
                </w:tcPr>
                <w:p w14:paraId="350D8740" w14:textId="77777777" w:rsidR="00F2409E" w:rsidRPr="00F2409E" w:rsidRDefault="00F2409E" w:rsidP="005F3DE5">
                  <w:pPr>
                    <w:jc w:val="center"/>
                    <w:rPr>
                      <w:rFonts w:ascii="Arial" w:hAnsi="Arial" w:cs="Arial"/>
                      <w:szCs w:val="24"/>
                    </w:rPr>
                  </w:pPr>
                  <w:r w:rsidRPr="00F2409E">
                    <w:rPr>
                      <w:rFonts w:ascii="Arial" w:hAnsi="Arial" w:cs="Arial"/>
                      <w:szCs w:val="24"/>
                    </w:rPr>
                    <w:t>2</w:t>
                  </w:r>
                </w:p>
              </w:tc>
              <w:tc>
                <w:tcPr>
                  <w:tcW w:w="2132" w:type="dxa"/>
                </w:tcPr>
                <w:p w14:paraId="630A671B" w14:textId="77777777" w:rsidR="00F2409E" w:rsidRPr="00F2409E" w:rsidRDefault="00F2409E" w:rsidP="005F3DE5">
                  <w:pPr>
                    <w:jc w:val="center"/>
                    <w:rPr>
                      <w:rFonts w:ascii="Arial" w:hAnsi="Arial" w:cs="Arial"/>
                      <w:szCs w:val="24"/>
                    </w:rPr>
                  </w:pPr>
                  <w:r w:rsidRPr="00F2409E">
                    <w:rPr>
                      <w:rFonts w:ascii="Arial" w:hAnsi="Arial" w:cs="Arial"/>
                      <w:szCs w:val="24"/>
                    </w:rPr>
                    <w:t>1</w:t>
                  </w:r>
                </w:p>
              </w:tc>
              <w:tc>
                <w:tcPr>
                  <w:tcW w:w="2268" w:type="dxa"/>
                </w:tcPr>
                <w:p w14:paraId="2122743E" w14:textId="77777777" w:rsidR="00F2409E" w:rsidRPr="00F2409E" w:rsidRDefault="00F2409E" w:rsidP="005F3DE5">
                  <w:pPr>
                    <w:jc w:val="center"/>
                    <w:rPr>
                      <w:rFonts w:ascii="Arial" w:hAnsi="Arial" w:cs="Arial"/>
                      <w:szCs w:val="24"/>
                    </w:rPr>
                  </w:pPr>
                  <w:r w:rsidRPr="00F2409E">
                    <w:rPr>
                      <w:rFonts w:ascii="Arial" w:hAnsi="Arial" w:cs="Arial"/>
                      <w:szCs w:val="24"/>
                    </w:rPr>
                    <w:t>3</w:t>
                  </w:r>
                </w:p>
              </w:tc>
            </w:tr>
            <w:tr w:rsidR="00F2409E" w:rsidRPr="00F2409E" w14:paraId="577251D3" w14:textId="77777777" w:rsidTr="00FF5776">
              <w:tc>
                <w:tcPr>
                  <w:tcW w:w="1617" w:type="dxa"/>
                </w:tcPr>
                <w:p w14:paraId="35D0E747" w14:textId="3026E90D" w:rsidR="00F2409E" w:rsidRPr="00F2409E" w:rsidRDefault="003714C4" w:rsidP="00F2409E">
                  <w:pPr>
                    <w:jc w:val="both"/>
                    <w:rPr>
                      <w:rFonts w:ascii="Arial" w:hAnsi="Arial" w:cs="Arial"/>
                      <w:szCs w:val="24"/>
                    </w:rPr>
                  </w:pPr>
                  <w:r>
                    <w:rPr>
                      <w:rFonts w:ascii="Arial" w:hAnsi="Arial" w:cs="Arial"/>
                      <w:szCs w:val="24"/>
                    </w:rPr>
                    <w:t>R</w:t>
                  </w:r>
                  <w:r w:rsidR="00F2409E" w:rsidRPr="00F2409E">
                    <w:rPr>
                      <w:rFonts w:ascii="Arial" w:hAnsi="Arial" w:cs="Arial"/>
                      <w:szCs w:val="24"/>
                    </w:rPr>
                    <w:t>eputational implications</w:t>
                  </w:r>
                </w:p>
              </w:tc>
              <w:tc>
                <w:tcPr>
                  <w:tcW w:w="2126" w:type="dxa"/>
                </w:tcPr>
                <w:p w14:paraId="2A454F28" w14:textId="77777777" w:rsidR="00F2409E" w:rsidRPr="00F2409E" w:rsidRDefault="00F2409E" w:rsidP="005F3DE5">
                  <w:pPr>
                    <w:jc w:val="center"/>
                    <w:rPr>
                      <w:rFonts w:ascii="Arial" w:hAnsi="Arial" w:cs="Arial"/>
                      <w:szCs w:val="24"/>
                    </w:rPr>
                  </w:pPr>
                  <w:r w:rsidRPr="00F2409E">
                    <w:rPr>
                      <w:rFonts w:ascii="Arial" w:hAnsi="Arial" w:cs="Arial"/>
                      <w:szCs w:val="24"/>
                    </w:rPr>
                    <w:t>2</w:t>
                  </w:r>
                </w:p>
              </w:tc>
              <w:tc>
                <w:tcPr>
                  <w:tcW w:w="2132" w:type="dxa"/>
                </w:tcPr>
                <w:p w14:paraId="3FFA8C7F" w14:textId="77777777" w:rsidR="00F2409E" w:rsidRPr="00F2409E" w:rsidRDefault="00F2409E" w:rsidP="005F3DE5">
                  <w:pPr>
                    <w:jc w:val="center"/>
                    <w:rPr>
                      <w:rFonts w:ascii="Arial" w:hAnsi="Arial" w:cs="Arial"/>
                      <w:szCs w:val="24"/>
                    </w:rPr>
                  </w:pPr>
                  <w:r w:rsidRPr="00F2409E">
                    <w:rPr>
                      <w:rFonts w:ascii="Arial" w:hAnsi="Arial" w:cs="Arial"/>
                      <w:szCs w:val="24"/>
                    </w:rPr>
                    <w:t>2</w:t>
                  </w:r>
                </w:p>
              </w:tc>
              <w:tc>
                <w:tcPr>
                  <w:tcW w:w="2268" w:type="dxa"/>
                </w:tcPr>
                <w:p w14:paraId="09ECAB3F" w14:textId="77777777" w:rsidR="00F2409E" w:rsidRPr="00F2409E" w:rsidRDefault="00F2409E" w:rsidP="005F3DE5">
                  <w:pPr>
                    <w:jc w:val="center"/>
                    <w:rPr>
                      <w:rFonts w:ascii="Arial" w:hAnsi="Arial" w:cs="Arial"/>
                      <w:szCs w:val="24"/>
                    </w:rPr>
                  </w:pPr>
                  <w:r w:rsidRPr="00F2409E">
                    <w:rPr>
                      <w:rFonts w:ascii="Arial" w:hAnsi="Arial" w:cs="Arial"/>
                      <w:szCs w:val="24"/>
                    </w:rPr>
                    <w:t>3</w:t>
                  </w:r>
                </w:p>
              </w:tc>
            </w:tr>
            <w:tr w:rsidR="00F2409E" w:rsidRPr="00F2409E" w14:paraId="36EB0F0C" w14:textId="77777777" w:rsidTr="00FF5776">
              <w:tc>
                <w:tcPr>
                  <w:tcW w:w="1617" w:type="dxa"/>
                </w:tcPr>
                <w:p w14:paraId="57B9DF7F" w14:textId="77777777" w:rsidR="00F2409E" w:rsidRPr="005F3DE5" w:rsidRDefault="00F2409E" w:rsidP="00F2409E">
                  <w:pPr>
                    <w:jc w:val="both"/>
                    <w:rPr>
                      <w:rFonts w:ascii="Arial" w:hAnsi="Arial" w:cs="Arial"/>
                      <w:b/>
                      <w:bCs/>
                      <w:szCs w:val="24"/>
                    </w:rPr>
                  </w:pPr>
                </w:p>
              </w:tc>
              <w:tc>
                <w:tcPr>
                  <w:tcW w:w="2126" w:type="dxa"/>
                </w:tcPr>
                <w:p w14:paraId="10BFEECB" w14:textId="77777777" w:rsidR="00F2409E" w:rsidRPr="005F3DE5" w:rsidRDefault="00F2409E" w:rsidP="005F3DE5">
                  <w:pPr>
                    <w:jc w:val="center"/>
                    <w:rPr>
                      <w:rFonts w:ascii="Arial" w:hAnsi="Arial" w:cs="Arial"/>
                      <w:b/>
                      <w:bCs/>
                      <w:szCs w:val="24"/>
                    </w:rPr>
                  </w:pPr>
                  <w:r w:rsidRPr="005F3DE5">
                    <w:rPr>
                      <w:rFonts w:ascii="Arial" w:hAnsi="Arial" w:cs="Arial"/>
                      <w:b/>
                      <w:bCs/>
                      <w:szCs w:val="24"/>
                    </w:rPr>
                    <w:fldChar w:fldCharType="begin"/>
                  </w:r>
                  <w:r w:rsidRPr="005F3DE5">
                    <w:rPr>
                      <w:rFonts w:ascii="Arial" w:hAnsi="Arial" w:cs="Arial"/>
                      <w:b/>
                      <w:bCs/>
                      <w:szCs w:val="24"/>
                    </w:rPr>
                    <w:instrText xml:space="preserve"> =SUM(ABOVE) </w:instrText>
                  </w:r>
                  <w:r w:rsidRPr="005F3DE5">
                    <w:rPr>
                      <w:rFonts w:ascii="Arial" w:hAnsi="Arial" w:cs="Arial"/>
                      <w:b/>
                      <w:bCs/>
                      <w:szCs w:val="24"/>
                    </w:rPr>
                    <w:fldChar w:fldCharType="separate"/>
                  </w:r>
                  <w:r w:rsidRPr="005F3DE5">
                    <w:rPr>
                      <w:rFonts w:ascii="Arial" w:hAnsi="Arial" w:cs="Arial"/>
                      <w:b/>
                      <w:bCs/>
                      <w:noProof/>
                      <w:szCs w:val="24"/>
                    </w:rPr>
                    <w:t>6</w:t>
                  </w:r>
                  <w:r w:rsidRPr="005F3DE5">
                    <w:rPr>
                      <w:rFonts w:ascii="Arial" w:hAnsi="Arial" w:cs="Arial"/>
                      <w:b/>
                      <w:bCs/>
                      <w:szCs w:val="24"/>
                    </w:rPr>
                    <w:fldChar w:fldCharType="end"/>
                  </w:r>
                </w:p>
              </w:tc>
              <w:tc>
                <w:tcPr>
                  <w:tcW w:w="2132" w:type="dxa"/>
                </w:tcPr>
                <w:p w14:paraId="2E38AB8D" w14:textId="77777777" w:rsidR="00F2409E" w:rsidRPr="005F3DE5" w:rsidRDefault="00F2409E" w:rsidP="005F3DE5">
                  <w:pPr>
                    <w:jc w:val="center"/>
                    <w:rPr>
                      <w:rFonts w:ascii="Arial" w:hAnsi="Arial" w:cs="Arial"/>
                      <w:b/>
                      <w:bCs/>
                      <w:szCs w:val="24"/>
                    </w:rPr>
                  </w:pPr>
                  <w:r w:rsidRPr="005F3DE5">
                    <w:rPr>
                      <w:rFonts w:ascii="Arial" w:hAnsi="Arial" w:cs="Arial"/>
                      <w:b/>
                      <w:bCs/>
                      <w:szCs w:val="24"/>
                    </w:rPr>
                    <w:fldChar w:fldCharType="begin"/>
                  </w:r>
                  <w:r w:rsidRPr="005F3DE5">
                    <w:rPr>
                      <w:rFonts w:ascii="Arial" w:hAnsi="Arial" w:cs="Arial"/>
                      <w:b/>
                      <w:bCs/>
                      <w:szCs w:val="24"/>
                    </w:rPr>
                    <w:instrText xml:space="preserve"> =SUM(ABOVE) </w:instrText>
                  </w:r>
                  <w:r w:rsidRPr="005F3DE5">
                    <w:rPr>
                      <w:rFonts w:ascii="Arial" w:hAnsi="Arial" w:cs="Arial"/>
                      <w:b/>
                      <w:bCs/>
                      <w:szCs w:val="24"/>
                    </w:rPr>
                    <w:fldChar w:fldCharType="separate"/>
                  </w:r>
                  <w:r w:rsidRPr="005F3DE5">
                    <w:rPr>
                      <w:rFonts w:ascii="Arial" w:hAnsi="Arial" w:cs="Arial"/>
                      <w:b/>
                      <w:bCs/>
                      <w:noProof/>
                      <w:szCs w:val="24"/>
                    </w:rPr>
                    <w:t>6</w:t>
                  </w:r>
                  <w:r w:rsidRPr="005F3DE5">
                    <w:rPr>
                      <w:rFonts w:ascii="Arial" w:hAnsi="Arial" w:cs="Arial"/>
                      <w:b/>
                      <w:bCs/>
                      <w:szCs w:val="24"/>
                    </w:rPr>
                    <w:fldChar w:fldCharType="end"/>
                  </w:r>
                </w:p>
              </w:tc>
              <w:tc>
                <w:tcPr>
                  <w:tcW w:w="2268" w:type="dxa"/>
                </w:tcPr>
                <w:p w14:paraId="4F1A16D7" w14:textId="0934DAB6" w:rsidR="00F2409E" w:rsidRPr="005F3DE5" w:rsidRDefault="00782CC4" w:rsidP="005F3DE5">
                  <w:pPr>
                    <w:jc w:val="center"/>
                    <w:rPr>
                      <w:rFonts w:ascii="Arial" w:hAnsi="Arial" w:cs="Arial"/>
                      <w:b/>
                      <w:bCs/>
                      <w:szCs w:val="24"/>
                    </w:rPr>
                  </w:pPr>
                  <w:r>
                    <w:rPr>
                      <w:rFonts w:ascii="Arial" w:hAnsi="Arial" w:cs="Arial"/>
                      <w:b/>
                      <w:bCs/>
                      <w:szCs w:val="24"/>
                    </w:rPr>
                    <w:fldChar w:fldCharType="begin"/>
                  </w:r>
                  <w:r>
                    <w:rPr>
                      <w:rFonts w:ascii="Arial" w:hAnsi="Arial" w:cs="Arial"/>
                      <w:b/>
                      <w:bCs/>
                      <w:szCs w:val="24"/>
                    </w:rPr>
                    <w:instrText xml:space="preserve"> =SUM(ABOVE) </w:instrText>
                  </w:r>
                  <w:r>
                    <w:rPr>
                      <w:rFonts w:ascii="Arial" w:hAnsi="Arial" w:cs="Arial"/>
                      <w:b/>
                      <w:bCs/>
                      <w:szCs w:val="24"/>
                    </w:rPr>
                    <w:fldChar w:fldCharType="separate"/>
                  </w:r>
                  <w:r>
                    <w:rPr>
                      <w:rFonts w:ascii="Arial" w:hAnsi="Arial" w:cs="Arial"/>
                      <w:b/>
                      <w:bCs/>
                      <w:noProof/>
                      <w:szCs w:val="24"/>
                    </w:rPr>
                    <w:t>8</w:t>
                  </w:r>
                  <w:r>
                    <w:rPr>
                      <w:rFonts w:ascii="Arial" w:hAnsi="Arial" w:cs="Arial"/>
                      <w:b/>
                      <w:bCs/>
                      <w:szCs w:val="24"/>
                    </w:rPr>
                    <w:fldChar w:fldCharType="end"/>
                  </w:r>
                </w:p>
              </w:tc>
            </w:tr>
          </w:tbl>
          <w:p w14:paraId="46E480ED" w14:textId="26AC3BD1" w:rsidR="00F2409E" w:rsidRPr="00F2409E" w:rsidRDefault="00F2409E" w:rsidP="00F2409E">
            <w:pPr>
              <w:jc w:val="both"/>
              <w:rPr>
                <w:rFonts w:ascii="Arial" w:hAnsi="Arial" w:cs="Arial"/>
                <w:szCs w:val="24"/>
              </w:rPr>
            </w:pPr>
          </w:p>
        </w:tc>
      </w:tr>
      <w:tr w:rsidR="009B564F" w:rsidRPr="00F2409E" w14:paraId="781B3C49" w14:textId="77777777" w:rsidTr="00555464">
        <w:tc>
          <w:tcPr>
            <w:tcW w:w="817" w:type="dxa"/>
          </w:tcPr>
          <w:p w14:paraId="4C376902" w14:textId="77777777" w:rsidR="009B564F" w:rsidRDefault="009B564F" w:rsidP="00F2409E">
            <w:pPr>
              <w:rPr>
                <w:rFonts w:ascii="Arial" w:hAnsi="Arial" w:cs="Arial"/>
                <w:szCs w:val="24"/>
              </w:rPr>
            </w:pPr>
          </w:p>
        </w:tc>
        <w:tc>
          <w:tcPr>
            <w:tcW w:w="8647" w:type="dxa"/>
          </w:tcPr>
          <w:p w14:paraId="04C441C1" w14:textId="77777777" w:rsidR="009B564F" w:rsidRPr="00F2409E" w:rsidRDefault="009B564F" w:rsidP="00F2409E">
            <w:pPr>
              <w:jc w:val="both"/>
              <w:rPr>
                <w:rFonts w:ascii="Arial" w:hAnsi="Arial" w:cs="Arial"/>
                <w:szCs w:val="24"/>
              </w:rPr>
            </w:pPr>
          </w:p>
        </w:tc>
      </w:tr>
      <w:tr w:rsidR="00F2409E" w:rsidRPr="00F2409E" w14:paraId="7DAD3773" w14:textId="77777777" w:rsidTr="00555464">
        <w:tc>
          <w:tcPr>
            <w:tcW w:w="817" w:type="dxa"/>
          </w:tcPr>
          <w:p w14:paraId="1B6A4DFE" w14:textId="3D4C3299" w:rsidR="00F2409E" w:rsidRPr="00F2409E" w:rsidRDefault="00A747FF" w:rsidP="00F2409E">
            <w:pPr>
              <w:rPr>
                <w:rFonts w:ascii="Arial" w:hAnsi="Arial" w:cs="Arial"/>
                <w:szCs w:val="24"/>
              </w:rPr>
            </w:pPr>
            <w:r>
              <w:rPr>
                <w:rFonts w:ascii="Arial" w:hAnsi="Arial" w:cs="Arial"/>
                <w:szCs w:val="24"/>
              </w:rPr>
              <w:t>5.</w:t>
            </w:r>
            <w:r w:rsidR="00FF5776">
              <w:rPr>
                <w:rFonts w:ascii="Arial" w:hAnsi="Arial" w:cs="Arial"/>
                <w:szCs w:val="24"/>
              </w:rPr>
              <w:t>6</w:t>
            </w:r>
          </w:p>
        </w:tc>
        <w:tc>
          <w:tcPr>
            <w:tcW w:w="8647" w:type="dxa"/>
          </w:tcPr>
          <w:p w14:paraId="5A765288" w14:textId="77777777" w:rsidR="00F2409E" w:rsidRDefault="00F2409E" w:rsidP="007B050D">
            <w:pPr>
              <w:jc w:val="both"/>
              <w:rPr>
                <w:rFonts w:ascii="Arial" w:hAnsi="Arial" w:cs="Arial"/>
                <w:szCs w:val="24"/>
              </w:rPr>
            </w:pPr>
            <w:r w:rsidRPr="00F2409E">
              <w:rPr>
                <w:rFonts w:ascii="Arial" w:hAnsi="Arial" w:cs="Arial"/>
                <w:szCs w:val="24"/>
              </w:rPr>
              <w:t xml:space="preserve">The </w:t>
            </w:r>
            <w:r w:rsidR="009B564F">
              <w:rPr>
                <w:rFonts w:ascii="Arial" w:hAnsi="Arial" w:cs="Arial"/>
                <w:szCs w:val="24"/>
              </w:rPr>
              <w:t xml:space="preserve">option which has scored most highly </w:t>
            </w:r>
            <w:r w:rsidRPr="00F2409E">
              <w:rPr>
                <w:rFonts w:ascii="Arial" w:hAnsi="Arial" w:cs="Arial"/>
                <w:szCs w:val="24"/>
              </w:rPr>
              <w:t>is to</w:t>
            </w:r>
            <w:r w:rsidR="007B050D">
              <w:rPr>
                <w:rFonts w:ascii="Arial" w:hAnsi="Arial" w:cs="Arial"/>
                <w:szCs w:val="24"/>
              </w:rPr>
              <w:t xml:space="preserve"> </w:t>
            </w:r>
            <w:r w:rsidRPr="00F2409E">
              <w:rPr>
                <w:rFonts w:ascii="Arial" w:hAnsi="Arial" w:cs="Arial"/>
                <w:szCs w:val="24"/>
              </w:rPr>
              <w:t xml:space="preserve">retain the current </w:t>
            </w:r>
            <w:r w:rsidR="00A747FF">
              <w:rPr>
                <w:rFonts w:ascii="Arial" w:hAnsi="Arial" w:cs="Arial"/>
                <w:szCs w:val="24"/>
              </w:rPr>
              <w:t>fifty pence</w:t>
            </w:r>
            <w:r w:rsidRPr="00F2409E">
              <w:rPr>
                <w:rFonts w:ascii="Arial" w:hAnsi="Arial" w:cs="Arial"/>
                <w:szCs w:val="24"/>
              </w:rPr>
              <w:t xml:space="preserve"> PAYG and add a monthly subscription as an </w:t>
            </w:r>
            <w:r w:rsidR="00BC7346">
              <w:rPr>
                <w:rFonts w:ascii="Arial" w:hAnsi="Arial" w:cs="Arial"/>
                <w:szCs w:val="24"/>
              </w:rPr>
              <w:t xml:space="preserve">additional </w:t>
            </w:r>
            <w:r w:rsidRPr="00F2409E">
              <w:rPr>
                <w:rFonts w:ascii="Arial" w:hAnsi="Arial" w:cs="Arial"/>
                <w:szCs w:val="24"/>
              </w:rPr>
              <w:t xml:space="preserve">option for customers. </w:t>
            </w:r>
          </w:p>
          <w:p w14:paraId="583ED639" w14:textId="252368C0" w:rsidR="007B050D" w:rsidRPr="00A747FF" w:rsidRDefault="007B050D" w:rsidP="007B050D">
            <w:pPr>
              <w:jc w:val="both"/>
              <w:rPr>
                <w:rFonts w:ascii="Arial" w:hAnsi="Arial" w:cs="Arial"/>
                <w:szCs w:val="24"/>
              </w:rPr>
            </w:pPr>
          </w:p>
        </w:tc>
      </w:tr>
      <w:tr w:rsidR="00F2409E" w:rsidRPr="00F2409E" w14:paraId="29B0E8BA" w14:textId="77777777" w:rsidTr="00555464">
        <w:tc>
          <w:tcPr>
            <w:tcW w:w="817" w:type="dxa"/>
          </w:tcPr>
          <w:p w14:paraId="659578D0" w14:textId="25FD4AA3" w:rsidR="00F2409E" w:rsidRPr="00F2409E" w:rsidRDefault="00A747FF" w:rsidP="00F2409E">
            <w:pPr>
              <w:rPr>
                <w:rFonts w:ascii="Arial" w:hAnsi="Arial" w:cs="Arial"/>
                <w:szCs w:val="24"/>
              </w:rPr>
            </w:pPr>
            <w:r>
              <w:rPr>
                <w:rFonts w:ascii="Arial" w:hAnsi="Arial" w:cs="Arial"/>
                <w:szCs w:val="24"/>
              </w:rPr>
              <w:t>5.</w:t>
            </w:r>
            <w:r w:rsidR="00FF5776">
              <w:rPr>
                <w:rFonts w:ascii="Arial" w:hAnsi="Arial" w:cs="Arial"/>
                <w:szCs w:val="24"/>
              </w:rPr>
              <w:t>7</w:t>
            </w:r>
          </w:p>
        </w:tc>
        <w:tc>
          <w:tcPr>
            <w:tcW w:w="8647" w:type="dxa"/>
          </w:tcPr>
          <w:p w14:paraId="31D40039" w14:textId="1A383E5A" w:rsidR="00833874" w:rsidRDefault="00F2409E" w:rsidP="00F2409E">
            <w:pPr>
              <w:jc w:val="both"/>
              <w:rPr>
                <w:rFonts w:ascii="Arial" w:hAnsi="Arial" w:cs="Arial"/>
                <w:szCs w:val="24"/>
              </w:rPr>
            </w:pPr>
            <w:r w:rsidRPr="00F2409E">
              <w:rPr>
                <w:rFonts w:ascii="Arial" w:hAnsi="Arial" w:cs="Arial"/>
                <w:szCs w:val="24"/>
              </w:rPr>
              <w:t xml:space="preserve">This </w:t>
            </w:r>
            <w:r w:rsidR="007B050D">
              <w:rPr>
                <w:rFonts w:ascii="Arial" w:hAnsi="Arial" w:cs="Arial"/>
                <w:szCs w:val="24"/>
              </w:rPr>
              <w:t xml:space="preserve">option is entirely dependent, however, on </w:t>
            </w:r>
            <w:r w:rsidR="00833874">
              <w:rPr>
                <w:rFonts w:ascii="Arial" w:hAnsi="Arial" w:cs="Arial"/>
                <w:szCs w:val="24"/>
              </w:rPr>
              <w:t>being able to price the monthly budget subscription at a level which will achieve the benefits described above,</w:t>
            </w:r>
            <w:r w:rsidR="007B050D">
              <w:rPr>
                <w:rFonts w:ascii="Arial" w:hAnsi="Arial" w:cs="Arial"/>
                <w:szCs w:val="24"/>
              </w:rPr>
              <w:t xml:space="preserve"> including maintaining income levels, </w:t>
            </w:r>
            <w:r w:rsidR="00833874">
              <w:rPr>
                <w:rFonts w:ascii="Arial" w:hAnsi="Arial" w:cs="Arial"/>
                <w:szCs w:val="24"/>
              </w:rPr>
              <w:t xml:space="preserve">with </w:t>
            </w:r>
            <w:r w:rsidR="00833874" w:rsidRPr="00F2409E">
              <w:rPr>
                <w:rFonts w:ascii="Arial" w:hAnsi="Arial" w:cs="Arial"/>
                <w:szCs w:val="24"/>
              </w:rPr>
              <w:t xml:space="preserve">it being </w:t>
            </w:r>
            <w:r w:rsidR="00833874">
              <w:rPr>
                <w:rFonts w:ascii="Arial" w:hAnsi="Arial" w:cs="Arial"/>
                <w:szCs w:val="24"/>
              </w:rPr>
              <w:t xml:space="preserve">priced above </w:t>
            </w:r>
            <w:r w:rsidR="00833874" w:rsidRPr="00F2409E">
              <w:rPr>
                <w:rFonts w:ascii="Arial" w:hAnsi="Arial" w:cs="Arial"/>
                <w:szCs w:val="24"/>
              </w:rPr>
              <w:t>the PAYG option and low enough so that people eligible for income related benefits can afford it.</w:t>
            </w:r>
          </w:p>
          <w:p w14:paraId="3248B0BC" w14:textId="77777777" w:rsidR="00F2409E" w:rsidRPr="00F2409E" w:rsidRDefault="00F2409E" w:rsidP="00833874">
            <w:pPr>
              <w:jc w:val="both"/>
              <w:rPr>
                <w:rFonts w:ascii="Arial" w:hAnsi="Arial" w:cs="Arial"/>
                <w:szCs w:val="24"/>
              </w:rPr>
            </w:pPr>
          </w:p>
        </w:tc>
      </w:tr>
      <w:tr w:rsidR="00F2409E" w:rsidRPr="00F2409E" w14:paraId="5D14A935" w14:textId="77777777" w:rsidTr="00B73185">
        <w:tc>
          <w:tcPr>
            <w:tcW w:w="817" w:type="dxa"/>
          </w:tcPr>
          <w:p w14:paraId="15C5C36D" w14:textId="1FFFF3B5" w:rsidR="00F2409E" w:rsidRPr="00F2409E" w:rsidRDefault="00A747FF" w:rsidP="00F2409E">
            <w:pPr>
              <w:rPr>
                <w:rFonts w:ascii="Arial" w:hAnsi="Arial" w:cs="Arial"/>
                <w:b/>
                <w:bCs/>
                <w:szCs w:val="24"/>
              </w:rPr>
            </w:pPr>
            <w:r>
              <w:rPr>
                <w:rFonts w:ascii="Arial" w:hAnsi="Arial" w:cs="Arial"/>
                <w:b/>
                <w:bCs/>
                <w:szCs w:val="24"/>
              </w:rPr>
              <w:lastRenderedPageBreak/>
              <w:t>6</w:t>
            </w:r>
            <w:r w:rsidR="00F2409E" w:rsidRPr="00F2409E">
              <w:rPr>
                <w:rFonts w:ascii="Arial" w:hAnsi="Arial" w:cs="Arial"/>
                <w:b/>
                <w:bCs/>
                <w:szCs w:val="24"/>
              </w:rPr>
              <w:t>.</w:t>
            </w:r>
          </w:p>
        </w:tc>
        <w:tc>
          <w:tcPr>
            <w:tcW w:w="8647" w:type="dxa"/>
          </w:tcPr>
          <w:p w14:paraId="754BD4E5" w14:textId="50E2077F" w:rsidR="00F2409E" w:rsidRPr="00F2409E" w:rsidRDefault="00F2409E" w:rsidP="00F2409E">
            <w:pPr>
              <w:autoSpaceDE w:val="0"/>
              <w:autoSpaceDN w:val="0"/>
              <w:adjustRightInd w:val="0"/>
              <w:jc w:val="both"/>
              <w:rPr>
                <w:rFonts w:ascii="Arial" w:hAnsi="Arial" w:cs="Arial"/>
                <w:b/>
                <w:szCs w:val="24"/>
              </w:rPr>
            </w:pPr>
            <w:r w:rsidRPr="00F2409E">
              <w:rPr>
                <w:rFonts w:ascii="Arial" w:hAnsi="Arial" w:cs="Arial"/>
                <w:b/>
                <w:szCs w:val="24"/>
              </w:rPr>
              <w:t>Price Point –</w:t>
            </w:r>
            <w:r w:rsidR="007B050D">
              <w:rPr>
                <w:rFonts w:ascii="Arial" w:hAnsi="Arial" w:cs="Arial"/>
                <w:b/>
                <w:szCs w:val="24"/>
              </w:rPr>
              <w:t xml:space="preserve"> </w:t>
            </w:r>
            <w:r w:rsidRPr="00F2409E">
              <w:rPr>
                <w:rFonts w:ascii="Arial" w:hAnsi="Arial" w:cs="Arial"/>
                <w:b/>
                <w:szCs w:val="24"/>
              </w:rPr>
              <w:t xml:space="preserve">Monthly </w:t>
            </w:r>
            <w:r w:rsidR="007B050D" w:rsidRPr="00F2409E">
              <w:rPr>
                <w:rFonts w:ascii="Arial" w:hAnsi="Arial" w:cs="Arial"/>
                <w:b/>
                <w:szCs w:val="24"/>
              </w:rPr>
              <w:t xml:space="preserve">Budget </w:t>
            </w:r>
            <w:r w:rsidRPr="00F2409E">
              <w:rPr>
                <w:rFonts w:ascii="Arial" w:hAnsi="Arial" w:cs="Arial"/>
                <w:b/>
                <w:szCs w:val="24"/>
              </w:rPr>
              <w:t>Subscription</w:t>
            </w:r>
          </w:p>
          <w:p w14:paraId="5EE6F367" w14:textId="5FC074C0" w:rsidR="00F2409E" w:rsidRPr="00F2409E" w:rsidRDefault="00F2409E" w:rsidP="00F2409E">
            <w:pPr>
              <w:autoSpaceDE w:val="0"/>
              <w:autoSpaceDN w:val="0"/>
              <w:adjustRightInd w:val="0"/>
              <w:jc w:val="both"/>
              <w:rPr>
                <w:rFonts w:ascii="Arial" w:hAnsi="Arial" w:cs="Arial"/>
                <w:b/>
                <w:szCs w:val="24"/>
              </w:rPr>
            </w:pPr>
          </w:p>
        </w:tc>
      </w:tr>
      <w:tr w:rsidR="00F2409E" w:rsidRPr="00F2409E" w14:paraId="5CA68845" w14:textId="77777777" w:rsidTr="00B73185">
        <w:tc>
          <w:tcPr>
            <w:tcW w:w="817" w:type="dxa"/>
          </w:tcPr>
          <w:p w14:paraId="7CAC3A94" w14:textId="4558D9D0" w:rsidR="00F2409E" w:rsidRPr="00F2409E" w:rsidRDefault="00A747FF" w:rsidP="00F2409E">
            <w:pPr>
              <w:rPr>
                <w:rFonts w:ascii="Arial" w:hAnsi="Arial" w:cs="Arial"/>
                <w:b/>
                <w:bCs/>
                <w:szCs w:val="24"/>
              </w:rPr>
            </w:pPr>
            <w:r>
              <w:rPr>
                <w:rFonts w:ascii="Arial" w:hAnsi="Arial" w:cs="Arial"/>
                <w:szCs w:val="24"/>
              </w:rPr>
              <w:t>6</w:t>
            </w:r>
            <w:r w:rsidR="00F2409E" w:rsidRPr="00F2409E">
              <w:rPr>
                <w:rFonts w:ascii="Arial" w:hAnsi="Arial" w:cs="Arial"/>
                <w:szCs w:val="24"/>
              </w:rPr>
              <w:t>.1</w:t>
            </w:r>
          </w:p>
        </w:tc>
        <w:tc>
          <w:tcPr>
            <w:tcW w:w="8647" w:type="dxa"/>
          </w:tcPr>
          <w:p w14:paraId="3F7A0FDE" w14:textId="7AF76853" w:rsidR="00F2409E" w:rsidRPr="00F2409E" w:rsidRDefault="00F2409E" w:rsidP="00F2409E">
            <w:pPr>
              <w:jc w:val="both"/>
              <w:rPr>
                <w:rFonts w:ascii="Arial" w:hAnsi="Arial" w:cs="Arial"/>
                <w:szCs w:val="24"/>
              </w:rPr>
            </w:pPr>
            <w:r w:rsidRPr="00F2409E">
              <w:rPr>
                <w:rFonts w:ascii="Arial" w:hAnsi="Arial" w:cs="Arial"/>
                <w:szCs w:val="24"/>
              </w:rPr>
              <w:t>To provide a</w:t>
            </w:r>
            <w:r w:rsidR="00467E0B">
              <w:rPr>
                <w:rFonts w:ascii="Arial" w:hAnsi="Arial" w:cs="Arial"/>
                <w:szCs w:val="24"/>
              </w:rPr>
              <w:t>n illustration</w:t>
            </w:r>
            <w:r w:rsidRPr="00F2409E">
              <w:rPr>
                <w:rFonts w:ascii="Arial" w:hAnsi="Arial" w:cs="Arial"/>
                <w:szCs w:val="24"/>
              </w:rPr>
              <w:t xml:space="preserve"> (this is not the recommended charge)</w:t>
            </w:r>
            <w:r w:rsidR="000E1A50">
              <w:rPr>
                <w:rFonts w:ascii="Arial" w:hAnsi="Arial" w:cs="Arial"/>
                <w:szCs w:val="24"/>
              </w:rPr>
              <w:t>,</w:t>
            </w:r>
            <w:r w:rsidRPr="00F2409E">
              <w:rPr>
                <w:rFonts w:ascii="Arial" w:hAnsi="Arial" w:cs="Arial"/>
                <w:szCs w:val="24"/>
              </w:rPr>
              <w:t xml:space="preserve"> if </w:t>
            </w:r>
            <w:proofErr w:type="gramStart"/>
            <w:r w:rsidR="007B050D">
              <w:rPr>
                <w:rFonts w:ascii="Arial" w:hAnsi="Arial" w:cs="Arial"/>
                <w:szCs w:val="24"/>
              </w:rPr>
              <w:t>all of</w:t>
            </w:r>
            <w:proofErr w:type="gramEnd"/>
            <w:r w:rsidR="007B050D">
              <w:rPr>
                <w:rFonts w:ascii="Arial" w:hAnsi="Arial" w:cs="Arial"/>
                <w:szCs w:val="24"/>
              </w:rPr>
              <w:t xml:space="preserve"> the </w:t>
            </w:r>
            <w:r w:rsidRPr="00F2409E">
              <w:rPr>
                <w:rFonts w:ascii="Arial" w:hAnsi="Arial" w:cs="Arial"/>
                <w:szCs w:val="24"/>
              </w:rPr>
              <w:t xml:space="preserve">people who participate in the budget scheme move on to a monthly payment, a charge of £1 for families and £0.50 for individuals (taking account of on-line billing charges) could be expected to generate £96,500, which is slightly higher than for the current model. Taking account of the view expressed at the last HLH Board meeting that care would be required to avoid devaluing and, therefore risk undermining scheme, this information is provided as a baseline rather than </w:t>
            </w:r>
            <w:r w:rsidR="00227FB0">
              <w:rPr>
                <w:rFonts w:ascii="Arial" w:hAnsi="Arial" w:cs="Arial"/>
                <w:szCs w:val="24"/>
              </w:rPr>
              <w:t xml:space="preserve">as </w:t>
            </w:r>
            <w:r w:rsidRPr="00F2409E">
              <w:rPr>
                <w:rFonts w:ascii="Arial" w:hAnsi="Arial" w:cs="Arial"/>
                <w:szCs w:val="24"/>
              </w:rPr>
              <w:t xml:space="preserve">a recommended charge. </w:t>
            </w:r>
          </w:p>
          <w:p w14:paraId="00F1F091" w14:textId="1521745F" w:rsidR="00F2409E" w:rsidRPr="00F2409E" w:rsidRDefault="00F2409E" w:rsidP="00F2409E">
            <w:pPr>
              <w:jc w:val="both"/>
              <w:rPr>
                <w:rFonts w:ascii="Arial" w:hAnsi="Arial" w:cs="Arial"/>
                <w:b/>
                <w:szCs w:val="24"/>
              </w:rPr>
            </w:pPr>
          </w:p>
        </w:tc>
      </w:tr>
      <w:tr w:rsidR="00BC7346" w:rsidRPr="00BC7346" w14:paraId="74EAD526" w14:textId="77777777" w:rsidTr="00555464">
        <w:tc>
          <w:tcPr>
            <w:tcW w:w="817" w:type="dxa"/>
          </w:tcPr>
          <w:p w14:paraId="195189EE" w14:textId="49563621" w:rsidR="00BC7346" w:rsidRPr="00BC7346" w:rsidRDefault="00BC7346" w:rsidP="00F2409E">
            <w:pPr>
              <w:rPr>
                <w:rFonts w:ascii="Arial" w:hAnsi="Arial" w:cs="Arial"/>
                <w:szCs w:val="24"/>
              </w:rPr>
            </w:pPr>
            <w:bookmarkStart w:id="0" w:name="_Hlk105690494"/>
            <w:r w:rsidRPr="00BC7346">
              <w:rPr>
                <w:rFonts w:ascii="Arial" w:hAnsi="Arial" w:cs="Arial"/>
                <w:szCs w:val="24"/>
              </w:rPr>
              <w:t>6.2</w:t>
            </w:r>
          </w:p>
        </w:tc>
        <w:tc>
          <w:tcPr>
            <w:tcW w:w="8647" w:type="dxa"/>
          </w:tcPr>
          <w:p w14:paraId="14E3EFE0" w14:textId="0AA16DA1" w:rsidR="00BC7346" w:rsidRDefault="00BC7346" w:rsidP="00F2409E">
            <w:pPr>
              <w:autoSpaceDE w:val="0"/>
              <w:autoSpaceDN w:val="0"/>
              <w:adjustRightInd w:val="0"/>
              <w:jc w:val="both"/>
              <w:rPr>
                <w:rFonts w:ascii="Arial" w:hAnsi="Arial" w:cs="Arial"/>
                <w:szCs w:val="24"/>
              </w:rPr>
            </w:pPr>
            <w:r w:rsidRPr="00BC7346">
              <w:rPr>
                <w:rFonts w:ascii="Arial" w:hAnsi="Arial" w:cs="Arial"/>
                <w:szCs w:val="24"/>
              </w:rPr>
              <w:t xml:space="preserve">It is difficult to assess the correct </w:t>
            </w:r>
            <w:r>
              <w:rPr>
                <w:rFonts w:ascii="Arial" w:hAnsi="Arial" w:cs="Arial"/>
                <w:szCs w:val="24"/>
              </w:rPr>
              <w:t>price</w:t>
            </w:r>
            <w:r w:rsidRPr="00BC7346">
              <w:rPr>
                <w:rFonts w:ascii="Arial" w:hAnsi="Arial" w:cs="Arial"/>
                <w:szCs w:val="24"/>
              </w:rPr>
              <w:t xml:space="preserve"> point</w:t>
            </w:r>
            <w:r w:rsidR="00227FB0">
              <w:rPr>
                <w:rFonts w:ascii="Arial" w:hAnsi="Arial" w:cs="Arial"/>
                <w:szCs w:val="24"/>
              </w:rPr>
              <w:t xml:space="preserve"> so t</w:t>
            </w:r>
            <w:r w:rsidR="00B071C2">
              <w:rPr>
                <w:rFonts w:ascii="Arial" w:hAnsi="Arial" w:cs="Arial"/>
                <w:szCs w:val="24"/>
              </w:rPr>
              <w:t xml:space="preserve">here are some </w:t>
            </w:r>
            <w:r w:rsidR="00076CE9">
              <w:rPr>
                <w:rFonts w:ascii="Arial" w:hAnsi="Arial" w:cs="Arial"/>
                <w:szCs w:val="24"/>
              </w:rPr>
              <w:t>price options</w:t>
            </w:r>
            <w:r w:rsidR="00B071C2">
              <w:rPr>
                <w:rFonts w:ascii="Arial" w:hAnsi="Arial" w:cs="Arial"/>
                <w:szCs w:val="24"/>
              </w:rPr>
              <w:t xml:space="preserve"> below to help inform the assessment. </w:t>
            </w:r>
          </w:p>
          <w:p w14:paraId="17BD55CD" w14:textId="68F75D74" w:rsidR="00B071C2" w:rsidRDefault="00B071C2" w:rsidP="00F2409E">
            <w:pPr>
              <w:autoSpaceDE w:val="0"/>
              <w:autoSpaceDN w:val="0"/>
              <w:adjustRightInd w:val="0"/>
              <w:jc w:val="both"/>
              <w:rPr>
                <w:rFonts w:ascii="Arial" w:hAnsi="Arial" w:cs="Arial"/>
                <w:szCs w:val="24"/>
              </w:rPr>
            </w:pPr>
          </w:p>
          <w:tbl>
            <w:tblPr>
              <w:tblStyle w:val="TableGrid"/>
              <w:tblW w:w="0" w:type="auto"/>
              <w:tblLook w:val="04A0" w:firstRow="1" w:lastRow="0" w:firstColumn="1" w:lastColumn="0" w:noHBand="0" w:noVBand="1"/>
            </w:tblPr>
            <w:tblGrid>
              <w:gridCol w:w="2283"/>
              <w:gridCol w:w="1751"/>
              <w:gridCol w:w="1730"/>
              <w:gridCol w:w="2657"/>
            </w:tblGrid>
            <w:tr w:rsidR="00861DC0" w14:paraId="1B2B1245" w14:textId="77777777" w:rsidTr="00287AFF">
              <w:tc>
                <w:tcPr>
                  <w:tcW w:w="2283" w:type="dxa"/>
                </w:tcPr>
                <w:p w14:paraId="4849261C" w14:textId="77777777" w:rsidR="00861DC0" w:rsidRPr="00833874" w:rsidRDefault="00861DC0" w:rsidP="00F2409E">
                  <w:pPr>
                    <w:autoSpaceDE w:val="0"/>
                    <w:autoSpaceDN w:val="0"/>
                    <w:adjustRightInd w:val="0"/>
                    <w:jc w:val="both"/>
                    <w:rPr>
                      <w:rFonts w:ascii="Arial" w:hAnsi="Arial" w:cs="Arial"/>
                      <w:b/>
                      <w:bCs/>
                      <w:szCs w:val="24"/>
                    </w:rPr>
                  </w:pPr>
                </w:p>
              </w:tc>
              <w:tc>
                <w:tcPr>
                  <w:tcW w:w="1751" w:type="dxa"/>
                </w:tcPr>
                <w:p w14:paraId="70A4E994" w14:textId="176C5AE4" w:rsidR="00861DC0" w:rsidRPr="00076CE9" w:rsidRDefault="00861DC0" w:rsidP="00076CE9">
                  <w:pPr>
                    <w:autoSpaceDE w:val="0"/>
                    <w:autoSpaceDN w:val="0"/>
                    <w:adjustRightInd w:val="0"/>
                    <w:jc w:val="center"/>
                    <w:rPr>
                      <w:rFonts w:ascii="Arial" w:hAnsi="Arial" w:cs="Arial"/>
                      <w:b/>
                      <w:bCs/>
                      <w:szCs w:val="24"/>
                    </w:rPr>
                  </w:pPr>
                  <w:r>
                    <w:rPr>
                      <w:rFonts w:ascii="Arial" w:hAnsi="Arial" w:cs="Arial"/>
                      <w:b/>
                      <w:bCs/>
                      <w:szCs w:val="24"/>
                    </w:rPr>
                    <w:t>Option</w:t>
                  </w:r>
                  <w:r w:rsidRPr="00076CE9">
                    <w:rPr>
                      <w:rFonts w:ascii="Arial" w:hAnsi="Arial" w:cs="Arial"/>
                      <w:b/>
                      <w:bCs/>
                      <w:szCs w:val="24"/>
                    </w:rPr>
                    <w:t xml:space="preserve"> 1</w:t>
                  </w:r>
                </w:p>
              </w:tc>
              <w:tc>
                <w:tcPr>
                  <w:tcW w:w="1730" w:type="dxa"/>
                </w:tcPr>
                <w:p w14:paraId="01A1BC7E" w14:textId="45B9C13D" w:rsidR="00861DC0" w:rsidRPr="00076CE9" w:rsidRDefault="00861DC0" w:rsidP="00076CE9">
                  <w:pPr>
                    <w:autoSpaceDE w:val="0"/>
                    <w:autoSpaceDN w:val="0"/>
                    <w:adjustRightInd w:val="0"/>
                    <w:jc w:val="center"/>
                    <w:rPr>
                      <w:rFonts w:ascii="Arial" w:hAnsi="Arial" w:cs="Arial"/>
                      <w:b/>
                      <w:bCs/>
                      <w:szCs w:val="24"/>
                    </w:rPr>
                  </w:pPr>
                  <w:r>
                    <w:rPr>
                      <w:rFonts w:ascii="Arial" w:hAnsi="Arial" w:cs="Arial"/>
                      <w:b/>
                      <w:bCs/>
                      <w:szCs w:val="24"/>
                    </w:rPr>
                    <w:t>Option</w:t>
                  </w:r>
                  <w:r w:rsidRPr="00076CE9">
                    <w:rPr>
                      <w:rFonts w:ascii="Arial" w:hAnsi="Arial" w:cs="Arial"/>
                      <w:b/>
                      <w:bCs/>
                      <w:szCs w:val="24"/>
                    </w:rPr>
                    <w:t xml:space="preserve"> 2</w:t>
                  </w:r>
                </w:p>
              </w:tc>
              <w:tc>
                <w:tcPr>
                  <w:tcW w:w="2657" w:type="dxa"/>
                </w:tcPr>
                <w:p w14:paraId="34C8ECA4" w14:textId="4BB04C36" w:rsidR="00861DC0" w:rsidRPr="00076CE9" w:rsidRDefault="00861DC0" w:rsidP="00076CE9">
                  <w:pPr>
                    <w:autoSpaceDE w:val="0"/>
                    <w:autoSpaceDN w:val="0"/>
                    <w:adjustRightInd w:val="0"/>
                    <w:jc w:val="center"/>
                    <w:rPr>
                      <w:rFonts w:ascii="Arial" w:hAnsi="Arial" w:cs="Arial"/>
                      <w:b/>
                      <w:bCs/>
                      <w:szCs w:val="24"/>
                    </w:rPr>
                  </w:pPr>
                  <w:r>
                    <w:rPr>
                      <w:rFonts w:ascii="Arial" w:hAnsi="Arial" w:cs="Arial"/>
                      <w:b/>
                      <w:bCs/>
                      <w:szCs w:val="24"/>
                    </w:rPr>
                    <w:t>Option</w:t>
                  </w:r>
                  <w:r w:rsidRPr="00076CE9">
                    <w:rPr>
                      <w:rFonts w:ascii="Arial" w:hAnsi="Arial" w:cs="Arial"/>
                      <w:b/>
                      <w:bCs/>
                      <w:szCs w:val="24"/>
                    </w:rPr>
                    <w:t xml:space="preserve"> 3</w:t>
                  </w:r>
                </w:p>
              </w:tc>
            </w:tr>
            <w:tr w:rsidR="00861DC0" w14:paraId="28E13CBF" w14:textId="77777777" w:rsidTr="00287AFF">
              <w:tc>
                <w:tcPr>
                  <w:tcW w:w="2283" w:type="dxa"/>
                </w:tcPr>
                <w:p w14:paraId="4A9F7C89" w14:textId="77777777" w:rsidR="00861DC0" w:rsidRPr="00833874" w:rsidRDefault="00861DC0" w:rsidP="00076CE9">
                  <w:pPr>
                    <w:autoSpaceDE w:val="0"/>
                    <w:autoSpaceDN w:val="0"/>
                    <w:adjustRightInd w:val="0"/>
                    <w:rPr>
                      <w:rFonts w:ascii="Arial" w:hAnsi="Arial" w:cs="Arial"/>
                      <w:b/>
                      <w:bCs/>
                      <w:szCs w:val="24"/>
                    </w:rPr>
                  </w:pPr>
                  <w:r w:rsidRPr="00833874">
                    <w:rPr>
                      <w:rFonts w:ascii="Arial" w:hAnsi="Arial" w:cs="Arial"/>
                      <w:b/>
                      <w:bCs/>
                      <w:szCs w:val="24"/>
                    </w:rPr>
                    <w:t>Family/Household</w:t>
                  </w:r>
                </w:p>
                <w:p w14:paraId="13166730" w14:textId="637982BD" w:rsidR="00861DC0" w:rsidRPr="00833874" w:rsidRDefault="00861DC0" w:rsidP="00076CE9">
                  <w:pPr>
                    <w:autoSpaceDE w:val="0"/>
                    <w:autoSpaceDN w:val="0"/>
                    <w:adjustRightInd w:val="0"/>
                    <w:rPr>
                      <w:rFonts w:ascii="Arial" w:hAnsi="Arial" w:cs="Arial"/>
                      <w:b/>
                      <w:bCs/>
                      <w:szCs w:val="24"/>
                    </w:rPr>
                  </w:pPr>
                  <w:r w:rsidRPr="00833874">
                    <w:rPr>
                      <w:rFonts w:ascii="Arial" w:hAnsi="Arial" w:cs="Arial"/>
                      <w:b/>
                      <w:bCs/>
                      <w:szCs w:val="24"/>
                    </w:rPr>
                    <w:t>Individual</w:t>
                  </w:r>
                </w:p>
              </w:tc>
              <w:tc>
                <w:tcPr>
                  <w:tcW w:w="1751" w:type="dxa"/>
                </w:tcPr>
                <w:p w14:paraId="3D692B61" w14:textId="3FC3F778" w:rsidR="00861DC0" w:rsidRDefault="00861DC0" w:rsidP="00076CE9">
                  <w:pPr>
                    <w:autoSpaceDE w:val="0"/>
                    <w:autoSpaceDN w:val="0"/>
                    <w:adjustRightInd w:val="0"/>
                    <w:jc w:val="center"/>
                    <w:rPr>
                      <w:rFonts w:ascii="Arial" w:hAnsi="Arial" w:cs="Arial"/>
                      <w:szCs w:val="24"/>
                    </w:rPr>
                  </w:pPr>
                  <w:r>
                    <w:rPr>
                      <w:rFonts w:ascii="Arial" w:hAnsi="Arial" w:cs="Arial"/>
                      <w:szCs w:val="24"/>
                    </w:rPr>
                    <w:t>£5</w:t>
                  </w:r>
                </w:p>
                <w:p w14:paraId="5C06B834" w14:textId="2FD30284" w:rsidR="00861DC0" w:rsidRPr="00B071C2" w:rsidRDefault="00861DC0" w:rsidP="00076CE9">
                  <w:pPr>
                    <w:autoSpaceDE w:val="0"/>
                    <w:autoSpaceDN w:val="0"/>
                    <w:adjustRightInd w:val="0"/>
                    <w:jc w:val="center"/>
                    <w:rPr>
                      <w:rFonts w:ascii="Arial" w:hAnsi="Arial" w:cs="Arial"/>
                      <w:szCs w:val="24"/>
                    </w:rPr>
                  </w:pPr>
                  <w:r>
                    <w:rPr>
                      <w:rFonts w:ascii="Arial" w:hAnsi="Arial" w:cs="Arial"/>
                      <w:szCs w:val="24"/>
                    </w:rPr>
                    <w:t>£3</w:t>
                  </w:r>
                </w:p>
              </w:tc>
              <w:tc>
                <w:tcPr>
                  <w:tcW w:w="1730" w:type="dxa"/>
                </w:tcPr>
                <w:p w14:paraId="75DB92C8" w14:textId="479966E0" w:rsidR="00861DC0" w:rsidRDefault="00861DC0" w:rsidP="00076CE9">
                  <w:pPr>
                    <w:autoSpaceDE w:val="0"/>
                    <w:autoSpaceDN w:val="0"/>
                    <w:adjustRightInd w:val="0"/>
                    <w:jc w:val="center"/>
                    <w:rPr>
                      <w:rFonts w:ascii="Arial" w:hAnsi="Arial" w:cs="Arial"/>
                      <w:szCs w:val="24"/>
                    </w:rPr>
                  </w:pPr>
                  <w:r>
                    <w:rPr>
                      <w:rFonts w:ascii="Arial" w:hAnsi="Arial" w:cs="Arial"/>
                      <w:szCs w:val="24"/>
                    </w:rPr>
                    <w:t>£3</w:t>
                  </w:r>
                </w:p>
                <w:p w14:paraId="08D579F6" w14:textId="630C6D86" w:rsidR="00861DC0" w:rsidRDefault="00861DC0" w:rsidP="00076CE9">
                  <w:pPr>
                    <w:autoSpaceDE w:val="0"/>
                    <w:autoSpaceDN w:val="0"/>
                    <w:adjustRightInd w:val="0"/>
                    <w:jc w:val="center"/>
                    <w:rPr>
                      <w:rFonts w:ascii="Arial" w:hAnsi="Arial" w:cs="Arial"/>
                      <w:szCs w:val="24"/>
                    </w:rPr>
                  </w:pPr>
                  <w:r>
                    <w:rPr>
                      <w:rFonts w:ascii="Arial" w:hAnsi="Arial" w:cs="Arial"/>
                      <w:szCs w:val="24"/>
                    </w:rPr>
                    <w:t>£2</w:t>
                  </w:r>
                </w:p>
              </w:tc>
              <w:tc>
                <w:tcPr>
                  <w:tcW w:w="2657" w:type="dxa"/>
                </w:tcPr>
                <w:p w14:paraId="7524CFE2" w14:textId="252919F6" w:rsidR="00861DC0" w:rsidRDefault="00861DC0" w:rsidP="00076CE9">
                  <w:pPr>
                    <w:autoSpaceDE w:val="0"/>
                    <w:autoSpaceDN w:val="0"/>
                    <w:adjustRightInd w:val="0"/>
                    <w:jc w:val="center"/>
                    <w:rPr>
                      <w:rFonts w:ascii="Arial" w:hAnsi="Arial" w:cs="Arial"/>
                      <w:szCs w:val="24"/>
                    </w:rPr>
                  </w:pPr>
                  <w:r>
                    <w:rPr>
                      <w:rFonts w:ascii="Arial" w:hAnsi="Arial" w:cs="Arial"/>
                      <w:szCs w:val="24"/>
                    </w:rPr>
                    <w:t>£</w:t>
                  </w:r>
                  <w:r w:rsidR="0087190C">
                    <w:rPr>
                      <w:rFonts w:ascii="Arial" w:hAnsi="Arial" w:cs="Arial"/>
                      <w:szCs w:val="24"/>
                    </w:rPr>
                    <w:t>1</w:t>
                  </w:r>
                </w:p>
                <w:p w14:paraId="00B48865" w14:textId="49DC9AF2" w:rsidR="00861DC0" w:rsidRDefault="00861DC0" w:rsidP="00076CE9">
                  <w:pPr>
                    <w:autoSpaceDE w:val="0"/>
                    <w:autoSpaceDN w:val="0"/>
                    <w:adjustRightInd w:val="0"/>
                    <w:jc w:val="center"/>
                    <w:rPr>
                      <w:rFonts w:ascii="Arial" w:hAnsi="Arial" w:cs="Arial"/>
                      <w:szCs w:val="24"/>
                    </w:rPr>
                  </w:pPr>
                  <w:r>
                    <w:rPr>
                      <w:rFonts w:ascii="Arial" w:hAnsi="Arial" w:cs="Arial"/>
                      <w:szCs w:val="24"/>
                    </w:rPr>
                    <w:t>£</w:t>
                  </w:r>
                  <w:r w:rsidR="0087190C">
                    <w:rPr>
                      <w:rFonts w:ascii="Arial" w:hAnsi="Arial" w:cs="Arial"/>
                      <w:szCs w:val="24"/>
                    </w:rPr>
                    <w:t>0.</w:t>
                  </w:r>
                  <w:r w:rsidR="00F20FE3">
                    <w:rPr>
                      <w:rFonts w:ascii="Arial" w:hAnsi="Arial" w:cs="Arial"/>
                      <w:szCs w:val="24"/>
                    </w:rPr>
                    <w:t>75</w:t>
                  </w:r>
                </w:p>
              </w:tc>
            </w:tr>
            <w:tr w:rsidR="00861DC0" w14:paraId="2C9C4835" w14:textId="77777777" w:rsidTr="00287AFF">
              <w:tc>
                <w:tcPr>
                  <w:tcW w:w="2283" w:type="dxa"/>
                </w:tcPr>
                <w:p w14:paraId="48840BE8" w14:textId="0131EE30" w:rsidR="00861DC0" w:rsidRPr="00833874" w:rsidRDefault="00861DC0" w:rsidP="00076CE9">
                  <w:pPr>
                    <w:autoSpaceDE w:val="0"/>
                    <w:autoSpaceDN w:val="0"/>
                    <w:adjustRightInd w:val="0"/>
                    <w:rPr>
                      <w:rFonts w:ascii="Arial" w:hAnsi="Arial" w:cs="Arial"/>
                      <w:b/>
                      <w:bCs/>
                      <w:szCs w:val="24"/>
                    </w:rPr>
                  </w:pPr>
                  <w:r w:rsidRPr="00833874">
                    <w:rPr>
                      <w:rFonts w:ascii="Arial" w:hAnsi="Arial" w:cs="Arial"/>
                      <w:b/>
                      <w:bCs/>
                      <w:szCs w:val="24"/>
                    </w:rPr>
                    <w:t>Visits per month equivalent</w:t>
                  </w:r>
                </w:p>
              </w:tc>
              <w:tc>
                <w:tcPr>
                  <w:tcW w:w="1751" w:type="dxa"/>
                </w:tcPr>
                <w:p w14:paraId="6E9974D1" w14:textId="40E3F6DF" w:rsidR="00861DC0" w:rsidRPr="00861DC0" w:rsidRDefault="00861DC0" w:rsidP="00076CE9">
                  <w:pPr>
                    <w:autoSpaceDE w:val="0"/>
                    <w:autoSpaceDN w:val="0"/>
                    <w:adjustRightInd w:val="0"/>
                    <w:jc w:val="center"/>
                    <w:rPr>
                      <w:rFonts w:ascii="Arial" w:hAnsi="Arial" w:cs="Arial"/>
                      <w:szCs w:val="24"/>
                    </w:rPr>
                  </w:pPr>
                  <w:r w:rsidRPr="00861DC0">
                    <w:rPr>
                      <w:rFonts w:ascii="Arial" w:hAnsi="Arial" w:cs="Arial"/>
                      <w:szCs w:val="24"/>
                    </w:rPr>
                    <w:t>5</w:t>
                  </w:r>
                  <w:r>
                    <w:rPr>
                      <w:rFonts w:ascii="Arial" w:hAnsi="Arial" w:cs="Arial"/>
                      <w:szCs w:val="24"/>
                    </w:rPr>
                    <w:t xml:space="preserve"> (household)</w:t>
                  </w:r>
                </w:p>
                <w:p w14:paraId="776D7325" w14:textId="06F771C5" w:rsidR="00861DC0" w:rsidRPr="00861DC0" w:rsidRDefault="00861DC0" w:rsidP="00076CE9">
                  <w:pPr>
                    <w:autoSpaceDE w:val="0"/>
                    <w:autoSpaceDN w:val="0"/>
                    <w:adjustRightInd w:val="0"/>
                    <w:jc w:val="center"/>
                    <w:rPr>
                      <w:rFonts w:ascii="Arial" w:hAnsi="Arial" w:cs="Arial"/>
                      <w:szCs w:val="24"/>
                    </w:rPr>
                  </w:pPr>
                  <w:r w:rsidRPr="00861DC0">
                    <w:rPr>
                      <w:rFonts w:ascii="Arial" w:hAnsi="Arial" w:cs="Arial"/>
                      <w:szCs w:val="24"/>
                    </w:rPr>
                    <w:t>6</w:t>
                  </w:r>
                  <w:r>
                    <w:rPr>
                      <w:rFonts w:ascii="Arial" w:hAnsi="Arial" w:cs="Arial"/>
                      <w:szCs w:val="24"/>
                    </w:rPr>
                    <w:t xml:space="preserve"> (individual)</w:t>
                  </w:r>
                </w:p>
              </w:tc>
              <w:tc>
                <w:tcPr>
                  <w:tcW w:w="1730" w:type="dxa"/>
                </w:tcPr>
                <w:p w14:paraId="360D9AC9" w14:textId="25D086C3" w:rsidR="00861DC0" w:rsidRDefault="00861DC0" w:rsidP="00076CE9">
                  <w:pPr>
                    <w:autoSpaceDE w:val="0"/>
                    <w:autoSpaceDN w:val="0"/>
                    <w:adjustRightInd w:val="0"/>
                    <w:jc w:val="center"/>
                    <w:rPr>
                      <w:rFonts w:ascii="Arial" w:hAnsi="Arial" w:cs="Arial"/>
                      <w:szCs w:val="24"/>
                    </w:rPr>
                  </w:pPr>
                  <w:r>
                    <w:rPr>
                      <w:rFonts w:ascii="Arial" w:hAnsi="Arial" w:cs="Arial"/>
                      <w:szCs w:val="24"/>
                    </w:rPr>
                    <w:t>3 (h</w:t>
                  </w:r>
                  <w:r w:rsidR="00287AFF">
                    <w:rPr>
                      <w:rFonts w:ascii="Arial" w:hAnsi="Arial" w:cs="Arial"/>
                      <w:szCs w:val="24"/>
                    </w:rPr>
                    <w:t>ouse</w:t>
                  </w:r>
                  <w:r>
                    <w:rPr>
                      <w:rFonts w:ascii="Arial" w:hAnsi="Arial" w:cs="Arial"/>
                      <w:szCs w:val="24"/>
                    </w:rPr>
                    <w:t>hold)</w:t>
                  </w:r>
                </w:p>
                <w:p w14:paraId="3CE7417C" w14:textId="658B9479" w:rsidR="00861DC0" w:rsidRDefault="00861DC0" w:rsidP="00076CE9">
                  <w:pPr>
                    <w:autoSpaceDE w:val="0"/>
                    <w:autoSpaceDN w:val="0"/>
                    <w:adjustRightInd w:val="0"/>
                    <w:jc w:val="center"/>
                    <w:rPr>
                      <w:rFonts w:ascii="Arial" w:hAnsi="Arial" w:cs="Arial"/>
                      <w:szCs w:val="24"/>
                    </w:rPr>
                  </w:pPr>
                  <w:r>
                    <w:rPr>
                      <w:rFonts w:ascii="Arial" w:hAnsi="Arial" w:cs="Arial"/>
                      <w:szCs w:val="24"/>
                    </w:rPr>
                    <w:t>4 (ind</w:t>
                  </w:r>
                  <w:r w:rsidR="00287AFF">
                    <w:rPr>
                      <w:rFonts w:ascii="Arial" w:hAnsi="Arial" w:cs="Arial"/>
                      <w:szCs w:val="24"/>
                    </w:rPr>
                    <w:t>ividual</w:t>
                  </w:r>
                  <w:r>
                    <w:rPr>
                      <w:rFonts w:ascii="Arial" w:hAnsi="Arial" w:cs="Arial"/>
                      <w:szCs w:val="24"/>
                    </w:rPr>
                    <w:t>)</w:t>
                  </w:r>
                </w:p>
              </w:tc>
              <w:tc>
                <w:tcPr>
                  <w:tcW w:w="2657" w:type="dxa"/>
                </w:tcPr>
                <w:p w14:paraId="6844CFD3" w14:textId="46B86F23" w:rsidR="00861DC0" w:rsidRDefault="00861DC0" w:rsidP="00076CE9">
                  <w:pPr>
                    <w:autoSpaceDE w:val="0"/>
                    <w:autoSpaceDN w:val="0"/>
                    <w:adjustRightInd w:val="0"/>
                    <w:jc w:val="center"/>
                    <w:rPr>
                      <w:rFonts w:ascii="Arial" w:hAnsi="Arial" w:cs="Arial"/>
                      <w:szCs w:val="24"/>
                    </w:rPr>
                  </w:pPr>
                  <w:r>
                    <w:rPr>
                      <w:rFonts w:ascii="Arial" w:hAnsi="Arial" w:cs="Arial"/>
                      <w:szCs w:val="24"/>
                    </w:rPr>
                    <w:t>2 (h</w:t>
                  </w:r>
                  <w:r w:rsidR="00287AFF">
                    <w:rPr>
                      <w:rFonts w:ascii="Arial" w:hAnsi="Arial" w:cs="Arial"/>
                      <w:szCs w:val="24"/>
                    </w:rPr>
                    <w:t>ouse</w:t>
                  </w:r>
                  <w:r>
                    <w:rPr>
                      <w:rFonts w:ascii="Arial" w:hAnsi="Arial" w:cs="Arial"/>
                      <w:szCs w:val="24"/>
                    </w:rPr>
                    <w:t>hold)</w:t>
                  </w:r>
                </w:p>
                <w:p w14:paraId="0EC81362" w14:textId="29F910F1" w:rsidR="00861DC0" w:rsidRDefault="00861DC0" w:rsidP="00076CE9">
                  <w:pPr>
                    <w:autoSpaceDE w:val="0"/>
                    <w:autoSpaceDN w:val="0"/>
                    <w:adjustRightInd w:val="0"/>
                    <w:jc w:val="center"/>
                    <w:rPr>
                      <w:rFonts w:ascii="Arial" w:hAnsi="Arial" w:cs="Arial"/>
                      <w:szCs w:val="24"/>
                    </w:rPr>
                  </w:pPr>
                  <w:r>
                    <w:rPr>
                      <w:rFonts w:ascii="Arial" w:hAnsi="Arial" w:cs="Arial"/>
                      <w:szCs w:val="24"/>
                    </w:rPr>
                    <w:t>2 (ind</w:t>
                  </w:r>
                  <w:r w:rsidR="00287AFF">
                    <w:rPr>
                      <w:rFonts w:ascii="Arial" w:hAnsi="Arial" w:cs="Arial"/>
                      <w:szCs w:val="24"/>
                    </w:rPr>
                    <w:t>ividual</w:t>
                  </w:r>
                  <w:r>
                    <w:rPr>
                      <w:rFonts w:ascii="Arial" w:hAnsi="Arial" w:cs="Arial"/>
                      <w:szCs w:val="24"/>
                    </w:rPr>
                    <w:t>)</w:t>
                  </w:r>
                </w:p>
              </w:tc>
            </w:tr>
          </w:tbl>
          <w:p w14:paraId="68252AE0" w14:textId="771E0C08" w:rsidR="00BC7346" w:rsidRPr="00076CE9" w:rsidRDefault="00BC7346" w:rsidP="00076CE9">
            <w:pPr>
              <w:autoSpaceDE w:val="0"/>
              <w:autoSpaceDN w:val="0"/>
              <w:adjustRightInd w:val="0"/>
              <w:jc w:val="both"/>
              <w:rPr>
                <w:rFonts w:ascii="Arial" w:hAnsi="Arial" w:cs="Arial"/>
                <w:szCs w:val="24"/>
              </w:rPr>
            </w:pPr>
          </w:p>
        </w:tc>
      </w:tr>
      <w:tr w:rsidR="00BC7346" w:rsidRPr="00BC7346" w14:paraId="68A8E796" w14:textId="77777777" w:rsidTr="00555464">
        <w:tc>
          <w:tcPr>
            <w:tcW w:w="817" w:type="dxa"/>
          </w:tcPr>
          <w:p w14:paraId="12FA0AA1" w14:textId="194FE443" w:rsidR="00BC7346" w:rsidRPr="00BC7346" w:rsidRDefault="00BC7346" w:rsidP="00F2409E">
            <w:pPr>
              <w:rPr>
                <w:rFonts w:ascii="Arial" w:hAnsi="Arial" w:cs="Arial"/>
                <w:szCs w:val="24"/>
              </w:rPr>
            </w:pPr>
          </w:p>
        </w:tc>
        <w:tc>
          <w:tcPr>
            <w:tcW w:w="8647" w:type="dxa"/>
          </w:tcPr>
          <w:p w14:paraId="1D769117" w14:textId="0BFDD619" w:rsidR="00BC7346" w:rsidRPr="00076CE9" w:rsidRDefault="00BC7346" w:rsidP="00076CE9">
            <w:pPr>
              <w:autoSpaceDE w:val="0"/>
              <w:autoSpaceDN w:val="0"/>
              <w:adjustRightInd w:val="0"/>
              <w:jc w:val="both"/>
              <w:rPr>
                <w:rFonts w:ascii="Arial" w:hAnsi="Arial" w:cs="Arial"/>
                <w:szCs w:val="24"/>
              </w:rPr>
            </w:pPr>
          </w:p>
        </w:tc>
      </w:tr>
      <w:bookmarkEnd w:id="0"/>
      <w:tr w:rsidR="00076CE9" w:rsidRPr="00861DC0" w14:paraId="19E2882A" w14:textId="77777777" w:rsidTr="00BA3AA6">
        <w:tc>
          <w:tcPr>
            <w:tcW w:w="817" w:type="dxa"/>
          </w:tcPr>
          <w:p w14:paraId="7CEA06F8" w14:textId="760747B2" w:rsidR="00076CE9" w:rsidRPr="00861DC0" w:rsidRDefault="00076CE9" w:rsidP="00076CE9">
            <w:pPr>
              <w:rPr>
                <w:rFonts w:ascii="Arial" w:hAnsi="Arial" w:cs="Arial"/>
                <w:szCs w:val="24"/>
              </w:rPr>
            </w:pPr>
            <w:r w:rsidRPr="00861DC0">
              <w:rPr>
                <w:rFonts w:ascii="Arial" w:hAnsi="Arial" w:cs="Arial"/>
                <w:szCs w:val="24"/>
              </w:rPr>
              <w:t>6.3</w:t>
            </w:r>
          </w:p>
        </w:tc>
        <w:tc>
          <w:tcPr>
            <w:tcW w:w="8647" w:type="dxa"/>
          </w:tcPr>
          <w:p w14:paraId="550CD813" w14:textId="6BD78377" w:rsidR="00861DC0" w:rsidRDefault="00076CE9" w:rsidP="00076CE9">
            <w:pPr>
              <w:autoSpaceDE w:val="0"/>
              <w:autoSpaceDN w:val="0"/>
              <w:adjustRightInd w:val="0"/>
              <w:jc w:val="both"/>
              <w:rPr>
                <w:rFonts w:ascii="Arial" w:hAnsi="Arial" w:cs="Arial"/>
                <w:szCs w:val="24"/>
              </w:rPr>
            </w:pPr>
            <w:r w:rsidRPr="00861DC0">
              <w:rPr>
                <w:rFonts w:ascii="Arial" w:hAnsi="Arial" w:cs="Arial"/>
                <w:szCs w:val="24"/>
              </w:rPr>
              <w:t>While there is a range where some people will visit a leisure centre three or more times a week and others very infrequently, the average use by budget subscription holders is once per month</w:t>
            </w:r>
            <w:r w:rsidR="003714C4">
              <w:rPr>
                <w:rFonts w:ascii="Arial" w:hAnsi="Arial" w:cs="Arial"/>
                <w:szCs w:val="24"/>
              </w:rPr>
              <w:t>.</w:t>
            </w:r>
          </w:p>
          <w:p w14:paraId="2192EB49" w14:textId="1C5914E8" w:rsidR="003714C4" w:rsidRDefault="003714C4" w:rsidP="00076CE9">
            <w:pPr>
              <w:autoSpaceDE w:val="0"/>
              <w:autoSpaceDN w:val="0"/>
              <w:adjustRightInd w:val="0"/>
              <w:jc w:val="both"/>
              <w:rPr>
                <w:rFonts w:ascii="Arial" w:hAnsi="Arial" w:cs="Arial"/>
                <w:szCs w:val="24"/>
              </w:rPr>
            </w:pPr>
          </w:p>
          <w:tbl>
            <w:tblPr>
              <w:tblStyle w:val="TableGrid"/>
              <w:tblW w:w="5000" w:type="pct"/>
              <w:tblLook w:val="04A0" w:firstRow="1" w:lastRow="0" w:firstColumn="1" w:lastColumn="0" w:noHBand="0" w:noVBand="1"/>
            </w:tblPr>
            <w:tblGrid>
              <w:gridCol w:w="2097"/>
              <w:gridCol w:w="2132"/>
              <w:gridCol w:w="2097"/>
              <w:gridCol w:w="2095"/>
            </w:tblGrid>
            <w:tr w:rsidR="003714C4" w:rsidRPr="005F3DE5" w14:paraId="59C455AA" w14:textId="57BCDC19" w:rsidTr="00725AA8">
              <w:tc>
                <w:tcPr>
                  <w:tcW w:w="1245" w:type="pct"/>
                </w:tcPr>
                <w:p w14:paraId="0CBD6B26" w14:textId="77777777" w:rsidR="003714C4" w:rsidRPr="00725AA8" w:rsidRDefault="003714C4" w:rsidP="003714C4">
                  <w:pPr>
                    <w:jc w:val="center"/>
                    <w:rPr>
                      <w:rFonts w:ascii="Arial" w:hAnsi="Arial" w:cs="Arial"/>
                      <w:b/>
                      <w:bCs/>
                      <w:szCs w:val="24"/>
                    </w:rPr>
                  </w:pPr>
                </w:p>
              </w:tc>
              <w:tc>
                <w:tcPr>
                  <w:tcW w:w="1266" w:type="pct"/>
                </w:tcPr>
                <w:p w14:paraId="0D85D3E4" w14:textId="65C26D52" w:rsidR="003714C4" w:rsidRPr="005F3DE5" w:rsidRDefault="003714C4" w:rsidP="003714C4">
                  <w:pPr>
                    <w:jc w:val="center"/>
                    <w:rPr>
                      <w:rFonts w:ascii="Arial" w:hAnsi="Arial" w:cs="Arial"/>
                      <w:b/>
                      <w:bCs/>
                      <w:szCs w:val="24"/>
                    </w:rPr>
                  </w:pPr>
                  <w:r>
                    <w:rPr>
                      <w:rFonts w:ascii="Arial" w:hAnsi="Arial" w:cs="Arial"/>
                      <w:b/>
                      <w:bCs/>
                      <w:szCs w:val="24"/>
                    </w:rPr>
                    <w:t>Option 1</w:t>
                  </w:r>
                </w:p>
              </w:tc>
              <w:tc>
                <w:tcPr>
                  <w:tcW w:w="1245" w:type="pct"/>
                </w:tcPr>
                <w:p w14:paraId="17E972DB" w14:textId="1BE26680" w:rsidR="003714C4" w:rsidRPr="005F3DE5" w:rsidRDefault="003714C4" w:rsidP="003714C4">
                  <w:pPr>
                    <w:jc w:val="center"/>
                    <w:rPr>
                      <w:rFonts w:ascii="Arial" w:hAnsi="Arial" w:cs="Arial"/>
                      <w:b/>
                      <w:bCs/>
                      <w:szCs w:val="24"/>
                    </w:rPr>
                  </w:pPr>
                  <w:r>
                    <w:rPr>
                      <w:rFonts w:ascii="Arial" w:hAnsi="Arial" w:cs="Arial"/>
                      <w:b/>
                      <w:bCs/>
                      <w:szCs w:val="24"/>
                    </w:rPr>
                    <w:t>Option 2</w:t>
                  </w:r>
                </w:p>
              </w:tc>
              <w:tc>
                <w:tcPr>
                  <w:tcW w:w="1244" w:type="pct"/>
                </w:tcPr>
                <w:p w14:paraId="03549F60" w14:textId="40155D62" w:rsidR="003714C4" w:rsidRPr="005F3DE5" w:rsidRDefault="003714C4" w:rsidP="003714C4">
                  <w:pPr>
                    <w:jc w:val="center"/>
                    <w:rPr>
                      <w:rFonts w:ascii="Arial" w:hAnsi="Arial" w:cs="Arial"/>
                      <w:b/>
                      <w:bCs/>
                      <w:szCs w:val="24"/>
                    </w:rPr>
                  </w:pPr>
                  <w:r>
                    <w:rPr>
                      <w:rFonts w:ascii="Arial" w:hAnsi="Arial" w:cs="Arial"/>
                      <w:b/>
                      <w:bCs/>
                      <w:szCs w:val="24"/>
                    </w:rPr>
                    <w:t>Option 3</w:t>
                  </w:r>
                </w:p>
              </w:tc>
            </w:tr>
            <w:tr w:rsidR="003714C4" w:rsidRPr="00F2409E" w14:paraId="00DF480B" w14:textId="6072D5C1" w:rsidTr="00725AA8">
              <w:tc>
                <w:tcPr>
                  <w:tcW w:w="1245" w:type="pct"/>
                </w:tcPr>
                <w:p w14:paraId="5C1731D3" w14:textId="77777777" w:rsidR="003714C4" w:rsidRPr="00725AA8" w:rsidRDefault="003714C4" w:rsidP="0087190C">
                  <w:pPr>
                    <w:rPr>
                      <w:rFonts w:ascii="Arial" w:hAnsi="Arial" w:cs="Arial"/>
                      <w:b/>
                      <w:bCs/>
                      <w:szCs w:val="24"/>
                    </w:rPr>
                  </w:pPr>
                  <w:r w:rsidRPr="00725AA8">
                    <w:rPr>
                      <w:rFonts w:ascii="Arial" w:hAnsi="Arial" w:cs="Arial"/>
                      <w:b/>
                      <w:bCs/>
                      <w:szCs w:val="24"/>
                    </w:rPr>
                    <w:t>Social/health benefits</w:t>
                  </w:r>
                </w:p>
              </w:tc>
              <w:tc>
                <w:tcPr>
                  <w:tcW w:w="1266" w:type="pct"/>
                </w:tcPr>
                <w:p w14:paraId="01695417" w14:textId="4027ABCE" w:rsidR="00D37320" w:rsidRDefault="003714C4" w:rsidP="0087190C">
                  <w:pPr>
                    <w:rPr>
                      <w:rFonts w:ascii="Arial" w:hAnsi="Arial" w:cs="Arial"/>
                      <w:szCs w:val="24"/>
                    </w:rPr>
                  </w:pPr>
                  <w:r>
                    <w:rPr>
                      <w:rFonts w:ascii="Arial" w:hAnsi="Arial" w:cs="Arial"/>
                      <w:szCs w:val="24"/>
                    </w:rPr>
                    <w:t>T</w:t>
                  </w:r>
                  <w:r w:rsidRPr="00861DC0">
                    <w:rPr>
                      <w:rFonts w:ascii="Arial" w:hAnsi="Arial" w:cs="Arial"/>
                      <w:szCs w:val="24"/>
                    </w:rPr>
                    <w:t>here is likely to be low uptake if it is priced at £3 and £5</w:t>
                  </w:r>
                  <w:r>
                    <w:rPr>
                      <w:rFonts w:ascii="Arial" w:hAnsi="Arial" w:cs="Arial"/>
                      <w:szCs w:val="24"/>
                    </w:rPr>
                    <w:t xml:space="preserve"> because of the number of visits per month which would be required to make it cost effective for customer</w:t>
                  </w:r>
                  <w:r w:rsidR="0087190C">
                    <w:rPr>
                      <w:rFonts w:ascii="Arial" w:hAnsi="Arial" w:cs="Arial"/>
                      <w:szCs w:val="24"/>
                    </w:rPr>
                    <w:t>s</w:t>
                  </w:r>
                  <w:r w:rsidRPr="00861DC0">
                    <w:rPr>
                      <w:rFonts w:ascii="Arial" w:hAnsi="Arial" w:cs="Arial"/>
                      <w:szCs w:val="24"/>
                    </w:rPr>
                    <w:t>.</w:t>
                  </w:r>
                  <w:r w:rsidR="00BE5E50">
                    <w:rPr>
                      <w:rFonts w:ascii="Arial" w:hAnsi="Arial" w:cs="Arial"/>
                      <w:szCs w:val="24"/>
                    </w:rPr>
                    <w:t xml:space="preserve"> It would, however, be likely to be successful at increasing participation amongst those who take it up. </w:t>
                  </w:r>
                </w:p>
                <w:p w14:paraId="4900C698" w14:textId="7F4600DF" w:rsidR="00BE5E50" w:rsidRPr="00F2409E" w:rsidRDefault="00BE5E50" w:rsidP="0087190C">
                  <w:pPr>
                    <w:rPr>
                      <w:rFonts w:ascii="Arial" w:hAnsi="Arial" w:cs="Arial"/>
                      <w:szCs w:val="24"/>
                    </w:rPr>
                  </w:pPr>
                </w:p>
              </w:tc>
              <w:tc>
                <w:tcPr>
                  <w:tcW w:w="1245" w:type="pct"/>
                </w:tcPr>
                <w:p w14:paraId="402B82BA" w14:textId="4E9064D9" w:rsidR="003714C4" w:rsidRPr="003714C4" w:rsidRDefault="003714C4" w:rsidP="0087190C">
                  <w:pPr>
                    <w:autoSpaceDE w:val="0"/>
                    <w:autoSpaceDN w:val="0"/>
                    <w:adjustRightInd w:val="0"/>
                    <w:rPr>
                      <w:rFonts w:ascii="Arial" w:hAnsi="Arial" w:cs="Arial"/>
                      <w:szCs w:val="24"/>
                    </w:rPr>
                  </w:pPr>
                  <w:r>
                    <w:rPr>
                      <w:rFonts w:ascii="Arial" w:hAnsi="Arial" w:cs="Arial"/>
                      <w:szCs w:val="24"/>
                    </w:rPr>
                    <w:t xml:space="preserve">The “break-even point” for </w:t>
                  </w:r>
                  <w:r w:rsidR="0087190C">
                    <w:rPr>
                      <w:rFonts w:ascii="Arial" w:hAnsi="Arial" w:cs="Arial"/>
                      <w:szCs w:val="24"/>
                    </w:rPr>
                    <w:t>customers</w:t>
                  </w:r>
                  <w:r>
                    <w:rPr>
                      <w:rFonts w:ascii="Arial" w:hAnsi="Arial" w:cs="Arial"/>
                      <w:szCs w:val="24"/>
                    </w:rPr>
                    <w:t xml:space="preserve"> </w:t>
                  </w:r>
                  <w:r w:rsidRPr="003714C4">
                    <w:rPr>
                      <w:rFonts w:ascii="Arial" w:hAnsi="Arial" w:cs="Arial"/>
                      <w:szCs w:val="24"/>
                    </w:rPr>
                    <w:t xml:space="preserve">would be similar, in relative terms to the </w:t>
                  </w:r>
                  <w:r w:rsidRPr="003714C4">
                    <w:rPr>
                      <w:rFonts w:ascii="Arial" w:hAnsi="Arial" w:cs="Arial"/>
                      <w:b/>
                      <w:bCs/>
                      <w:i/>
                      <w:iCs/>
                      <w:szCs w:val="24"/>
                    </w:rPr>
                    <w:t>high</w:t>
                  </w:r>
                  <w:r w:rsidRPr="003714C4">
                    <w:rPr>
                      <w:rFonts w:ascii="Arial" w:hAnsi="Arial" w:cs="Arial"/>
                      <w:i/>
                      <w:iCs/>
                      <w:szCs w:val="24"/>
                    </w:rPr>
                    <w:t xml:space="preserve">life </w:t>
                  </w:r>
                  <w:r w:rsidRPr="003714C4">
                    <w:rPr>
                      <w:rFonts w:ascii="Arial" w:hAnsi="Arial" w:cs="Arial"/>
                      <w:szCs w:val="24"/>
                    </w:rPr>
                    <w:t xml:space="preserve">all-inclusive subscription where the break-even point is around four visits per month. </w:t>
                  </w:r>
                </w:p>
                <w:p w14:paraId="6A98F4A1" w14:textId="77777777" w:rsidR="003714C4" w:rsidRPr="00F2409E" w:rsidRDefault="003714C4" w:rsidP="0087190C">
                  <w:pPr>
                    <w:rPr>
                      <w:rFonts w:ascii="Arial" w:hAnsi="Arial" w:cs="Arial"/>
                      <w:szCs w:val="24"/>
                    </w:rPr>
                  </w:pPr>
                </w:p>
              </w:tc>
              <w:tc>
                <w:tcPr>
                  <w:tcW w:w="1244" w:type="pct"/>
                </w:tcPr>
                <w:p w14:paraId="307F2994" w14:textId="62E0D3B5" w:rsidR="003714C4" w:rsidRPr="00F2409E" w:rsidRDefault="0087190C" w:rsidP="0087190C">
                  <w:pPr>
                    <w:rPr>
                      <w:rFonts w:ascii="Arial" w:hAnsi="Arial" w:cs="Arial"/>
                      <w:szCs w:val="24"/>
                    </w:rPr>
                  </w:pPr>
                  <w:r>
                    <w:rPr>
                      <w:rFonts w:ascii="Arial" w:hAnsi="Arial" w:cs="Arial"/>
                      <w:szCs w:val="24"/>
                    </w:rPr>
                    <w:t xml:space="preserve">This option would be the best in terms of meeting HLH’s social objectives and potential health benefits for customers because it would be clearly better value for money to opt for a subscription. </w:t>
                  </w:r>
                </w:p>
              </w:tc>
            </w:tr>
            <w:tr w:rsidR="003714C4" w:rsidRPr="00F2409E" w14:paraId="4FCC3316" w14:textId="196AE2CB" w:rsidTr="00725AA8">
              <w:tc>
                <w:tcPr>
                  <w:tcW w:w="1245" w:type="pct"/>
                </w:tcPr>
                <w:p w14:paraId="10DB800D" w14:textId="77777777" w:rsidR="003714C4" w:rsidRPr="00725AA8" w:rsidRDefault="003714C4" w:rsidP="0087190C">
                  <w:pPr>
                    <w:rPr>
                      <w:rFonts w:ascii="Arial" w:hAnsi="Arial" w:cs="Arial"/>
                      <w:b/>
                      <w:bCs/>
                      <w:szCs w:val="24"/>
                    </w:rPr>
                  </w:pPr>
                  <w:r w:rsidRPr="00725AA8">
                    <w:rPr>
                      <w:rFonts w:ascii="Arial" w:hAnsi="Arial" w:cs="Arial"/>
                      <w:b/>
                      <w:bCs/>
                      <w:szCs w:val="24"/>
                    </w:rPr>
                    <w:t>Financial implications</w:t>
                  </w:r>
                </w:p>
              </w:tc>
              <w:tc>
                <w:tcPr>
                  <w:tcW w:w="1266" w:type="pct"/>
                </w:tcPr>
                <w:p w14:paraId="5CD2D996" w14:textId="4415CED2" w:rsidR="003714C4" w:rsidRDefault="0087190C" w:rsidP="0087190C">
                  <w:pPr>
                    <w:rPr>
                      <w:rFonts w:ascii="Arial" w:hAnsi="Arial" w:cs="Arial"/>
                      <w:szCs w:val="24"/>
                    </w:rPr>
                  </w:pPr>
                  <w:r>
                    <w:rPr>
                      <w:rFonts w:ascii="Arial" w:hAnsi="Arial" w:cs="Arial"/>
                      <w:szCs w:val="24"/>
                    </w:rPr>
                    <w:t xml:space="preserve">If the uptake is good income will increase. If the uptake is poor and customers opt for the PAYG option income </w:t>
                  </w:r>
                  <w:r>
                    <w:rPr>
                      <w:rFonts w:ascii="Arial" w:hAnsi="Arial" w:cs="Arial"/>
                      <w:szCs w:val="24"/>
                    </w:rPr>
                    <w:lastRenderedPageBreak/>
                    <w:t xml:space="preserve">levels will remain the same. </w:t>
                  </w:r>
                </w:p>
              </w:tc>
              <w:tc>
                <w:tcPr>
                  <w:tcW w:w="1245" w:type="pct"/>
                </w:tcPr>
                <w:p w14:paraId="205B3D1E" w14:textId="6E1E5021" w:rsidR="003714C4" w:rsidRDefault="0087190C" w:rsidP="0087190C">
                  <w:pPr>
                    <w:rPr>
                      <w:rFonts w:ascii="Arial" w:hAnsi="Arial" w:cs="Arial"/>
                      <w:szCs w:val="24"/>
                    </w:rPr>
                  </w:pPr>
                  <w:r>
                    <w:rPr>
                      <w:rFonts w:ascii="Arial" w:hAnsi="Arial" w:cs="Arial"/>
                      <w:szCs w:val="24"/>
                    </w:rPr>
                    <w:lastRenderedPageBreak/>
                    <w:t xml:space="preserve">This is likely to be the riskiest option in terms of lost income to HLH because frequent users only will sign up </w:t>
                  </w:r>
                  <w:r>
                    <w:rPr>
                      <w:rFonts w:ascii="Arial" w:hAnsi="Arial" w:cs="Arial"/>
                      <w:szCs w:val="24"/>
                    </w:rPr>
                    <w:lastRenderedPageBreak/>
                    <w:t xml:space="preserve">to it and infrequent users will continue with </w:t>
                  </w:r>
                  <w:r w:rsidR="00725AA8">
                    <w:rPr>
                      <w:rFonts w:ascii="Arial" w:hAnsi="Arial" w:cs="Arial"/>
                      <w:szCs w:val="24"/>
                    </w:rPr>
                    <w:t>t</w:t>
                  </w:r>
                  <w:r>
                    <w:rPr>
                      <w:rFonts w:ascii="Arial" w:hAnsi="Arial" w:cs="Arial"/>
                      <w:szCs w:val="24"/>
                    </w:rPr>
                    <w:t xml:space="preserve">he 50p PAYG option. </w:t>
                  </w:r>
                </w:p>
              </w:tc>
              <w:tc>
                <w:tcPr>
                  <w:tcW w:w="1244" w:type="pct"/>
                </w:tcPr>
                <w:p w14:paraId="348B38EC" w14:textId="5E7E5021" w:rsidR="003714C4" w:rsidRDefault="00725AA8" w:rsidP="0087190C">
                  <w:pPr>
                    <w:rPr>
                      <w:rFonts w:ascii="Arial" w:hAnsi="Arial" w:cs="Arial"/>
                      <w:szCs w:val="24"/>
                    </w:rPr>
                  </w:pPr>
                  <w:r>
                    <w:rPr>
                      <w:rFonts w:ascii="Arial" w:hAnsi="Arial" w:cs="Arial"/>
                      <w:szCs w:val="24"/>
                    </w:rPr>
                    <w:lastRenderedPageBreak/>
                    <w:t xml:space="preserve">This option is likely to be cost neutral or slightly positive – if there is a large uptake the income will replace the </w:t>
                  </w:r>
                  <w:r>
                    <w:rPr>
                      <w:rFonts w:ascii="Arial" w:hAnsi="Arial" w:cs="Arial"/>
                      <w:szCs w:val="24"/>
                    </w:rPr>
                    <w:lastRenderedPageBreak/>
                    <w:t xml:space="preserve">PAYG option and if there is a low uptake the PAYG income will continue. </w:t>
                  </w:r>
                </w:p>
              </w:tc>
            </w:tr>
            <w:tr w:rsidR="003714C4" w:rsidRPr="00F2409E" w14:paraId="4D679339" w14:textId="5C1391E5" w:rsidTr="00725AA8">
              <w:tc>
                <w:tcPr>
                  <w:tcW w:w="1245" w:type="pct"/>
                </w:tcPr>
                <w:p w14:paraId="67D0B974" w14:textId="77777777" w:rsidR="003714C4" w:rsidRPr="00725AA8" w:rsidRDefault="003714C4" w:rsidP="0087190C">
                  <w:pPr>
                    <w:rPr>
                      <w:rFonts w:ascii="Arial" w:hAnsi="Arial" w:cs="Arial"/>
                      <w:b/>
                      <w:bCs/>
                      <w:szCs w:val="24"/>
                    </w:rPr>
                  </w:pPr>
                  <w:r w:rsidRPr="00725AA8">
                    <w:rPr>
                      <w:rFonts w:ascii="Arial" w:hAnsi="Arial" w:cs="Arial"/>
                      <w:b/>
                      <w:bCs/>
                      <w:szCs w:val="24"/>
                    </w:rPr>
                    <w:lastRenderedPageBreak/>
                    <w:t>Reputational implications</w:t>
                  </w:r>
                </w:p>
              </w:tc>
              <w:tc>
                <w:tcPr>
                  <w:tcW w:w="1266" w:type="pct"/>
                </w:tcPr>
                <w:p w14:paraId="0B916163" w14:textId="77777777" w:rsidR="003714C4" w:rsidRDefault="003714C4" w:rsidP="0087190C">
                  <w:pPr>
                    <w:rPr>
                      <w:rFonts w:ascii="Arial" w:hAnsi="Arial" w:cs="Arial"/>
                      <w:szCs w:val="24"/>
                    </w:rPr>
                  </w:pPr>
                  <w:r>
                    <w:rPr>
                      <w:rFonts w:ascii="Arial" w:hAnsi="Arial" w:cs="Arial"/>
                      <w:szCs w:val="24"/>
                    </w:rPr>
                    <w:t>With the number of visits required to make it good value compared with the PAYG price there is a risk that those charges could be seen cynically by customers and reputationally damaging to HLH.</w:t>
                  </w:r>
                </w:p>
                <w:p w14:paraId="514B24D6" w14:textId="77777777" w:rsidR="0087190C" w:rsidRDefault="0087190C" w:rsidP="0087190C">
                  <w:pPr>
                    <w:rPr>
                      <w:rFonts w:ascii="Arial" w:hAnsi="Arial" w:cs="Arial"/>
                      <w:szCs w:val="24"/>
                    </w:rPr>
                  </w:pPr>
                </w:p>
                <w:p w14:paraId="2CDFBD3C" w14:textId="0579C776" w:rsidR="0087190C" w:rsidRDefault="0087190C" w:rsidP="0087190C">
                  <w:pPr>
                    <w:rPr>
                      <w:rFonts w:ascii="Arial" w:hAnsi="Arial" w:cs="Arial"/>
                      <w:szCs w:val="24"/>
                    </w:rPr>
                  </w:pPr>
                  <w:r>
                    <w:rPr>
                      <w:rFonts w:ascii="Arial" w:hAnsi="Arial" w:cs="Arial"/>
                      <w:szCs w:val="24"/>
                    </w:rPr>
                    <w:t>There is a risk that HLH is seen to be targeting</w:t>
                  </w:r>
                  <w:r w:rsidR="00725AA8">
                    <w:rPr>
                      <w:rFonts w:ascii="Arial" w:hAnsi="Arial" w:cs="Arial"/>
                      <w:szCs w:val="24"/>
                    </w:rPr>
                    <w:t xml:space="preserve"> larger families and supporting them while being less favourable to single parent families who could be just as much in need. </w:t>
                  </w:r>
                </w:p>
              </w:tc>
              <w:tc>
                <w:tcPr>
                  <w:tcW w:w="1245" w:type="pct"/>
                </w:tcPr>
                <w:p w14:paraId="49184E01" w14:textId="4C337BB9" w:rsidR="003714C4" w:rsidRDefault="00725AA8" w:rsidP="0087190C">
                  <w:pPr>
                    <w:rPr>
                      <w:rFonts w:ascii="Arial" w:hAnsi="Arial" w:cs="Arial"/>
                      <w:szCs w:val="24"/>
                    </w:rPr>
                  </w:pPr>
                  <w:r>
                    <w:rPr>
                      <w:rFonts w:ascii="Arial" w:hAnsi="Arial" w:cs="Arial"/>
                      <w:szCs w:val="24"/>
                    </w:rPr>
                    <w:t xml:space="preserve">This option is likely to be seen as offering good value compared with the PAYG option and a genuine attempt to support people to participate more frequently. </w:t>
                  </w:r>
                </w:p>
              </w:tc>
              <w:tc>
                <w:tcPr>
                  <w:tcW w:w="1244" w:type="pct"/>
                </w:tcPr>
                <w:p w14:paraId="75D0E810" w14:textId="4AD3ADFA" w:rsidR="003714C4" w:rsidRDefault="00725AA8" w:rsidP="0087190C">
                  <w:pPr>
                    <w:rPr>
                      <w:rFonts w:ascii="Arial" w:hAnsi="Arial" w:cs="Arial"/>
                      <w:szCs w:val="24"/>
                    </w:rPr>
                  </w:pPr>
                  <w:r>
                    <w:rPr>
                      <w:rFonts w:ascii="Arial" w:hAnsi="Arial" w:cs="Arial"/>
                      <w:szCs w:val="24"/>
                    </w:rPr>
                    <w:t xml:space="preserve">This option </w:t>
                  </w:r>
                  <w:r w:rsidR="0087190C" w:rsidRPr="00861DC0">
                    <w:rPr>
                      <w:rFonts w:ascii="Arial" w:hAnsi="Arial" w:cs="Arial"/>
                      <w:szCs w:val="24"/>
                    </w:rPr>
                    <w:t>is likely to increase participation most but runs the risk of under-valuing the service</w:t>
                  </w:r>
                  <w:r w:rsidR="0087190C">
                    <w:rPr>
                      <w:rFonts w:ascii="Arial" w:hAnsi="Arial" w:cs="Arial"/>
                      <w:szCs w:val="24"/>
                    </w:rPr>
                    <w:t xml:space="preserve"> so might be </w:t>
                  </w:r>
                  <w:proofErr w:type="gramStart"/>
                  <w:r w:rsidR="0087190C">
                    <w:rPr>
                      <w:rFonts w:ascii="Arial" w:hAnsi="Arial" w:cs="Arial"/>
                      <w:szCs w:val="24"/>
                    </w:rPr>
                    <w:t>counter-productive</w:t>
                  </w:r>
                  <w:proofErr w:type="gramEnd"/>
                  <w:r w:rsidR="0087190C">
                    <w:rPr>
                      <w:rFonts w:ascii="Arial" w:hAnsi="Arial" w:cs="Arial"/>
                      <w:szCs w:val="24"/>
                    </w:rPr>
                    <w:t>.</w:t>
                  </w:r>
                </w:p>
              </w:tc>
            </w:tr>
          </w:tbl>
          <w:p w14:paraId="00FD8BA2" w14:textId="530BA512" w:rsidR="00076CE9" w:rsidRPr="003714C4" w:rsidRDefault="00076CE9" w:rsidP="003714C4">
            <w:pPr>
              <w:autoSpaceDE w:val="0"/>
              <w:autoSpaceDN w:val="0"/>
              <w:adjustRightInd w:val="0"/>
              <w:jc w:val="both"/>
              <w:rPr>
                <w:rFonts w:ascii="Arial" w:hAnsi="Arial" w:cs="Arial"/>
                <w:b/>
                <w:bCs/>
                <w:szCs w:val="24"/>
              </w:rPr>
            </w:pPr>
          </w:p>
        </w:tc>
      </w:tr>
      <w:tr w:rsidR="00D37320" w:rsidRPr="000B1EBC" w14:paraId="1257DCCB" w14:textId="77777777" w:rsidTr="00BA3AA6">
        <w:tc>
          <w:tcPr>
            <w:tcW w:w="817" w:type="dxa"/>
          </w:tcPr>
          <w:p w14:paraId="151C3088" w14:textId="77777777" w:rsidR="00D37320" w:rsidRPr="000B1EBC" w:rsidRDefault="00D37320" w:rsidP="00076CE9">
            <w:pPr>
              <w:rPr>
                <w:rFonts w:ascii="Arial" w:hAnsi="Arial" w:cs="Arial"/>
                <w:szCs w:val="24"/>
              </w:rPr>
            </w:pPr>
          </w:p>
        </w:tc>
        <w:tc>
          <w:tcPr>
            <w:tcW w:w="8647" w:type="dxa"/>
          </w:tcPr>
          <w:p w14:paraId="757E88ED" w14:textId="77777777" w:rsidR="00D37320" w:rsidRPr="000B1EBC" w:rsidRDefault="00D37320" w:rsidP="00287AFF">
            <w:pPr>
              <w:autoSpaceDE w:val="0"/>
              <w:autoSpaceDN w:val="0"/>
              <w:adjustRightInd w:val="0"/>
              <w:jc w:val="both"/>
              <w:rPr>
                <w:rFonts w:ascii="Arial" w:hAnsi="Arial" w:cs="Arial"/>
                <w:szCs w:val="24"/>
              </w:rPr>
            </w:pPr>
          </w:p>
        </w:tc>
      </w:tr>
      <w:tr w:rsidR="00076CE9" w:rsidRPr="000B1EBC" w14:paraId="29905E70" w14:textId="77777777" w:rsidTr="00BA3AA6">
        <w:tc>
          <w:tcPr>
            <w:tcW w:w="817" w:type="dxa"/>
          </w:tcPr>
          <w:p w14:paraId="228E8396" w14:textId="0C226220" w:rsidR="00076CE9" w:rsidRPr="000B1EBC" w:rsidRDefault="00076CE9" w:rsidP="00076CE9">
            <w:pPr>
              <w:rPr>
                <w:rFonts w:ascii="Arial" w:hAnsi="Arial" w:cs="Arial"/>
                <w:szCs w:val="24"/>
              </w:rPr>
            </w:pPr>
            <w:r w:rsidRPr="000B1EBC">
              <w:rPr>
                <w:rFonts w:ascii="Arial" w:hAnsi="Arial" w:cs="Arial"/>
                <w:szCs w:val="24"/>
              </w:rPr>
              <w:t>6.</w:t>
            </w:r>
            <w:r w:rsidR="00725AA8" w:rsidRPr="000B1EBC">
              <w:rPr>
                <w:rFonts w:ascii="Arial" w:hAnsi="Arial" w:cs="Arial"/>
                <w:szCs w:val="24"/>
              </w:rPr>
              <w:t>4</w:t>
            </w:r>
          </w:p>
        </w:tc>
        <w:tc>
          <w:tcPr>
            <w:tcW w:w="8647" w:type="dxa"/>
          </w:tcPr>
          <w:p w14:paraId="3D921082" w14:textId="00C8943C" w:rsidR="00725AA8" w:rsidRDefault="00725AA8" w:rsidP="00287AFF">
            <w:pPr>
              <w:autoSpaceDE w:val="0"/>
              <w:autoSpaceDN w:val="0"/>
              <w:adjustRightInd w:val="0"/>
              <w:jc w:val="both"/>
              <w:rPr>
                <w:rFonts w:ascii="Arial" w:hAnsi="Arial" w:cs="Arial"/>
                <w:szCs w:val="24"/>
              </w:rPr>
            </w:pPr>
            <w:r w:rsidRPr="000B1EBC">
              <w:rPr>
                <w:rFonts w:ascii="Arial" w:hAnsi="Arial" w:cs="Arial"/>
                <w:szCs w:val="24"/>
              </w:rPr>
              <w:t>The analysis of the implications of the different price points suggests that:</w:t>
            </w:r>
          </w:p>
          <w:p w14:paraId="29EB7C78" w14:textId="77777777" w:rsidR="00287AFF" w:rsidRPr="000B1EBC" w:rsidRDefault="00287AFF" w:rsidP="00287AFF">
            <w:pPr>
              <w:autoSpaceDE w:val="0"/>
              <w:autoSpaceDN w:val="0"/>
              <w:adjustRightInd w:val="0"/>
              <w:jc w:val="both"/>
              <w:rPr>
                <w:rFonts w:ascii="Arial" w:hAnsi="Arial" w:cs="Arial"/>
                <w:szCs w:val="24"/>
              </w:rPr>
            </w:pPr>
          </w:p>
          <w:p w14:paraId="52257C87" w14:textId="77777777" w:rsidR="000B1EBC" w:rsidRPr="000B1EBC" w:rsidRDefault="000B1EBC" w:rsidP="00287AFF">
            <w:pPr>
              <w:pStyle w:val="ListParagraph"/>
              <w:numPr>
                <w:ilvl w:val="0"/>
                <w:numId w:val="20"/>
              </w:numPr>
              <w:autoSpaceDE w:val="0"/>
              <w:autoSpaceDN w:val="0"/>
              <w:adjustRightInd w:val="0"/>
              <w:spacing w:after="0" w:line="240" w:lineRule="auto"/>
              <w:ind w:left="714" w:hanging="357"/>
              <w:jc w:val="both"/>
              <w:rPr>
                <w:rFonts w:ascii="Arial" w:hAnsi="Arial" w:cs="Arial"/>
                <w:sz w:val="24"/>
                <w:szCs w:val="24"/>
              </w:rPr>
            </w:pPr>
            <w:r w:rsidRPr="000B1EBC">
              <w:rPr>
                <w:rFonts w:ascii="Arial" w:hAnsi="Arial" w:cs="Arial"/>
                <w:sz w:val="24"/>
                <w:szCs w:val="24"/>
              </w:rPr>
              <w:t xml:space="preserve">Option 1 (pricing at £3 and £5) is less likely to achieve the social/health benefits that would be achieved from the other price options but retaining the PAYG option addresses that. </w:t>
            </w:r>
          </w:p>
          <w:p w14:paraId="2D438AE7" w14:textId="49631B34" w:rsidR="00725AA8" w:rsidRPr="000B1EBC" w:rsidRDefault="00287AFF" w:rsidP="00287AFF">
            <w:pPr>
              <w:pStyle w:val="ListParagraph"/>
              <w:numPr>
                <w:ilvl w:val="0"/>
                <w:numId w:val="20"/>
              </w:numPr>
              <w:autoSpaceDE w:val="0"/>
              <w:autoSpaceDN w:val="0"/>
              <w:adjustRightInd w:val="0"/>
              <w:spacing w:after="0" w:line="240" w:lineRule="auto"/>
              <w:ind w:left="714" w:hanging="357"/>
              <w:jc w:val="both"/>
              <w:rPr>
                <w:rFonts w:ascii="Arial" w:hAnsi="Arial" w:cs="Arial"/>
                <w:sz w:val="24"/>
                <w:szCs w:val="24"/>
              </w:rPr>
            </w:pPr>
            <w:r>
              <w:rPr>
                <w:rFonts w:ascii="Arial" w:hAnsi="Arial" w:cs="Arial"/>
                <w:sz w:val="24"/>
                <w:szCs w:val="24"/>
              </w:rPr>
              <w:t>O</w:t>
            </w:r>
            <w:r w:rsidR="00725AA8" w:rsidRPr="000B1EBC">
              <w:rPr>
                <w:rFonts w:ascii="Arial" w:hAnsi="Arial" w:cs="Arial"/>
                <w:sz w:val="24"/>
                <w:szCs w:val="24"/>
              </w:rPr>
              <w:t xml:space="preserve">ption 2 (pricing in the middle ground) should be avoided if HLH is to retain the income levels associated with the budget scheme. </w:t>
            </w:r>
          </w:p>
          <w:p w14:paraId="2B57B627" w14:textId="77777777" w:rsidR="00861DC0" w:rsidRDefault="000B1EBC" w:rsidP="00287AFF">
            <w:pPr>
              <w:pStyle w:val="ListParagraph"/>
              <w:numPr>
                <w:ilvl w:val="0"/>
                <w:numId w:val="20"/>
              </w:numPr>
              <w:autoSpaceDE w:val="0"/>
              <w:autoSpaceDN w:val="0"/>
              <w:adjustRightInd w:val="0"/>
              <w:spacing w:after="0" w:line="240" w:lineRule="auto"/>
              <w:ind w:left="714" w:hanging="357"/>
              <w:jc w:val="both"/>
              <w:rPr>
                <w:rFonts w:ascii="Arial" w:hAnsi="Arial" w:cs="Arial"/>
                <w:sz w:val="24"/>
                <w:szCs w:val="24"/>
              </w:rPr>
            </w:pPr>
            <w:r w:rsidRPr="000B1EBC">
              <w:rPr>
                <w:rFonts w:ascii="Arial" w:hAnsi="Arial" w:cs="Arial"/>
                <w:sz w:val="24"/>
                <w:szCs w:val="24"/>
              </w:rPr>
              <w:t>Option 3 is likely to best achieve the social/health benefits that HLH would wish to see and, counterintuitively, is likely to retain income levels</w:t>
            </w:r>
            <w:r w:rsidR="00564BF3">
              <w:rPr>
                <w:rFonts w:ascii="Arial" w:hAnsi="Arial" w:cs="Arial"/>
                <w:sz w:val="24"/>
                <w:szCs w:val="24"/>
              </w:rPr>
              <w:t>, however, it runs the risk of devaluing scheme and could be seen negatively by the Council and others in the context of the budget pressures on HLH and the public sector</w:t>
            </w:r>
            <w:r w:rsidRPr="000B1EBC">
              <w:rPr>
                <w:rFonts w:ascii="Arial" w:hAnsi="Arial" w:cs="Arial"/>
                <w:sz w:val="24"/>
                <w:szCs w:val="24"/>
              </w:rPr>
              <w:t>.</w:t>
            </w:r>
          </w:p>
          <w:p w14:paraId="55293984" w14:textId="29C951E6" w:rsidR="00287AFF" w:rsidRPr="000B1EBC" w:rsidRDefault="00287AFF" w:rsidP="00287AFF">
            <w:pPr>
              <w:pStyle w:val="ListParagraph"/>
              <w:autoSpaceDE w:val="0"/>
              <w:autoSpaceDN w:val="0"/>
              <w:adjustRightInd w:val="0"/>
              <w:spacing w:after="0" w:line="240" w:lineRule="auto"/>
              <w:ind w:left="714"/>
              <w:jc w:val="both"/>
              <w:rPr>
                <w:rFonts w:ascii="Arial" w:hAnsi="Arial" w:cs="Arial"/>
                <w:sz w:val="24"/>
                <w:szCs w:val="24"/>
              </w:rPr>
            </w:pPr>
          </w:p>
        </w:tc>
      </w:tr>
      <w:tr w:rsidR="000B1EBC" w:rsidRPr="00BC7346" w14:paraId="67793432" w14:textId="77777777" w:rsidTr="00BA3AA6">
        <w:tc>
          <w:tcPr>
            <w:tcW w:w="817" w:type="dxa"/>
          </w:tcPr>
          <w:p w14:paraId="198F5BBF" w14:textId="6A14F423" w:rsidR="000B1EBC" w:rsidRDefault="000B1EBC" w:rsidP="000B1EBC">
            <w:pPr>
              <w:rPr>
                <w:rFonts w:ascii="Arial" w:hAnsi="Arial" w:cs="Arial"/>
                <w:szCs w:val="24"/>
              </w:rPr>
            </w:pPr>
            <w:r w:rsidRPr="00A747FF">
              <w:rPr>
                <w:rFonts w:ascii="Arial" w:hAnsi="Arial" w:cs="Arial"/>
                <w:b/>
                <w:bCs/>
                <w:szCs w:val="24"/>
              </w:rPr>
              <w:t>7.</w:t>
            </w:r>
          </w:p>
        </w:tc>
        <w:tc>
          <w:tcPr>
            <w:tcW w:w="8647" w:type="dxa"/>
          </w:tcPr>
          <w:p w14:paraId="1DB0BBE6" w14:textId="113E626E" w:rsidR="000B1EBC" w:rsidRDefault="000B1EBC" w:rsidP="000B1EBC">
            <w:pPr>
              <w:autoSpaceDE w:val="0"/>
              <w:autoSpaceDN w:val="0"/>
              <w:adjustRightInd w:val="0"/>
              <w:jc w:val="both"/>
              <w:rPr>
                <w:rFonts w:ascii="Arial" w:hAnsi="Arial" w:cs="Arial"/>
                <w:b/>
                <w:bCs/>
                <w:szCs w:val="24"/>
              </w:rPr>
            </w:pPr>
            <w:r>
              <w:rPr>
                <w:rFonts w:ascii="Arial" w:hAnsi="Arial" w:cs="Arial"/>
                <w:b/>
                <w:bCs/>
                <w:szCs w:val="24"/>
              </w:rPr>
              <w:t>Summary</w:t>
            </w:r>
            <w:r w:rsidR="00F20FE3">
              <w:rPr>
                <w:rFonts w:ascii="Arial" w:hAnsi="Arial" w:cs="Arial"/>
                <w:b/>
                <w:bCs/>
                <w:szCs w:val="24"/>
              </w:rPr>
              <w:t>/Conclusion</w:t>
            </w:r>
          </w:p>
          <w:p w14:paraId="2BBF5DAB" w14:textId="5C2F4D2E" w:rsidR="000B1EBC" w:rsidRPr="000B1EBC" w:rsidRDefault="000B1EBC" w:rsidP="000B1EBC">
            <w:pPr>
              <w:autoSpaceDE w:val="0"/>
              <w:autoSpaceDN w:val="0"/>
              <w:adjustRightInd w:val="0"/>
              <w:jc w:val="both"/>
              <w:rPr>
                <w:rFonts w:ascii="Arial" w:hAnsi="Arial" w:cs="Arial"/>
                <w:b/>
                <w:bCs/>
                <w:szCs w:val="24"/>
              </w:rPr>
            </w:pPr>
          </w:p>
        </w:tc>
      </w:tr>
      <w:tr w:rsidR="000B1EBC" w:rsidRPr="00BC7346" w14:paraId="46291B92" w14:textId="77777777" w:rsidTr="00BA3AA6">
        <w:tc>
          <w:tcPr>
            <w:tcW w:w="817" w:type="dxa"/>
          </w:tcPr>
          <w:p w14:paraId="4BFA05DD" w14:textId="40E6C266" w:rsidR="000B1EBC" w:rsidRPr="00BC7346" w:rsidRDefault="000B1EBC" w:rsidP="000B1EBC">
            <w:pPr>
              <w:rPr>
                <w:rFonts w:ascii="Arial" w:hAnsi="Arial" w:cs="Arial"/>
                <w:szCs w:val="24"/>
              </w:rPr>
            </w:pPr>
            <w:r>
              <w:rPr>
                <w:rFonts w:ascii="Arial" w:hAnsi="Arial" w:cs="Arial"/>
                <w:szCs w:val="24"/>
              </w:rPr>
              <w:t>7.1</w:t>
            </w:r>
          </w:p>
        </w:tc>
        <w:tc>
          <w:tcPr>
            <w:tcW w:w="8647" w:type="dxa"/>
          </w:tcPr>
          <w:p w14:paraId="79BEF67D" w14:textId="4432F3F0" w:rsidR="00BE5E50" w:rsidRDefault="000B1EBC" w:rsidP="000B1EBC">
            <w:pPr>
              <w:autoSpaceDE w:val="0"/>
              <w:autoSpaceDN w:val="0"/>
              <w:adjustRightInd w:val="0"/>
              <w:jc w:val="both"/>
              <w:rPr>
                <w:rFonts w:ascii="Arial" w:hAnsi="Arial" w:cs="Arial"/>
                <w:szCs w:val="24"/>
              </w:rPr>
            </w:pPr>
            <w:r>
              <w:rPr>
                <w:rFonts w:ascii="Arial" w:hAnsi="Arial" w:cs="Arial"/>
                <w:szCs w:val="24"/>
              </w:rPr>
              <w:t xml:space="preserve">Having conducted the </w:t>
            </w:r>
            <w:proofErr w:type="gramStart"/>
            <w:r>
              <w:rPr>
                <w:rFonts w:ascii="Arial" w:hAnsi="Arial" w:cs="Arial"/>
                <w:szCs w:val="24"/>
              </w:rPr>
              <w:t>assessment</w:t>
            </w:r>
            <w:proofErr w:type="gramEnd"/>
            <w:r w:rsidR="00BE5E50">
              <w:rPr>
                <w:rFonts w:ascii="Arial" w:hAnsi="Arial" w:cs="Arial"/>
                <w:szCs w:val="24"/>
              </w:rPr>
              <w:t xml:space="preserve"> </w:t>
            </w:r>
            <w:r>
              <w:rPr>
                <w:rFonts w:ascii="Arial" w:hAnsi="Arial" w:cs="Arial"/>
                <w:szCs w:val="24"/>
              </w:rPr>
              <w:t>the option of adding a monthly subscription to the current PAYG scheme appeared to be the best option</w:t>
            </w:r>
            <w:r w:rsidR="00BE5E50">
              <w:rPr>
                <w:rFonts w:ascii="Arial" w:hAnsi="Arial" w:cs="Arial"/>
                <w:szCs w:val="24"/>
              </w:rPr>
              <w:t xml:space="preserve">. When assessing the price-point, the benefit of monthly payment option becomes more difficult. Introducing it at the higher end would allow the principle to be tested in a way </w:t>
            </w:r>
            <w:r w:rsidR="00BE5E50">
              <w:rPr>
                <w:rFonts w:ascii="Arial" w:hAnsi="Arial" w:cs="Arial"/>
                <w:szCs w:val="24"/>
              </w:rPr>
              <w:lastRenderedPageBreak/>
              <w:t>which would protect income levels and there would be the ability to reduce the price after an initial trial period if it was not successful. Introducing it at a low price runs the risk of devaluing the service but might increase participation and income levels, however, at £1 and £0.75 it is questionable as to whether this is really an improvement on the current scheme which is working</w:t>
            </w:r>
          </w:p>
          <w:p w14:paraId="51BFCD05" w14:textId="76A74952" w:rsidR="000B1EBC" w:rsidRDefault="000B1EBC" w:rsidP="000B1EBC">
            <w:pPr>
              <w:autoSpaceDE w:val="0"/>
              <w:autoSpaceDN w:val="0"/>
              <w:adjustRightInd w:val="0"/>
              <w:jc w:val="both"/>
              <w:rPr>
                <w:rFonts w:ascii="Arial" w:hAnsi="Arial" w:cs="Arial"/>
                <w:szCs w:val="24"/>
              </w:rPr>
            </w:pPr>
          </w:p>
        </w:tc>
      </w:tr>
      <w:tr w:rsidR="00F20FE3" w:rsidRPr="00BC7346" w14:paraId="446FD88A" w14:textId="77777777" w:rsidTr="00BA3AA6">
        <w:tc>
          <w:tcPr>
            <w:tcW w:w="817" w:type="dxa"/>
          </w:tcPr>
          <w:p w14:paraId="53325F87" w14:textId="4BB2CAD2" w:rsidR="00F20FE3" w:rsidRDefault="00F20FE3" w:rsidP="00F20FE3">
            <w:pPr>
              <w:rPr>
                <w:rFonts w:ascii="Arial" w:hAnsi="Arial" w:cs="Arial"/>
                <w:szCs w:val="24"/>
              </w:rPr>
            </w:pPr>
            <w:r>
              <w:rPr>
                <w:rFonts w:ascii="Arial" w:hAnsi="Arial" w:cs="Arial"/>
                <w:szCs w:val="24"/>
              </w:rPr>
              <w:lastRenderedPageBreak/>
              <w:t>7.2</w:t>
            </w:r>
          </w:p>
        </w:tc>
        <w:tc>
          <w:tcPr>
            <w:tcW w:w="8647" w:type="dxa"/>
          </w:tcPr>
          <w:p w14:paraId="4737E372" w14:textId="05F6017D" w:rsidR="00F20FE3" w:rsidRDefault="00BE5E50" w:rsidP="00F20FE3">
            <w:pPr>
              <w:autoSpaceDE w:val="0"/>
              <w:autoSpaceDN w:val="0"/>
              <w:adjustRightInd w:val="0"/>
              <w:jc w:val="both"/>
              <w:rPr>
                <w:rFonts w:ascii="Arial" w:hAnsi="Arial" w:cs="Arial"/>
                <w:szCs w:val="24"/>
              </w:rPr>
            </w:pPr>
            <w:r>
              <w:rPr>
                <w:rFonts w:ascii="Arial" w:hAnsi="Arial" w:cs="Arial"/>
                <w:szCs w:val="24"/>
              </w:rPr>
              <w:t>Weighing all of this up it is considered that it is worth testing the introduction of a monthly subscription at £5 and £3 for family and individual subscriptions respectively with the implementation of the scheme and future pricing being delegated to officers to allow it to be adapted should this prove necessary</w:t>
            </w:r>
          </w:p>
          <w:p w14:paraId="4E87A272" w14:textId="77777777" w:rsidR="00F20FE3" w:rsidRDefault="00F20FE3" w:rsidP="00F20FE3">
            <w:pPr>
              <w:autoSpaceDE w:val="0"/>
              <w:autoSpaceDN w:val="0"/>
              <w:adjustRightInd w:val="0"/>
              <w:jc w:val="both"/>
              <w:rPr>
                <w:rFonts w:ascii="Arial" w:hAnsi="Arial" w:cs="Arial"/>
                <w:szCs w:val="24"/>
              </w:rPr>
            </w:pPr>
          </w:p>
        </w:tc>
      </w:tr>
      <w:tr w:rsidR="00F20FE3" w:rsidRPr="009417AD" w14:paraId="48FCD16D" w14:textId="77777777" w:rsidTr="00555464">
        <w:tc>
          <w:tcPr>
            <w:tcW w:w="817" w:type="dxa"/>
          </w:tcPr>
          <w:p w14:paraId="1B27D124" w14:textId="1D48405A" w:rsidR="00F20FE3" w:rsidRPr="009417AD" w:rsidRDefault="009417AD" w:rsidP="00F20FE3">
            <w:pPr>
              <w:rPr>
                <w:rFonts w:ascii="Arial" w:hAnsi="Arial" w:cs="Arial"/>
                <w:b/>
                <w:bCs/>
                <w:szCs w:val="24"/>
              </w:rPr>
            </w:pPr>
            <w:r w:rsidRPr="009417AD">
              <w:rPr>
                <w:rFonts w:ascii="Arial" w:hAnsi="Arial" w:cs="Arial"/>
                <w:b/>
                <w:bCs/>
                <w:szCs w:val="24"/>
              </w:rPr>
              <w:t xml:space="preserve">8. </w:t>
            </w:r>
          </w:p>
        </w:tc>
        <w:tc>
          <w:tcPr>
            <w:tcW w:w="8647" w:type="dxa"/>
          </w:tcPr>
          <w:p w14:paraId="7CE83226" w14:textId="77777777" w:rsidR="00F20FE3" w:rsidRPr="009417AD" w:rsidRDefault="00F20FE3" w:rsidP="00F20FE3">
            <w:pPr>
              <w:autoSpaceDE w:val="0"/>
              <w:autoSpaceDN w:val="0"/>
              <w:adjustRightInd w:val="0"/>
              <w:jc w:val="both"/>
              <w:rPr>
                <w:rFonts w:ascii="Arial" w:hAnsi="Arial" w:cs="Arial"/>
                <w:b/>
                <w:bCs/>
                <w:szCs w:val="24"/>
              </w:rPr>
            </w:pPr>
            <w:r w:rsidRPr="009417AD">
              <w:rPr>
                <w:rFonts w:ascii="Arial" w:hAnsi="Arial" w:cs="Arial"/>
                <w:b/>
                <w:bCs/>
                <w:szCs w:val="24"/>
              </w:rPr>
              <w:t>Implications</w:t>
            </w:r>
          </w:p>
          <w:p w14:paraId="618F13F0" w14:textId="77777777" w:rsidR="00F20FE3" w:rsidRPr="009417AD" w:rsidRDefault="00F20FE3" w:rsidP="00F20FE3">
            <w:pPr>
              <w:jc w:val="both"/>
              <w:rPr>
                <w:rFonts w:ascii="Arial" w:hAnsi="Arial" w:cs="Arial"/>
                <w:b/>
                <w:bCs/>
                <w:szCs w:val="24"/>
              </w:rPr>
            </w:pPr>
          </w:p>
        </w:tc>
      </w:tr>
      <w:tr w:rsidR="00F20FE3" w:rsidRPr="00F2409E" w14:paraId="41A410C5" w14:textId="77777777" w:rsidTr="00555464">
        <w:tc>
          <w:tcPr>
            <w:tcW w:w="817" w:type="dxa"/>
          </w:tcPr>
          <w:p w14:paraId="12B5807A" w14:textId="3EAEE195" w:rsidR="00F20FE3" w:rsidRPr="00F2409E" w:rsidRDefault="009417AD" w:rsidP="00F20FE3">
            <w:pPr>
              <w:rPr>
                <w:rFonts w:ascii="Arial" w:hAnsi="Arial" w:cs="Arial"/>
                <w:szCs w:val="24"/>
              </w:rPr>
            </w:pPr>
            <w:r>
              <w:rPr>
                <w:rFonts w:ascii="Arial" w:hAnsi="Arial" w:cs="Arial"/>
                <w:szCs w:val="24"/>
              </w:rPr>
              <w:t>8.1</w:t>
            </w:r>
          </w:p>
        </w:tc>
        <w:tc>
          <w:tcPr>
            <w:tcW w:w="8647" w:type="dxa"/>
          </w:tcPr>
          <w:p w14:paraId="64955899" w14:textId="4C66D034" w:rsidR="00F20FE3" w:rsidRPr="00F2409E" w:rsidRDefault="00F20FE3" w:rsidP="00F20FE3">
            <w:pPr>
              <w:autoSpaceDE w:val="0"/>
              <w:autoSpaceDN w:val="0"/>
              <w:adjustRightInd w:val="0"/>
              <w:jc w:val="both"/>
              <w:rPr>
                <w:rFonts w:ascii="Arial" w:hAnsi="Arial" w:cs="Arial"/>
                <w:szCs w:val="24"/>
              </w:rPr>
            </w:pPr>
            <w:r w:rsidRPr="00F2409E">
              <w:rPr>
                <w:rFonts w:ascii="Arial" w:hAnsi="Arial" w:cs="Arial"/>
                <w:szCs w:val="24"/>
              </w:rPr>
              <w:t xml:space="preserve">Resource implications – if the charge for the budget scheme were to be removed there would be a budget implication of £60-£70k p.a. Implementing </w:t>
            </w:r>
            <w:r w:rsidR="009417AD">
              <w:rPr>
                <w:rFonts w:ascii="Arial" w:hAnsi="Arial" w:cs="Arial"/>
                <w:szCs w:val="24"/>
              </w:rPr>
              <w:t xml:space="preserve">the option of adding a monthly subscription offer would both be cost neutral or could be slightly positive. Implementing </w:t>
            </w:r>
            <w:r w:rsidRPr="00F2409E">
              <w:rPr>
                <w:rFonts w:ascii="Arial" w:hAnsi="Arial" w:cs="Arial"/>
                <w:szCs w:val="24"/>
              </w:rPr>
              <w:t xml:space="preserve">the recommendation in this </w:t>
            </w:r>
            <w:r>
              <w:rPr>
                <w:rFonts w:ascii="Arial" w:hAnsi="Arial" w:cs="Arial"/>
                <w:szCs w:val="24"/>
              </w:rPr>
              <w:t xml:space="preserve">report </w:t>
            </w:r>
            <w:r w:rsidR="00D37320">
              <w:rPr>
                <w:rFonts w:ascii="Arial" w:hAnsi="Arial" w:cs="Arial"/>
                <w:szCs w:val="24"/>
              </w:rPr>
              <w:t>is likely to</w:t>
            </w:r>
            <w:r w:rsidRPr="00F2409E">
              <w:rPr>
                <w:rFonts w:ascii="Arial" w:hAnsi="Arial" w:cs="Arial"/>
                <w:szCs w:val="24"/>
              </w:rPr>
              <w:t xml:space="preserve"> </w:t>
            </w:r>
            <w:r>
              <w:rPr>
                <w:rFonts w:ascii="Arial" w:hAnsi="Arial" w:cs="Arial"/>
                <w:szCs w:val="24"/>
              </w:rPr>
              <w:t>be</w:t>
            </w:r>
            <w:r w:rsidRPr="00F2409E">
              <w:rPr>
                <w:rFonts w:ascii="Arial" w:hAnsi="Arial" w:cs="Arial"/>
                <w:szCs w:val="24"/>
              </w:rPr>
              <w:t xml:space="preserve"> cost neutral. External funding to cover a budget gap should the charge be removed was considered but is unlikely as this is seen as a core service provision and part of the Council’s Services Fee to HLH, therefore duplicate funding. </w:t>
            </w:r>
          </w:p>
          <w:p w14:paraId="580E8F80" w14:textId="113620CF" w:rsidR="00F20FE3" w:rsidRPr="00F2409E" w:rsidRDefault="00F20FE3" w:rsidP="00F20FE3">
            <w:pPr>
              <w:autoSpaceDE w:val="0"/>
              <w:autoSpaceDN w:val="0"/>
              <w:adjustRightInd w:val="0"/>
              <w:jc w:val="both"/>
              <w:rPr>
                <w:rFonts w:ascii="Arial" w:hAnsi="Arial" w:cs="Arial"/>
                <w:szCs w:val="24"/>
              </w:rPr>
            </w:pPr>
          </w:p>
        </w:tc>
      </w:tr>
      <w:tr w:rsidR="00F20FE3" w:rsidRPr="00F2409E" w14:paraId="5D2047CA" w14:textId="77777777" w:rsidTr="00555464">
        <w:tc>
          <w:tcPr>
            <w:tcW w:w="817" w:type="dxa"/>
          </w:tcPr>
          <w:p w14:paraId="26B3B64B" w14:textId="2D62A2CB" w:rsidR="00F20FE3" w:rsidRPr="00F2409E" w:rsidRDefault="009417AD" w:rsidP="00F20FE3">
            <w:pPr>
              <w:rPr>
                <w:rFonts w:ascii="Arial" w:hAnsi="Arial" w:cs="Arial"/>
                <w:szCs w:val="24"/>
              </w:rPr>
            </w:pPr>
            <w:r>
              <w:rPr>
                <w:rFonts w:ascii="Arial" w:hAnsi="Arial" w:cs="Arial"/>
                <w:szCs w:val="24"/>
              </w:rPr>
              <w:t>8.2</w:t>
            </w:r>
          </w:p>
        </w:tc>
        <w:tc>
          <w:tcPr>
            <w:tcW w:w="8647" w:type="dxa"/>
          </w:tcPr>
          <w:p w14:paraId="1BB4308C" w14:textId="77777777" w:rsidR="00F20FE3" w:rsidRPr="00F2409E" w:rsidRDefault="00F20FE3" w:rsidP="00F20FE3">
            <w:pPr>
              <w:autoSpaceDE w:val="0"/>
              <w:autoSpaceDN w:val="0"/>
              <w:adjustRightInd w:val="0"/>
              <w:jc w:val="both"/>
              <w:rPr>
                <w:rFonts w:ascii="Arial" w:hAnsi="Arial" w:cs="Arial"/>
                <w:szCs w:val="24"/>
              </w:rPr>
            </w:pPr>
            <w:r w:rsidRPr="00F2409E">
              <w:rPr>
                <w:rFonts w:ascii="Arial" w:hAnsi="Arial" w:cs="Arial"/>
                <w:szCs w:val="24"/>
              </w:rPr>
              <w:t>Legal implications - there are no new legal implications arising from this report.</w:t>
            </w:r>
          </w:p>
          <w:p w14:paraId="57651D42" w14:textId="77777777" w:rsidR="00F20FE3" w:rsidRPr="00F2409E" w:rsidRDefault="00F20FE3" w:rsidP="00F20FE3">
            <w:pPr>
              <w:jc w:val="both"/>
              <w:rPr>
                <w:rFonts w:ascii="Arial" w:hAnsi="Arial" w:cs="Arial"/>
                <w:szCs w:val="24"/>
              </w:rPr>
            </w:pPr>
          </w:p>
        </w:tc>
      </w:tr>
      <w:tr w:rsidR="00F20FE3" w:rsidRPr="00F2409E" w14:paraId="287E6647" w14:textId="77777777" w:rsidTr="00555464">
        <w:tc>
          <w:tcPr>
            <w:tcW w:w="817" w:type="dxa"/>
          </w:tcPr>
          <w:p w14:paraId="3444F852" w14:textId="549D489A" w:rsidR="00F20FE3" w:rsidRPr="00F2409E" w:rsidRDefault="009417AD" w:rsidP="00F20FE3">
            <w:pPr>
              <w:rPr>
                <w:rFonts w:ascii="Arial" w:hAnsi="Arial" w:cs="Arial"/>
                <w:szCs w:val="24"/>
              </w:rPr>
            </w:pPr>
            <w:r>
              <w:rPr>
                <w:rFonts w:ascii="Arial" w:hAnsi="Arial" w:cs="Arial"/>
                <w:szCs w:val="24"/>
              </w:rPr>
              <w:t>8.3</w:t>
            </w:r>
          </w:p>
        </w:tc>
        <w:tc>
          <w:tcPr>
            <w:tcW w:w="8647" w:type="dxa"/>
          </w:tcPr>
          <w:p w14:paraId="1074FF80" w14:textId="3F9DBD3D" w:rsidR="00F20FE3" w:rsidRPr="00F2409E" w:rsidRDefault="00F20FE3" w:rsidP="00F20FE3">
            <w:pPr>
              <w:autoSpaceDE w:val="0"/>
              <w:autoSpaceDN w:val="0"/>
              <w:adjustRightInd w:val="0"/>
              <w:jc w:val="both"/>
              <w:rPr>
                <w:rFonts w:ascii="Arial" w:hAnsi="Arial" w:cs="Arial"/>
                <w:szCs w:val="24"/>
              </w:rPr>
            </w:pPr>
            <w:r w:rsidRPr="00F2409E">
              <w:rPr>
                <w:rFonts w:ascii="Arial" w:hAnsi="Arial" w:cs="Arial"/>
                <w:szCs w:val="24"/>
              </w:rPr>
              <w:t>Equality implications – the implementation of the recommendation in this report is likely to support people who are financially disadvantages and positively support HLH’s social/charitable objectives.</w:t>
            </w:r>
          </w:p>
          <w:p w14:paraId="54F7261F" w14:textId="77777777" w:rsidR="00F20FE3" w:rsidRPr="00F2409E" w:rsidRDefault="00F20FE3" w:rsidP="00F20FE3">
            <w:pPr>
              <w:jc w:val="both"/>
              <w:rPr>
                <w:rFonts w:ascii="Arial" w:hAnsi="Arial" w:cs="Arial"/>
                <w:szCs w:val="24"/>
              </w:rPr>
            </w:pPr>
          </w:p>
        </w:tc>
      </w:tr>
      <w:tr w:rsidR="00F20FE3" w:rsidRPr="00F2409E" w14:paraId="22CC3EA4" w14:textId="77777777" w:rsidTr="00555464">
        <w:tc>
          <w:tcPr>
            <w:tcW w:w="817" w:type="dxa"/>
          </w:tcPr>
          <w:p w14:paraId="6578513C" w14:textId="52B7047E" w:rsidR="00F20FE3" w:rsidRPr="00F2409E" w:rsidRDefault="009417AD" w:rsidP="00F20FE3">
            <w:pPr>
              <w:rPr>
                <w:rFonts w:ascii="Arial" w:hAnsi="Arial" w:cs="Arial"/>
                <w:szCs w:val="24"/>
              </w:rPr>
            </w:pPr>
            <w:r>
              <w:rPr>
                <w:rFonts w:ascii="Arial" w:hAnsi="Arial" w:cs="Arial"/>
                <w:szCs w:val="24"/>
              </w:rPr>
              <w:t>8.4</w:t>
            </w:r>
          </w:p>
        </w:tc>
        <w:tc>
          <w:tcPr>
            <w:tcW w:w="8647" w:type="dxa"/>
          </w:tcPr>
          <w:p w14:paraId="546DEE6C" w14:textId="77777777" w:rsidR="00F20FE3" w:rsidRDefault="00F20FE3" w:rsidP="00F20FE3">
            <w:pPr>
              <w:jc w:val="both"/>
              <w:rPr>
                <w:rFonts w:ascii="Arial" w:hAnsi="Arial" w:cs="Arial"/>
                <w:szCs w:val="24"/>
              </w:rPr>
            </w:pPr>
            <w:r w:rsidRPr="00F2409E">
              <w:rPr>
                <w:rFonts w:ascii="Arial" w:hAnsi="Arial" w:cs="Arial"/>
                <w:szCs w:val="24"/>
              </w:rPr>
              <w:t xml:space="preserve">Risk implications – there are no new risk implications arising from this report. </w:t>
            </w:r>
          </w:p>
          <w:p w14:paraId="53D162E8" w14:textId="4424D78C" w:rsidR="009417AD" w:rsidRPr="00F2409E" w:rsidRDefault="009417AD" w:rsidP="00F20FE3">
            <w:pPr>
              <w:jc w:val="both"/>
              <w:rPr>
                <w:rFonts w:ascii="Arial" w:hAnsi="Arial" w:cs="Arial"/>
                <w:szCs w:val="24"/>
              </w:rPr>
            </w:pPr>
          </w:p>
        </w:tc>
      </w:tr>
    </w:tbl>
    <w:p w14:paraId="78838920" w14:textId="77777777" w:rsidR="00DE1699" w:rsidRPr="00F2409E" w:rsidRDefault="00DE1699" w:rsidP="005C61F6">
      <w:pPr>
        <w:rPr>
          <w:rFonts w:ascii="Arial" w:hAnsi="Arial" w:cs="Arial"/>
          <w:szCs w:val="24"/>
        </w:rPr>
      </w:pPr>
    </w:p>
    <w:tbl>
      <w:tblPr>
        <w:tblStyle w:val="TableGrid"/>
        <w:tblW w:w="9351" w:type="dxa"/>
        <w:tblLook w:val="04A0" w:firstRow="1" w:lastRow="0" w:firstColumn="1" w:lastColumn="0" w:noHBand="0" w:noVBand="1"/>
      </w:tblPr>
      <w:tblGrid>
        <w:gridCol w:w="9351"/>
      </w:tblGrid>
      <w:tr w:rsidR="00282BDB" w:rsidRPr="00282BDB" w14:paraId="3DFCF183" w14:textId="77777777" w:rsidTr="00C07E75">
        <w:trPr>
          <w:trHeight w:val="2238"/>
        </w:trPr>
        <w:tc>
          <w:tcPr>
            <w:tcW w:w="9351" w:type="dxa"/>
          </w:tcPr>
          <w:p w14:paraId="46DF1787" w14:textId="476E575D" w:rsidR="00C07E75" w:rsidRPr="00282BDB" w:rsidRDefault="00C07E75" w:rsidP="00BA1DB0">
            <w:pPr>
              <w:pStyle w:val="Heading3"/>
              <w:jc w:val="left"/>
              <w:outlineLvl w:val="2"/>
              <w:rPr>
                <w:rFonts w:ascii="Arial" w:hAnsi="Arial" w:cs="Arial"/>
                <w:b/>
                <w:szCs w:val="24"/>
                <w:u w:val="none"/>
              </w:rPr>
            </w:pPr>
            <w:r w:rsidRPr="00282BDB">
              <w:rPr>
                <w:rFonts w:ascii="Arial" w:hAnsi="Arial" w:cs="Arial"/>
                <w:b/>
                <w:szCs w:val="24"/>
                <w:u w:val="none"/>
              </w:rPr>
              <w:t>Recommendation</w:t>
            </w:r>
          </w:p>
          <w:p w14:paraId="6F1A6FB6" w14:textId="77777777" w:rsidR="00C07E75" w:rsidRPr="00282BDB" w:rsidRDefault="00C07E75" w:rsidP="00C07E75">
            <w:pPr>
              <w:rPr>
                <w:rFonts w:ascii="Arial" w:hAnsi="Arial" w:cs="Arial"/>
                <w:szCs w:val="24"/>
              </w:rPr>
            </w:pPr>
          </w:p>
          <w:p w14:paraId="0CA2AC03" w14:textId="77777777" w:rsidR="00287AFF" w:rsidRPr="00564BF3" w:rsidRDefault="00287AFF" w:rsidP="00287AFF">
            <w:pPr>
              <w:jc w:val="both"/>
              <w:rPr>
                <w:rFonts w:ascii="Arial" w:hAnsi="Arial" w:cs="Arial"/>
                <w:szCs w:val="24"/>
              </w:rPr>
            </w:pPr>
            <w:r w:rsidRPr="00564BF3">
              <w:rPr>
                <w:rFonts w:ascii="Arial" w:hAnsi="Arial" w:cs="Arial"/>
                <w:szCs w:val="24"/>
              </w:rPr>
              <w:t>It is recommended that Directors:</w:t>
            </w:r>
          </w:p>
          <w:p w14:paraId="57ADA483" w14:textId="77777777" w:rsidR="00287AFF" w:rsidRPr="00564BF3" w:rsidRDefault="00287AFF" w:rsidP="00287AFF">
            <w:pPr>
              <w:jc w:val="both"/>
              <w:rPr>
                <w:rFonts w:ascii="Arial" w:hAnsi="Arial" w:cs="Arial"/>
                <w:szCs w:val="24"/>
              </w:rPr>
            </w:pPr>
          </w:p>
          <w:p w14:paraId="3B8D22FC" w14:textId="77777777" w:rsidR="00287AFF" w:rsidRPr="00564BF3" w:rsidRDefault="00287AFF" w:rsidP="00287AFF">
            <w:pPr>
              <w:pStyle w:val="ListParagraph"/>
              <w:numPr>
                <w:ilvl w:val="0"/>
                <w:numId w:val="23"/>
              </w:numPr>
              <w:spacing w:line="240" w:lineRule="auto"/>
              <w:rPr>
                <w:rFonts w:ascii="Arial" w:hAnsi="Arial" w:cs="Arial"/>
                <w:sz w:val="24"/>
                <w:szCs w:val="24"/>
              </w:rPr>
            </w:pPr>
            <w:r w:rsidRPr="00564BF3">
              <w:rPr>
                <w:rFonts w:ascii="Arial" w:hAnsi="Arial" w:cs="Arial"/>
                <w:sz w:val="24"/>
                <w:szCs w:val="24"/>
              </w:rPr>
              <w:t>note th</w:t>
            </w:r>
            <w:r>
              <w:rPr>
                <w:rFonts w:ascii="Arial" w:hAnsi="Arial" w:cs="Arial"/>
                <w:sz w:val="24"/>
                <w:szCs w:val="24"/>
              </w:rPr>
              <w:t xml:space="preserve">e </w:t>
            </w:r>
            <w:r w:rsidRPr="00564BF3">
              <w:rPr>
                <w:rFonts w:ascii="Arial" w:hAnsi="Arial" w:cs="Arial"/>
                <w:sz w:val="24"/>
                <w:szCs w:val="24"/>
              </w:rPr>
              <w:t xml:space="preserve">options analysis contained in the report; </w:t>
            </w:r>
          </w:p>
          <w:p w14:paraId="3083FEE1" w14:textId="77777777" w:rsidR="00287AFF" w:rsidRPr="00564BF3" w:rsidRDefault="00287AFF" w:rsidP="00287AFF">
            <w:pPr>
              <w:pStyle w:val="ListParagraph"/>
              <w:numPr>
                <w:ilvl w:val="0"/>
                <w:numId w:val="23"/>
              </w:numPr>
              <w:spacing w:line="240" w:lineRule="auto"/>
              <w:rPr>
                <w:rFonts w:ascii="Arial" w:hAnsi="Arial" w:cs="Arial"/>
                <w:sz w:val="24"/>
                <w:szCs w:val="24"/>
              </w:rPr>
            </w:pPr>
            <w:r w:rsidRPr="00564BF3">
              <w:rPr>
                <w:rFonts w:ascii="Arial" w:hAnsi="Arial" w:cs="Arial"/>
                <w:sz w:val="24"/>
                <w:szCs w:val="24"/>
              </w:rPr>
              <w:t xml:space="preserve">agree to retain the </w:t>
            </w:r>
            <w:r w:rsidRPr="00564BF3">
              <w:rPr>
                <w:rFonts w:ascii="Arial" w:hAnsi="Arial" w:cs="Arial"/>
                <w:b/>
                <w:bCs/>
                <w:i/>
                <w:iCs/>
                <w:sz w:val="24"/>
                <w:szCs w:val="24"/>
              </w:rPr>
              <w:t>high</w:t>
            </w:r>
            <w:r w:rsidRPr="00564BF3">
              <w:rPr>
                <w:rFonts w:ascii="Arial" w:hAnsi="Arial" w:cs="Arial"/>
                <w:i/>
                <w:iCs/>
                <w:sz w:val="24"/>
                <w:szCs w:val="24"/>
              </w:rPr>
              <w:t xml:space="preserve">life </w:t>
            </w:r>
            <w:r w:rsidRPr="00564BF3">
              <w:rPr>
                <w:rFonts w:ascii="Arial" w:hAnsi="Arial" w:cs="Arial"/>
                <w:sz w:val="24"/>
                <w:szCs w:val="24"/>
              </w:rPr>
              <w:t>budget scheme fifty pence pay as you go charge;</w:t>
            </w:r>
          </w:p>
          <w:p w14:paraId="52D5D5B4" w14:textId="77777777" w:rsidR="00287AFF" w:rsidRPr="00564BF3" w:rsidRDefault="00287AFF" w:rsidP="00287AFF">
            <w:pPr>
              <w:pStyle w:val="ListParagraph"/>
              <w:numPr>
                <w:ilvl w:val="0"/>
                <w:numId w:val="23"/>
              </w:numPr>
              <w:spacing w:line="240" w:lineRule="auto"/>
              <w:rPr>
                <w:rFonts w:ascii="Arial" w:hAnsi="Arial" w:cs="Arial"/>
                <w:sz w:val="24"/>
                <w:szCs w:val="24"/>
              </w:rPr>
            </w:pPr>
            <w:r w:rsidRPr="00564BF3">
              <w:rPr>
                <w:rFonts w:ascii="Arial" w:hAnsi="Arial" w:cs="Arial"/>
                <w:sz w:val="24"/>
                <w:szCs w:val="24"/>
              </w:rPr>
              <w:t xml:space="preserve">agree to introduce a monthly budget </w:t>
            </w:r>
            <w:r w:rsidRPr="00564BF3">
              <w:rPr>
                <w:rFonts w:ascii="Arial" w:hAnsi="Arial" w:cs="Arial"/>
                <w:b/>
                <w:bCs/>
                <w:i/>
                <w:iCs/>
                <w:sz w:val="24"/>
                <w:szCs w:val="24"/>
              </w:rPr>
              <w:t>high</w:t>
            </w:r>
            <w:r w:rsidRPr="00564BF3">
              <w:rPr>
                <w:rFonts w:ascii="Arial" w:hAnsi="Arial" w:cs="Arial"/>
                <w:i/>
                <w:iCs/>
                <w:sz w:val="24"/>
                <w:szCs w:val="24"/>
              </w:rPr>
              <w:t xml:space="preserve">life </w:t>
            </w:r>
            <w:r w:rsidRPr="00564BF3">
              <w:rPr>
                <w:rFonts w:ascii="Arial" w:hAnsi="Arial" w:cs="Arial"/>
                <w:sz w:val="24"/>
                <w:szCs w:val="24"/>
              </w:rPr>
              <w:t>subscription option;</w:t>
            </w:r>
          </w:p>
          <w:p w14:paraId="1D599130" w14:textId="77777777" w:rsidR="00287AFF" w:rsidRPr="00287AFF" w:rsidRDefault="00287AFF" w:rsidP="006F381C">
            <w:pPr>
              <w:pStyle w:val="ListParagraph"/>
              <w:numPr>
                <w:ilvl w:val="0"/>
                <w:numId w:val="23"/>
              </w:numPr>
              <w:spacing w:line="240" w:lineRule="auto"/>
              <w:jc w:val="both"/>
              <w:rPr>
                <w:rFonts w:ascii="Arial" w:hAnsi="Arial" w:cs="Arial"/>
                <w:szCs w:val="24"/>
              </w:rPr>
            </w:pPr>
            <w:r w:rsidRPr="00287AFF">
              <w:rPr>
                <w:rFonts w:ascii="Arial" w:hAnsi="Arial" w:cs="Arial"/>
                <w:sz w:val="24"/>
                <w:szCs w:val="24"/>
              </w:rPr>
              <w:t>agree to the initial monthly subscription prices of £3 and £5 for individuals and family/household subscriptions respectively; and</w:t>
            </w:r>
          </w:p>
          <w:p w14:paraId="13DC36F8" w14:textId="79506C59" w:rsidR="0084670E" w:rsidRPr="00287AFF" w:rsidRDefault="00287AFF" w:rsidP="006F381C">
            <w:pPr>
              <w:pStyle w:val="ListParagraph"/>
              <w:numPr>
                <w:ilvl w:val="0"/>
                <w:numId w:val="23"/>
              </w:numPr>
              <w:spacing w:line="240" w:lineRule="auto"/>
              <w:jc w:val="both"/>
              <w:rPr>
                <w:rFonts w:ascii="Arial" w:hAnsi="Arial" w:cs="Arial"/>
                <w:szCs w:val="24"/>
              </w:rPr>
            </w:pPr>
            <w:r w:rsidRPr="00287AFF">
              <w:rPr>
                <w:rFonts w:ascii="Arial" w:hAnsi="Arial" w:cs="Arial"/>
                <w:sz w:val="24"/>
                <w:szCs w:val="24"/>
              </w:rPr>
              <w:t>agree to delegate the ability to change the price to officers depending on the uptake of the monthly subscription option.</w:t>
            </w:r>
          </w:p>
          <w:p w14:paraId="13945E93" w14:textId="530A5FA3" w:rsidR="00C07E75" w:rsidRPr="00282BDB" w:rsidRDefault="00C07E75" w:rsidP="00287AFF">
            <w:pPr>
              <w:pStyle w:val="ListParagraph"/>
              <w:spacing w:line="240" w:lineRule="auto"/>
              <w:rPr>
                <w:rFonts w:ascii="Arial" w:hAnsi="Arial" w:cs="Arial"/>
                <w:sz w:val="24"/>
                <w:szCs w:val="24"/>
              </w:rPr>
            </w:pPr>
            <w:r w:rsidRPr="00282BDB">
              <w:rPr>
                <w:rFonts w:ascii="Arial" w:hAnsi="Arial" w:cs="Arial"/>
                <w:szCs w:val="24"/>
              </w:rPr>
              <w:fldChar w:fldCharType="begin"/>
            </w:r>
            <w:r w:rsidRPr="00282BDB">
              <w:rPr>
                <w:rFonts w:ascii="Arial" w:hAnsi="Arial" w:cs="Arial"/>
                <w:szCs w:val="24"/>
              </w:rPr>
              <w:instrText xml:space="preserve">  </w:instrText>
            </w:r>
            <w:r w:rsidRPr="00282BDB">
              <w:rPr>
                <w:rFonts w:ascii="Arial" w:hAnsi="Arial" w:cs="Arial"/>
                <w:szCs w:val="24"/>
              </w:rPr>
              <w:fldChar w:fldCharType="end"/>
            </w:r>
          </w:p>
        </w:tc>
      </w:tr>
    </w:tbl>
    <w:p w14:paraId="186F2FA0" w14:textId="77777777" w:rsidR="00EC7742" w:rsidRPr="00282BDB" w:rsidRDefault="00EC7742" w:rsidP="005C61F6">
      <w:pPr>
        <w:rPr>
          <w:rFonts w:ascii="Arial" w:hAnsi="Arial" w:cs="Arial"/>
          <w:szCs w:val="24"/>
        </w:rPr>
      </w:pPr>
    </w:p>
    <w:p w14:paraId="7C82C65E" w14:textId="58CBB270" w:rsidR="0039450A" w:rsidRPr="00F2409E" w:rsidRDefault="0039450A" w:rsidP="005C61F6">
      <w:pPr>
        <w:rPr>
          <w:rFonts w:ascii="Arial" w:hAnsi="Arial" w:cs="Arial"/>
          <w:szCs w:val="24"/>
        </w:rPr>
      </w:pPr>
      <w:r w:rsidRPr="00F2409E">
        <w:rPr>
          <w:rFonts w:ascii="Arial" w:hAnsi="Arial" w:cs="Arial"/>
          <w:szCs w:val="24"/>
        </w:rPr>
        <w:t>Designation:</w:t>
      </w:r>
      <w:r w:rsidR="0067538A" w:rsidRPr="00F2409E">
        <w:rPr>
          <w:rFonts w:ascii="Arial" w:hAnsi="Arial" w:cs="Arial"/>
          <w:szCs w:val="24"/>
        </w:rPr>
        <w:tab/>
        <w:t>Chief Executive</w:t>
      </w:r>
    </w:p>
    <w:p w14:paraId="4000FBA9" w14:textId="77777777" w:rsidR="00EC7742" w:rsidRPr="00F2409E" w:rsidRDefault="00EC7742" w:rsidP="005C61F6">
      <w:pPr>
        <w:rPr>
          <w:rFonts w:ascii="Arial" w:hAnsi="Arial" w:cs="Arial"/>
          <w:szCs w:val="24"/>
        </w:rPr>
      </w:pPr>
    </w:p>
    <w:p w14:paraId="53973E01" w14:textId="493BE684" w:rsidR="00F05E54" w:rsidRPr="00F2409E" w:rsidRDefault="0039450A" w:rsidP="005C61F6">
      <w:pPr>
        <w:pStyle w:val="BodyText"/>
        <w:jc w:val="left"/>
        <w:rPr>
          <w:rFonts w:ascii="Arial" w:hAnsi="Arial" w:cs="Arial"/>
          <w:b w:val="0"/>
          <w:szCs w:val="24"/>
        </w:rPr>
      </w:pPr>
      <w:r w:rsidRPr="00F2409E">
        <w:rPr>
          <w:rFonts w:ascii="Arial" w:hAnsi="Arial" w:cs="Arial"/>
          <w:b w:val="0"/>
          <w:szCs w:val="24"/>
        </w:rPr>
        <w:t>Date:</w:t>
      </w:r>
      <w:r w:rsidRPr="00F2409E">
        <w:rPr>
          <w:rFonts w:ascii="Arial" w:hAnsi="Arial" w:cs="Arial"/>
          <w:b w:val="0"/>
          <w:szCs w:val="24"/>
        </w:rPr>
        <w:tab/>
      </w:r>
      <w:r w:rsidR="00E56545" w:rsidRPr="00F2409E">
        <w:rPr>
          <w:rFonts w:ascii="Arial" w:hAnsi="Arial" w:cs="Arial"/>
          <w:b w:val="0"/>
          <w:szCs w:val="24"/>
        </w:rPr>
        <w:tab/>
      </w:r>
      <w:r w:rsidR="00287AFF">
        <w:rPr>
          <w:rFonts w:ascii="Arial" w:hAnsi="Arial" w:cs="Arial"/>
          <w:b w:val="0"/>
          <w:szCs w:val="24"/>
        </w:rPr>
        <w:t xml:space="preserve">14 </w:t>
      </w:r>
      <w:r w:rsidR="00662F81" w:rsidRPr="00F2409E">
        <w:rPr>
          <w:rFonts w:ascii="Arial" w:hAnsi="Arial" w:cs="Arial"/>
          <w:b w:val="0"/>
          <w:szCs w:val="24"/>
        </w:rPr>
        <w:t>June</w:t>
      </w:r>
      <w:r w:rsidR="00C8024D" w:rsidRPr="00F2409E">
        <w:rPr>
          <w:rFonts w:ascii="Arial" w:hAnsi="Arial" w:cs="Arial"/>
          <w:b w:val="0"/>
          <w:szCs w:val="24"/>
        </w:rPr>
        <w:t xml:space="preserve"> 202</w:t>
      </w:r>
      <w:r w:rsidR="00843FF0" w:rsidRPr="00F2409E">
        <w:rPr>
          <w:rFonts w:ascii="Arial" w:hAnsi="Arial" w:cs="Arial"/>
          <w:b w:val="0"/>
          <w:szCs w:val="24"/>
        </w:rPr>
        <w:t>2</w:t>
      </w:r>
    </w:p>
    <w:p w14:paraId="79787FDE" w14:textId="77777777" w:rsidR="00843FF0" w:rsidRPr="00F2409E" w:rsidRDefault="00843FF0" w:rsidP="00843FF0">
      <w:pPr>
        <w:rPr>
          <w:rFonts w:ascii="Arial" w:hAnsi="Arial" w:cs="Arial"/>
          <w:szCs w:val="24"/>
        </w:rPr>
      </w:pPr>
    </w:p>
    <w:p w14:paraId="6058B1B3" w14:textId="17FBC814" w:rsidR="00357523" w:rsidRPr="00F2409E" w:rsidRDefault="00843FF0" w:rsidP="00D37320">
      <w:pPr>
        <w:rPr>
          <w:rFonts w:ascii="Arial" w:hAnsi="Arial" w:cs="Arial"/>
          <w:noProof/>
          <w:szCs w:val="24"/>
        </w:rPr>
      </w:pPr>
      <w:r w:rsidRPr="00F2409E">
        <w:rPr>
          <w:rFonts w:ascii="Arial" w:hAnsi="Arial" w:cs="Arial"/>
          <w:szCs w:val="24"/>
        </w:rPr>
        <w:t xml:space="preserve">Author: </w:t>
      </w:r>
      <w:r w:rsidRPr="00F2409E">
        <w:rPr>
          <w:rFonts w:ascii="Arial" w:hAnsi="Arial" w:cs="Arial"/>
          <w:szCs w:val="24"/>
        </w:rPr>
        <w:tab/>
        <w:t>Douglas Wilby, Director of Sport and Leisure</w:t>
      </w:r>
    </w:p>
    <w:sectPr w:rsidR="00357523" w:rsidRPr="00F2409E" w:rsidSect="00C8348C">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2917" w14:textId="77777777" w:rsidR="00E8450B" w:rsidRDefault="00E8450B">
      <w:r>
        <w:separator/>
      </w:r>
    </w:p>
  </w:endnote>
  <w:endnote w:type="continuationSeparator" w:id="0">
    <w:p w14:paraId="1549C3D3" w14:textId="77777777" w:rsidR="00E8450B" w:rsidRDefault="00E8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383" w14:textId="77777777" w:rsidR="00E8450B" w:rsidRPr="00F0532E" w:rsidRDefault="00E8450B" w:rsidP="00CE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65BD" w14:textId="77777777" w:rsidR="00E8450B" w:rsidRDefault="00E8450B">
      <w:r>
        <w:separator/>
      </w:r>
    </w:p>
  </w:footnote>
  <w:footnote w:type="continuationSeparator" w:id="0">
    <w:p w14:paraId="172C6430" w14:textId="77777777" w:rsidR="00E8450B" w:rsidRDefault="00E8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21AC"/>
    <w:multiLevelType w:val="hybridMultilevel"/>
    <w:tmpl w:val="F8A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56D3C"/>
    <w:multiLevelType w:val="hybridMultilevel"/>
    <w:tmpl w:val="F1A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CB9"/>
    <w:multiLevelType w:val="hybridMultilevel"/>
    <w:tmpl w:val="CCDA7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E7CF6"/>
    <w:multiLevelType w:val="hybridMultilevel"/>
    <w:tmpl w:val="FC1EB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7446D3"/>
    <w:multiLevelType w:val="hybridMultilevel"/>
    <w:tmpl w:val="469679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F3314"/>
    <w:multiLevelType w:val="hybridMultilevel"/>
    <w:tmpl w:val="6FCC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D0957"/>
    <w:multiLevelType w:val="hybridMultilevel"/>
    <w:tmpl w:val="23AE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2D8E"/>
    <w:multiLevelType w:val="hybridMultilevel"/>
    <w:tmpl w:val="D9F2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B5CCB"/>
    <w:multiLevelType w:val="hybridMultilevel"/>
    <w:tmpl w:val="2F60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C6047"/>
    <w:multiLevelType w:val="hybridMultilevel"/>
    <w:tmpl w:val="469679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A62FB"/>
    <w:multiLevelType w:val="hybridMultilevel"/>
    <w:tmpl w:val="0CD6A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401138"/>
    <w:multiLevelType w:val="hybridMultilevel"/>
    <w:tmpl w:val="AB7E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D4170"/>
    <w:multiLevelType w:val="hybridMultilevel"/>
    <w:tmpl w:val="CCDA7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21F4C"/>
    <w:multiLevelType w:val="hybridMultilevel"/>
    <w:tmpl w:val="6D46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A1C84"/>
    <w:multiLevelType w:val="hybridMultilevel"/>
    <w:tmpl w:val="3428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E1480A"/>
    <w:multiLevelType w:val="hybridMultilevel"/>
    <w:tmpl w:val="E556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C4672"/>
    <w:multiLevelType w:val="hybridMultilevel"/>
    <w:tmpl w:val="6E10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35F19"/>
    <w:multiLevelType w:val="hybridMultilevel"/>
    <w:tmpl w:val="094E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27F8D"/>
    <w:multiLevelType w:val="hybridMultilevel"/>
    <w:tmpl w:val="CCDA7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91E27"/>
    <w:multiLevelType w:val="hybridMultilevel"/>
    <w:tmpl w:val="DA00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2456C"/>
    <w:multiLevelType w:val="hybridMultilevel"/>
    <w:tmpl w:val="469679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2" w15:restartNumberingAfterBreak="0">
    <w:nsid w:val="7D2411D8"/>
    <w:multiLevelType w:val="hybridMultilevel"/>
    <w:tmpl w:val="7ABC170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1"/>
  </w:num>
  <w:num w:numId="4">
    <w:abstractNumId w:val="15"/>
  </w:num>
  <w:num w:numId="5">
    <w:abstractNumId w:val="14"/>
  </w:num>
  <w:num w:numId="6">
    <w:abstractNumId w:val="10"/>
  </w:num>
  <w:num w:numId="7">
    <w:abstractNumId w:val="3"/>
  </w:num>
  <w:num w:numId="8">
    <w:abstractNumId w:val="22"/>
  </w:num>
  <w:num w:numId="9">
    <w:abstractNumId w:val="8"/>
  </w:num>
  <w:num w:numId="10">
    <w:abstractNumId w:val="19"/>
  </w:num>
  <w:num w:numId="11">
    <w:abstractNumId w:val="11"/>
  </w:num>
  <w:num w:numId="12">
    <w:abstractNumId w:val="6"/>
  </w:num>
  <w:num w:numId="13">
    <w:abstractNumId w:val="17"/>
  </w:num>
  <w:num w:numId="14">
    <w:abstractNumId w:val="7"/>
  </w:num>
  <w:num w:numId="15">
    <w:abstractNumId w:val="5"/>
  </w:num>
  <w:num w:numId="16">
    <w:abstractNumId w:val="0"/>
  </w:num>
  <w:num w:numId="17">
    <w:abstractNumId w:val="13"/>
  </w:num>
  <w:num w:numId="18">
    <w:abstractNumId w:val="1"/>
  </w:num>
  <w:num w:numId="19">
    <w:abstractNumId w:val="18"/>
  </w:num>
  <w:num w:numId="20">
    <w:abstractNumId w:val="16"/>
  </w:num>
  <w:num w:numId="21">
    <w:abstractNumId w:val="4"/>
  </w:num>
  <w:num w:numId="22">
    <w:abstractNumId w:val="12"/>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4173"/>
    <w:rsid w:val="00005034"/>
    <w:rsid w:val="00005EBD"/>
    <w:rsid w:val="00006338"/>
    <w:rsid w:val="00006D19"/>
    <w:rsid w:val="00007281"/>
    <w:rsid w:val="0001001E"/>
    <w:rsid w:val="000109D9"/>
    <w:rsid w:val="00011000"/>
    <w:rsid w:val="00013027"/>
    <w:rsid w:val="000132F5"/>
    <w:rsid w:val="000155A5"/>
    <w:rsid w:val="00016CB9"/>
    <w:rsid w:val="00020B41"/>
    <w:rsid w:val="0002289C"/>
    <w:rsid w:val="00023F6D"/>
    <w:rsid w:val="00024482"/>
    <w:rsid w:val="000248A6"/>
    <w:rsid w:val="00025440"/>
    <w:rsid w:val="00025BA4"/>
    <w:rsid w:val="00025F54"/>
    <w:rsid w:val="0002604C"/>
    <w:rsid w:val="000261C0"/>
    <w:rsid w:val="000273AB"/>
    <w:rsid w:val="000303F4"/>
    <w:rsid w:val="00030430"/>
    <w:rsid w:val="000324A1"/>
    <w:rsid w:val="00032726"/>
    <w:rsid w:val="000351A3"/>
    <w:rsid w:val="0003535D"/>
    <w:rsid w:val="00035568"/>
    <w:rsid w:val="0003574B"/>
    <w:rsid w:val="0003591A"/>
    <w:rsid w:val="00037F2C"/>
    <w:rsid w:val="00040458"/>
    <w:rsid w:val="0004082A"/>
    <w:rsid w:val="00040CF7"/>
    <w:rsid w:val="00040F96"/>
    <w:rsid w:val="0004289B"/>
    <w:rsid w:val="00042E23"/>
    <w:rsid w:val="000447FB"/>
    <w:rsid w:val="00045109"/>
    <w:rsid w:val="000477AE"/>
    <w:rsid w:val="0004792D"/>
    <w:rsid w:val="00047965"/>
    <w:rsid w:val="00050D22"/>
    <w:rsid w:val="00051812"/>
    <w:rsid w:val="00052748"/>
    <w:rsid w:val="00052DF2"/>
    <w:rsid w:val="000535EB"/>
    <w:rsid w:val="00054DE1"/>
    <w:rsid w:val="00054DF5"/>
    <w:rsid w:val="00056FEB"/>
    <w:rsid w:val="0005768D"/>
    <w:rsid w:val="00057BB3"/>
    <w:rsid w:val="00060FCB"/>
    <w:rsid w:val="0006223F"/>
    <w:rsid w:val="00065745"/>
    <w:rsid w:val="00065EC5"/>
    <w:rsid w:val="00066ED6"/>
    <w:rsid w:val="00066F44"/>
    <w:rsid w:val="00067084"/>
    <w:rsid w:val="000679FF"/>
    <w:rsid w:val="00071985"/>
    <w:rsid w:val="0007214D"/>
    <w:rsid w:val="0007450C"/>
    <w:rsid w:val="00075C18"/>
    <w:rsid w:val="00076CE9"/>
    <w:rsid w:val="00077CDC"/>
    <w:rsid w:val="00080D10"/>
    <w:rsid w:val="0008199C"/>
    <w:rsid w:val="0008258A"/>
    <w:rsid w:val="00082960"/>
    <w:rsid w:val="00082E4D"/>
    <w:rsid w:val="00083A0B"/>
    <w:rsid w:val="00084731"/>
    <w:rsid w:val="00085C39"/>
    <w:rsid w:val="00090B05"/>
    <w:rsid w:val="000910A1"/>
    <w:rsid w:val="00092C10"/>
    <w:rsid w:val="0009368C"/>
    <w:rsid w:val="00093F22"/>
    <w:rsid w:val="000960B4"/>
    <w:rsid w:val="00097DBB"/>
    <w:rsid w:val="000A004A"/>
    <w:rsid w:val="000A0058"/>
    <w:rsid w:val="000A0B95"/>
    <w:rsid w:val="000A10DD"/>
    <w:rsid w:val="000A2113"/>
    <w:rsid w:val="000A22D2"/>
    <w:rsid w:val="000A4432"/>
    <w:rsid w:val="000A4864"/>
    <w:rsid w:val="000A5D01"/>
    <w:rsid w:val="000A687E"/>
    <w:rsid w:val="000A75A6"/>
    <w:rsid w:val="000A7E15"/>
    <w:rsid w:val="000B0BFF"/>
    <w:rsid w:val="000B0E93"/>
    <w:rsid w:val="000B1B33"/>
    <w:rsid w:val="000B1EBC"/>
    <w:rsid w:val="000B3039"/>
    <w:rsid w:val="000B435A"/>
    <w:rsid w:val="000B4840"/>
    <w:rsid w:val="000B4E4A"/>
    <w:rsid w:val="000B4FC1"/>
    <w:rsid w:val="000B5301"/>
    <w:rsid w:val="000B5AE8"/>
    <w:rsid w:val="000B74FB"/>
    <w:rsid w:val="000C031D"/>
    <w:rsid w:val="000C0459"/>
    <w:rsid w:val="000C163A"/>
    <w:rsid w:val="000C1C9E"/>
    <w:rsid w:val="000C5517"/>
    <w:rsid w:val="000C555F"/>
    <w:rsid w:val="000D0E63"/>
    <w:rsid w:val="000D2AF8"/>
    <w:rsid w:val="000D4120"/>
    <w:rsid w:val="000D5429"/>
    <w:rsid w:val="000D653B"/>
    <w:rsid w:val="000D7575"/>
    <w:rsid w:val="000D7D49"/>
    <w:rsid w:val="000E0E01"/>
    <w:rsid w:val="000E1A50"/>
    <w:rsid w:val="000E20A9"/>
    <w:rsid w:val="000E2417"/>
    <w:rsid w:val="000E3B71"/>
    <w:rsid w:val="000E4771"/>
    <w:rsid w:val="000E5413"/>
    <w:rsid w:val="000E5520"/>
    <w:rsid w:val="000E585A"/>
    <w:rsid w:val="000E5DC8"/>
    <w:rsid w:val="000E665F"/>
    <w:rsid w:val="000E7264"/>
    <w:rsid w:val="000E7BFD"/>
    <w:rsid w:val="000F13D8"/>
    <w:rsid w:val="000F1454"/>
    <w:rsid w:val="000F16EF"/>
    <w:rsid w:val="000F1B12"/>
    <w:rsid w:val="000F25FF"/>
    <w:rsid w:val="000F274B"/>
    <w:rsid w:val="000F2D0D"/>
    <w:rsid w:val="000F452E"/>
    <w:rsid w:val="000F46F1"/>
    <w:rsid w:val="000F583A"/>
    <w:rsid w:val="000F6071"/>
    <w:rsid w:val="000F6396"/>
    <w:rsid w:val="000F6444"/>
    <w:rsid w:val="000F6A3F"/>
    <w:rsid w:val="000F6F1D"/>
    <w:rsid w:val="000F7CB5"/>
    <w:rsid w:val="00101DB0"/>
    <w:rsid w:val="001026D5"/>
    <w:rsid w:val="00102B34"/>
    <w:rsid w:val="00103AF2"/>
    <w:rsid w:val="0010500D"/>
    <w:rsid w:val="00105C73"/>
    <w:rsid w:val="001060E8"/>
    <w:rsid w:val="00106AB2"/>
    <w:rsid w:val="00106B35"/>
    <w:rsid w:val="001072B4"/>
    <w:rsid w:val="00107438"/>
    <w:rsid w:val="00112733"/>
    <w:rsid w:val="001137E6"/>
    <w:rsid w:val="00113A44"/>
    <w:rsid w:val="0011448D"/>
    <w:rsid w:val="00114920"/>
    <w:rsid w:val="00115196"/>
    <w:rsid w:val="001164AC"/>
    <w:rsid w:val="001176E5"/>
    <w:rsid w:val="00121D22"/>
    <w:rsid w:val="00121E26"/>
    <w:rsid w:val="0012298E"/>
    <w:rsid w:val="001233A1"/>
    <w:rsid w:val="00123F7F"/>
    <w:rsid w:val="00124452"/>
    <w:rsid w:val="00124479"/>
    <w:rsid w:val="00124C8B"/>
    <w:rsid w:val="00126D4A"/>
    <w:rsid w:val="00131C15"/>
    <w:rsid w:val="00132F77"/>
    <w:rsid w:val="00133B37"/>
    <w:rsid w:val="00134121"/>
    <w:rsid w:val="00135FFB"/>
    <w:rsid w:val="001371D2"/>
    <w:rsid w:val="00137904"/>
    <w:rsid w:val="00137B8C"/>
    <w:rsid w:val="00140C99"/>
    <w:rsid w:val="00141CC9"/>
    <w:rsid w:val="00141F0A"/>
    <w:rsid w:val="0014264B"/>
    <w:rsid w:val="00142B83"/>
    <w:rsid w:val="00142FD6"/>
    <w:rsid w:val="0014372C"/>
    <w:rsid w:val="00145107"/>
    <w:rsid w:val="0014742D"/>
    <w:rsid w:val="0014750A"/>
    <w:rsid w:val="0015012F"/>
    <w:rsid w:val="001513D9"/>
    <w:rsid w:val="00151696"/>
    <w:rsid w:val="00153F73"/>
    <w:rsid w:val="00155132"/>
    <w:rsid w:val="00160ECA"/>
    <w:rsid w:val="00161B92"/>
    <w:rsid w:val="00161BD2"/>
    <w:rsid w:val="001623F3"/>
    <w:rsid w:val="001628ED"/>
    <w:rsid w:val="00162D1B"/>
    <w:rsid w:val="00162F00"/>
    <w:rsid w:val="001631C8"/>
    <w:rsid w:val="00164D0D"/>
    <w:rsid w:val="00164EEB"/>
    <w:rsid w:val="00165375"/>
    <w:rsid w:val="00165D2D"/>
    <w:rsid w:val="0016605F"/>
    <w:rsid w:val="00166422"/>
    <w:rsid w:val="00166C50"/>
    <w:rsid w:val="001671A2"/>
    <w:rsid w:val="00170F08"/>
    <w:rsid w:val="00171EDA"/>
    <w:rsid w:val="00172CA6"/>
    <w:rsid w:val="00173D82"/>
    <w:rsid w:val="0017415C"/>
    <w:rsid w:val="0017470B"/>
    <w:rsid w:val="00176A6D"/>
    <w:rsid w:val="00180ED7"/>
    <w:rsid w:val="0018107C"/>
    <w:rsid w:val="00181E99"/>
    <w:rsid w:val="001834D7"/>
    <w:rsid w:val="00183738"/>
    <w:rsid w:val="00185E17"/>
    <w:rsid w:val="00185EDE"/>
    <w:rsid w:val="00186F1A"/>
    <w:rsid w:val="00190921"/>
    <w:rsid w:val="00191CA3"/>
    <w:rsid w:val="00191FB3"/>
    <w:rsid w:val="00193686"/>
    <w:rsid w:val="001938A7"/>
    <w:rsid w:val="00193D0F"/>
    <w:rsid w:val="00194213"/>
    <w:rsid w:val="001947DE"/>
    <w:rsid w:val="00194912"/>
    <w:rsid w:val="00194E1A"/>
    <w:rsid w:val="00195160"/>
    <w:rsid w:val="00196D33"/>
    <w:rsid w:val="00196F6F"/>
    <w:rsid w:val="00197F92"/>
    <w:rsid w:val="001A0567"/>
    <w:rsid w:val="001A0DF4"/>
    <w:rsid w:val="001A0DF7"/>
    <w:rsid w:val="001A14EB"/>
    <w:rsid w:val="001A3157"/>
    <w:rsid w:val="001A322A"/>
    <w:rsid w:val="001A6082"/>
    <w:rsid w:val="001A65F7"/>
    <w:rsid w:val="001A7A0D"/>
    <w:rsid w:val="001B3EC9"/>
    <w:rsid w:val="001B4F7A"/>
    <w:rsid w:val="001C1718"/>
    <w:rsid w:val="001C1B3E"/>
    <w:rsid w:val="001C224E"/>
    <w:rsid w:val="001C3758"/>
    <w:rsid w:val="001C4148"/>
    <w:rsid w:val="001C4AC7"/>
    <w:rsid w:val="001C5031"/>
    <w:rsid w:val="001C64F9"/>
    <w:rsid w:val="001C6DF5"/>
    <w:rsid w:val="001C707D"/>
    <w:rsid w:val="001D131D"/>
    <w:rsid w:val="001D1D0F"/>
    <w:rsid w:val="001D1D38"/>
    <w:rsid w:val="001D24CD"/>
    <w:rsid w:val="001D29BE"/>
    <w:rsid w:val="001D3D68"/>
    <w:rsid w:val="001D6A64"/>
    <w:rsid w:val="001E0525"/>
    <w:rsid w:val="001E1DA7"/>
    <w:rsid w:val="001E2633"/>
    <w:rsid w:val="001E29C9"/>
    <w:rsid w:val="001E39C7"/>
    <w:rsid w:val="001E43EE"/>
    <w:rsid w:val="001E583B"/>
    <w:rsid w:val="001E5C44"/>
    <w:rsid w:val="001E5FA4"/>
    <w:rsid w:val="001E6330"/>
    <w:rsid w:val="001E649E"/>
    <w:rsid w:val="001F0185"/>
    <w:rsid w:val="001F0366"/>
    <w:rsid w:val="001F12B6"/>
    <w:rsid w:val="001F1D85"/>
    <w:rsid w:val="001F20EB"/>
    <w:rsid w:val="001F3077"/>
    <w:rsid w:val="001F448B"/>
    <w:rsid w:val="001F47C3"/>
    <w:rsid w:val="001F4E30"/>
    <w:rsid w:val="001F7012"/>
    <w:rsid w:val="001F716C"/>
    <w:rsid w:val="001F75CC"/>
    <w:rsid w:val="0020143C"/>
    <w:rsid w:val="00201CAA"/>
    <w:rsid w:val="00203AFA"/>
    <w:rsid w:val="002062BF"/>
    <w:rsid w:val="002065B6"/>
    <w:rsid w:val="00207995"/>
    <w:rsid w:val="00207D74"/>
    <w:rsid w:val="00210138"/>
    <w:rsid w:val="00210527"/>
    <w:rsid w:val="00213D65"/>
    <w:rsid w:val="0021444C"/>
    <w:rsid w:val="002147DB"/>
    <w:rsid w:val="00214ACB"/>
    <w:rsid w:val="00214F4B"/>
    <w:rsid w:val="002166BB"/>
    <w:rsid w:val="00217E44"/>
    <w:rsid w:val="00220F48"/>
    <w:rsid w:val="00221603"/>
    <w:rsid w:val="002218DD"/>
    <w:rsid w:val="00222402"/>
    <w:rsid w:val="00223721"/>
    <w:rsid w:val="00223EE6"/>
    <w:rsid w:val="00223F29"/>
    <w:rsid w:val="00225018"/>
    <w:rsid w:val="0022624A"/>
    <w:rsid w:val="00226295"/>
    <w:rsid w:val="00226FFA"/>
    <w:rsid w:val="00227656"/>
    <w:rsid w:val="00227955"/>
    <w:rsid w:val="00227FB0"/>
    <w:rsid w:val="00230161"/>
    <w:rsid w:val="00231355"/>
    <w:rsid w:val="00231DC2"/>
    <w:rsid w:val="002324EE"/>
    <w:rsid w:val="00234341"/>
    <w:rsid w:val="002346CD"/>
    <w:rsid w:val="00234B29"/>
    <w:rsid w:val="002353F8"/>
    <w:rsid w:val="00235AC7"/>
    <w:rsid w:val="00237B75"/>
    <w:rsid w:val="00240A45"/>
    <w:rsid w:val="00241131"/>
    <w:rsid w:val="00241661"/>
    <w:rsid w:val="002436B7"/>
    <w:rsid w:val="00243B09"/>
    <w:rsid w:val="00243E17"/>
    <w:rsid w:val="00243FAC"/>
    <w:rsid w:val="0024503C"/>
    <w:rsid w:val="002451A7"/>
    <w:rsid w:val="0024539E"/>
    <w:rsid w:val="00246974"/>
    <w:rsid w:val="00246B0D"/>
    <w:rsid w:val="0024745C"/>
    <w:rsid w:val="002476F1"/>
    <w:rsid w:val="00251322"/>
    <w:rsid w:val="002519A5"/>
    <w:rsid w:val="002531D5"/>
    <w:rsid w:val="00253A94"/>
    <w:rsid w:val="00253C0F"/>
    <w:rsid w:val="00253EB7"/>
    <w:rsid w:val="002541BB"/>
    <w:rsid w:val="00256A33"/>
    <w:rsid w:val="00256D35"/>
    <w:rsid w:val="00260002"/>
    <w:rsid w:val="002614AF"/>
    <w:rsid w:val="00262229"/>
    <w:rsid w:val="0026277B"/>
    <w:rsid w:val="00262CFD"/>
    <w:rsid w:val="00263300"/>
    <w:rsid w:val="002655C2"/>
    <w:rsid w:val="00266FE2"/>
    <w:rsid w:val="00267047"/>
    <w:rsid w:val="00274B3A"/>
    <w:rsid w:val="00275146"/>
    <w:rsid w:val="0027563B"/>
    <w:rsid w:val="00276622"/>
    <w:rsid w:val="00276795"/>
    <w:rsid w:val="0027735C"/>
    <w:rsid w:val="00277D98"/>
    <w:rsid w:val="00277F57"/>
    <w:rsid w:val="00280393"/>
    <w:rsid w:val="00280BF7"/>
    <w:rsid w:val="0028102D"/>
    <w:rsid w:val="002814FB"/>
    <w:rsid w:val="00281755"/>
    <w:rsid w:val="0028181F"/>
    <w:rsid w:val="00281948"/>
    <w:rsid w:val="00281AC1"/>
    <w:rsid w:val="00282087"/>
    <w:rsid w:val="00282BDB"/>
    <w:rsid w:val="00283200"/>
    <w:rsid w:val="00286213"/>
    <w:rsid w:val="0028773B"/>
    <w:rsid w:val="00287AFF"/>
    <w:rsid w:val="00290408"/>
    <w:rsid w:val="00290A5A"/>
    <w:rsid w:val="0029130E"/>
    <w:rsid w:val="00292B47"/>
    <w:rsid w:val="00293EDC"/>
    <w:rsid w:val="0029410B"/>
    <w:rsid w:val="00295140"/>
    <w:rsid w:val="00295390"/>
    <w:rsid w:val="00295418"/>
    <w:rsid w:val="00295DAB"/>
    <w:rsid w:val="00297E40"/>
    <w:rsid w:val="002A10B6"/>
    <w:rsid w:val="002A11C0"/>
    <w:rsid w:val="002A2D3B"/>
    <w:rsid w:val="002A3C18"/>
    <w:rsid w:val="002A5486"/>
    <w:rsid w:val="002A648C"/>
    <w:rsid w:val="002A660A"/>
    <w:rsid w:val="002A7E99"/>
    <w:rsid w:val="002B0459"/>
    <w:rsid w:val="002B19D1"/>
    <w:rsid w:val="002B1C2F"/>
    <w:rsid w:val="002B1E48"/>
    <w:rsid w:val="002B2632"/>
    <w:rsid w:val="002B2A21"/>
    <w:rsid w:val="002B2C25"/>
    <w:rsid w:val="002B4797"/>
    <w:rsid w:val="002B54D6"/>
    <w:rsid w:val="002B6842"/>
    <w:rsid w:val="002B7DC4"/>
    <w:rsid w:val="002B7F3A"/>
    <w:rsid w:val="002B7FDF"/>
    <w:rsid w:val="002C1FCF"/>
    <w:rsid w:val="002C2BD1"/>
    <w:rsid w:val="002C3267"/>
    <w:rsid w:val="002C646A"/>
    <w:rsid w:val="002C6D7E"/>
    <w:rsid w:val="002C7DD6"/>
    <w:rsid w:val="002D0958"/>
    <w:rsid w:val="002D1035"/>
    <w:rsid w:val="002D1D7C"/>
    <w:rsid w:val="002D1E1A"/>
    <w:rsid w:val="002D38F9"/>
    <w:rsid w:val="002D5357"/>
    <w:rsid w:val="002D5F0B"/>
    <w:rsid w:val="002D7A57"/>
    <w:rsid w:val="002E0A16"/>
    <w:rsid w:val="002E0ADB"/>
    <w:rsid w:val="002E1760"/>
    <w:rsid w:val="002E1823"/>
    <w:rsid w:val="002E2918"/>
    <w:rsid w:val="002E403B"/>
    <w:rsid w:val="002E4266"/>
    <w:rsid w:val="002E4DD0"/>
    <w:rsid w:val="002E5EB7"/>
    <w:rsid w:val="002E7C17"/>
    <w:rsid w:val="002F0B71"/>
    <w:rsid w:val="002F144A"/>
    <w:rsid w:val="002F20F1"/>
    <w:rsid w:val="002F2E6A"/>
    <w:rsid w:val="002F3A2A"/>
    <w:rsid w:val="002F3B59"/>
    <w:rsid w:val="002F444F"/>
    <w:rsid w:val="002F544A"/>
    <w:rsid w:val="002F6D86"/>
    <w:rsid w:val="002F7DE4"/>
    <w:rsid w:val="002F7E19"/>
    <w:rsid w:val="0030079E"/>
    <w:rsid w:val="00301D40"/>
    <w:rsid w:val="00302866"/>
    <w:rsid w:val="00302A00"/>
    <w:rsid w:val="003039EF"/>
    <w:rsid w:val="00304401"/>
    <w:rsid w:val="003044D0"/>
    <w:rsid w:val="00304B85"/>
    <w:rsid w:val="00306718"/>
    <w:rsid w:val="00307A33"/>
    <w:rsid w:val="0031043F"/>
    <w:rsid w:val="00310AE5"/>
    <w:rsid w:val="003113FF"/>
    <w:rsid w:val="00311531"/>
    <w:rsid w:val="0031258E"/>
    <w:rsid w:val="00312E9F"/>
    <w:rsid w:val="00313248"/>
    <w:rsid w:val="00313AB5"/>
    <w:rsid w:val="00314D94"/>
    <w:rsid w:val="0031618A"/>
    <w:rsid w:val="00316C35"/>
    <w:rsid w:val="00317C70"/>
    <w:rsid w:val="00322D79"/>
    <w:rsid w:val="003232C6"/>
    <w:rsid w:val="00324C2E"/>
    <w:rsid w:val="0032645C"/>
    <w:rsid w:val="003266F7"/>
    <w:rsid w:val="003277E1"/>
    <w:rsid w:val="00331578"/>
    <w:rsid w:val="00331BA3"/>
    <w:rsid w:val="003335EF"/>
    <w:rsid w:val="00333884"/>
    <w:rsid w:val="00333902"/>
    <w:rsid w:val="00334529"/>
    <w:rsid w:val="00334C4C"/>
    <w:rsid w:val="003357C7"/>
    <w:rsid w:val="00335FA1"/>
    <w:rsid w:val="003365EB"/>
    <w:rsid w:val="003378D9"/>
    <w:rsid w:val="00337A76"/>
    <w:rsid w:val="00337BD2"/>
    <w:rsid w:val="00337E40"/>
    <w:rsid w:val="003402A5"/>
    <w:rsid w:val="00340655"/>
    <w:rsid w:val="00340C43"/>
    <w:rsid w:val="00341B15"/>
    <w:rsid w:val="003424CB"/>
    <w:rsid w:val="003424E1"/>
    <w:rsid w:val="00343357"/>
    <w:rsid w:val="00343A60"/>
    <w:rsid w:val="003443C2"/>
    <w:rsid w:val="00344463"/>
    <w:rsid w:val="00344696"/>
    <w:rsid w:val="0034548C"/>
    <w:rsid w:val="00345B42"/>
    <w:rsid w:val="00345DD0"/>
    <w:rsid w:val="00346CA4"/>
    <w:rsid w:val="00346E02"/>
    <w:rsid w:val="00347ABF"/>
    <w:rsid w:val="0035196F"/>
    <w:rsid w:val="00352A31"/>
    <w:rsid w:val="00352B70"/>
    <w:rsid w:val="00352E08"/>
    <w:rsid w:val="00355AAB"/>
    <w:rsid w:val="00356B53"/>
    <w:rsid w:val="00357328"/>
    <w:rsid w:val="00357523"/>
    <w:rsid w:val="00357784"/>
    <w:rsid w:val="00357A95"/>
    <w:rsid w:val="00357E8B"/>
    <w:rsid w:val="00360A28"/>
    <w:rsid w:val="00360BAF"/>
    <w:rsid w:val="00361E54"/>
    <w:rsid w:val="00362C79"/>
    <w:rsid w:val="00363697"/>
    <w:rsid w:val="00363F20"/>
    <w:rsid w:val="003648C0"/>
    <w:rsid w:val="00364969"/>
    <w:rsid w:val="00365439"/>
    <w:rsid w:val="00366CD1"/>
    <w:rsid w:val="003709E0"/>
    <w:rsid w:val="003714C4"/>
    <w:rsid w:val="00374E7D"/>
    <w:rsid w:val="003770FC"/>
    <w:rsid w:val="00377762"/>
    <w:rsid w:val="0037788C"/>
    <w:rsid w:val="00377A62"/>
    <w:rsid w:val="00377DFE"/>
    <w:rsid w:val="00383748"/>
    <w:rsid w:val="0038395D"/>
    <w:rsid w:val="00383F98"/>
    <w:rsid w:val="003843D2"/>
    <w:rsid w:val="00386013"/>
    <w:rsid w:val="0038759B"/>
    <w:rsid w:val="003875A7"/>
    <w:rsid w:val="003875E9"/>
    <w:rsid w:val="00387615"/>
    <w:rsid w:val="003904CA"/>
    <w:rsid w:val="00391CFE"/>
    <w:rsid w:val="00391F82"/>
    <w:rsid w:val="003924C9"/>
    <w:rsid w:val="003931DB"/>
    <w:rsid w:val="003933B6"/>
    <w:rsid w:val="00393AD5"/>
    <w:rsid w:val="0039450A"/>
    <w:rsid w:val="0039580F"/>
    <w:rsid w:val="00397161"/>
    <w:rsid w:val="00397B2B"/>
    <w:rsid w:val="003A12A0"/>
    <w:rsid w:val="003A1A06"/>
    <w:rsid w:val="003A1B9E"/>
    <w:rsid w:val="003A2A9E"/>
    <w:rsid w:val="003A317F"/>
    <w:rsid w:val="003A4275"/>
    <w:rsid w:val="003A56A2"/>
    <w:rsid w:val="003A5C21"/>
    <w:rsid w:val="003A5C80"/>
    <w:rsid w:val="003B0FA9"/>
    <w:rsid w:val="003B2742"/>
    <w:rsid w:val="003B3794"/>
    <w:rsid w:val="003B57F7"/>
    <w:rsid w:val="003B6A14"/>
    <w:rsid w:val="003C0DBF"/>
    <w:rsid w:val="003C0F36"/>
    <w:rsid w:val="003C1902"/>
    <w:rsid w:val="003C27C9"/>
    <w:rsid w:val="003C33F3"/>
    <w:rsid w:val="003C3445"/>
    <w:rsid w:val="003C3496"/>
    <w:rsid w:val="003C543B"/>
    <w:rsid w:val="003C5D8C"/>
    <w:rsid w:val="003C63C0"/>
    <w:rsid w:val="003C69E1"/>
    <w:rsid w:val="003C75B1"/>
    <w:rsid w:val="003D05A3"/>
    <w:rsid w:val="003D0C54"/>
    <w:rsid w:val="003D111C"/>
    <w:rsid w:val="003D12FC"/>
    <w:rsid w:val="003D1AA8"/>
    <w:rsid w:val="003D35BD"/>
    <w:rsid w:val="003D4712"/>
    <w:rsid w:val="003D4C76"/>
    <w:rsid w:val="003D54BC"/>
    <w:rsid w:val="003D5CDE"/>
    <w:rsid w:val="003D7D71"/>
    <w:rsid w:val="003E0767"/>
    <w:rsid w:val="003E1D62"/>
    <w:rsid w:val="003E2134"/>
    <w:rsid w:val="003E227D"/>
    <w:rsid w:val="003E335C"/>
    <w:rsid w:val="003E35A5"/>
    <w:rsid w:val="003E38DE"/>
    <w:rsid w:val="003E44CE"/>
    <w:rsid w:val="003E6925"/>
    <w:rsid w:val="003E7C71"/>
    <w:rsid w:val="003E7CE1"/>
    <w:rsid w:val="003F0822"/>
    <w:rsid w:val="003F0BE1"/>
    <w:rsid w:val="003F182F"/>
    <w:rsid w:val="003F1972"/>
    <w:rsid w:val="003F2DAC"/>
    <w:rsid w:val="003F3B74"/>
    <w:rsid w:val="003F4E9D"/>
    <w:rsid w:val="003F5198"/>
    <w:rsid w:val="003F6176"/>
    <w:rsid w:val="003F713F"/>
    <w:rsid w:val="003F7CE5"/>
    <w:rsid w:val="004013A2"/>
    <w:rsid w:val="004013A4"/>
    <w:rsid w:val="00403F29"/>
    <w:rsid w:val="00405297"/>
    <w:rsid w:val="004058E3"/>
    <w:rsid w:val="00405A4C"/>
    <w:rsid w:val="00405EDB"/>
    <w:rsid w:val="004063D4"/>
    <w:rsid w:val="004066D6"/>
    <w:rsid w:val="0040733C"/>
    <w:rsid w:val="004076B3"/>
    <w:rsid w:val="0041042E"/>
    <w:rsid w:val="00410FC5"/>
    <w:rsid w:val="00410FE9"/>
    <w:rsid w:val="004112C7"/>
    <w:rsid w:val="004118C9"/>
    <w:rsid w:val="00412634"/>
    <w:rsid w:val="00413E57"/>
    <w:rsid w:val="00414582"/>
    <w:rsid w:val="004160BB"/>
    <w:rsid w:val="00416BFF"/>
    <w:rsid w:val="00417684"/>
    <w:rsid w:val="004177D6"/>
    <w:rsid w:val="00421249"/>
    <w:rsid w:val="00422819"/>
    <w:rsid w:val="004228F9"/>
    <w:rsid w:val="0042307E"/>
    <w:rsid w:val="00423DA3"/>
    <w:rsid w:val="00424256"/>
    <w:rsid w:val="004254A1"/>
    <w:rsid w:val="00425A4B"/>
    <w:rsid w:val="00425F58"/>
    <w:rsid w:val="00426029"/>
    <w:rsid w:val="004264A1"/>
    <w:rsid w:val="004266D4"/>
    <w:rsid w:val="004270BA"/>
    <w:rsid w:val="00430251"/>
    <w:rsid w:val="00430478"/>
    <w:rsid w:val="0043085D"/>
    <w:rsid w:val="00430E25"/>
    <w:rsid w:val="0043214E"/>
    <w:rsid w:val="00433E7E"/>
    <w:rsid w:val="004341EA"/>
    <w:rsid w:val="00434A71"/>
    <w:rsid w:val="004355B8"/>
    <w:rsid w:val="004367B9"/>
    <w:rsid w:val="00437FAD"/>
    <w:rsid w:val="00440936"/>
    <w:rsid w:val="004427A9"/>
    <w:rsid w:val="00442FCB"/>
    <w:rsid w:val="0044574F"/>
    <w:rsid w:val="004458B6"/>
    <w:rsid w:val="00445D1F"/>
    <w:rsid w:val="00446667"/>
    <w:rsid w:val="00446DB1"/>
    <w:rsid w:val="0044767F"/>
    <w:rsid w:val="0045001A"/>
    <w:rsid w:val="00450113"/>
    <w:rsid w:val="0045318B"/>
    <w:rsid w:val="0045351D"/>
    <w:rsid w:val="00453AFE"/>
    <w:rsid w:val="00454765"/>
    <w:rsid w:val="00454A19"/>
    <w:rsid w:val="00454CE2"/>
    <w:rsid w:val="004576B2"/>
    <w:rsid w:val="00461A80"/>
    <w:rsid w:val="00461A8E"/>
    <w:rsid w:val="00463284"/>
    <w:rsid w:val="0046387C"/>
    <w:rsid w:val="00463EFF"/>
    <w:rsid w:val="00464285"/>
    <w:rsid w:val="00464497"/>
    <w:rsid w:val="00464F74"/>
    <w:rsid w:val="0046676C"/>
    <w:rsid w:val="0046709C"/>
    <w:rsid w:val="00467E0B"/>
    <w:rsid w:val="004704DB"/>
    <w:rsid w:val="0047076E"/>
    <w:rsid w:val="0047160E"/>
    <w:rsid w:val="00471B6E"/>
    <w:rsid w:val="004724D3"/>
    <w:rsid w:val="004732EE"/>
    <w:rsid w:val="004742C0"/>
    <w:rsid w:val="004746F3"/>
    <w:rsid w:val="00474ECA"/>
    <w:rsid w:val="004755D6"/>
    <w:rsid w:val="00475938"/>
    <w:rsid w:val="00475A7B"/>
    <w:rsid w:val="00475EDA"/>
    <w:rsid w:val="00477266"/>
    <w:rsid w:val="0047751F"/>
    <w:rsid w:val="0047778C"/>
    <w:rsid w:val="00480C61"/>
    <w:rsid w:val="00484407"/>
    <w:rsid w:val="00484971"/>
    <w:rsid w:val="0048534A"/>
    <w:rsid w:val="004872F5"/>
    <w:rsid w:val="00487CA8"/>
    <w:rsid w:val="0049093D"/>
    <w:rsid w:val="00490F54"/>
    <w:rsid w:val="004918A8"/>
    <w:rsid w:val="00491BEF"/>
    <w:rsid w:val="004922D4"/>
    <w:rsid w:val="00493492"/>
    <w:rsid w:val="0049380D"/>
    <w:rsid w:val="00493990"/>
    <w:rsid w:val="00493F1D"/>
    <w:rsid w:val="004941FA"/>
    <w:rsid w:val="00494443"/>
    <w:rsid w:val="004946CD"/>
    <w:rsid w:val="004948C6"/>
    <w:rsid w:val="004955A9"/>
    <w:rsid w:val="00496128"/>
    <w:rsid w:val="00496280"/>
    <w:rsid w:val="004973CD"/>
    <w:rsid w:val="004979FF"/>
    <w:rsid w:val="004A0103"/>
    <w:rsid w:val="004A0E71"/>
    <w:rsid w:val="004A10E7"/>
    <w:rsid w:val="004A2154"/>
    <w:rsid w:val="004A239A"/>
    <w:rsid w:val="004A25E4"/>
    <w:rsid w:val="004A2C41"/>
    <w:rsid w:val="004A2C90"/>
    <w:rsid w:val="004A31CC"/>
    <w:rsid w:val="004A35BA"/>
    <w:rsid w:val="004A3628"/>
    <w:rsid w:val="004A3F2A"/>
    <w:rsid w:val="004A5BD4"/>
    <w:rsid w:val="004A6B81"/>
    <w:rsid w:val="004A7827"/>
    <w:rsid w:val="004B0EDE"/>
    <w:rsid w:val="004B12D9"/>
    <w:rsid w:val="004B409B"/>
    <w:rsid w:val="004B44B7"/>
    <w:rsid w:val="004B5787"/>
    <w:rsid w:val="004B57D1"/>
    <w:rsid w:val="004B621C"/>
    <w:rsid w:val="004B65F9"/>
    <w:rsid w:val="004C0445"/>
    <w:rsid w:val="004C0A3A"/>
    <w:rsid w:val="004C2460"/>
    <w:rsid w:val="004C2D74"/>
    <w:rsid w:val="004C3822"/>
    <w:rsid w:val="004C44F9"/>
    <w:rsid w:val="004C5AA3"/>
    <w:rsid w:val="004C5DB7"/>
    <w:rsid w:val="004C5F14"/>
    <w:rsid w:val="004C6706"/>
    <w:rsid w:val="004C6FAE"/>
    <w:rsid w:val="004D1680"/>
    <w:rsid w:val="004D169A"/>
    <w:rsid w:val="004D1D09"/>
    <w:rsid w:val="004D2FC5"/>
    <w:rsid w:val="004D3518"/>
    <w:rsid w:val="004D386D"/>
    <w:rsid w:val="004D4F51"/>
    <w:rsid w:val="004D64F4"/>
    <w:rsid w:val="004D7A5C"/>
    <w:rsid w:val="004E08A3"/>
    <w:rsid w:val="004E14D2"/>
    <w:rsid w:val="004E246A"/>
    <w:rsid w:val="004E26C6"/>
    <w:rsid w:val="004E3E0E"/>
    <w:rsid w:val="004E48BB"/>
    <w:rsid w:val="004E4E5D"/>
    <w:rsid w:val="004E5753"/>
    <w:rsid w:val="004F046F"/>
    <w:rsid w:val="004F4616"/>
    <w:rsid w:val="004F541E"/>
    <w:rsid w:val="004F543C"/>
    <w:rsid w:val="004F55EA"/>
    <w:rsid w:val="004F5938"/>
    <w:rsid w:val="004F635C"/>
    <w:rsid w:val="004F6740"/>
    <w:rsid w:val="004F681F"/>
    <w:rsid w:val="004F775F"/>
    <w:rsid w:val="004F778B"/>
    <w:rsid w:val="004F7906"/>
    <w:rsid w:val="00501B08"/>
    <w:rsid w:val="00504936"/>
    <w:rsid w:val="005058F1"/>
    <w:rsid w:val="00506968"/>
    <w:rsid w:val="005103F3"/>
    <w:rsid w:val="00512371"/>
    <w:rsid w:val="00513E84"/>
    <w:rsid w:val="005154E4"/>
    <w:rsid w:val="00515B25"/>
    <w:rsid w:val="005164D8"/>
    <w:rsid w:val="0051751E"/>
    <w:rsid w:val="0052006D"/>
    <w:rsid w:val="00521D28"/>
    <w:rsid w:val="00521F3E"/>
    <w:rsid w:val="00521FFD"/>
    <w:rsid w:val="0052216E"/>
    <w:rsid w:val="00522199"/>
    <w:rsid w:val="00522827"/>
    <w:rsid w:val="00524226"/>
    <w:rsid w:val="005251B6"/>
    <w:rsid w:val="00525386"/>
    <w:rsid w:val="00525C2C"/>
    <w:rsid w:val="00526F6E"/>
    <w:rsid w:val="0052702D"/>
    <w:rsid w:val="00527DBC"/>
    <w:rsid w:val="005304A6"/>
    <w:rsid w:val="005307D1"/>
    <w:rsid w:val="00530853"/>
    <w:rsid w:val="0053164A"/>
    <w:rsid w:val="00533250"/>
    <w:rsid w:val="00533AD3"/>
    <w:rsid w:val="00533C29"/>
    <w:rsid w:val="00534613"/>
    <w:rsid w:val="00534737"/>
    <w:rsid w:val="005357AF"/>
    <w:rsid w:val="00535A68"/>
    <w:rsid w:val="0053692D"/>
    <w:rsid w:val="00537E37"/>
    <w:rsid w:val="0054012B"/>
    <w:rsid w:val="00540480"/>
    <w:rsid w:val="00540C40"/>
    <w:rsid w:val="00541323"/>
    <w:rsid w:val="005425ED"/>
    <w:rsid w:val="00542E50"/>
    <w:rsid w:val="00543D51"/>
    <w:rsid w:val="00546301"/>
    <w:rsid w:val="005469EF"/>
    <w:rsid w:val="00547B83"/>
    <w:rsid w:val="00547FA5"/>
    <w:rsid w:val="00550480"/>
    <w:rsid w:val="00554F7F"/>
    <w:rsid w:val="00555464"/>
    <w:rsid w:val="00555662"/>
    <w:rsid w:val="00555AE9"/>
    <w:rsid w:val="00556629"/>
    <w:rsid w:val="0056055F"/>
    <w:rsid w:val="005607E8"/>
    <w:rsid w:val="00560831"/>
    <w:rsid w:val="00560C6B"/>
    <w:rsid w:val="00560E3B"/>
    <w:rsid w:val="005615AC"/>
    <w:rsid w:val="00561651"/>
    <w:rsid w:val="005620A8"/>
    <w:rsid w:val="0056292B"/>
    <w:rsid w:val="00562EA1"/>
    <w:rsid w:val="00562F06"/>
    <w:rsid w:val="00562FD7"/>
    <w:rsid w:val="00564BF3"/>
    <w:rsid w:val="00567A1D"/>
    <w:rsid w:val="0057503F"/>
    <w:rsid w:val="00575491"/>
    <w:rsid w:val="00576C4D"/>
    <w:rsid w:val="00580118"/>
    <w:rsid w:val="00580F29"/>
    <w:rsid w:val="00581962"/>
    <w:rsid w:val="00582337"/>
    <w:rsid w:val="0058266D"/>
    <w:rsid w:val="00582C74"/>
    <w:rsid w:val="00582CC8"/>
    <w:rsid w:val="00583F81"/>
    <w:rsid w:val="005847CD"/>
    <w:rsid w:val="005859D9"/>
    <w:rsid w:val="0058658A"/>
    <w:rsid w:val="0058692D"/>
    <w:rsid w:val="00586BD2"/>
    <w:rsid w:val="0059024D"/>
    <w:rsid w:val="00590626"/>
    <w:rsid w:val="00590C36"/>
    <w:rsid w:val="00592536"/>
    <w:rsid w:val="00592944"/>
    <w:rsid w:val="00592CC3"/>
    <w:rsid w:val="0059426B"/>
    <w:rsid w:val="005967BE"/>
    <w:rsid w:val="0059697A"/>
    <w:rsid w:val="0059708E"/>
    <w:rsid w:val="005971AB"/>
    <w:rsid w:val="005A10F3"/>
    <w:rsid w:val="005A194E"/>
    <w:rsid w:val="005A1F1B"/>
    <w:rsid w:val="005A2B7B"/>
    <w:rsid w:val="005A30F5"/>
    <w:rsid w:val="005A4568"/>
    <w:rsid w:val="005A45DD"/>
    <w:rsid w:val="005A48F9"/>
    <w:rsid w:val="005A4E7B"/>
    <w:rsid w:val="005A601B"/>
    <w:rsid w:val="005A6E6A"/>
    <w:rsid w:val="005A7C95"/>
    <w:rsid w:val="005B0489"/>
    <w:rsid w:val="005B04F6"/>
    <w:rsid w:val="005B31A0"/>
    <w:rsid w:val="005B429A"/>
    <w:rsid w:val="005B6671"/>
    <w:rsid w:val="005B68A0"/>
    <w:rsid w:val="005B6A55"/>
    <w:rsid w:val="005B6B38"/>
    <w:rsid w:val="005C0329"/>
    <w:rsid w:val="005C1095"/>
    <w:rsid w:val="005C19C3"/>
    <w:rsid w:val="005C3398"/>
    <w:rsid w:val="005C3BC1"/>
    <w:rsid w:val="005C613A"/>
    <w:rsid w:val="005C61F6"/>
    <w:rsid w:val="005C6343"/>
    <w:rsid w:val="005C674E"/>
    <w:rsid w:val="005C6B30"/>
    <w:rsid w:val="005C7467"/>
    <w:rsid w:val="005C7681"/>
    <w:rsid w:val="005D0B96"/>
    <w:rsid w:val="005D0C5D"/>
    <w:rsid w:val="005D0EF2"/>
    <w:rsid w:val="005D2DA3"/>
    <w:rsid w:val="005D3907"/>
    <w:rsid w:val="005D3B72"/>
    <w:rsid w:val="005D5108"/>
    <w:rsid w:val="005D6477"/>
    <w:rsid w:val="005D76DB"/>
    <w:rsid w:val="005D7999"/>
    <w:rsid w:val="005D7A28"/>
    <w:rsid w:val="005E0489"/>
    <w:rsid w:val="005E12D5"/>
    <w:rsid w:val="005E1B78"/>
    <w:rsid w:val="005E23D5"/>
    <w:rsid w:val="005E24FD"/>
    <w:rsid w:val="005E2B9A"/>
    <w:rsid w:val="005E3B8A"/>
    <w:rsid w:val="005E535A"/>
    <w:rsid w:val="005E6228"/>
    <w:rsid w:val="005E67BD"/>
    <w:rsid w:val="005E6FA4"/>
    <w:rsid w:val="005F01B4"/>
    <w:rsid w:val="005F12CF"/>
    <w:rsid w:val="005F3C11"/>
    <w:rsid w:val="005F3DE5"/>
    <w:rsid w:val="005F524E"/>
    <w:rsid w:val="005F6910"/>
    <w:rsid w:val="005F7C9F"/>
    <w:rsid w:val="00600674"/>
    <w:rsid w:val="0060254F"/>
    <w:rsid w:val="0060441D"/>
    <w:rsid w:val="00604B8B"/>
    <w:rsid w:val="00604ED7"/>
    <w:rsid w:val="00606495"/>
    <w:rsid w:val="00606E67"/>
    <w:rsid w:val="006102BA"/>
    <w:rsid w:val="00610F4A"/>
    <w:rsid w:val="00610F97"/>
    <w:rsid w:val="00611CCB"/>
    <w:rsid w:val="006121C6"/>
    <w:rsid w:val="00612F6A"/>
    <w:rsid w:val="00613BC6"/>
    <w:rsid w:val="0061518E"/>
    <w:rsid w:val="006157F2"/>
    <w:rsid w:val="00617A8E"/>
    <w:rsid w:val="00620131"/>
    <w:rsid w:val="00620494"/>
    <w:rsid w:val="00620FE0"/>
    <w:rsid w:val="0062135C"/>
    <w:rsid w:val="00622F69"/>
    <w:rsid w:val="00623F31"/>
    <w:rsid w:val="00624442"/>
    <w:rsid w:val="00625C66"/>
    <w:rsid w:val="00625E87"/>
    <w:rsid w:val="00626E97"/>
    <w:rsid w:val="00626F67"/>
    <w:rsid w:val="00627464"/>
    <w:rsid w:val="00630532"/>
    <w:rsid w:val="00630603"/>
    <w:rsid w:val="00631276"/>
    <w:rsid w:val="00631A84"/>
    <w:rsid w:val="006320B7"/>
    <w:rsid w:val="006325A5"/>
    <w:rsid w:val="00634DEF"/>
    <w:rsid w:val="00635AB8"/>
    <w:rsid w:val="00635E1B"/>
    <w:rsid w:val="00635E55"/>
    <w:rsid w:val="006362A9"/>
    <w:rsid w:val="00637D35"/>
    <w:rsid w:val="0064010C"/>
    <w:rsid w:val="0064166E"/>
    <w:rsid w:val="006426B3"/>
    <w:rsid w:val="00642BB4"/>
    <w:rsid w:val="0064306F"/>
    <w:rsid w:val="0064394B"/>
    <w:rsid w:val="006455F7"/>
    <w:rsid w:val="00645712"/>
    <w:rsid w:val="0064679C"/>
    <w:rsid w:val="0064693B"/>
    <w:rsid w:val="00646E82"/>
    <w:rsid w:val="00647FBE"/>
    <w:rsid w:val="00650CD3"/>
    <w:rsid w:val="00651BA9"/>
    <w:rsid w:val="00651C87"/>
    <w:rsid w:val="00653128"/>
    <w:rsid w:val="00653467"/>
    <w:rsid w:val="00656C92"/>
    <w:rsid w:val="00657C53"/>
    <w:rsid w:val="00657D2C"/>
    <w:rsid w:val="00661FBF"/>
    <w:rsid w:val="006627E7"/>
    <w:rsid w:val="00662B86"/>
    <w:rsid w:val="00662EE3"/>
    <w:rsid w:val="00662F81"/>
    <w:rsid w:val="00663093"/>
    <w:rsid w:val="006639F0"/>
    <w:rsid w:val="006646C7"/>
    <w:rsid w:val="006652FE"/>
    <w:rsid w:val="00666B46"/>
    <w:rsid w:val="006673B3"/>
    <w:rsid w:val="00667874"/>
    <w:rsid w:val="00670C1C"/>
    <w:rsid w:val="00670E3D"/>
    <w:rsid w:val="00671647"/>
    <w:rsid w:val="006716AB"/>
    <w:rsid w:val="00671A11"/>
    <w:rsid w:val="00671C40"/>
    <w:rsid w:val="00672D5F"/>
    <w:rsid w:val="00672F26"/>
    <w:rsid w:val="006748BC"/>
    <w:rsid w:val="006749F4"/>
    <w:rsid w:val="00674A25"/>
    <w:rsid w:val="00674A28"/>
    <w:rsid w:val="0067538A"/>
    <w:rsid w:val="00675B3E"/>
    <w:rsid w:val="00675E6A"/>
    <w:rsid w:val="00675EEC"/>
    <w:rsid w:val="00676557"/>
    <w:rsid w:val="0068051F"/>
    <w:rsid w:val="006839AE"/>
    <w:rsid w:val="006851DA"/>
    <w:rsid w:val="00685F6D"/>
    <w:rsid w:val="00686B25"/>
    <w:rsid w:val="006911FD"/>
    <w:rsid w:val="00691961"/>
    <w:rsid w:val="00691981"/>
    <w:rsid w:val="00691FBA"/>
    <w:rsid w:val="006945F2"/>
    <w:rsid w:val="0069472F"/>
    <w:rsid w:val="00694A2B"/>
    <w:rsid w:val="00694FBC"/>
    <w:rsid w:val="0069548E"/>
    <w:rsid w:val="00697D04"/>
    <w:rsid w:val="006A1B17"/>
    <w:rsid w:val="006A2902"/>
    <w:rsid w:val="006A3815"/>
    <w:rsid w:val="006A4748"/>
    <w:rsid w:val="006A4E75"/>
    <w:rsid w:val="006A4E83"/>
    <w:rsid w:val="006A5E8D"/>
    <w:rsid w:val="006B195C"/>
    <w:rsid w:val="006B4606"/>
    <w:rsid w:val="006B4AC1"/>
    <w:rsid w:val="006B5A27"/>
    <w:rsid w:val="006B5B39"/>
    <w:rsid w:val="006B646C"/>
    <w:rsid w:val="006B7187"/>
    <w:rsid w:val="006B726E"/>
    <w:rsid w:val="006B7C66"/>
    <w:rsid w:val="006C044F"/>
    <w:rsid w:val="006C0911"/>
    <w:rsid w:val="006C17D0"/>
    <w:rsid w:val="006C39DA"/>
    <w:rsid w:val="006C3D25"/>
    <w:rsid w:val="006C3D7C"/>
    <w:rsid w:val="006C3E6C"/>
    <w:rsid w:val="006C4BC3"/>
    <w:rsid w:val="006C50B8"/>
    <w:rsid w:val="006C51A8"/>
    <w:rsid w:val="006C51D7"/>
    <w:rsid w:val="006C5FC2"/>
    <w:rsid w:val="006C6B3C"/>
    <w:rsid w:val="006C758B"/>
    <w:rsid w:val="006D0028"/>
    <w:rsid w:val="006D06AE"/>
    <w:rsid w:val="006D15DB"/>
    <w:rsid w:val="006D1B72"/>
    <w:rsid w:val="006D24BF"/>
    <w:rsid w:val="006D4204"/>
    <w:rsid w:val="006D460D"/>
    <w:rsid w:val="006D4680"/>
    <w:rsid w:val="006D4BD7"/>
    <w:rsid w:val="006D567F"/>
    <w:rsid w:val="006D6161"/>
    <w:rsid w:val="006D6AE7"/>
    <w:rsid w:val="006E05B4"/>
    <w:rsid w:val="006E2154"/>
    <w:rsid w:val="006E339E"/>
    <w:rsid w:val="006E4DF9"/>
    <w:rsid w:val="006E5243"/>
    <w:rsid w:val="006E5ECD"/>
    <w:rsid w:val="006E6133"/>
    <w:rsid w:val="006E6B5B"/>
    <w:rsid w:val="006E792A"/>
    <w:rsid w:val="006E7A80"/>
    <w:rsid w:val="006E7CCE"/>
    <w:rsid w:val="006F0A07"/>
    <w:rsid w:val="006F0B62"/>
    <w:rsid w:val="006F2BE0"/>
    <w:rsid w:val="006F39FA"/>
    <w:rsid w:val="006F4346"/>
    <w:rsid w:val="006F4987"/>
    <w:rsid w:val="006F5789"/>
    <w:rsid w:val="006F5A5F"/>
    <w:rsid w:val="006F5B7C"/>
    <w:rsid w:val="006F7A55"/>
    <w:rsid w:val="007002AB"/>
    <w:rsid w:val="00700953"/>
    <w:rsid w:val="00703179"/>
    <w:rsid w:val="0070496B"/>
    <w:rsid w:val="00705B74"/>
    <w:rsid w:val="00705DB1"/>
    <w:rsid w:val="00706697"/>
    <w:rsid w:val="00707AD3"/>
    <w:rsid w:val="00707C87"/>
    <w:rsid w:val="00710381"/>
    <w:rsid w:val="00711295"/>
    <w:rsid w:val="007126E2"/>
    <w:rsid w:val="00714B51"/>
    <w:rsid w:val="00715A1A"/>
    <w:rsid w:val="007161EF"/>
    <w:rsid w:val="00717E5D"/>
    <w:rsid w:val="00720D6A"/>
    <w:rsid w:val="007214D1"/>
    <w:rsid w:val="00721942"/>
    <w:rsid w:val="00724191"/>
    <w:rsid w:val="0072487E"/>
    <w:rsid w:val="00725AA8"/>
    <w:rsid w:val="00725E21"/>
    <w:rsid w:val="00726CEE"/>
    <w:rsid w:val="007271AA"/>
    <w:rsid w:val="00727A2C"/>
    <w:rsid w:val="00727CF3"/>
    <w:rsid w:val="007300DF"/>
    <w:rsid w:val="00730AE1"/>
    <w:rsid w:val="00733011"/>
    <w:rsid w:val="00733023"/>
    <w:rsid w:val="007331DC"/>
    <w:rsid w:val="007335DD"/>
    <w:rsid w:val="00734935"/>
    <w:rsid w:val="00734A82"/>
    <w:rsid w:val="007352BB"/>
    <w:rsid w:val="00735C42"/>
    <w:rsid w:val="0073794E"/>
    <w:rsid w:val="007430FF"/>
    <w:rsid w:val="00743131"/>
    <w:rsid w:val="0074357D"/>
    <w:rsid w:val="0074360E"/>
    <w:rsid w:val="00743BE9"/>
    <w:rsid w:val="00744CB7"/>
    <w:rsid w:val="0074531E"/>
    <w:rsid w:val="00745414"/>
    <w:rsid w:val="007459A0"/>
    <w:rsid w:val="0074780C"/>
    <w:rsid w:val="0075122F"/>
    <w:rsid w:val="00751789"/>
    <w:rsid w:val="00751B65"/>
    <w:rsid w:val="00754783"/>
    <w:rsid w:val="00755126"/>
    <w:rsid w:val="007554F3"/>
    <w:rsid w:val="007555C7"/>
    <w:rsid w:val="00755AC7"/>
    <w:rsid w:val="00757D08"/>
    <w:rsid w:val="00761BEE"/>
    <w:rsid w:val="00764277"/>
    <w:rsid w:val="00764E0D"/>
    <w:rsid w:val="00766A9B"/>
    <w:rsid w:val="007673D2"/>
    <w:rsid w:val="00770622"/>
    <w:rsid w:val="00770C85"/>
    <w:rsid w:val="00770D34"/>
    <w:rsid w:val="00771747"/>
    <w:rsid w:val="00771B24"/>
    <w:rsid w:val="00771CE4"/>
    <w:rsid w:val="00772D75"/>
    <w:rsid w:val="00773614"/>
    <w:rsid w:val="0077401C"/>
    <w:rsid w:val="00774A29"/>
    <w:rsid w:val="00775BF1"/>
    <w:rsid w:val="007761FF"/>
    <w:rsid w:val="007763CE"/>
    <w:rsid w:val="00776884"/>
    <w:rsid w:val="007776A4"/>
    <w:rsid w:val="00780D30"/>
    <w:rsid w:val="00781BB8"/>
    <w:rsid w:val="00782CC4"/>
    <w:rsid w:val="00784155"/>
    <w:rsid w:val="007844BD"/>
    <w:rsid w:val="007849CF"/>
    <w:rsid w:val="00784AC5"/>
    <w:rsid w:val="00787762"/>
    <w:rsid w:val="007904A4"/>
    <w:rsid w:val="00790E23"/>
    <w:rsid w:val="00791A73"/>
    <w:rsid w:val="00791B92"/>
    <w:rsid w:val="00792B7C"/>
    <w:rsid w:val="0079483F"/>
    <w:rsid w:val="0079502C"/>
    <w:rsid w:val="00795CCC"/>
    <w:rsid w:val="00796CFC"/>
    <w:rsid w:val="00797A66"/>
    <w:rsid w:val="007A2437"/>
    <w:rsid w:val="007A2F33"/>
    <w:rsid w:val="007A30CE"/>
    <w:rsid w:val="007A3538"/>
    <w:rsid w:val="007A4C81"/>
    <w:rsid w:val="007A51A3"/>
    <w:rsid w:val="007A55D3"/>
    <w:rsid w:val="007A56E8"/>
    <w:rsid w:val="007A5EA4"/>
    <w:rsid w:val="007A62C0"/>
    <w:rsid w:val="007A7DA4"/>
    <w:rsid w:val="007A7E87"/>
    <w:rsid w:val="007B050D"/>
    <w:rsid w:val="007B0B28"/>
    <w:rsid w:val="007B0D5B"/>
    <w:rsid w:val="007B125E"/>
    <w:rsid w:val="007B1D88"/>
    <w:rsid w:val="007B1F5E"/>
    <w:rsid w:val="007B28EE"/>
    <w:rsid w:val="007B30FC"/>
    <w:rsid w:val="007B46BF"/>
    <w:rsid w:val="007B6A77"/>
    <w:rsid w:val="007C0AB8"/>
    <w:rsid w:val="007C2721"/>
    <w:rsid w:val="007C2786"/>
    <w:rsid w:val="007C2B40"/>
    <w:rsid w:val="007C53DC"/>
    <w:rsid w:val="007C552B"/>
    <w:rsid w:val="007C5598"/>
    <w:rsid w:val="007C669C"/>
    <w:rsid w:val="007C6B50"/>
    <w:rsid w:val="007C74F7"/>
    <w:rsid w:val="007C7B17"/>
    <w:rsid w:val="007D105F"/>
    <w:rsid w:val="007D1447"/>
    <w:rsid w:val="007D329F"/>
    <w:rsid w:val="007D3C73"/>
    <w:rsid w:val="007D3CEC"/>
    <w:rsid w:val="007D42EE"/>
    <w:rsid w:val="007D4F45"/>
    <w:rsid w:val="007D6269"/>
    <w:rsid w:val="007D6C02"/>
    <w:rsid w:val="007D759F"/>
    <w:rsid w:val="007E020A"/>
    <w:rsid w:val="007E2BC9"/>
    <w:rsid w:val="007E38C1"/>
    <w:rsid w:val="007E4126"/>
    <w:rsid w:val="007E4C8E"/>
    <w:rsid w:val="007E6548"/>
    <w:rsid w:val="007E7F92"/>
    <w:rsid w:val="007F3793"/>
    <w:rsid w:val="007F3B75"/>
    <w:rsid w:val="007F474D"/>
    <w:rsid w:val="007F72F1"/>
    <w:rsid w:val="007F74ED"/>
    <w:rsid w:val="007F75A5"/>
    <w:rsid w:val="007F7651"/>
    <w:rsid w:val="007F7E46"/>
    <w:rsid w:val="008016CB"/>
    <w:rsid w:val="00802B18"/>
    <w:rsid w:val="00802F56"/>
    <w:rsid w:val="00804234"/>
    <w:rsid w:val="00804817"/>
    <w:rsid w:val="00807DA5"/>
    <w:rsid w:val="00810277"/>
    <w:rsid w:val="0081031F"/>
    <w:rsid w:val="0081198F"/>
    <w:rsid w:val="00811A6F"/>
    <w:rsid w:val="0081632E"/>
    <w:rsid w:val="00816C3B"/>
    <w:rsid w:val="00817AAC"/>
    <w:rsid w:val="00817CAF"/>
    <w:rsid w:val="00817E0F"/>
    <w:rsid w:val="00820146"/>
    <w:rsid w:val="00820330"/>
    <w:rsid w:val="00820E5D"/>
    <w:rsid w:val="00821874"/>
    <w:rsid w:val="00822E0B"/>
    <w:rsid w:val="00822F3E"/>
    <w:rsid w:val="008234B8"/>
    <w:rsid w:val="0082377B"/>
    <w:rsid w:val="008240C8"/>
    <w:rsid w:val="008248C8"/>
    <w:rsid w:val="00824AEF"/>
    <w:rsid w:val="008252B4"/>
    <w:rsid w:val="0082541D"/>
    <w:rsid w:val="00825FD9"/>
    <w:rsid w:val="00826766"/>
    <w:rsid w:val="008270DE"/>
    <w:rsid w:val="008274C4"/>
    <w:rsid w:val="0082792C"/>
    <w:rsid w:val="00827F48"/>
    <w:rsid w:val="008301CD"/>
    <w:rsid w:val="0083058E"/>
    <w:rsid w:val="00831F45"/>
    <w:rsid w:val="008333EC"/>
    <w:rsid w:val="00833874"/>
    <w:rsid w:val="00833FB7"/>
    <w:rsid w:val="00834292"/>
    <w:rsid w:val="008354E3"/>
    <w:rsid w:val="008362DF"/>
    <w:rsid w:val="00836401"/>
    <w:rsid w:val="00837417"/>
    <w:rsid w:val="00840878"/>
    <w:rsid w:val="00840CA2"/>
    <w:rsid w:val="0084114E"/>
    <w:rsid w:val="008427F8"/>
    <w:rsid w:val="00842F70"/>
    <w:rsid w:val="008437AF"/>
    <w:rsid w:val="00843FF0"/>
    <w:rsid w:val="00845982"/>
    <w:rsid w:val="0084670E"/>
    <w:rsid w:val="00847B16"/>
    <w:rsid w:val="00847C19"/>
    <w:rsid w:val="00851C53"/>
    <w:rsid w:val="00852C41"/>
    <w:rsid w:val="00852C63"/>
    <w:rsid w:val="00853D23"/>
    <w:rsid w:val="00853F17"/>
    <w:rsid w:val="00855475"/>
    <w:rsid w:val="00855649"/>
    <w:rsid w:val="00861CAD"/>
    <w:rsid w:val="00861DC0"/>
    <w:rsid w:val="00861E04"/>
    <w:rsid w:val="0086287B"/>
    <w:rsid w:val="00862F51"/>
    <w:rsid w:val="008632F9"/>
    <w:rsid w:val="00864141"/>
    <w:rsid w:val="00864BB4"/>
    <w:rsid w:val="00867A34"/>
    <w:rsid w:val="00870729"/>
    <w:rsid w:val="00870E30"/>
    <w:rsid w:val="0087190C"/>
    <w:rsid w:val="0087321D"/>
    <w:rsid w:val="0087464D"/>
    <w:rsid w:val="00874EF1"/>
    <w:rsid w:val="0087575C"/>
    <w:rsid w:val="0087576E"/>
    <w:rsid w:val="00875C17"/>
    <w:rsid w:val="00876C98"/>
    <w:rsid w:val="0088067B"/>
    <w:rsid w:val="00880794"/>
    <w:rsid w:val="00880A9D"/>
    <w:rsid w:val="0088147F"/>
    <w:rsid w:val="00881B6C"/>
    <w:rsid w:val="00882C78"/>
    <w:rsid w:val="00885255"/>
    <w:rsid w:val="0088569C"/>
    <w:rsid w:val="0088587A"/>
    <w:rsid w:val="00887813"/>
    <w:rsid w:val="00890442"/>
    <w:rsid w:val="008904BB"/>
    <w:rsid w:val="00890F40"/>
    <w:rsid w:val="00892807"/>
    <w:rsid w:val="00893030"/>
    <w:rsid w:val="0089449E"/>
    <w:rsid w:val="008948D8"/>
    <w:rsid w:val="008950F7"/>
    <w:rsid w:val="0089523D"/>
    <w:rsid w:val="00895629"/>
    <w:rsid w:val="00896186"/>
    <w:rsid w:val="008963E5"/>
    <w:rsid w:val="008968F2"/>
    <w:rsid w:val="00897598"/>
    <w:rsid w:val="008975F5"/>
    <w:rsid w:val="008976B2"/>
    <w:rsid w:val="008A03E6"/>
    <w:rsid w:val="008A0BE9"/>
    <w:rsid w:val="008A1F14"/>
    <w:rsid w:val="008A250D"/>
    <w:rsid w:val="008A2EF2"/>
    <w:rsid w:val="008A3204"/>
    <w:rsid w:val="008A34BA"/>
    <w:rsid w:val="008A3DDA"/>
    <w:rsid w:val="008A4071"/>
    <w:rsid w:val="008A7CD6"/>
    <w:rsid w:val="008A7F6F"/>
    <w:rsid w:val="008B1BDE"/>
    <w:rsid w:val="008B2A02"/>
    <w:rsid w:val="008B31FD"/>
    <w:rsid w:val="008B3350"/>
    <w:rsid w:val="008B33F0"/>
    <w:rsid w:val="008B341A"/>
    <w:rsid w:val="008B37D7"/>
    <w:rsid w:val="008B43EC"/>
    <w:rsid w:val="008B4D54"/>
    <w:rsid w:val="008B57CC"/>
    <w:rsid w:val="008B5ED8"/>
    <w:rsid w:val="008B5EFF"/>
    <w:rsid w:val="008B6367"/>
    <w:rsid w:val="008B69D2"/>
    <w:rsid w:val="008B7B31"/>
    <w:rsid w:val="008B7EAA"/>
    <w:rsid w:val="008C10CD"/>
    <w:rsid w:val="008C182C"/>
    <w:rsid w:val="008C23EC"/>
    <w:rsid w:val="008C339A"/>
    <w:rsid w:val="008C437A"/>
    <w:rsid w:val="008C46F5"/>
    <w:rsid w:val="008C4E9F"/>
    <w:rsid w:val="008C6B51"/>
    <w:rsid w:val="008C7085"/>
    <w:rsid w:val="008C7340"/>
    <w:rsid w:val="008D0632"/>
    <w:rsid w:val="008D1699"/>
    <w:rsid w:val="008D2212"/>
    <w:rsid w:val="008D26B7"/>
    <w:rsid w:val="008D2B80"/>
    <w:rsid w:val="008D7635"/>
    <w:rsid w:val="008D7AD5"/>
    <w:rsid w:val="008E064E"/>
    <w:rsid w:val="008E0AA6"/>
    <w:rsid w:val="008E234D"/>
    <w:rsid w:val="008E2497"/>
    <w:rsid w:val="008E42F5"/>
    <w:rsid w:val="008E501B"/>
    <w:rsid w:val="008E7599"/>
    <w:rsid w:val="008F0A34"/>
    <w:rsid w:val="008F106C"/>
    <w:rsid w:val="008F1687"/>
    <w:rsid w:val="008F3159"/>
    <w:rsid w:val="008F361D"/>
    <w:rsid w:val="008F38F9"/>
    <w:rsid w:val="008F4E72"/>
    <w:rsid w:val="008F516C"/>
    <w:rsid w:val="008F595F"/>
    <w:rsid w:val="008F5A22"/>
    <w:rsid w:val="008F5C53"/>
    <w:rsid w:val="008F639C"/>
    <w:rsid w:val="008F6DB9"/>
    <w:rsid w:val="008F6EF7"/>
    <w:rsid w:val="008F7546"/>
    <w:rsid w:val="008F772A"/>
    <w:rsid w:val="00900100"/>
    <w:rsid w:val="00902A8F"/>
    <w:rsid w:val="00903618"/>
    <w:rsid w:val="009054CC"/>
    <w:rsid w:val="00905CF2"/>
    <w:rsid w:val="00906712"/>
    <w:rsid w:val="00911495"/>
    <w:rsid w:val="00911DBC"/>
    <w:rsid w:val="00912736"/>
    <w:rsid w:val="00913F68"/>
    <w:rsid w:val="0091579C"/>
    <w:rsid w:val="00915C25"/>
    <w:rsid w:val="00915DA1"/>
    <w:rsid w:val="00916F68"/>
    <w:rsid w:val="00916F7D"/>
    <w:rsid w:val="009210C1"/>
    <w:rsid w:val="00921695"/>
    <w:rsid w:val="009223CF"/>
    <w:rsid w:val="009235B1"/>
    <w:rsid w:val="00923E7B"/>
    <w:rsid w:val="00924B0A"/>
    <w:rsid w:val="00925CED"/>
    <w:rsid w:val="009265B3"/>
    <w:rsid w:val="00927685"/>
    <w:rsid w:val="00927AA3"/>
    <w:rsid w:val="009307CF"/>
    <w:rsid w:val="00931E71"/>
    <w:rsid w:val="00932096"/>
    <w:rsid w:val="009333F9"/>
    <w:rsid w:val="00933FA9"/>
    <w:rsid w:val="009341B2"/>
    <w:rsid w:val="009343A4"/>
    <w:rsid w:val="0093469A"/>
    <w:rsid w:val="00934B3C"/>
    <w:rsid w:val="00934BE6"/>
    <w:rsid w:val="0093512C"/>
    <w:rsid w:val="0093599D"/>
    <w:rsid w:val="00936543"/>
    <w:rsid w:val="00936F27"/>
    <w:rsid w:val="0094048C"/>
    <w:rsid w:val="00940967"/>
    <w:rsid w:val="00940DD9"/>
    <w:rsid w:val="009417AD"/>
    <w:rsid w:val="00941BB9"/>
    <w:rsid w:val="009423C5"/>
    <w:rsid w:val="00942B49"/>
    <w:rsid w:val="009436C9"/>
    <w:rsid w:val="00944F6B"/>
    <w:rsid w:val="0094515F"/>
    <w:rsid w:val="00945587"/>
    <w:rsid w:val="009526A6"/>
    <w:rsid w:val="00952A51"/>
    <w:rsid w:val="009562CA"/>
    <w:rsid w:val="0095641C"/>
    <w:rsid w:val="00957A40"/>
    <w:rsid w:val="00960083"/>
    <w:rsid w:val="00960DC6"/>
    <w:rsid w:val="00961AE1"/>
    <w:rsid w:val="00961BBC"/>
    <w:rsid w:val="00963100"/>
    <w:rsid w:val="00963EC6"/>
    <w:rsid w:val="009642CE"/>
    <w:rsid w:val="00965F37"/>
    <w:rsid w:val="00966687"/>
    <w:rsid w:val="00967585"/>
    <w:rsid w:val="0097099E"/>
    <w:rsid w:val="00972BE7"/>
    <w:rsid w:val="00972CA8"/>
    <w:rsid w:val="00973B63"/>
    <w:rsid w:val="00975913"/>
    <w:rsid w:val="00976C45"/>
    <w:rsid w:val="009778CF"/>
    <w:rsid w:val="009807D5"/>
    <w:rsid w:val="009816F7"/>
    <w:rsid w:val="00981F0F"/>
    <w:rsid w:val="0098449B"/>
    <w:rsid w:val="0098586C"/>
    <w:rsid w:val="009859B4"/>
    <w:rsid w:val="00985CD3"/>
    <w:rsid w:val="00985E50"/>
    <w:rsid w:val="00985F47"/>
    <w:rsid w:val="00986597"/>
    <w:rsid w:val="009905F9"/>
    <w:rsid w:val="00991003"/>
    <w:rsid w:val="00991193"/>
    <w:rsid w:val="00991A22"/>
    <w:rsid w:val="00991BDE"/>
    <w:rsid w:val="00991EC7"/>
    <w:rsid w:val="0099353C"/>
    <w:rsid w:val="00994580"/>
    <w:rsid w:val="0099552E"/>
    <w:rsid w:val="00995BBF"/>
    <w:rsid w:val="00995EC9"/>
    <w:rsid w:val="00997BCF"/>
    <w:rsid w:val="009A0E84"/>
    <w:rsid w:val="009A0ED0"/>
    <w:rsid w:val="009A0F77"/>
    <w:rsid w:val="009A165E"/>
    <w:rsid w:val="009A1902"/>
    <w:rsid w:val="009A1FAA"/>
    <w:rsid w:val="009A2CE6"/>
    <w:rsid w:val="009A340D"/>
    <w:rsid w:val="009A3D4E"/>
    <w:rsid w:val="009A3F10"/>
    <w:rsid w:val="009A446A"/>
    <w:rsid w:val="009A4E78"/>
    <w:rsid w:val="009A5159"/>
    <w:rsid w:val="009A6FD2"/>
    <w:rsid w:val="009A7A86"/>
    <w:rsid w:val="009A7DD5"/>
    <w:rsid w:val="009B1419"/>
    <w:rsid w:val="009B1464"/>
    <w:rsid w:val="009B3AB6"/>
    <w:rsid w:val="009B3C31"/>
    <w:rsid w:val="009B5245"/>
    <w:rsid w:val="009B564F"/>
    <w:rsid w:val="009B5C31"/>
    <w:rsid w:val="009B699A"/>
    <w:rsid w:val="009C18F0"/>
    <w:rsid w:val="009C1C26"/>
    <w:rsid w:val="009C268C"/>
    <w:rsid w:val="009C27EE"/>
    <w:rsid w:val="009C3561"/>
    <w:rsid w:val="009C4001"/>
    <w:rsid w:val="009C50B6"/>
    <w:rsid w:val="009C6FDD"/>
    <w:rsid w:val="009C7BDC"/>
    <w:rsid w:val="009D031F"/>
    <w:rsid w:val="009D25F4"/>
    <w:rsid w:val="009D2612"/>
    <w:rsid w:val="009D2A74"/>
    <w:rsid w:val="009D2FC6"/>
    <w:rsid w:val="009D3014"/>
    <w:rsid w:val="009D5CE0"/>
    <w:rsid w:val="009D743F"/>
    <w:rsid w:val="009E0893"/>
    <w:rsid w:val="009E1A72"/>
    <w:rsid w:val="009E1C4E"/>
    <w:rsid w:val="009E215D"/>
    <w:rsid w:val="009E353C"/>
    <w:rsid w:val="009E4F08"/>
    <w:rsid w:val="009E70ED"/>
    <w:rsid w:val="009E75F1"/>
    <w:rsid w:val="009F1A64"/>
    <w:rsid w:val="009F1AD5"/>
    <w:rsid w:val="009F329D"/>
    <w:rsid w:val="009F3835"/>
    <w:rsid w:val="009F6158"/>
    <w:rsid w:val="009F6E6F"/>
    <w:rsid w:val="00A005E2"/>
    <w:rsid w:val="00A011CD"/>
    <w:rsid w:val="00A0134E"/>
    <w:rsid w:val="00A0169D"/>
    <w:rsid w:val="00A01E23"/>
    <w:rsid w:val="00A02042"/>
    <w:rsid w:val="00A0288F"/>
    <w:rsid w:val="00A0298D"/>
    <w:rsid w:val="00A030D3"/>
    <w:rsid w:val="00A032CE"/>
    <w:rsid w:val="00A04026"/>
    <w:rsid w:val="00A07F5D"/>
    <w:rsid w:val="00A10E80"/>
    <w:rsid w:val="00A132A4"/>
    <w:rsid w:val="00A14761"/>
    <w:rsid w:val="00A14A11"/>
    <w:rsid w:val="00A17F80"/>
    <w:rsid w:val="00A2043D"/>
    <w:rsid w:val="00A2094E"/>
    <w:rsid w:val="00A22151"/>
    <w:rsid w:val="00A22A9C"/>
    <w:rsid w:val="00A22DE2"/>
    <w:rsid w:val="00A23301"/>
    <w:rsid w:val="00A23C85"/>
    <w:rsid w:val="00A241C4"/>
    <w:rsid w:val="00A25C7F"/>
    <w:rsid w:val="00A26A7F"/>
    <w:rsid w:val="00A278D6"/>
    <w:rsid w:val="00A2794A"/>
    <w:rsid w:val="00A27F10"/>
    <w:rsid w:val="00A30C56"/>
    <w:rsid w:val="00A30FAE"/>
    <w:rsid w:val="00A315A2"/>
    <w:rsid w:val="00A32968"/>
    <w:rsid w:val="00A32AF2"/>
    <w:rsid w:val="00A347D5"/>
    <w:rsid w:val="00A36763"/>
    <w:rsid w:val="00A3724D"/>
    <w:rsid w:val="00A379EC"/>
    <w:rsid w:val="00A4247E"/>
    <w:rsid w:val="00A42C60"/>
    <w:rsid w:val="00A43761"/>
    <w:rsid w:val="00A44AF7"/>
    <w:rsid w:val="00A46625"/>
    <w:rsid w:val="00A476A8"/>
    <w:rsid w:val="00A47A09"/>
    <w:rsid w:val="00A47F17"/>
    <w:rsid w:val="00A50375"/>
    <w:rsid w:val="00A50926"/>
    <w:rsid w:val="00A50A97"/>
    <w:rsid w:val="00A53534"/>
    <w:rsid w:val="00A546B5"/>
    <w:rsid w:val="00A557AF"/>
    <w:rsid w:val="00A5626D"/>
    <w:rsid w:val="00A56513"/>
    <w:rsid w:val="00A5742E"/>
    <w:rsid w:val="00A5750F"/>
    <w:rsid w:val="00A57D8D"/>
    <w:rsid w:val="00A6058C"/>
    <w:rsid w:val="00A60D54"/>
    <w:rsid w:val="00A61654"/>
    <w:rsid w:val="00A6268F"/>
    <w:rsid w:val="00A62B88"/>
    <w:rsid w:val="00A63255"/>
    <w:rsid w:val="00A660D5"/>
    <w:rsid w:val="00A67B31"/>
    <w:rsid w:val="00A700E4"/>
    <w:rsid w:val="00A70CFB"/>
    <w:rsid w:val="00A71062"/>
    <w:rsid w:val="00A71D51"/>
    <w:rsid w:val="00A72C72"/>
    <w:rsid w:val="00A747FF"/>
    <w:rsid w:val="00A74CEC"/>
    <w:rsid w:val="00A758E8"/>
    <w:rsid w:val="00A763BC"/>
    <w:rsid w:val="00A76A23"/>
    <w:rsid w:val="00A770DE"/>
    <w:rsid w:val="00A7787A"/>
    <w:rsid w:val="00A80CCF"/>
    <w:rsid w:val="00A80D98"/>
    <w:rsid w:val="00A8159A"/>
    <w:rsid w:val="00A81699"/>
    <w:rsid w:val="00A818A8"/>
    <w:rsid w:val="00A82F35"/>
    <w:rsid w:val="00A82FE5"/>
    <w:rsid w:val="00A84ED2"/>
    <w:rsid w:val="00A85334"/>
    <w:rsid w:val="00A85F4C"/>
    <w:rsid w:val="00A862A0"/>
    <w:rsid w:val="00A86660"/>
    <w:rsid w:val="00A869FD"/>
    <w:rsid w:val="00A86E4F"/>
    <w:rsid w:val="00A875E4"/>
    <w:rsid w:val="00A87747"/>
    <w:rsid w:val="00A923FD"/>
    <w:rsid w:val="00A936EC"/>
    <w:rsid w:val="00A93FA1"/>
    <w:rsid w:val="00A9463B"/>
    <w:rsid w:val="00A95E68"/>
    <w:rsid w:val="00A965B4"/>
    <w:rsid w:val="00A974D0"/>
    <w:rsid w:val="00A97947"/>
    <w:rsid w:val="00A97CD9"/>
    <w:rsid w:val="00A97D5D"/>
    <w:rsid w:val="00AA0D90"/>
    <w:rsid w:val="00AA0FD1"/>
    <w:rsid w:val="00AA13FE"/>
    <w:rsid w:val="00AA14E1"/>
    <w:rsid w:val="00AA208F"/>
    <w:rsid w:val="00AA3441"/>
    <w:rsid w:val="00AA44D1"/>
    <w:rsid w:val="00AA4F2F"/>
    <w:rsid w:val="00AA504C"/>
    <w:rsid w:val="00AA51E3"/>
    <w:rsid w:val="00AA54A3"/>
    <w:rsid w:val="00AA5643"/>
    <w:rsid w:val="00AA60AC"/>
    <w:rsid w:val="00AA646F"/>
    <w:rsid w:val="00AA72B0"/>
    <w:rsid w:val="00AA77F7"/>
    <w:rsid w:val="00AB07F1"/>
    <w:rsid w:val="00AB0EEA"/>
    <w:rsid w:val="00AB16EC"/>
    <w:rsid w:val="00AB20D5"/>
    <w:rsid w:val="00AB3330"/>
    <w:rsid w:val="00AB40B6"/>
    <w:rsid w:val="00AB4B39"/>
    <w:rsid w:val="00AB5425"/>
    <w:rsid w:val="00AB62B8"/>
    <w:rsid w:val="00AB6C94"/>
    <w:rsid w:val="00AB6D68"/>
    <w:rsid w:val="00AB7223"/>
    <w:rsid w:val="00AC0AF8"/>
    <w:rsid w:val="00AC0D78"/>
    <w:rsid w:val="00AC2237"/>
    <w:rsid w:val="00AC4C1F"/>
    <w:rsid w:val="00AC4D70"/>
    <w:rsid w:val="00AC4D78"/>
    <w:rsid w:val="00AC59E8"/>
    <w:rsid w:val="00AD0111"/>
    <w:rsid w:val="00AD0502"/>
    <w:rsid w:val="00AD0D67"/>
    <w:rsid w:val="00AD0F4B"/>
    <w:rsid w:val="00AD1292"/>
    <w:rsid w:val="00AD1852"/>
    <w:rsid w:val="00AD251B"/>
    <w:rsid w:val="00AD281E"/>
    <w:rsid w:val="00AD2EF2"/>
    <w:rsid w:val="00AD3A66"/>
    <w:rsid w:val="00AD4509"/>
    <w:rsid w:val="00AD46DA"/>
    <w:rsid w:val="00AD49A7"/>
    <w:rsid w:val="00AD4ADC"/>
    <w:rsid w:val="00AD4D06"/>
    <w:rsid w:val="00AD5B55"/>
    <w:rsid w:val="00AD7631"/>
    <w:rsid w:val="00AD7A23"/>
    <w:rsid w:val="00AE1103"/>
    <w:rsid w:val="00AE4050"/>
    <w:rsid w:val="00AE45C8"/>
    <w:rsid w:val="00AE5FC1"/>
    <w:rsid w:val="00AE64E3"/>
    <w:rsid w:val="00AE678C"/>
    <w:rsid w:val="00AE687F"/>
    <w:rsid w:val="00AE7802"/>
    <w:rsid w:val="00AF00DA"/>
    <w:rsid w:val="00AF02B6"/>
    <w:rsid w:val="00AF1BF3"/>
    <w:rsid w:val="00AF3601"/>
    <w:rsid w:val="00AF389C"/>
    <w:rsid w:val="00AF4B07"/>
    <w:rsid w:val="00AF545E"/>
    <w:rsid w:val="00AF5D9E"/>
    <w:rsid w:val="00AF653E"/>
    <w:rsid w:val="00AF723A"/>
    <w:rsid w:val="00AF739C"/>
    <w:rsid w:val="00AF7A9E"/>
    <w:rsid w:val="00B0025C"/>
    <w:rsid w:val="00B021DE"/>
    <w:rsid w:val="00B026EC"/>
    <w:rsid w:val="00B035CB"/>
    <w:rsid w:val="00B03B6B"/>
    <w:rsid w:val="00B04307"/>
    <w:rsid w:val="00B056EC"/>
    <w:rsid w:val="00B071A6"/>
    <w:rsid w:val="00B071C2"/>
    <w:rsid w:val="00B071CD"/>
    <w:rsid w:val="00B07E2F"/>
    <w:rsid w:val="00B10F3E"/>
    <w:rsid w:val="00B12C1A"/>
    <w:rsid w:val="00B13579"/>
    <w:rsid w:val="00B14963"/>
    <w:rsid w:val="00B15DAB"/>
    <w:rsid w:val="00B16A29"/>
    <w:rsid w:val="00B16E37"/>
    <w:rsid w:val="00B17E13"/>
    <w:rsid w:val="00B20833"/>
    <w:rsid w:val="00B20BF1"/>
    <w:rsid w:val="00B216B2"/>
    <w:rsid w:val="00B22101"/>
    <w:rsid w:val="00B235D0"/>
    <w:rsid w:val="00B23FCB"/>
    <w:rsid w:val="00B2443A"/>
    <w:rsid w:val="00B24743"/>
    <w:rsid w:val="00B25BC3"/>
    <w:rsid w:val="00B26FE3"/>
    <w:rsid w:val="00B31295"/>
    <w:rsid w:val="00B31B65"/>
    <w:rsid w:val="00B32775"/>
    <w:rsid w:val="00B32A58"/>
    <w:rsid w:val="00B33A16"/>
    <w:rsid w:val="00B35292"/>
    <w:rsid w:val="00B3592D"/>
    <w:rsid w:val="00B35E8D"/>
    <w:rsid w:val="00B364C3"/>
    <w:rsid w:val="00B36D41"/>
    <w:rsid w:val="00B36EFA"/>
    <w:rsid w:val="00B37339"/>
    <w:rsid w:val="00B376E0"/>
    <w:rsid w:val="00B37701"/>
    <w:rsid w:val="00B41BEF"/>
    <w:rsid w:val="00B420F8"/>
    <w:rsid w:val="00B442C2"/>
    <w:rsid w:val="00B4511E"/>
    <w:rsid w:val="00B45C85"/>
    <w:rsid w:val="00B460B5"/>
    <w:rsid w:val="00B473A5"/>
    <w:rsid w:val="00B475C6"/>
    <w:rsid w:val="00B47D4E"/>
    <w:rsid w:val="00B47ECE"/>
    <w:rsid w:val="00B510C9"/>
    <w:rsid w:val="00B51A7D"/>
    <w:rsid w:val="00B52FAF"/>
    <w:rsid w:val="00B54DEF"/>
    <w:rsid w:val="00B55C28"/>
    <w:rsid w:val="00B56CDC"/>
    <w:rsid w:val="00B60E48"/>
    <w:rsid w:val="00B6189A"/>
    <w:rsid w:val="00B61EDB"/>
    <w:rsid w:val="00B62B69"/>
    <w:rsid w:val="00B6436A"/>
    <w:rsid w:val="00B644DC"/>
    <w:rsid w:val="00B65390"/>
    <w:rsid w:val="00B6654E"/>
    <w:rsid w:val="00B67FBA"/>
    <w:rsid w:val="00B708E5"/>
    <w:rsid w:val="00B722E7"/>
    <w:rsid w:val="00B73A5E"/>
    <w:rsid w:val="00B74AEF"/>
    <w:rsid w:val="00B756FB"/>
    <w:rsid w:val="00B757FB"/>
    <w:rsid w:val="00B7589A"/>
    <w:rsid w:val="00B75EE6"/>
    <w:rsid w:val="00B763C5"/>
    <w:rsid w:val="00B8332C"/>
    <w:rsid w:val="00B83469"/>
    <w:rsid w:val="00B83708"/>
    <w:rsid w:val="00B84929"/>
    <w:rsid w:val="00B84BB3"/>
    <w:rsid w:val="00B84F6D"/>
    <w:rsid w:val="00B8632C"/>
    <w:rsid w:val="00B8635F"/>
    <w:rsid w:val="00B87ACB"/>
    <w:rsid w:val="00B9017A"/>
    <w:rsid w:val="00B9413C"/>
    <w:rsid w:val="00B94711"/>
    <w:rsid w:val="00B94A00"/>
    <w:rsid w:val="00B94A7B"/>
    <w:rsid w:val="00B94B49"/>
    <w:rsid w:val="00B95973"/>
    <w:rsid w:val="00B95FBF"/>
    <w:rsid w:val="00BA04A3"/>
    <w:rsid w:val="00BA0860"/>
    <w:rsid w:val="00BA1DB0"/>
    <w:rsid w:val="00BA3657"/>
    <w:rsid w:val="00BA39E6"/>
    <w:rsid w:val="00BA445A"/>
    <w:rsid w:val="00BA5D41"/>
    <w:rsid w:val="00BA6E9D"/>
    <w:rsid w:val="00BA7621"/>
    <w:rsid w:val="00BA7A92"/>
    <w:rsid w:val="00BB0197"/>
    <w:rsid w:val="00BB1114"/>
    <w:rsid w:val="00BB1527"/>
    <w:rsid w:val="00BB3021"/>
    <w:rsid w:val="00BB3A4D"/>
    <w:rsid w:val="00BB3D4F"/>
    <w:rsid w:val="00BB3F96"/>
    <w:rsid w:val="00BB4484"/>
    <w:rsid w:val="00BB462F"/>
    <w:rsid w:val="00BB4A08"/>
    <w:rsid w:val="00BB58A1"/>
    <w:rsid w:val="00BB5E97"/>
    <w:rsid w:val="00BB6051"/>
    <w:rsid w:val="00BB74A0"/>
    <w:rsid w:val="00BB7CEC"/>
    <w:rsid w:val="00BC05A4"/>
    <w:rsid w:val="00BC0923"/>
    <w:rsid w:val="00BC0B6A"/>
    <w:rsid w:val="00BC0ECA"/>
    <w:rsid w:val="00BC13B9"/>
    <w:rsid w:val="00BC15CD"/>
    <w:rsid w:val="00BC22BC"/>
    <w:rsid w:val="00BC6D33"/>
    <w:rsid w:val="00BC7346"/>
    <w:rsid w:val="00BC7C32"/>
    <w:rsid w:val="00BC7C84"/>
    <w:rsid w:val="00BC7CBE"/>
    <w:rsid w:val="00BD0803"/>
    <w:rsid w:val="00BD09B0"/>
    <w:rsid w:val="00BD1CEE"/>
    <w:rsid w:val="00BD2162"/>
    <w:rsid w:val="00BD216E"/>
    <w:rsid w:val="00BD722D"/>
    <w:rsid w:val="00BD7F56"/>
    <w:rsid w:val="00BE1B62"/>
    <w:rsid w:val="00BE37D7"/>
    <w:rsid w:val="00BE3D72"/>
    <w:rsid w:val="00BE44E0"/>
    <w:rsid w:val="00BE49DE"/>
    <w:rsid w:val="00BE56A0"/>
    <w:rsid w:val="00BE5E50"/>
    <w:rsid w:val="00BE72B7"/>
    <w:rsid w:val="00BE7808"/>
    <w:rsid w:val="00BF0ED5"/>
    <w:rsid w:val="00BF114C"/>
    <w:rsid w:val="00BF1AC4"/>
    <w:rsid w:val="00BF2459"/>
    <w:rsid w:val="00BF7619"/>
    <w:rsid w:val="00C01B59"/>
    <w:rsid w:val="00C02DC4"/>
    <w:rsid w:val="00C031A7"/>
    <w:rsid w:val="00C047F0"/>
    <w:rsid w:val="00C06B9F"/>
    <w:rsid w:val="00C07E75"/>
    <w:rsid w:val="00C10383"/>
    <w:rsid w:val="00C11097"/>
    <w:rsid w:val="00C11206"/>
    <w:rsid w:val="00C14D0D"/>
    <w:rsid w:val="00C15186"/>
    <w:rsid w:val="00C15194"/>
    <w:rsid w:val="00C15423"/>
    <w:rsid w:val="00C154F8"/>
    <w:rsid w:val="00C20185"/>
    <w:rsid w:val="00C20D36"/>
    <w:rsid w:val="00C20FA0"/>
    <w:rsid w:val="00C219C5"/>
    <w:rsid w:val="00C21C67"/>
    <w:rsid w:val="00C238AC"/>
    <w:rsid w:val="00C2435C"/>
    <w:rsid w:val="00C248BD"/>
    <w:rsid w:val="00C25333"/>
    <w:rsid w:val="00C2785E"/>
    <w:rsid w:val="00C30204"/>
    <w:rsid w:val="00C31333"/>
    <w:rsid w:val="00C31C75"/>
    <w:rsid w:val="00C3467C"/>
    <w:rsid w:val="00C3480F"/>
    <w:rsid w:val="00C34B8A"/>
    <w:rsid w:val="00C350B1"/>
    <w:rsid w:val="00C3617E"/>
    <w:rsid w:val="00C3672E"/>
    <w:rsid w:val="00C36B18"/>
    <w:rsid w:val="00C37961"/>
    <w:rsid w:val="00C37DF3"/>
    <w:rsid w:val="00C404BF"/>
    <w:rsid w:val="00C40C9F"/>
    <w:rsid w:val="00C41374"/>
    <w:rsid w:val="00C418B1"/>
    <w:rsid w:val="00C421CC"/>
    <w:rsid w:val="00C4255A"/>
    <w:rsid w:val="00C42F06"/>
    <w:rsid w:val="00C443BA"/>
    <w:rsid w:val="00C45611"/>
    <w:rsid w:val="00C4610D"/>
    <w:rsid w:val="00C46DDC"/>
    <w:rsid w:val="00C46E0A"/>
    <w:rsid w:val="00C4727E"/>
    <w:rsid w:val="00C52487"/>
    <w:rsid w:val="00C525BC"/>
    <w:rsid w:val="00C52A29"/>
    <w:rsid w:val="00C52E1A"/>
    <w:rsid w:val="00C55A56"/>
    <w:rsid w:val="00C5657A"/>
    <w:rsid w:val="00C5710A"/>
    <w:rsid w:val="00C634DE"/>
    <w:rsid w:val="00C642D9"/>
    <w:rsid w:val="00C64A05"/>
    <w:rsid w:val="00C64C8C"/>
    <w:rsid w:val="00C651C2"/>
    <w:rsid w:val="00C67A48"/>
    <w:rsid w:val="00C71629"/>
    <w:rsid w:val="00C7214E"/>
    <w:rsid w:val="00C759FD"/>
    <w:rsid w:val="00C75C23"/>
    <w:rsid w:val="00C76BD0"/>
    <w:rsid w:val="00C76C7E"/>
    <w:rsid w:val="00C77F6D"/>
    <w:rsid w:val="00C8005D"/>
    <w:rsid w:val="00C8024D"/>
    <w:rsid w:val="00C80651"/>
    <w:rsid w:val="00C806AF"/>
    <w:rsid w:val="00C80FD6"/>
    <w:rsid w:val="00C81373"/>
    <w:rsid w:val="00C81A23"/>
    <w:rsid w:val="00C81BFF"/>
    <w:rsid w:val="00C81DFE"/>
    <w:rsid w:val="00C82047"/>
    <w:rsid w:val="00C82432"/>
    <w:rsid w:val="00C824F7"/>
    <w:rsid w:val="00C8348C"/>
    <w:rsid w:val="00C84453"/>
    <w:rsid w:val="00C85BFD"/>
    <w:rsid w:val="00C8668C"/>
    <w:rsid w:val="00C86DDB"/>
    <w:rsid w:val="00C8762B"/>
    <w:rsid w:val="00C87899"/>
    <w:rsid w:val="00C87D40"/>
    <w:rsid w:val="00C9066A"/>
    <w:rsid w:val="00C94EA4"/>
    <w:rsid w:val="00C97478"/>
    <w:rsid w:val="00C97A35"/>
    <w:rsid w:val="00CA00FD"/>
    <w:rsid w:val="00CA1533"/>
    <w:rsid w:val="00CA1E45"/>
    <w:rsid w:val="00CA3563"/>
    <w:rsid w:val="00CA4546"/>
    <w:rsid w:val="00CA464B"/>
    <w:rsid w:val="00CA4C8D"/>
    <w:rsid w:val="00CA4E10"/>
    <w:rsid w:val="00CA601E"/>
    <w:rsid w:val="00CA6771"/>
    <w:rsid w:val="00CA7C28"/>
    <w:rsid w:val="00CB069F"/>
    <w:rsid w:val="00CB0927"/>
    <w:rsid w:val="00CB1C16"/>
    <w:rsid w:val="00CB2193"/>
    <w:rsid w:val="00CB4C24"/>
    <w:rsid w:val="00CB5550"/>
    <w:rsid w:val="00CB5EE7"/>
    <w:rsid w:val="00CB68D8"/>
    <w:rsid w:val="00CB7060"/>
    <w:rsid w:val="00CC0457"/>
    <w:rsid w:val="00CC0A4D"/>
    <w:rsid w:val="00CC0B31"/>
    <w:rsid w:val="00CC0C6D"/>
    <w:rsid w:val="00CC1048"/>
    <w:rsid w:val="00CC16F7"/>
    <w:rsid w:val="00CC1CFF"/>
    <w:rsid w:val="00CC1F49"/>
    <w:rsid w:val="00CC24A4"/>
    <w:rsid w:val="00CC6FE9"/>
    <w:rsid w:val="00CD01FB"/>
    <w:rsid w:val="00CD2986"/>
    <w:rsid w:val="00CD5048"/>
    <w:rsid w:val="00CD63DC"/>
    <w:rsid w:val="00CE1DF3"/>
    <w:rsid w:val="00CE3065"/>
    <w:rsid w:val="00CE4C27"/>
    <w:rsid w:val="00CE4CF5"/>
    <w:rsid w:val="00CE50A1"/>
    <w:rsid w:val="00CE538A"/>
    <w:rsid w:val="00CE6285"/>
    <w:rsid w:val="00CE7025"/>
    <w:rsid w:val="00CF025B"/>
    <w:rsid w:val="00CF29CB"/>
    <w:rsid w:val="00CF372D"/>
    <w:rsid w:val="00CF59F1"/>
    <w:rsid w:val="00CF6265"/>
    <w:rsid w:val="00CF7429"/>
    <w:rsid w:val="00CF7D89"/>
    <w:rsid w:val="00D01459"/>
    <w:rsid w:val="00D015DB"/>
    <w:rsid w:val="00D057F6"/>
    <w:rsid w:val="00D05BE7"/>
    <w:rsid w:val="00D06C9B"/>
    <w:rsid w:val="00D10293"/>
    <w:rsid w:val="00D108E4"/>
    <w:rsid w:val="00D10E7A"/>
    <w:rsid w:val="00D1155F"/>
    <w:rsid w:val="00D11DFA"/>
    <w:rsid w:val="00D12123"/>
    <w:rsid w:val="00D12D29"/>
    <w:rsid w:val="00D138BC"/>
    <w:rsid w:val="00D14A3B"/>
    <w:rsid w:val="00D14CA3"/>
    <w:rsid w:val="00D15130"/>
    <w:rsid w:val="00D15B8D"/>
    <w:rsid w:val="00D168BD"/>
    <w:rsid w:val="00D169DF"/>
    <w:rsid w:val="00D17010"/>
    <w:rsid w:val="00D174A0"/>
    <w:rsid w:val="00D20A83"/>
    <w:rsid w:val="00D20D54"/>
    <w:rsid w:val="00D2191E"/>
    <w:rsid w:val="00D22858"/>
    <w:rsid w:val="00D22CAF"/>
    <w:rsid w:val="00D23D23"/>
    <w:rsid w:val="00D24409"/>
    <w:rsid w:val="00D26F17"/>
    <w:rsid w:val="00D274C9"/>
    <w:rsid w:val="00D30E9C"/>
    <w:rsid w:val="00D32B41"/>
    <w:rsid w:val="00D3354F"/>
    <w:rsid w:val="00D34D2C"/>
    <w:rsid w:val="00D354C5"/>
    <w:rsid w:val="00D35F67"/>
    <w:rsid w:val="00D3723D"/>
    <w:rsid w:val="00D37320"/>
    <w:rsid w:val="00D43538"/>
    <w:rsid w:val="00D43659"/>
    <w:rsid w:val="00D4539E"/>
    <w:rsid w:val="00D45B44"/>
    <w:rsid w:val="00D462C8"/>
    <w:rsid w:val="00D46A7E"/>
    <w:rsid w:val="00D4732F"/>
    <w:rsid w:val="00D477CB"/>
    <w:rsid w:val="00D50E44"/>
    <w:rsid w:val="00D522A2"/>
    <w:rsid w:val="00D53508"/>
    <w:rsid w:val="00D5350C"/>
    <w:rsid w:val="00D53F3F"/>
    <w:rsid w:val="00D54007"/>
    <w:rsid w:val="00D54831"/>
    <w:rsid w:val="00D54EB3"/>
    <w:rsid w:val="00D5604E"/>
    <w:rsid w:val="00D57CDF"/>
    <w:rsid w:val="00D60C4A"/>
    <w:rsid w:val="00D61008"/>
    <w:rsid w:val="00D6325B"/>
    <w:rsid w:val="00D643CC"/>
    <w:rsid w:val="00D658D1"/>
    <w:rsid w:val="00D65F7E"/>
    <w:rsid w:val="00D67552"/>
    <w:rsid w:val="00D717F5"/>
    <w:rsid w:val="00D71DF1"/>
    <w:rsid w:val="00D72ECC"/>
    <w:rsid w:val="00D730CC"/>
    <w:rsid w:val="00D745DF"/>
    <w:rsid w:val="00D7529C"/>
    <w:rsid w:val="00D75488"/>
    <w:rsid w:val="00D7625B"/>
    <w:rsid w:val="00D8058C"/>
    <w:rsid w:val="00D80FFB"/>
    <w:rsid w:val="00D8169A"/>
    <w:rsid w:val="00D842DB"/>
    <w:rsid w:val="00D84D61"/>
    <w:rsid w:val="00D8503A"/>
    <w:rsid w:val="00D86455"/>
    <w:rsid w:val="00D86D2E"/>
    <w:rsid w:val="00D87CF8"/>
    <w:rsid w:val="00D87D93"/>
    <w:rsid w:val="00D901B5"/>
    <w:rsid w:val="00D90F30"/>
    <w:rsid w:val="00D914CD"/>
    <w:rsid w:val="00D916DE"/>
    <w:rsid w:val="00D917A2"/>
    <w:rsid w:val="00D92232"/>
    <w:rsid w:val="00D925AD"/>
    <w:rsid w:val="00D93184"/>
    <w:rsid w:val="00D93400"/>
    <w:rsid w:val="00D940CA"/>
    <w:rsid w:val="00D9503E"/>
    <w:rsid w:val="00D965A1"/>
    <w:rsid w:val="00D9666C"/>
    <w:rsid w:val="00D96E29"/>
    <w:rsid w:val="00D96F04"/>
    <w:rsid w:val="00DA1595"/>
    <w:rsid w:val="00DA1795"/>
    <w:rsid w:val="00DA1877"/>
    <w:rsid w:val="00DA2BE6"/>
    <w:rsid w:val="00DA303E"/>
    <w:rsid w:val="00DA4D33"/>
    <w:rsid w:val="00DA526B"/>
    <w:rsid w:val="00DA70DA"/>
    <w:rsid w:val="00DA7278"/>
    <w:rsid w:val="00DA7C7E"/>
    <w:rsid w:val="00DB04CE"/>
    <w:rsid w:val="00DB0B06"/>
    <w:rsid w:val="00DB3601"/>
    <w:rsid w:val="00DB454D"/>
    <w:rsid w:val="00DB6148"/>
    <w:rsid w:val="00DB6256"/>
    <w:rsid w:val="00DB7212"/>
    <w:rsid w:val="00DB7B4D"/>
    <w:rsid w:val="00DC05A9"/>
    <w:rsid w:val="00DC0CEF"/>
    <w:rsid w:val="00DC0E9B"/>
    <w:rsid w:val="00DC1353"/>
    <w:rsid w:val="00DC2F19"/>
    <w:rsid w:val="00DC45EA"/>
    <w:rsid w:val="00DC4885"/>
    <w:rsid w:val="00DC490C"/>
    <w:rsid w:val="00DC5CE0"/>
    <w:rsid w:val="00DC5E09"/>
    <w:rsid w:val="00DC60AA"/>
    <w:rsid w:val="00DC6C70"/>
    <w:rsid w:val="00DC6EF8"/>
    <w:rsid w:val="00DC7001"/>
    <w:rsid w:val="00DC70C8"/>
    <w:rsid w:val="00DC77A7"/>
    <w:rsid w:val="00DD0516"/>
    <w:rsid w:val="00DD146C"/>
    <w:rsid w:val="00DD1510"/>
    <w:rsid w:val="00DD1F99"/>
    <w:rsid w:val="00DD20BF"/>
    <w:rsid w:val="00DD3440"/>
    <w:rsid w:val="00DD40C8"/>
    <w:rsid w:val="00DD4280"/>
    <w:rsid w:val="00DD4C16"/>
    <w:rsid w:val="00DD5546"/>
    <w:rsid w:val="00DD7492"/>
    <w:rsid w:val="00DD7E1C"/>
    <w:rsid w:val="00DE0CA2"/>
    <w:rsid w:val="00DE1699"/>
    <w:rsid w:val="00DE16ED"/>
    <w:rsid w:val="00DE1E6C"/>
    <w:rsid w:val="00DE203F"/>
    <w:rsid w:val="00DE2069"/>
    <w:rsid w:val="00DE2624"/>
    <w:rsid w:val="00DE2ED8"/>
    <w:rsid w:val="00DE38DA"/>
    <w:rsid w:val="00DE4828"/>
    <w:rsid w:val="00DE583D"/>
    <w:rsid w:val="00DE5F32"/>
    <w:rsid w:val="00DE7DF6"/>
    <w:rsid w:val="00DF031A"/>
    <w:rsid w:val="00DF079B"/>
    <w:rsid w:val="00DF087F"/>
    <w:rsid w:val="00DF0A04"/>
    <w:rsid w:val="00DF1CEE"/>
    <w:rsid w:val="00DF1DCA"/>
    <w:rsid w:val="00DF1EC0"/>
    <w:rsid w:val="00DF2662"/>
    <w:rsid w:val="00DF2C8E"/>
    <w:rsid w:val="00DF2F75"/>
    <w:rsid w:val="00DF3E5A"/>
    <w:rsid w:val="00DF4E8A"/>
    <w:rsid w:val="00DF5266"/>
    <w:rsid w:val="00DF6A00"/>
    <w:rsid w:val="00DF6C54"/>
    <w:rsid w:val="00E000F3"/>
    <w:rsid w:val="00E011A4"/>
    <w:rsid w:val="00E025B8"/>
    <w:rsid w:val="00E02818"/>
    <w:rsid w:val="00E03B89"/>
    <w:rsid w:val="00E03D2A"/>
    <w:rsid w:val="00E04017"/>
    <w:rsid w:val="00E0418F"/>
    <w:rsid w:val="00E04797"/>
    <w:rsid w:val="00E052AF"/>
    <w:rsid w:val="00E05EF0"/>
    <w:rsid w:val="00E07390"/>
    <w:rsid w:val="00E07DEF"/>
    <w:rsid w:val="00E11EB2"/>
    <w:rsid w:val="00E12126"/>
    <w:rsid w:val="00E12DFD"/>
    <w:rsid w:val="00E143B0"/>
    <w:rsid w:val="00E14B10"/>
    <w:rsid w:val="00E14C09"/>
    <w:rsid w:val="00E159A4"/>
    <w:rsid w:val="00E16A6A"/>
    <w:rsid w:val="00E16C88"/>
    <w:rsid w:val="00E170EC"/>
    <w:rsid w:val="00E17513"/>
    <w:rsid w:val="00E1786B"/>
    <w:rsid w:val="00E17D7D"/>
    <w:rsid w:val="00E17FF6"/>
    <w:rsid w:val="00E20A94"/>
    <w:rsid w:val="00E20D62"/>
    <w:rsid w:val="00E23948"/>
    <w:rsid w:val="00E24893"/>
    <w:rsid w:val="00E25D85"/>
    <w:rsid w:val="00E26183"/>
    <w:rsid w:val="00E26727"/>
    <w:rsid w:val="00E26816"/>
    <w:rsid w:val="00E27840"/>
    <w:rsid w:val="00E303F1"/>
    <w:rsid w:val="00E30516"/>
    <w:rsid w:val="00E307DD"/>
    <w:rsid w:val="00E30ABB"/>
    <w:rsid w:val="00E3130C"/>
    <w:rsid w:val="00E3272E"/>
    <w:rsid w:val="00E331B3"/>
    <w:rsid w:val="00E345B1"/>
    <w:rsid w:val="00E34AE8"/>
    <w:rsid w:val="00E374DA"/>
    <w:rsid w:val="00E40BE6"/>
    <w:rsid w:val="00E420D6"/>
    <w:rsid w:val="00E42D07"/>
    <w:rsid w:val="00E42D2D"/>
    <w:rsid w:val="00E42E00"/>
    <w:rsid w:val="00E43097"/>
    <w:rsid w:val="00E4315C"/>
    <w:rsid w:val="00E436D7"/>
    <w:rsid w:val="00E44080"/>
    <w:rsid w:val="00E448ED"/>
    <w:rsid w:val="00E45244"/>
    <w:rsid w:val="00E45843"/>
    <w:rsid w:val="00E45B7F"/>
    <w:rsid w:val="00E45F42"/>
    <w:rsid w:val="00E46718"/>
    <w:rsid w:val="00E46DA4"/>
    <w:rsid w:val="00E47383"/>
    <w:rsid w:val="00E474C3"/>
    <w:rsid w:val="00E47B33"/>
    <w:rsid w:val="00E47B42"/>
    <w:rsid w:val="00E507FE"/>
    <w:rsid w:val="00E51673"/>
    <w:rsid w:val="00E51C52"/>
    <w:rsid w:val="00E5368F"/>
    <w:rsid w:val="00E555BA"/>
    <w:rsid w:val="00E556F1"/>
    <w:rsid w:val="00E56545"/>
    <w:rsid w:val="00E56A3E"/>
    <w:rsid w:val="00E56BC1"/>
    <w:rsid w:val="00E56BCC"/>
    <w:rsid w:val="00E57FB7"/>
    <w:rsid w:val="00E60C69"/>
    <w:rsid w:val="00E6150F"/>
    <w:rsid w:val="00E627BE"/>
    <w:rsid w:val="00E628AD"/>
    <w:rsid w:val="00E62A3F"/>
    <w:rsid w:val="00E62AB4"/>
    <w:rsid w:val="00E62C22"/>
    <w:rsid w:val="00E62D08"/>
    <w:rsid w:val="00E632C1"/>
    <w:rsid w:val="00E6623E"/>
    <w:rsid w:val="00E670F8"/>
    <w:rsid w:val="00E70208"/>
    <w:rsid w:val="00E7033A"/>
    <w:rsid w:val="00E70D49"/>
    <w:rsid w:val="00E71290"/>
    <w:rsid w:val="00E71B21"/>
    <w:rsid w:val="00E721F2"/>
    <w:rsid w:val="00E738EE"/>
    <w:rsid w:val="00E75509"/>
    <w:rsid w:val="00E766E5"/>
    <w:rsid w:val="00E76A6C"/>
    <w:rsid w:val="00E76DA0"/>
    <w:rsid w:val="00E774F9"/>
    <w:rsid w:val="00E77F1E"/>
    <w:rsid w:val="00E8015A"/>
    <w:rsid w:val="00E80CBD"/>
    <w:rsid w:val="00E8158B"/>
    <w:rsid w:val="00E82BE9"/>
    <w:rsid w:val="00E83257"/>
    <w:rsid w:val="00E83A8E"/>
    <w:rsid w:val="00E83DFC"/>
    <w:rsid w:val="00E8450B"/>
    <w:rsid w:val="00E862F9"/>
    <w:rsid w:val="00E8639A"/>
    <w:rsid w:val="00E863D7"/>
    <w:rsid w:val="00E87480"/>
    <w:rsid w:val="00E90118"/>
    <w:rsid w:val="00E91472"/>
    <w:rsid w:val="00E91545"/>
    <w:rsid w:val="00E91C7B"/>
    <w:rsid w:val="00E926F1"/>
    <w:rsid w:val="00E9306B"/>
    <w:rsid w:val="00E93796"/>
    <w:rsid w:val="00E946D0"/>
    <w:rsid w:val="00E94BB2"/>
    <w:rsid w:val="00E96C0F"/>
    <w:rsid w:val="00E970FC"/>
    <w:rsid w:val="00EA0017"/>
    <w:rsid w:val="00EA0C31"/>
    <w:rsid w:val="00EA10F0"/>
    <w:rsid w:val="00EA47EE"/>
    <w:rsid w:val="00EA4DED"/>
    <w:rsid w:val="00EA612B"/>
    <w:rsid w:val="00EA642F"/>
    <w:rsid w:val="00EA70C6"/>
    <w:rsid w:val="00EB0CA7"/>
    <w:rsid w:val="00EB1503"/>
    <w:rsid w:val="00EB268B"/>
    <w:rsid w:val="00EB4242"/>
    <w:rsid w:val="00EB6625"/>
    <w:rsid w:val="00EB67C5"/>
    <w:rsid w:val="00EB7081"/>
    <w:rsid w:val="00EB7212"/>
    <w:rsid w:val="00EB773A"/>
    <w:rsid w:val="00EC0D56"/>
    <w:rsid w:val="00EC12AB"/>
    <w:rsid w:val="00EC1B44"/>
    <w:rsid w:val="00EC3B16"/>
    <w:rsid w:val="00EC3BFD"/>
    <w:rsid w:val="00EC433D"/>
    <w:rsid w:val="00EC455A"/>
    <w:rsid w:val="00EC4B51"/>
    <w:rsid w:val="00EC55DF"/>
    <w:rsid w:val="00EC71DA"/>
    <w:rsid w:val="00EC7742"/>
    <w:rsid w:val="00ED2127"/>
    <w:rsid w:val="00ED273E"/>
    <w:rsid w:val="00ED48F7"/>
    <w:rsid w:val="00ED4DBD"/>
    <w:rsid w:val="00ED4E85"/>
    <w:rsid w:val="00ED561B"/>
    <w:rsid w:val="00ED6AD5"/>
    <w:rsid w:val="00EE079B"/>
    <w:rsid w:val="00EE1404"/>
    <w:rsid w:val="00EE2B9D"/>
    <w:rsid w:val="00EE3DCB"/>
    <w:rsid w:val="00EE4530"/>
    <w:rsid w:val="00EE4753"/>
    <w:rsid w:val="00EE4DFA"/>
    <w:rsid w:val="00EE5471"/>
    <w:rsid w:val="00EE5E7E"/>
    <w:rsid w:val="00EE692C"/>
    <w:rsid w:val="00EE69A9"/>
    <w:rsid w:val="00EE73C9"/>
    <w:rsid w:val="00EF0665"/>
    <w:rsid w:val="00EF138E"/>
    <w:rsid w:val="00EF2FEA"/>
    <w:rsid w:val="00EF64D9"/>
    <w:rsid w:val="00EF6963"/>
    <w:rsid w:val="00EF6A0E"/>
    <w:rsid w:val="00F01727"/>
    <w:rsid w:val="00F02275"/>
    <w:rsid w:val="00F024A6"/>
    <w:rsid w:val="00F036DD"/>
    <w:rsid w:val="00F0532E"/>
    <w:rsid w:val="00F05A56"/>
    <w:rsid w:val="00F05E54"/>
    <w:rsid w:val="00F05E5F"/>
    <w:rsid w:val="00F067E4"/>
    <w:rsid w:val="00F06CED"/>
    <w:rsid w:val="00F07292"/>
    <w:rsid w:val="00F104A7"/>
    <w:rsid w:val="00F10BC3"/>
    <w:rsid w:val="00F11618"/>
    <w:rsid w:val="00F11F66"/>
    <w:rsid w:val="00F1341A"/>
    <w:rsid w:val="00F13931"/>
    <w:rsid w:val="00F13971"/>
    <w:rsid w:val="00F13A8E"/>
    <w:rsid w:val="00F146F2"/>
    <w:rsid w:val="00F14CD9"/>
    <w:rsid w:val="00F15C08"/>
    <w:rsid w:val="00F17758"/>
    <w:rsid w:val="00F204D8"/>
    <w:rsid w:val="00F20CD5"/>
    <w:rsid w:val="00F20FE3"/>
    <w:rsid w:val="00F21BE8"/>
    <w:rsid w:val="00F21F6B"/>
    <w:rsid w:val="00F228AF"/>
    <w:rsid w:val="00F22BF0"/>
    <w:rsid w:val="00F22D35"/>
    <w:rsid w:val="00F237F3"/>
    <w:rsid w:val="00F2409E"/>
    <w:rsid w:val="00F2454F"/>
    <w:rsid w:val="00F245C5"/>
    <w:rsid w:val="00F2477F"/>
    <w:rsid w:val="00F26E65"/>
    <w:rsid w:val="00F3065B"/>
    <w:rsid w:val="00F30E70"/>
    <w:rsid w:val="00F31A0F"/>
    <w:rsid w:val="00F31AA3"/>
    <w:rsid w:val="00F31BB0"/>
    <w:rsid w:val="00F32670"/>
    <w:rsid w:val="00F33431"/>
    <w:rsid w:val="00F33923"/>
    <w:rsid w:val="00F34A4B"/>
    <w:rsid w:val="00F34F1C"/>
    <w:rsid w:val="00F353B9"/>
    <w:rsid w:val="00F35D49"/>
    <w:rsid w:val="00F37EB4"/>
    <w:rsid w:val="00F421BF"/>
    <w:rsid w:val="00F42A22"/>
    <w:rsid w:val="00F42D9F"/>
    <w:rsid w:val="00F42EDA"/>
    <w:rsid w:val="00F43F17"/>
    <w:rsid w:val="00F446F8"/>
    <w:rsid w:val="00F447B7"/>
    <w:rsid w:val="00F44F85"/>
    <w:rsid w:val="00F458F8"/>
    <w:rsid w:val="00F45938"/>
    <w:rsid w:val="00F459A7"/>
    <w:rsid w:val="00F47654"/>
    <w:rsid w:val="00F47A7B"/>
    <w:rsid w:val="00F50BF9"/>
    <w:rsid w:val="00F50D03"/>
    <w:rsid w:val="00F513E9"/>
    <w:rsid w:val="00F52963"/>
    <w:rsid w:val="00F52E03"/>
    <w:rsid w:val="00F53389"/>
    <w:rsid w:val="00F533E7"/>
    <w:rsid w:val="00F53C64"/>
    <w:rsid w:val="00F54BB3"/>
    <w:rsid w:val="00F55318"/>
    <w:rsid w:val="00F55CEB"/>
    <w:rsid w:val="00F55DEA"/>
    <w:rsid w:val="00F56913"/>
    <w:rsid w:val="00F62752"/>
    <w:rsid w:val="00F64431"/>
    <w:rsid w:val="00F65166"/>
    <w:rsid w:val="00F65175"/>
    <w:rsid w:val="00F65FAF"/>
    <w:rsid w:val="00F667B5"/>
    <w:rsid w:val="00F67129"/>
    <w:rsid w:val="00F72475"/>
    <w:rsid w:val="00F737B0"/>
    <w:rsid w:val="00F73B0E"/>
    <w:rsid w:val="00F73C76"/>
    <w:rsid w:val="00F73F4B"/>
    <w:rsid w:val="00F74571"/>
    <w:rsid w:val="00F7795C"/>
    <w:rsid w:val="00F77B2D"/>
    <w:rsid w:val="00F80F49"/>
    <w:rsid w:val="00F82612"/>
    <w:rsid w:val="00F827FF"/>
    <w:rsid w:val="00F82C4B"/>
    <w:rsid w:val="00F8603A"/>
    <w:rsid w:val="00F873B9"/>
    <w:rsid w:val="00F876EC"/>
    <w:rsid w:val="00F87DA8"/>
    <w:rsid w:val="00F920E5"/>
    <w:rsid w:val="00F93245"/>
    <w:rsid w:val="00F93780"/>
    <w:rsid w:val="00F939ED"/>
    <w:rsid w:val="00F94344"/>
    <w:rsid w:val="00F944DA"/>
    <w:rsid w:val="00FA053D"/>
    <w:rsid w:val="00FA1489"/>
    <w:rsid w:val="00FA19A6"/>
    <w:rsid w:val="00FA4698"/>
    <w:rsid w:val="00FA4C7E"/>
    <w:rsid w:val="00FA4DA9"/>
    <w:rsid w:val="00FA4E5E"/>
    <w:rsid w:val="00FA5055"/>
    <w:rsid w:val="00FA5807"/>
    <w:rsid w:val="00FA6EC6"/>
    <w:rsid w:val="00FA7FC1"/>
    <w:rsid w:val="00FB0E56"/>
    <w:rsid w:val="00FB11B3"/>
    <w:rsid w:val="00FB124D"/>
    <w:rsid w:val="00FB25EB"/>
    <w:rsid w:val="00FB2E4A"/>
    <w:rsid w:val="00FB2FDC"/>
    <w:rsid w:val="00FB37FE"/>
    <w:rsid w:val="00FB51BB"/>
    <w:rsid w:val="00FB587F"/>
    <w:rsid w:val="00FB5E17"/>
    <w:rsid w:val="00FB5E74"/>
    <w:rsid w:val="00FB6C56"/>
    <w:rsid w:val="00FC0D1D"/>
    <w:rsid w:val="00FC264A"/>
    <w:rsid w:val="00FC2AE2"/>
    <w:rsid w:val="00FC539E"/>
    <w:rsid w:val="00FC560F"/>
    <w:rsid w:val="00FC600B"/>
    <w:rsid w:val="00FC6874"/>
    <w:rsid w:val="00FC721D"/>
    <w:rsid w:val="00FC79DB"/>
    <w:rsid w:val="00FD09D9"/>
    <w:rsid w:val="00FD231C"/>
    <w:rsid w:val="00FD2686"/>
    <w:rsid w:val="00FD2781"/>
    <w:rsid w:val="00FD373B"/>
    <w:rsid w:val="00FD3F7E"/>
    <w:rsid w:val="00FD56EF"/>
    <w:rsid w:val="00FD5F3B"/>
    <w:rsid w:val="00FD60FA"/>
    <w:rsid w:val="00FD68F1"/>
    <w:rsid w:val="00FD7948"/>
    <w:rsid w:val="00FE020C"/>
    <w:rsid w:val="00FE39AA"/>
    <w:rsid w:val="00FE3D1E"/>
    <w:rsid w:val="00FE4274"/>
    <w:rsid w:val="00FE45E3"/>
    <w:rsid w:val="00FE4D79"/>
    <w:rsid w:val="00FE4E5E"/>
    <w:rsid w:val="00FE4E9E"/>
    <w:rsid w:val="00FE548A"/>
    <w:rsid w:val="00FE7262"/>
    <w:rsid w:val="00FF01EE"/>
    <w:rsid w:val="00FF0C7E"/>
    <w:rsid w:val="00FF1737"/>
    <w:rsid w:val="00FF173D"/>
    <w:rsid w:val="00FF176E"/>
    <w:rsid w:val="00FF1EB8"/>
    <w:rsid w:val="00FF2011"/>
    <w:rsid w:val="00FF4278"/>
    <w:rsid w:val="00FF44F2"/>
    <w:rsid w:val="00FF5776"/>
    <w:rsid w:val="00FF61D3"/>
    <w:rsid w:val="00FF69D3"/>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4FE21"/>
  <w15:docId w15:val="{04C7B97F-B047-4312-8DE4-1D544A47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link w:val="Heading3Char"/>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9"/>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paragraph" w:customStyle="1" w:styleId="Default">
    <w:name w:val="Default"/>
    <w:rsid w:val="00FA4698"/>
    <w:pPr>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rsid w:val="00617A8E"/>
    <w:pPr>
      <w:spacing w:after="160" w:line="240" w:lineRule="exact"/>
    </w:pPr>
    <w:rPr>
      <w:rFonts w:ascii="Verdana" w:hAnsi="Verdana"/>
      <w:b/>
      <w:sz w:val="20"/>
      <w:lang w:val="en-US" w:eastAsia="en-US"/>
    </w:rPr>
  </w:style>
  <w:style w:type="character" w:styleId="CommentReference">
    <w:name w:val="annotation reference"/>
    <w:basedOn w:val="DefaultParagraphFont"/>
    <w:uiPriority w:val="99"/>
    <w:semiHidden/>
    <w:unhideWhenUsed/>
    <w:rsid w:val="00496128"/>
    <w:rPr>
      <w:sz w:val="16"/>
      <w:szCs w:val="16"/>
    </w:rPr>
  </w:style>
  <w:style w:type="paragraph" w:styleId="CommentText">
    <w:name w:val="annotation text"/>
    <w:basedOn w:val="Normal"/>
    <w:link w:val="CommentTextChar"/>
    <w:uiPriority w:val="99"/>
    <w:semiHidden/>
    <w:unhideWhenUsed/>
    <w:rsid w:val="00496128"/>
    <w:rPr>
      <w:sz w:val="20"/>
    </w:rPr>
  </w:style>
  <w:style w:type="character" w:customStyle="1" w:styleId="CommentTextChar">
    <w:name w:val="Comment Text Char"/>
    <w:basedOn w:val="DefaultParagraphFont"/>
    <w:link w:val="CommentText"/>
    <w:uiPriority w:val="99"/>
    <w:semiHidden/>
    <w:rsid w:val="00496128"/>
  </w:style>
  <w:style w:type="paragraph" w:styleId="CommentSubject">
    <w:name w:val="annotation subject"/>
    <w:basedOn w:val="CommentText"/>
    <w:next w:val="CommentText"/>
    <w:link w:val="CommentSubjectChar"/>
    <w:uiPriority w:val="99"/>
    <w:semiHidden/>
    <w:unhideWhenUsed/>
    <w:rsid w:val="00496128"/>
    <w:rPr>
      <w:b/>
      <w:bCs/>
    </w:rPr>
  </w:style>
  <w:style w:type="character" w:customStyle="1" w:styleId="CommentSubjectChar">
    <w:name w:val="Comment Subject Char"/>
    <w:basedOn w:val="CommentTextChar"/>
    <w:link w:val="CommentSubject"/>
    <w:uiPriority w:val="99"/>
    <w:semiHidden/>
    <w:rsid w:val="00496128"/>
    <w:rPr>
      <w:b/>
      <w:bCs/>
    </w:rPr>
  </w:style>
  <w:style w:type="character" w:customStyle="1" w:styleId="BodytextChar">
    <w:name w:val="Body text Char"/>
    <w:link w:val="BodyText1"/>
    <w:rsid w:val="003C0F36"/>
    <w:rPr>
      <w:rFonts w:ascii="Arial" w:hAnsi="Arial"/>
      <w:sz w:val="22"/>
      <w:szCs w:val="24"/>
      <w:lang w:val="en-US" w:eastAsia="en-US"/>
    </w:rPr>
  </w:style>
  <w:style w:type="paragraph" w:customStyle="1" w:styleId="BodyText1">
    <w:name w:val="Body Text1"/>
    <w:link w:val="BodytextChar"/>
    <w:rsid w:val="003C0F36"/>
    <w:pPr>
      <w:spacing w:after="120" w:line="288" w:lineRule="auto"/>
    </w:pPr>
    <w:rPr>
      <w:rFonts w:ascii="Arial" w:hAnsi="Arial"/>
      <w:sz w:val="22"/>
      <w:szCs w:val="24"/>
      <w:lang w:val="en-US" w:eastAsia="en-US"/>
    </w:rPr>
  </w:style>
  <w:style w:type="character" w:customStyle="1" w:styleId="UnresolvedMention1">
    <w:name w:val="Unresolved Mention1"/>
    <w:basedOn w:val="DefaultParagraphFont"/>
    <w:uiPriority w:val="99"/>
    <w:semiHidden/>
    <w:unhideWhenUsed/>
    <w:rsid w:val="00784AC5"/>
    <w:rPr>
      <w:color w:val="605E5C"/>
      <w:shd w:val="clear" w:color="auto" w:fill="E1DFDD"/>
    </w:rPr>
  </w:style>
  <w:style w:type="character" w:styleId="UnresolvedMention">
    <w:name w:val="Unresolved Mention"/>
    <w:basedOn w:val="DefaultParagraphFont"/>
    <w:uiPriority w:val="99"/>
    <w:semiHidden/>
    <w:unhideWhenUsed/>
    <w:rsid w:val="00310AE5"/>
    <w:rPr>
      <w:color w:val="605E5C"/>
      <w:shd w:val="clear" w:color="auto" w:fill="E1DFDD"/>
    </w:rPr>
  </w:style>
  <w:style w:type="paragraph" w:styleId="NoSpacing">
    <w:name w:val="No Spacing"/>
    <w:uiPriority w:val="1"/>
    <w:qFormat/>
    <w:rsid w:val="00827F48"/>
    <w:rPr>
      <w:sz w:val="24"/>
    </w:rPr>
  </w:style>
  <w:style w:type="character" w:customStyle="1" w:styleId="Heading3Char">
    <w:name w:val="Heading 3 Char"/>
    <w:basedOn w:val="DefaultParagraphFont"/>
    <w:link w:val="Heading3"/>
    <w:rsid w:val="009417AD"/>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052">
      <w:bodyDiv w:val="1"/>
      <w:marLeft w:val="0"/>
      <w:marRight w:val="0"/>
      <w:marTop w:val="0"/>
      <w:marBottom w:val="0"/>
      <w:divBdr>
        <w:top w:val="none" w:sz="0" w:space="0" w:color="auto"/>
        <w:left w:val="none" w:sz="0" w:space="0" w:color="auto"/>
        <w:bottom w:val="none" w:sz="0" w:space="0" w:color="auto"/>
        <w:right w:val="none" w:sz="0" w:space="0" w:color="auto"/>
      </w:divBdr>
    </w:div>
    <w:div w:id="26218705">
      <w:bodyDiv w:val="1"/>
      <w:marLeft w:val="0"/>
      <w:marRight w:val="0"/>
      <w:marTop w:val="0"/>
      <w:marBottom w:val="0"/>
      <w:divBdr>
        <w:top w:val="none" w:sz="0" w:space="0" w:color="auto"/>
        <w:left w:val="none" w:sz="0" w:space="0" w:color="auto"/>
        <w:bottom w:val="none" w:sz="0" w:space="0" w:color="auto"/>
        <w:right w:val="none" w:sz="0" w:space="0" w:color="auto"/>
      </w:divBdr>
    </w:div>
    <w:div w:id="91319361">
      <w:bodyDiv w:val="1"/>
      <w:marLeft w:val="0"/>
      <w:marRight w:val="0"/>
      <w:marTop w:val="0"/>
      <w:marBottom w:val="0"/>
      <w:divBdr>
        <w:top w:val="none" w:sz="0" w:space="0" w:color="auto"/>
        <w:left w:val="none" w:sz="0" w:space="0" w:color="auto"/>
        <w:bottom w:val="none" w:sz="0" w:space="0" w:color="auto"/>
        <w:right w:val="none" w:sz="0" w:space="0" w:color="auto"/>
      </w:divBdr>
    </w:div>
    <w:div w:id="93063114">
      <w:bodyDiv w:val="1"/>
      <w:marLeft w:val="0"/>
      <w:marRight w:val="0"/>
      <w:marTop w:val="0"/>
      <w:marBottom w:val="0"/>
      <w:divBdr>
        <w:top w:val="none" w:sz="0" w:space="0" w:color="auto"/>
        <w:left w:val="none" w:sz="0" w:space="0" w:color="auto"/>
        <w:bottom w:val="none" w:sz="0" w:space="0" w:color="auto"/>
        <w:right w:val="none" w:sz="0" w:space="0" w:color="auto"/>
      </w:divBdr>
    </w:div>
    <w:div w:id="101150503">
      <w:bodyDiv w:val="1"/>
      <w:marLeft w:val="0"/>
      <w:marRight w:val="0"/>
      <w:marTop w:val="0"/>
      <w:marBottom w:val="0"/>
      <w:divBdr>
        <w:top w:val="none" w:sz="0" w:space="0" w:color="auto"/>
        <w:left w:val="none" w:sz="0" w:space="0" w:color="auto"/>
        <w:bottom w:val="none" w:sz="0" w:space="0" w:color="auto"/>
        <w:right w:val="none" w:sz="0" w:space="0" w:color="auto"/>
      </w:divBdr>
    </w:div>
    <w:div w:id="143398584">
      <w:bodyDiv w:val="1"/>
      <w:marLeft w:val="0"/>
      <w:marRight w:val="0"/>
      <w:marTop w:val="0"/>
      <w:marBottom w:val="0"/>
      <w:divBdr>
        <w:top w:val="none" w:sz="0" w:space="0" w:color="auto"/>
        <w:left w:val="none" w:sz="0" w:space="0" w:color="auto"/>
        <w:bottom w:val="none" w:sz="0" w:space="0" w:color="auto"/>
        <w:right w:val="none" w:sz="0" w:space="0" w:color="auto"/>
      </w:divBdr>
    </w:div>
    <w:div w:id="191454234">
      <w:bodyDiv w:val="1"/>
      <w:marLeft w:val="0"/>
      <w:marRight w:val="0"/>
      <w:marTop w:val="0"/>
      <w:marBottom w:val="0"/>
      <w:divBdr>
        <w:top w:val="none" w:sz="0" w:space="0" w:color="auto"/>
        <w:left w:val="none" w:sz="0" w:space="0" w:color="auto"/>
        <w:bottom w:val="none" w:sz="0" w:space="0" w:color="auto"/>
        <w:right w:val="none" w:sz="0" w:space="0" w:color="auto"/>
      </w:divBdr>
    </w:div>
    <w:div w:id="192772666">
      <w:bodyDiv w:val="1"/>
      <w:marLeft w:val="0"/>
      <w:marRight w:val="0"/>
      <w:marTop w:val="0"/>
      <w:marBottom w:val="0"/>
      <w:divBdr>
        <w:top w:val="none" w:sz="0" w:space="0" w:color="auto"/>
        <w:left w:val="none" w:sz="0" w:space="0" w:color="auto"/>
        <w:bottom w:val="none" w:sz="0" w:space="0" w:color="auto"/>
        <w:right w:val="none" w:sz="0" w:space="0" w:color="auto"/>
      </w:divBdr>
    </w:div>
    <w:div w:id="196311151">
      <w:bodyDiv w:val="1"/>
      <w:marLeft w:val="0"/>
      <w:marRight w:val="0"/>
      <w:marTop w:val="0"/>
      <w:marBottom w:val="0"/>
      <w:divBdr>
        <w:top w:val="none" w:sz="0" w:space="0" w:color="auto"/>
        <w:left w:val="none" w:sz="0" w:space="0" w:color="auto"/>
        <w:bottom w:val="none" w:sz="0" w:space="0" w:color="auto"/>
        <w:right w:val="none" w:sz="0" w:space="0" w:color="auto"/>
      </w:divBdr>
    </w:div>
    <w:div w:id="218169530">
      <w:bodyDiv w:val="1"/>
      <w:marLeft w:val="0"/>
      <w:marRight w:val="0"/>
      <w:marTop w:val="0"/>
      <w:marBottom w:val="0"/>
      <w:divBdr>
        <w:top w:val="none" w:sz="0" w:space="0" w:color="auto"/>
        <w:left w:val="none" w:sz="0" w:space="0" w:color="auto"/>
        <w:bottom w:val="none" w:sz="0" w:space="0" w:color="auto"/>
        <w:right w:val="none" w:sz="0" w:space="0" w:color="auto"/>
      </w:divBdr>
    </w:div>
    <w:div w:id="272712618">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9401352">
      <w:bodyDiv w:val="1"/>
      <w:marLeft w:val="0"/>
      <w:marRight w:val="0"/>
      <w:marTop w:val="0"/>
      <w:marBottom w:val="0"/>
      <w:divBdr>
        <w:top w:val="none" w:sz="0" w:space="0" w:color="auto"/>
        <w:left w:val="none" w:sz="0" w:space="0" w:color="auto"/>
        <w:bottom w:val="none" w:sz="0" w:space="0" w:color="auto"/>
        <w:right w:val="none" w:sz="0" w:space="0" w:color="auto"/>
      </w:divBdr>
    </w:div>
    <w:div w:id="429546823">
      <w:bodyDiv w:val="1"/>
      <w:marLeft w:val="0"/>
      <w:marRight w:val="0"/>
      <w:marTop w:val="0"/>
      <w:marBottom w:val="0"/>
      <w:divBdr>
        <w:top w:val="none" w:sz="0" w:space="0" w:color="auto"/>
        <w:left w:val="none" w:sz="0" w:space="0" w:color="auto"/>
        <w:bottom w:val="none" w:sz="0" w:space="0" w:color="auto"/>
        <w:right w:val="none" w:sz="0" w:space="0" w:color="auto"/>
      </w:divBdr>
    </w:div>
    <w:div w:id="479345419">
      <w:bodyDiv w:val="1"/>
      <w:marLeft w:val="0"/>
      <w:marRight w:val="0"/>
      <w:marTop w:val="0"/>
      <w:marBottom w:val="0"/>
      <w:divBdr>
        <w:top w:val="none" w:sz="0" w:space="0" w:color="auto"/>
        <w:left w:val="none" w:sz="0" w:space="0" w:color="auto"/>
        <w:bottom w:val="none" w:sz="0" w:space="0" w:color="auto"/>
        <w:right w:val="none" w:sz="0" w:space="0" w:color="auto"/>
      </w:divBdr>
    </w:div>
    <w:div w:id="486211978">
      <w:bodyDiv w:val="1"/>
      <w:marLeft w:val="0"/>
      <w:marRight w:val="0"/>
      <w:marTop w:val="0"/>
      <w:marBottom w:val="0"/>
      <w:divBdr>
        <w:top w:val="none" w:sz="0" w:space="0" w:color="auto"/>
        <w:left w:val="none" w:sz="0" w:space="0" w:color="auto"/>
        <w:bottom w:val="none" w:sz="0" w:space="0" w:color="auto"/>
        <w:right w:val="none" w:sz="0" w:space="0" w:color="auto"/>
      </w:divBdr>
    </w:div>
    <w:div w:id="555318463">
      <w:bodyDiv w:val="1"/>
      <w:marLeft w:val="0"/>
      <w:marRight w:val="0"/>
      <w:marTop w:val="0"/>
      <w:marBottom w:val="0"/>
      <w:divBdr>
        <w:top w:val="none" w:sz="0" w:space="0" w:color="auto"/>
        <w:left w:val="none" w:sz="0" w:space="0" w:color="auto"/>
        <w:bottom w:val="none" w:sz="0" w:space="0" w:color="auto"/>
        <w:right w:val="none" w:sz="0" w:space="0" w:color="auto"/>
      </w:divBdr>
    </w:div>
    <w:div w:id="557785409">
      <w:bodyDiv w:val="1"/>
      <w:marLeft w:val="0"/>
      <w:marRight w:val="0"/>
      <w:marTop w:val="0"/>
      <w:marBottom w:val="0"/>
      <w:divBdr>
        <w:top w:val="none" w:sz="0" w:space="0" w:color="auto"/>
        <w:left w:val="none" w:sz="0" w:space="0" w:color="auto"/>
        <w:bottom w:val="none" w:sz="0" w:space="0" w:color="auto"/>
        <w:right w:val="none" w:sz="0" w:space="0" w:color="auto"/>
      </w:divBdr>
    </w:div>
    <w:div w:id="566452439">
      <w:bodyDiv w:val="1"/>
      <w:marLeft w:val="0"/>
      <w:marRight w:val="0"/>
      <w:marTop w:val="0"/>
      <w:marBottom w:val="0"/>
      <w:divBdr>
        <w:top w:val="none" w:sz="0" w:space="0" w:color="auto"/>
        <w:left w:val="none" w:sz="0" w:space="0" w:color="auto"/>
        <w:bottom w:val="none" w:sz="0" w:space="0" w:color="auto"/>
        <w:right w:val="none" w:sz="0" w:space="0" w:color="auto"/>
      </w:divBdr>
    </w:div>
    <w:div w:id="576209845">
      <w:bodyDiv w:val="1"/>
      <w:marLeft w:val="0"/>
      <w:marRight w:val="0"/>
      <w:marTop w:val="0"/>
      <w:marBottom w:val="0"/>
      <w:divBdr>
        <w:top w:val="none" w:sz="0" w:space="0" w:color="auto"/>
        <w:left w:val="none" w:sz="0" w:space="0" w:color="auto"/>
        <w:bottom w:val="none" w:sz="0" w:space="0" w:color="auto"/>
        <w:right w:val="none" w:sz="0" w:space="0" w:color="auto"/>
      </w:divBdr>
    </w:div>
    <w:div w:id="625626504">
      <w:bodyDiv w:val="1"/>
      <w:marLeft w:val="0"/>
      <w:marRight w:val="0"/>
      <w:marTop w:val="0"/>
      <w:marBottom w:val="0"/>
      <w:divBdr>
        <w:top w:val="none" w:sz="0" w:space="0" w:color="auto"/>
        <w:left w:val="none" w:sz="0" w:space="0" w:color="auto"/>
        <w:bottom w:val="none" w:sz="0" w:space="0" w:color="auto"/>
        <w:right w:val="none" w:sz="0" w:space="0" w:color="auto"/>
      </w:divBdr>
    </w:div>
    <w:div w:id="637342397">
      <w:bodyDiv w:val="1"/>
      <w:marLeft w:val="0"/>
      <w:marRight w:val="0"/>
      <w:marTop w:val="0"/>
      <w:marBottom w:val="0"/>
      <w:divBdr>
        <w:top w:val="none" w:sz="0" w:space="0" w:color="auto"/>
        <w:left w:val="none" w:sz="0" w:space="0" w:color="auto"/>
        <w:bottom w:val="none" w:sz="0" w:space="0" w:color="auto"/>
        <w:right w:val="none" w:sz="0" w:space="0" w:color="auto"/>
      </w:divBdr>
    </w:div>
    <w:div w:id="655380857">
      <w:bodyDiv w:val="1"/>
      <w:marLeft w:val="0"/>
      <w:marRight w:val="0"/>
      <w:marTop w:val="0"/>
      <w:marBottom w:val="0"/>
      <w:divBdr>
        <w:top w:val="none" w:sz="0" w:space="0" w:color="auto"/>
        <w:left w:val="none" w:sz="0" w:space="0" w:color="auto"/>
        <w:bottom w:val="none" w:sz="0" w:space="0" w:color="auto"/>
        <w:right w:val="none" w:sz="0" w:space="0" w:color="auto"/>
      </w:divBdr>
    </w:div>
    <w:div w:id="688675900">
      <w:bodyDiv w:val="1"/>
      <w:marLeft w:val="0"/>
      <w:marRight w:val="0"/>
      <w:marTop w:val="0"/>
      <w:marBottom w:val="0"/>
      <w:divBdr>
        <w:top w:val="none" w:sz="0" w:space="0" w:color="auto"/>
        <w:left w:val="none" w:sz="0" w:space="0" w:color="auto"/>
        <w:bottom w:val="none" w:sz="0" w:space="0" w:color="auto"/>
        <w:right w:val="none" w:sz="0" w:space="0" w:color="auto"/>
      </w:divBdr>
    </w:div>
    <w:div w:id="703143253">
      <w:bodyDiv w:val="1"/>
      <w:marLeft w:val="0"/>
      <w:marRight w:val="0"/>
      <w:marTop w:val="0"/>
      <w:marBottom w:val="0"/>
      <w:divBdr>
        <w:top w:val="none" w:sz="0" w:space="0" w:color="auto"/>
        <w:left w:val="none" w:sz="0" w:space="0" w:color="auto"/>
        <w:bottom w:val="none" w:sz="0" w:space="0" w:color="auto"/>
        <w:right w:val="none" w:sz="0" w:space="0" w:color="auto"/>
      </w:divBdr>
    </w:div>
    <w:div w:id="728308592">
      <w:bodyDiv w:val="1"/>
      <w:marLeft w:val="0"/>
      <w:marRight w:val="0"/>
      <w:marTop w:val="0"/>
      <w:marBottom w:val="0"/>
      <w:divBdr>
        <w:top w:val="none" w:sz="0" w:space="0" w:color="auto"/>
        <w:left w:val="none" w:sz="0" w:space="0" w:color="auto"/>
        <w:bottom w:val="none" w:sz="0" w:space="0" w:color="auto"/>
        <w:right w:val="none" w:sz="0" w:space="0" w:color="auto"/>
      </w:divBdr>
    </w:div>
    <w:div w:id="739836362">
      <w:bodyDiv w:val="1"/>
      <w:marLeft w:val="0"/>
      <w:marRight w:val="0"/>
      <w:marTop w:val="0"/>
      <w:marBottom w:val="0"/>
      <w:divBdr>
        <w:top w:val="none" w:sz="0" w:space="0" w:color="auto"/>
        <w:left w:val="none" w:sz="0" w:space="0" w:color="auto"/>
        <w:bottom w:val="none" w:sz="0" w:space="0" w:color="auto"/>
        <w:right w:val="none" w:sz="0" w:space="0" w:color="auto"/>
      </w:divBdr>
    </w:div>
    <w:div w:id="745960523">
      <w:bodyDiv w:val="1"/>
      <w:marLeft w:val="0"/>
      <w:marRight w:val="0"/>
      <w:marTop w:val="0"/>
      <w:marBottom w:val="0"/>
      <w:divBdr>
        <w:top w:val="none" w:sz="0" w:space="0" w:color="auto"/>
        <w:left w:val="none" w:sz="0" w:space="0" w:color="auto"/>
        <w:bottom w:val="none" w:sz="0" w:space="0" w:color="auto"/>
        <w:right w:val="none" w:sz="0" w:space="0" w:color="auto"/>
      </w:divBdr>
    </w:div>
    <w:div w:id="769620227">
      <w:bodyDiv w:val="1"/>
      <w:marLeft w:val="0"/>
      <w:marRight w:val="0"/>
      <w:marTop w:val="0"/>
      <w:marBottom w:val="0"/>
      <w:divBdr>
        <w:top w:val="none" w:sz="0" w:space="0" w:color="auto"/>
        <w:left w:val="none" w:sz="0" w:space="0" w:color="auto"/>
        <w:bottom w:val="none" w:sz="0" w:space="0" w:color="auto"/>
        <w:right w:val="none" w:sz="0" w:space="0" w:color="auto"/>
      </w:divBdr>
    </w:div>
    <w:div w:id="787164674">
      <w:bodyDiv w:val="1"/>
      <w:marLeft w:val="0"/>
      <w:marRight w:val="0"/>
      <w:marTop w:val="0"/>
      <w:marBottom w:val="0"/>
      <w:divBdr>
        <w:top w:val="none" w:sz="0" w:space="0" w:color="auto"/>
        <w:left w:val="none" w:sz="0" w:space="0" w:color="auto"/>
        <w:bottom w:val="none" w:sz="0" w:space="0" w:color="auto"/>
        <w:right w:val="none" w:sz="0" w:space="0" w:color="auto"/>
      </w:divBdr>
    </w:div>
    <w:div w:id="797643708">
      <w:bodyDiv w:val="1"/>
      <w:marLeft w:val="0"/>
      <w:marRight w:val="0"/>
      <w:marTop w:val="0"/>
      <w:marBottom w:val="0"/>
      <w:divBdr>
        <w:top w:val="none" w:sz="0" w:space="0" w:color="auto"/>
        <w:left w:val="none" w:sz="0" w:space="0" w:color="auto"/>
        <w:bottom w:val="none" w:sz="0" w:space="0" w:color="auto"/>
        <w:right w:val="none" w:sz="0" w:space="0" w:color="auto"/>
      </w:divBdr>
    </w:div>
    <w:div w:id="803624105">
      <w:bodyDiv w:val="1"/>
      <w:marLeft w:val="0"/>
      <w:marRight w:val="0"/>
      <w:marTop w:val="0"/>
      <w:marBottom w:val="0"/>
      <w:divBdr>
        <w:top w:val="none" w:sz="0" w:space="0" w:color="auto"/>
        <w:left w:val="none" w:sz="0" w:space="0" w:color="auto"/>
        <w:bottom w:val="none" w:sz="0" w:space="0" w:color="auto"/>
        <w:right w:val="none" w:sz="0" w:space="0" w:color="auto"/>
      </w:divBdr>
    </w:div>
    <w:div w:id="807745932">
      <w:bodyDiv w:val="1"/>
      <w:marLeft w:val="0"/>
      <w:marRight w:val="0"/>
      <w:marTop w:val="0"/>
      <w:marBottom w:val="0"/>
      <w:divBdr>
        <w:top w:val="none" w:sz="0" w:space="0" w:color="auto"/>
        <w:left w:val="none" w:sz="0" w:space="0" w:color="auto"/>
        <w:bottom w:val="none" w:sz="0" w:space="0" w:color="auto"/>
        <w:right w:val="none" w:sz="0" w:space="0" w:color="auto"/>
      </w:divBdr>
    </w:div>
    <w:div w:id="820316567">
      <w:bodyDiv w:val="1"/>
      <w:marLeft w:val="0"/>
      <w:marRight w:val="0"/>
      <w:marTop w:val="0"/>
      <w:marBottom w:val="0"/>
      <w:divBdr>
        <w:top w:val="none" w:sz="0" w:space="0" w:color="auto"/>
        <w:left w:val="none" w:sz="0" w:space="0" w:color="auto"/>
        <w:bottom w:val="none" w:sz="0" w:space="0" w:color="auto"/>
        <w:right w:val="none" w:sz="0" w:space="0" w:color="auto"/>
      </w:divBdr>
    </w:div>
    <w:div w:id="884677725">
      <w:bodyDiv w:val="1"/>
      <w:marLeft w:val="0"/>
      <w:marRight w:val="0"/>
      <w:marTop w:val="0"/>
      <w:marBottom w:val="0"/>
      <w:divBdr>
        <w:top w:val="none" w:sz="0" w:space="0" w:color="auto"/>
        <w:left w:val="none" w:sz="0" w:space="0" w:color="auto"/>
        <w:bottom w:val="none" w:sz="0" w:space="0" w:color="auto"/>
        <w:right w:val="none" w:sz="0" w:space="0" w:color="auto"/>
      </w:divBdr>
    </w:div>
    <w:div w:id="893082817">
      <w:bodyDiv w:val="1"/>
      <w:marLeft w:val="0"/>
      <w:marRight w:val="0"/>
      <w:marTop w:val="0"/>
      <w:marBottom w:val="0"/>
      <w:divBdr>
        <w:top w:val="none" w:sz="0" w:space="0" w:color="auto"/>
        <w:left w:val="none" w:sz="0" w:space="0" w:color="auto"/>
        <w:bottom w:val="none" w:sz="0" w:space="0" w:color="auto"/>
        <w:right w:val="none" w:sz="0" w:space="0" w:color="auto"/>
      </w:divBdr>
    </w:div>
    <w:div w:id="906644765">
      <w:bodyDiv w:val="1"/>
      <w:marLeft w:val="0"/>
      <w:marRight w:val="0"/>
      <w:marTop w:val="0"/>
      <w:marBottom w:val="0"/>
      <w:divBdr>
        <w:top w:val="none" w:sz="0" w:space="0" w:color="auto"/>
        <w:left w:val="none" w:sz="0" w:space="0" w:color="auto"/>
        <w:bottom w:val="none" w:sz="0" w:space="0" w:color="auto"/>
        <w:right w:val="none" w:sz="0" w:space="0" w:color="auto"/>
      </w:divBdr>
    </w:div>
    <w:div w:id="930503344">
      <w:bodyDiv w:val="1"/>
      <w:marLeft w:val="0"/>
      <w:marRight w:val="0"/>
      <w:marTop w:val="0"/>
      <w:marBottom w:val="0"/>
      <w:divBdr>
        <w:top w:val="none" w:sz="0" w:space="0" w:color="auto"/>
        <w:left w:val="none" w:sz="0" w:space="0" w:color="auto"/>
        <w:bottom w:val="none" w:sz="0" w:space="0" w:color="auto"/>
        <w:right w:val="none" w:sz="0" w:space="0" w:color="auto"/>
      </w:divBdr>
    </w:div>
    <w:div w:id="948896497">
      <w:bodyDiv w:val="1"/>
      <w:marLeft w:val="0"/>
      <w:marRight w:val="0"/>
      <w:marTop w:val="0"/>
      <w:marBottom w:val="0"/>
      <w:divBdr>
        <w:top w:val="none" w:sz="0" w:space="0" w:color="auto"/>
        <w:left w:val="none" w:sz="0" w:space="0" w:color="auto"/>
        <w:bottom w:val="none" w:sz="0" w:space="0" w:color="auto"/>
        <w:right w:val="none" w:sz="0" w:space="0" w:color="auto"/>
      </w:divBdr>
    </w:div>
    <w:div w:id="965428286">
      <w:bodyDiv w:val="1"/>
      <w:marLeft w:val="0"/>
      <w:marRight w:val="0"/>
      <w:marTop w:val="0"/>
      <w:marBottom w:val="0"/>
      <w:divBdr>
        <w:top w:val="none" w:sz="0" w:space="0" w:color="auto"/>
        <w:left w:val="none" w:sz="0" w:space="0" w:color="auto"/>
        <w:bottom w:val="none" w:sz="0" w:space="0" w:color="auto"/>
        <w:right w:val="none" w:sz="0" w:space="0" w:color="auto"/>
      </w:divBdr>
    </w:div>
    <w:div w:id="985668150">
      <w:bodyDiv w:val="1"/>
      <w:marLeft w:val="0"/>
      <w:marRight w:val="0"/>
      <w:marTop w:val="0"/>
      <w:marBottom w:val="0"/>
      <w:divBdr>
        <w:top w:val="none" w:sz="0" w:space="0" w:color="auto"/>
        <w:left w:val="none" w:sz="0" w:space="0" w:color="auto"/>
        <w:bottom w:val="none" w:sz="0" w:space="0" w:color="auto"/>
        <w:right w:val="none" w:sz="0" w:space="0" w:color="auto"/>
      </w:divBdr>
    </w:div>
    <w:div w:id="1029452703">
      <w:bodyDiv w:val="1"/>
      <w:marLeft w:val="0"/>
      <w:marRight w:val="0"/>
      <w:marTop w:val="0"/>
      <w:marBottom w:val="0"/>
      <w:divBdr>
        <w:top w:val="none" w:sz="0" w:space="0" w:color="auto"/>
        <w:left w:val="none" w:sz="0" w:space="0" w:color="auto"/>
        <w:bottom w:val="none" w:sz="0" w:space="0" w:color="auto"/>
        <w:right w:val="none" w:sz="0" w:space="0" w:color="auto"/>
      </w:divBdr>
      <w:divsChild>
        <w:div w:id="1624535860">
          <w:marLeft w:val="0"/>
          <w:marRight w:val="0"/>
          <w:marTop w:val="0"/>
          <w:marBottom w:val="0"/>
          <w:divBdr>
            <w:top w:val="none" w:sz="0" w:space="0" w:color="auto"/>
            <w:left w:val="none" w:sz="0" w:space="0" w:color="auto"/>
            <w:bottom w:val="none" w:sz="0" w:space="0" w:color="auto"/>
            <w:right w:val="none" w:sz="0" w:space="0" w:color="auto"/>
          </w:divBdr>
        </w:div>
      </w:divsChild>
    </w:div>
    <w:div w:id="1046834905">
      <w:bodyDiv w:val="1"/>
      <w:marLeft w:val="0"/>
      <w:marRight w:val="0"/>
      <w:marTop w:val="0"/>
      <w:marBottom w:val="0"/>
      <w:divBdr>
        <w:top w:val="none" w:sz="0" w:space="0" w:color="auto"/>
        <w:left w:val="none" w:sz="0" w:space="0" w:color="auto"/>
        <w:bottom w:val="none" w:sz="0" w:space="0" w:color="auto"/>
        <w:right w:val="none" w:sz="0" w:space="0" w:color="auto"/>
      </w:divBdr>
    </w:div>
    <w:div w:id="1056318495">
      <w:bodyDiv w:val="1"/>
      <w:marLeft w:val="0"/>
      <w:marRight w:val="0"/>
      <w:marTop w:val="0"/>
      <w:marBottom w:val="0"/>
      <w:divBdr>
        <w:top w:val="none" w:sz="0" w:space="0" w:color="auto"/>
        <w:left w:val="none" w:sz="0" w:space="0" w:color="auto"/>
        <w:bottom w:val="none" w:sz="0" w:space="0" w:color="auto"/>
        <w:right w:val="none" w:sz="0" w:space="0" w:color="auto"/>
      </w:divBdr>
    </w:div>
    <w:div w:id="1090081854">
      <w:bodyDiv w:val="1"/>
      <w:marLeft w:val="0"/>
      <w:marRight w:val="0"/>
      <w:marTop w:val="0"/>
      <w:marBottom w:val="0"/>
      <w:divBdr>
        <w:top w:val="none" w:sz="0" w:space="0" w:color="auto"/>
        <w:left w:val="none" w:sz="0" w:space="0" w:color="auto"/>
        <w:bottom w:val="none" w:sz="0" w:space="0" w:color="auto"/>
        <w:right w:val="none" w:sz="0" w:space="0" w:color="auto"/>
      </w:divBdr>
    </w:div>
    <w:div w:id="1101023742">
      <w:bodyDiv w:val="1"/>
      <w:marLeft w:val="0"/>
      <w:marRight w:val="0"/>
      <w:marTop w:val="0"/>
      <w:marBottom w:val="0"/>
      <w:divBdr>
        <w:top w:val="none" w:sz="0" w:space="0" w:color="auto"/>
        <w:left w:val="none" w:sz="0" w:space="0" w:color="auto"/>
        <w:bottom w:val="none" w:sz="0" w:space="0" w:color="auto"/>
        <w:right w:val="none" w:sz="0" w:space="0" w:color="auto"/>
      </w:divBdr>
    </w:div>
    <w:div w:id="1102727357">
      <w:bodyDiv w:val="1"/>
      <w:marLeft w:val="0"/>
      <w:marRight w:val="0"/>
      <w:marTop w:val="0"/>
      <w:marBottom w:val="0"/>
      <w:divBdr>
        <w:top w:val="none" w:sz="0" w:space="0" w:color="auto"/>
        <w:left w:val="none" w:sz="0" w:space="0" w:color="auto"/>
        <w:bottom w:val="none" w:sz="0" w:space="0" w:color="auto"/>
        <w:right w:val="none" w:sz="0" w:space="0" w:color="auto"/>
      </w:divBdr>
    </w:div>
    <w:div w:id="1126042125">
      <w:bodyDiv w:val="1"/>
      <w:marLeft w:val="0"/>
      <w:marRight w:val="0"/>
      <w:marTop w:val="0"/>
      <w:marBottom w:val="0"/>
      <w:divBdr>
        <w:top w:val="none" w:sz="0" w:space="0" w:color="auto"/>
        <w:left w:val="none" w:sz="0" w:space="0" w:color="auto"/>
        <w:bottom w:val="none" w:sz="0" w:space="0" w:color="auto"/>
        <w:right w:val="none" w:sz="0" w:space="0" w:color="auto"/>
      </w:divBdr>
    </w:div>
    <w:div w:id="1142193010">
      <w:bodyDiv w:val="1"/>
      <w:marLeft w:val="0"/>
      <w:marRight w:val="0"/>
      <w:marTop w:val="0"/>
      <w:marBottom w:val="0"/>
      <w:divBdr>
        <w:top w:val="none" w:sz="0" w:space="0" w:color="auto"/>
        <w:left w:val="none" w:sz="0" w:space="0" w:color="auto"/>
        <w:bottom w:val="none" w:sz="0" w:space="0" w:color="auto"/>
        <w:right w:val="none" w:sz="0" w:space="0" w:color="auto"/>
      </w:divBdr>
    </w:div>
    <w:div w:id="1145968719">
      <w:bodyDiv w:val="1"/>
      <w:marLeft w:val="0"/>
      <w:marRight w:val="0"/>
      <w:marTop w:val="0"/>
      <w:marBottom w:val="0"/>
      <w:divBdr>
        <w:top w:val="none" w:sz="0" w:space="0" w:color="auto"/>
        <w:left w:val="none" w:sz="0" w:space="0" w:color="auto"/>
        <w:bottom w:val="none" w:sz="0" w:space="0" w:color="auto"/>
        <w:right w:val="none" w:sz="0" w:space="0" w:color="auto"/>
      </w:divBdr>
    </w:div>
    <w:div w:id="1151560141">
      <w:bodyDiv w:val="1"/>
      <w:marLeft w:val="0"/>
      <w:marRight w:val="0"/>
      <w:marTop w:val="0"/>
      <w:marBottom w:val="0"/>
      <w:divBdr>
        <w:top w:val="none" w:sz="0" w:space="0" w:color="auto"/>
        <w:left w:val="none" w:sz="0" w:space="0" w:color="auto"/>
        <w:bottom w:val="none" w:sz="0" w:space="0" w:color="auto"/>
        <w:right w:val="none" w:sz="0" w:space="0" w:color="auto"/>
      </w:divBdr>
    </w:div>
    <w:div w:id="1187863874">
      <w:bodyDiv w:val="1"/>
      <w:marLeft w:val="0"/>
      <w:marRight w:val="0"/>
      <w:marTop w:val="0"/>
      <w:marBottom w:val="0"/>
      <w:divBdr>
        <w:top w:val="none" w:sz="0" w:space="0" w:color="auto"/>
        <w:left w:val="none" w:sz="0" w:space="0" w:color="auto"/>
        <w:bottom w:val="none" w:sz="0" w:space="0" w:color="auto"/>
        <w:right w:val="none" w:sz="0" w:space="0" w:color="auto"/>
      </w:divBdr>
    </w:div>
    <w:div w:id="1229877813">
      <w:bodyDiv w:val="1"/>
      <w:marLeft w:val="0"/>
      <w:marRight w:val="0"/>
      <w:marTop w:val="0"/>
      <w:marBottom w:val="0"/>
      <w:divBdr>
        <w:top w:val="none" w:sz="0" w:space="0" w:color="auto"/>
        <w:left w:val="none" w:sz="0" w:space="0" w:color="auto"/>
        <w:bottom w:val="none" w:sz="0" w:space="0" w:color="auto"/>
        <w:right w:val="none" w:sz="0" w:space="0" w:color="auto"/>
      </w:divBdr>
    </w:div>
    <w:div w:id="1248880486">
      <w:bodyDiv w:val="1"/>
      <w:marLeft w:val="0"/>
      <w:marRight w:val="0"/>
      <w:marTop w:val="0"/>
      <w:marBottom w:val="0"/>
      <w:divBdr>
        <w:top w:val="none" w:sz="0" w:space="0" w:color="auto"/>
        <w:left w:val="none" w:sz="0" w:space="0" w:color="auto"/>
        <w:bottom w:val="none" w:sz="0" w:space="0" w:color="auto"/>
        <w:right w:val="none" w:sz="0" w:space="0" w:color="auto"/>
      </w:divBdr>
    </w:div>
    <w:div w:id="1296764438">
      <w:bodyDiv w:val="1"/>
      <w:marLeft w:val="0"/>
      <w:marRight w:val="0"/>
      <w:marTop w:val="0"/>
      <w:marBottom w:val="0"/>
      <w:divBdr>
        <w:top w:val="none" w:sz="0" w:space="0" w:color="auto"/>
        <w:left w:val="none" w:sz="0" w:space="0" w:color="auto"/>
        <w:bottom w:val="none" w:sz="0" w:space="0" w:color="auto"/>
        <w:right w:val="none" w:sz="0" w:space="0" w:color="auto"/>
      </w:divBdr>
    </w:div>
    <w:div w:id="1341271376">
      <w:bodyDiv w:val="1"/>
      <w:marLeft w:val="0"/>
      <w:marRight w:val="0"/>
      <w:marTop w:val="0"/>
      <w:marBottom w:val="0"/>
      <w:divBdr>
        <w:top w:val="none" w:sz="0" w:space="0" w:color="auto"/>
        <w:left w:val="none" w:sz="0" w:space="0" w:color="auto"/>
        <w:bottom w:val="none" w:sz="0" w:space="0" w:color="auto"/>
        <w:right w:val="none" w:sz="0" w:space="0" w:color="auto"/>
      </w:divBdr>
    </w:div>
    <w:div w:id="1383483106">
      <w:bodyDiv w:val="1"/>
      <w:marLeft w:val="0"/>
      <w:marRight w:val="0"/>
      <w:marTop w:val="0"/>
      <w:marBottom w:val="0"/>
      <w:divBdr>
        <w:top w:val="none" w:sz="0" w:space="0" w:color="auto"/>
        <w:left w:val="none" w:sz="0" w:space="0" w:color="auto"/>
        <w:bottom w:val="none" w:sz="0" w:space="0" w:color="auto"/>
        <w:right w:val="none" w:sz="0" w:space="0" w:color="auto"/>
      </w:divBdr>
    </w:div>
    <w:div w:id="1384716868">
      <w:bodyDiv w:val="1"/>
      <w:marLeft w:val="0"/>
      <w:marRight w:val="0"/>
      <w:marTop w:val="0"/>
      <w:marBottom w:val="0"/>
      <w:divBdr>
        <w:top w:val="none" w:sz="0" w:space="0" w:color="auto"/>
        <w:left w:val="none" w:sz="0" w:space="0" w:color="auto"/>
        <w:bottom w:val="none" w:sz="0" w:space="0" w:color="auto"/>
        <w:right w:val="none" w:sz="0" w:space="0" w:color="auto"/>
      </w:divBdr>
    </w:div>
    <w:div w:id="1390885242">
      <w:bodyDiv w:val="1"/>
      <w:marLeft w:val="0"/>
      <w:marRight w:val="0"/>
      <w:marTop w:val="0"/>
      <w:marBottom w:val="0"/>
      <w:divBdr>
        <w:top w:val="none" w:sz="0" w:space="0" w:color="auto"/>
        <w:left w:val="none" w:sz="0" w:space="0" w:color="auto"/>
        <w:bottom w:val="none" w:sz="0" w:space="0" w:color="auto"/>
        <w:right w:val="none" w:sz="0" w:space="0" w:color="auto"/>
      </w:divBdr>
    </w:div>
    <w:div w:id="1391029165">
      <w:bodyDiv w:val="1"/>
      <w:marLeft w:val="0"/>
      <w:marRight w:val="0"/>
      <w:marTop w:val="0"/>
      <w:marBottom w:val="0"/>
      <w:divBdr>
        <w:top w:val="none" w:sz="0" w:space="0" w:color="auto"/>
        <w:left w:val="none" w:sz="0" w:space="0" w:color="auto"/>
        <w:bottom w:val="none" w:sz="0" w:space="0" w:color="auto"/>
        <w:right w:val="none" w:sz="0" w:space="0" w:color="auto"/>
      </w:divBdr>
    </w:div>
    <w:div w:id="1416708261">
      <w:bodyDiv w:val="1"/>
      <w:marLeft w:val="0"/>
      <w:marRight w:val="0"/>
      <w:marTop w:val="0"/>
      <w:marBottom w:val="0"/>
      <w:divBdr>
        <w:top w:val="none" w:sz="0" w:space="0" w:color="auto"/>
        <w:left w:val="none" w:sz="0" w:space="0" w:color="auto"/>
        <w:bottom w:val="none" w:sz="0" w:space="0" w:color="auto"/>
        <w:right w:val="none" w:sz="0" w:space="0" w:color="auto"/>
      </w:divBdr>
    </w:div>
    <w:div w:id="1427799417">
      <w:bodyDiv w:val="1"/>
      <w:marLeft w:val="0"/>
      <w:marRight w:val="0"/>
      <w:marTop w:val="0"/>
      <w:marBottom w:val="0"/>
      <w:divBdr>
        <w:top w:val="none" w:sz="0" w:space="0" w:color="auto"/>
        <w:left w:val="none" w:sz="0" w:space="0" w:color="auto"/>
        <w:bottom w:val="none" w:sz="0" w:space="0" w:color="auto"/>
        <w:right w:val="none" w:sz="0" w:space="0" w:color="auto"/>
      </w:divBdr>
    </w:div>
    <w:div w:id="1442719616">
      <w:bodyDiv w:val="1"/>
      <w:marLeft w:val="0"/>
      <w:marRight w:val="0"/>
      <w:marTop w:val="0"/>
      <w:marBottom w:val="0"/>
      <w:divBdr>
        <w:top w:val="none" w:sz="0" w:space="0" w:color="auto"/>
        <w:left w:val="none" w:sz="0" w:space="0" w:color="auto"/>
        <w:bottom w:val="none" w:sz="0" w:space="0" w:color="auto"/>
        <w:right w:val="none" w:sz="0" w:space="0" w:color="auto"/>
      </w:divBdr>
    </w:div>
    <w:div w:id="1461802869">
      <w:bodyDiv w:val="1"/>
      <w:marLeft w:val="0"/>
      <w:marRight w:val="0"/>
      <w:marTop w:val="0"/>
      <w:marBottom w:val="0"/>
      <w:divBdr>
        <w:top w:val="none" w:sz="0" w:space="0" w:color="auto"/>
        <w:left w:val="none" w:sz="0" w:space="0" w:color="auto"/>
        <w:bottom w:val="none" w:sz="0" w:space="0" w:color="auto"/>
        <w:right w:val="none" w:sz="0" w:space="0" w:color="auto"/>
      </w:divBdr>
    </w:div>
    <w:div w:id="1493252919">
      <w:bodyDiv w:val="1"/>
      <w:marLeft w:val="0"/>
      <w:marRight w:val="0"/>
      <w:marTop w:val="0"/>
      <w:marBottom w:val="0"/>
      <w:divBdr>
        <w:top w:val="none" w:sz="0" w:space="0" w:color="auto"/>
        <w:left w:val="none" w:sz="0" w:space="0" w:color="auto"/>
        <w:bottom w:val="none" w:sz="0" w:space="0" w:color="auto"/>
        <w:right w:val="none" w:sz="0" w:space="0" w:color="auto"/>
      </w:divBdr>
    </w:div>
    <w:div w:id="1498157616">
      <w:bodyDiv w:val="1"/>
      <w:marLeft w:val="0"/>
      <w:marRight w:val="0"/>
      <w:marTop w:val="0"/>
      <w:marBottom w:val="0"/>
      <w:divBdr>
        <w:top w:val="none" w:sz="0" w:space="0" w:color="auto"/>
        <w:left w:val="none" w:sz="0" w:space="0" w:color="auto"/>
        <w:bottom w:val="none" w:sz="0" w:space="0" w:color="auto"/>
        <w:right w:val="none" w:sz="0" w:space="0" w:color="auto"/>
      </w:divBdr>
    </w:div>
    <w:div w:id="1521622018">
      <w:bodyDiv w:val="1"/>
      <w:marLeft w:val="0"/>
      <w:marRight w:val="0"/>
      <w:marTop w:val="0"/>
      <w:marBottom w:val="0"/>
      <w:divBdr>
        <w:top w:val="none" w:sz="0" w:space="0" w:color="auto"/>
        <w:left w:val="none" w:sz="0" w:space="0" w:color="auto"/>
        <w:bottom w:val="none" w:sz="0" w:space="0" w:color="auto"/>
        <w:right w:val="none" w:sz="0" w:space="0" w:color="auto"/>
      </w:divBdr>
      <w:divsChild>
        <w:div w:id="256598719">
          <w:marLeft w:val="547"/>
          <w:marRight w:val="0"/>
          <w:marTop w:val="154"/>
          <w:marBottom w:val="0"/>
          <w:divBdr>
            <w:top w:val="none" w:sz="0" w:space="0" w:color="auto"/>
            <w:left w:val="none" w:sz="0" w:space="0" w:color="auto"/>
            <w:bottom w:val="none" w:sz="0" w:space="0" w:color="auto"/>
            <w:right w:val="none" w:sz="0" w:space="0" w:color="auto"/>
          </w:divBdr>
        </w:div>
        <w:div w:id="597756725">
          <w:marLeft w:val="547"/>
          <w:marRight w:val="0"/>
          <w:marTop w:val="154"/>
          <w:marBottom w:val="0"/>
          <w:divBdr>
            <w:top w:val="none" w:sz="0" w:space="0" w:color="auto"/>
            <w:left w:val="none" w:sz="0" w:space="0" w:color="auto"/>
            <w:bottom w:val="none" w:sz="0" w:space="0" w:color="auto"/>
            <w:right w:val="none" w:sz="0" w:space="0" w:color="auto"/>
          </w:divBdr>
        </w:div>
        <w:div w:id="990671771">
          <w:marLeft w:val="547"/>
          <w:marRight w:val="0"/>
          <w:marTop w:val="154"/>
          <w:marBottom w:val="0"/>
          <w:divBdr>
            <w:top w:val="none" w:sz="0" w:space="0" w:color="auto"/>
            <w:left w:val="none" w:sz="0" w:space="0" w:color="auto"/>
            <w:bottom w:val="none" w:sz="0" w:space="0" w:color="auto"/>
            <w:right w:val="none" w:sz="0" w:space="0" w:color="auto"/>
          </w:divBdr>
        </w:div>
        <w:div w:id="1003049455">
          <w:marLeft w:val="547"/>
          <w:marRight w:val="0"/>
          <w:marTop w:val="154"/>
          <w:marBottom w:val="0"/>
          <w:divBdr>
            <w:top w:val="none" w:sz="0" w:space="0" w:color="auto"/>
            <w:left w:val="none" w:sz="0" w:space="0" w:color="auto"/>
            <w:bottom w:val="none" w:sz="0" w:space="0" w:color="auto"/>
            <w:right w:val="none" w:sz="0" w:space="0" w:color="auto"/>
          </w:divBdr>
        </w:div>
        <w:div w:id="1268273999">
          <w:marLeft w:val="547"/>
          <w:marRight w:val="0"/>
          <w:marTop w:val="154"/>
          <w:marBottom w:val="0"/>
          <w:divBdr>
            <w:top w:val="none" w:sz="0" w:space="0" w:color="auto"/>
            <w:left w:val="none" w:sz="0" w:space="0" w:color="auto"/>
            <w:bottom w:val="none" w:sz="0" w:space="0" w:color="auto"/>
            <w:right w:val="none" w:sz="0" w:space="0" w:color="auto"/>
          </w:divBdr>
        </w:div>
      </w:divsChild>
    </w:div>
    <w:div w:id="1561359632">
      <w:bodyDiv w:val="1"/>
      <w:marLeft w:val="0"/>
      <w:marRight w:val="0"/>
      <w:marTop w:val="0"/>
      <w:marBottom w:val="0"/>
      <w:divBdr>
        <w:top w:val="none" w:sz="0" w:space="0" w:color="auto"/>
        <w:left w:val="none" w:sz="0" w:space="0" w:color="auto"/>
        <w:bottom w:val="none" w:sz="0" w:space="0" w:color="auto"/>
        <w:right w:val="none" w:sz="0" w:space="0" w:color="auto"/>
      </w:divBdr>
    </w:div>
    <w:div w:id="1571574424">
      <w:bodyDiv w:val="1"/>
      <w:marLeft w:val="0"/>
      <w:marRight w:val="0"/>
      <w:marTop w:val="0"/>
      <w:marBottom w:val="0"/>
      <w:divBdr>
        <w:top w:val="none" w:sz="0" w:space="0" w:color="auto"/>
        <w:left w:val="none" w:sz="0" w:space="0" w:color="auto"/>
        <w:bottom w:val="none" w:sz="0" w:space="0" w:color="auto"/>
        <w:right w:val="none" w:sz="0" w:space="0" w:color="auto"/>
      </w:divBdr>
    </w:div>
    <w:div w:id="1578975900">
      <w:bodyDiv w:val="1"/>
      <w:marLeft w:val="0"/>
      <w:marRight w:val="0"/>
      <w:marTop w:val="0"/>
      <w:marBottom w:val="0"/>
      <w:divBdr>
        <w:top w:val="none" w:sz="0" w:space="0" w:color="auto"/>
        <w:left w:val="none" w:sz="0" w:space="0" w:color="auto"/>
        <w:bottom w:val="none" w:sz="0" w:space="0" w:color="auto"/>
        <w:right w:val="none" w:sz="0" w:space="0" w:color="auto"/>
      </w:divBdr>
    </w:div>
    <w:div w:id="1619678689">
      <w:bodyDiv w:val="1"/>
      <w:marLeft w:val="0"/>
      <w:marRight w:val="0"/>
      <w:marTop w:val="0"/>
      <w:marBottom w:val="0"/>
      <w:divBdr>
        <w:top w:val="none" w:sz="0" w:space="0" w:color="auto"/>
        <w:left w:val="none" w:sz="0" w:space="0" w:color="auto"/>
        <w:bottom w:val="none" w:sz="0" w:space="0" w:color="auto"/>
        <w:right w:val="none" w:sz="0" w:space="0" w:color="auto"/>
      </w:divBdr>
    </w:div>
    <w:div w:id="1622685094">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763259920">
      <w:bodyDiv w:val="1"/>
      <w:marLeft w:val="0"/>
      <w:marRight w:val="0"/>
      <w:marTop w:val="0"/>
      <w:marBottom w:val="0"/>
      <w:divBdr>
        <w:top w:val="none" w:sz="0" w:space="0" w:color="auto"/>
        <w:left w:val="none" w:sz="0" w:space="0" w:color="auto"/>
        <w:bottom w:val="none" w:sz="0" w:space="0" w:color="auto"/>
        <w:right w:val="none" w:sz="0" w:space="0" w:color="auto"/>
      </w:divBdr>
    </w:div>
    <w:div w:id="1785029673">
      <w:bodyDiv w:val="1"/>
      <w:marLeft w:val="0"/>
      <w:marRight w:val="0"/>
      <w:marTop w:val="0"/>
      <w:marBottom w:val="0"/>
      <w:divBdr>
        <w:top w:val="none" w:sz="0" w:space="0" w:color="auto"/>
        <w:left w:val="none" w:sz="0" w:space="0" w:color="auto"/>
        <w:bottom w:val="none" w:sz="0" w:space="0" w:color="auto"/>
        <w:right w:val="none" w:sz="0" w:space="0" w:color="auto"/>
      </w:divBdr>
    </w:div>
    <w:div w:id="1791781126">
      <w:bodyDiv w:val="1"/>
      <w:marLeft w:val="0"/>
      <w:marRight w:val="0"/>
      <w:marTop w:val="0"/>
      <w:marBottom w:val="0"/>
      <w:divBdr>
        <w:top w:val="none" w:sz="0" w:space="0" w:color="auto"/>
        <w:left w:val="none" w:sz="0" w:space="0" w:color="auto"/>
        <w:bottom w:val="none" w:sz="0" w:space="0" w:color="auto"/>
        <w:right w:val="none" w:sz="0" w:space="0" w:color="auto"/>
      </w:divBdr>
    </w:div>
    <w:div w:id="1849909460">
      <w:bodyDiv w:val="1"/>
      <w:marLeft w:val="0"/>
      <w:marRight w:val="0"/>
      <w:marTop w:val="0"/>
      <w:marBottom w:val="0"/>
      <w:divBdr>
        <w:top w:val="none" w:sz="0" w:space="0" w:color="auto"/>
        <w:left w:val="none" w:sz="0" w:space="0" w:color="auto"/>
        <w:bottom w:val="none" w:sz="0" w:space="0" w:color="auto"/>
        <w:right w:val="none" w:sz="0" w:space="0" w:color="auto"/>
      </w:divBdr>
    </w:div>
    <w:div w:id="1851487457">
      <w:bodyDiv w:val="1"/>
      <w:marLeft w:val="0"/>
      <w:marRight w:val="0"/>
      <w:marTop w:val="0"/>
      <w:marBottom w:val="0"/>
      <w:divBdr>
        <w:top w:val="none" w:sz="0" w:space="0" w:color="auto"/>
        <w:left w:val="none" w:sz="0" w:space="0" w:color="auto"/>
        <w:bottom w:val="none" w:sz="0" w:space="0" w:color="auto"/>
        <w:right w:val="none" w:sz="0" w:space="0" w:color="auto"/>
      </w:divBdr>
    </w:div>
    <w:div w:id="1891914087">
      <w:bodyDiv w:val="1"/>
      <w:marLeft w:val="0"/>
      <w:marRight w:val="0"/>
      <w:marTop w:val="0"/>
      <w:marBottom w:val="0"/>
      <w:divBdr>
        <w:top w:val="none" w:sz="0" w:space="0" w:color="auto"/>
        <w:left w:val="none" w:sz="0" w:space="0" w:color="auto"/>
        <w:bottom w:val="none" w:sz="0" w:space="0" w:color="auto"/>
        <w:right w:val="none" w:sz="0" w:space="0" w:color="auto"/>
      </w:divBdr>
    </w:div>
    <w:div w:id="1916088894">
      <w:bodyDiv w:val="1"/>
      <w:marLeft w:val="0"/>
      <w:marRight w:val="0"/>
      <w:marTop w:val="0"/>
      <w:marBottom w:val="0"/>
      <w:divBdr>
        <w:top w:val="none" w:sz="0" w:space="0" w:color="auto"/>
        <w:left w:val="none" w:sz="0" w:space="0" w:color="auto"/>
        <w:bottom w:val="none" w:sz="0" w:space="0" w:color="auto"/>
        <w:right w:val="none" w:sz="0" w:space="0" w:color="auto"/>
      </w:divBdr>
    </w:div>
    <w:div w:id="1925063042">
      <w:bodyDiv w:val="1"/>
      <w:marLeft w:val="0"/>
      <w:marRight w:val="0"/>
      <w:marTop w:val="0"/>
      <w:marBottom w:val="0"/>
      <w:divBdr>
        <w:top w:val="none" w:sz="0" w:space="0" w:color="auto"/>
        <w:left w:val="none" w:sz="0" w:space="0" w:color="auto"/>
        <w:bottom w:val="none" w:sz="0" w:space="0" w:color="auto"/>
        <w:right w:val="none" w:sz="0" w:space="0" w:color="auto"/>
      </w:divBdr>
    </w:div>
    <w:div w:id="1944193132">
      <w:bodyDiv w:val="1"/>
      <w:marLeft w:val="0"/>
      <w:marRight w:val="0"/>
      <w:marTop w:val="0"/>
      <w:marBottom w:val="0"/>
      <w:divBdr>
        <w:top w:val="none" w:sz="0" w:space="0" w:color="auto"/>
        <w:left w:val="none" w:sz="0" w:space="0" w:color="auto"/>
        <w:bottom w:val="none" w:sz="0" w:space="0" w:color="auto"/>
        <w:right w:val="none" w:sz="0" w:space="0" w:color="auto"/>
      </w:divBdr>
    </w:div>
    <w:div w:id="1989937127">
      <w:bodyDiv w:val="1"/>
      <w:marLeft w:val="0"/>
      <w:marRight w:val="0"/>
      <w:marTop w:val="0"/>
      <w:marBottom w:val="0"/>
      <w:divBdr>
        <w:top w:val="none" w:sz="0" w:space="0" w:color="auto"/>
        <w:left w:val="none" w:sz="0" w:space="0" w:color="auto"/>
        <w:bottom w:val="none" w:sz="0" w:space="0" w:color="auto"/>
        <w:right w:val="none" w:sz="0" w:space="0" w:color="auto"/>
      </w:divBdr>
    </w:div>
    <w:div w:id="1993093067">
      <w:bodyDiv w:val="1"/>
      <w:marLeft w:val="0"/>
      <w:marRight w:val="0"/>
      <w:marTop w:val="0"/>
      <w:marBottom w:val="0"/>
      <w:divBdr>
        <w:top w:val="none" w:sz="0" w:space="0" w:color="auto"/>
        <w:left w:val="none" w:sz="0" w:space="0" w:color="auto"/>
        <w:bottom w:val="none" w:sz="0" w:space="0" w:color="auto"/>
        <w:right w:val="none" w:sz="0" w:space="0" w:color="auto"/>
      </w:divBdr>
    </w:div>
    <w:div w:id="2013602846">
      <w:bodyDiv w:val="1"/>
      <w:marLeft w:val="0"/>
      <w:marRight w:val="0"/>
      <w:marTop w:val="0"/>
      <w:marBottom w:val="0"/>
      <w:divBdr>
        <w:top w:val="none" w:sz="0" w:space="0" w:color="auto"/>
        <w:left w:val="none" w:sz="0" w:space="0" w:color="auto"/>
        <w:bottom w:val="none" w:sz="0" w:space="0" w:color="auto"/>
        <w:right w:val="none" w:sz="0" w:space="0" w:color="auto"/>
      </w:divBdr>
    </w:div>
    <w:div w:id="2032803441">
      <w:bodyDiv w:val="1"/>
      <w:marLeft w:val="0"/>
      <w:marRight w:val="0"/>
      <w:marTop w:val="0"/>
      <w:marBottom w:val="0"/>
      <w:divBdr>
        <w:top w:val="none" w:sz="0" w:space="0" w:color="auto"/>
        <w:left w:val="none" w:sz="0" w:space="0" w:color="auto"/>
        <w:bottom w:val="none" w:sz="0" w:space="0" w:color="auto"/>
        <w:right w:val="none" w:sz="0" w:space="0" w:color="auto"/>
      </w:divBdr>
    </w:div>
    <w:div w:id="2053193610">
      <w:bodyDiv w:val="1"/>
      <w:marLeft w:val="0"/>
      <w:marRight w:val="0"/>
      <w:marTop w:val="0"/>
      <w:marBottom w:val="0"/>
      <w:divBdr>
        <w:top w:val="none" w:sz="0" w:space="0" w:color="auto"/>
        <w:left w:val="none" w:sz="0" w:space="0" w:color="auto"/>
        <w:bottom w:val="none" w:sz="0" w:space="0" w:color="auto"/>
        <w:right w:val="none" w:sz="0" w:space="0" w:color="auto"/>
      </w:divBdr>
    </w:div>
    <w:div w:id="2061440896">
      <w:bodyDiv w:val="1"/>
      <w:marLeft w:val="0"/>
      <w:marRight w:val="0"/>
      <w:marTop w:val="0"/>
      <w:marBottom w:val="0"/>
      <w:divBdr>
        <w:top w:val="none" w:sz="0" w:space="0" w:color="auto"/>
        <w:left w:val="none" w:sz="0" w:space="0" w:color="auto"/>
        <w:bottom w:val="none" w:sz="0" w:space="0" w:color="auto"/>
        <w:right w:val="none" w:sz="0" w:space="0" w:color="auto"/>
      </w:divBdr>
    </w:div>
    <w:div w:id="2062947097">
      <w:bodyDiv w:val="1"/>
      <w:marLeft w:val="0"/>
      <w:marRight w:val="0"/>
      <w:marTop w:val="0"/>
      <w:marBottom w:val="0"/>
      <w:divBdr>
        <w:top w:val="none" w:sz="0" w:space="0" w:color="auto"/>
        <w:left w:val="none" w:sz="0" w:space="0" w:color="auto"/>
        <w:bottom w:val="none" w:sz="0" w:space="0" w:color="auto"/>
        <w:right w:val="none" w:sz="0" w:space="0" w:color="auto"/>
      </w:divBdr>
    </w:div>
    <w:div w:id="2092702698">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0804">
      <w:bodyDiv w:val="1"/>
      <w:marLeft w:val="0"/>
      <w:marRight w:val="0"/>
      <w:marTop w:val="0"/>
      <w:marBottom w:val="0"/>
      <w:divBdr>
        <w:top w:val="none" w:sz="0" w:space="0" w:color="auto"/>
        <w:left w:val="none" w:sz="0" w:space="0" w:color="auto"/>
        <w:bottom w:val="none" w:sz="0" w:space="0" w:color="auto"/>
        <w:right w:val="none" w:sz="0" w:space="0" w:color="auto"/>
      </w:divBdr>
    </w:div>
    <w:div w:id="2119908536">
      <w:bodyDiv w:val="1"/>
      <w:marLeft w:val="0"/>
      <w:marRight w:val="0"/>
      <w:marTop w:val="0"/>
      <w:marBottom w:val="0"/>
      <w:divBdr>
        <w:top w:val="none" w:sz="0" w:space="0" w:color="auto"/>
        <w:left w:val="none" w:sz="0" w:space="0" w:color="auto"/>
        <w:bottom w:val="none" w:sz="0" w:space="0" w:color="auto"/>
        <w:right w:val="none" w:sz="0" w:space="0" w:color="auto"/>
      </w:divBdr>
    </w:div>
    <w:div w:id="2133866241">
      <w:bodyDiv w:val="1"/>
      <w:marLeft w:val="0"/>
      <w:marRight w:val="0"/>
      <w:marTop w:val="0"/>
      <w:marBottom w:val="0"/>
      <w:divBdr>
        <w:top w:val="none" w:sz="0" w:space="0" w:color="auto"/>
        <w:left w:val="none" w:sz="0" w:space="0" w:color="auto"/>
        <w:bottom w:val="none" w:sz="0" w:space="0" w:color="auto"/>
        <w:right w:val="none" w:sz="0" w:space="0" w:color="auto"/>
      </w:divBdr>
      <w:divsChild>
        <w:div w:id="903754078">
          <w:marLeft w:val="547"/>
          <w:marRight w:val="0"/>
          <w:marTop w:val="106"/>
          <w:marBottom w:val="0"/>
          <w:divBdr>
            <w:top w:val="none" w:sz="0" w:space="0" w:color="auto"/>
            <w:left w:val="none" w:sz="0" w:space="0" w:color="auto"/>
            <w:bottom w:val="none" w:sz="0" w:space="0" w:color="auto"/>
            <w:right w:val="none" w:sz="0" w:space="0" w:color="auto"/>
          </w:divBdr>
        </w:div>
        <w:div w:id="997732312">
          <w:marLeft w:val="547"/>
          <w:marRight w:val="0"/>
          <w:marTop w:val="106"/>
          <w:marBottom w:val="0"/>
          <w:divBdr>
            <w:top w:val="none" w:sz="0" w:space="0" w:color="auto"/>
            <w:left w:val="none" w:sz="0" w:space="0" w:color="auto"/>
            <w:bottom w:val="none" w:sz="0" w:space="0" w:color="auto"/>
            <w:right w:val="none" w:sz="0" w:space="0" w:color="auto"/>
          </w:divBdr>
        </w:div>
        <w:div w:id="2058889808">
          <w:marLeft w:val="547"/>
          <w:marRight w:val="0"/>
          <w:marTop w:val="106"/>
          <w:marBottom w:val="0"/>
          <w:divBdr>
            <w:top w:val="none" w:sz="0" w:space="0" w:color="auto"/>
            <w:left w:val="none" w:sz="0" w:space="0" w:color="auto"/>
            <w:bottom w:val="none" w:sz="0" w:space="0" w:color="auto"/>
            <w:right w:val="none" w:sz="0" w:space="0" w:color="auto"/>
          </w:divBdr>
        </w:div>
        <w:div w:id="52971653">
          <w:marLeft w:val="547"/>
          <w:marRight w:val="0"/>
          <w:marTop w:val="106"/>
          <w:marBottom w:val="0"/>
          <w:divBdr>
            <w:top w:val="none" w:sz="0" w:space="0" w:color="auto"/>
            <w:left w:val="none" w:sz="0" w:space="0" w:color="auto"/>
            <w:bottom w:val="none" w:sz="0" w:space="0" w:color="auto"/>
            <w:right w:val="none" w:sz="0" w:space="0" w:color="auto"/>
          </w:divBdr>
        </w:div>
        <w:div w:id="1589389165">
          <w:marLeft w:val="547"/>
          <w:marRight w:val="0"/>
          <w:marTop w:val="106"/>
          <w:marBottom w:val="0"/>
          <w:divBdr>
            <w:top w:val="none" w:sz="0" w:space="0" w:color="auto"/>
            <w:left w:val="none" w:sz="0" w:space="0" w:color="auto"/>
            <w:bottom w:val="none" w:sz="0" w:space="0" w:color="auto"/>
            <w:right w:val="none" w:sz="0" w:space="0" w:color="auto"/>
          </w:divBdr>
        </w:div>
        <w:div w:id="41159009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0F0D-A073-45A9-8E60-6218104F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5100</TotalTime>
  <Pages>8</Pages>
  <Words>2729</Words>
  <Characters>14003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Douglas Wilby (HLH Director of Sport &amp; Leisure)</cp:lastModifiedBy>
  <cp:revision>268</cp:revision>
  <cp:lastPrinted>2018-06-01T14:05:00Z</cp:lastPrinted>
  <dcterms:created xsi:type="dcterms:W3CDTF">2021-05-31T12:35:00Z</dcterms:created>
  <dcterms:modified xsi:type="dcterms:W3CDTF">2022-06-13T17:43:00Z</dcterms:modified>
</cp:coreProperties>
</file>