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0639" w14:textId="77777777" w:rsidR="0047759F" w:rsidRDefault="0047759F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920"/>
        <w:gridCol w:w="3402"/>
      </w:tblGrid>
      <w:tr w:rsidR="00B84929" w:rsidRPr="005E4B32" w14:paraId="62CEB630" w14:textId="77777777" w:rsidTr="00744438">
        <w:trPr>
          <w:cantSplit/>
          <w:trHeight w:val="992"/>
        </w:trPr>
        <w:tc>
          <w:tcPr>
            <w:tcW w:w="5920" w:type="dxa"/>
          </w:tcPr>
          <w:p w14:paraId="07448D3B" w14:textId="77777777" w:rsidR="002B7DC4" w:rsidRPr="005E4B3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date">
              <w:smartTag w:uri="urn:schemas-microsoft-com:office:smarttags" w:element="stockticker">
                <w:r w:rsidRPr="005E4B32">
                  <w:rPr>
                    <w:rFonts w:ascii="Arial" w:hAnsi="Arial" w:cs="Arial"/>
                    <w:szCs w:val="24"/>
                  </w:rPr>
                  <w:t>LIFE</w:t>
                </w:r>
              </w:smartTag>
            </w:smartTag>
            <w:r w:rsidRPr="005E4B32">
              <w:rPr>
                <w:rFonts w:ascii="Arial" w:hAnsi="Arial" w:cs="Arial"/>
                <w:szCs w:val="24"/>
              </w:rPr>
              <w:t xml:space="preserve"> HIGHLAND </w:t>
            </w:r>
          </w:p>
          <w:p w14:paraId="6BEABFB6" w14:textId="77777777" w:rsidR="002B7DC4" w:rsidRPr="005E4B32" w:rsidRDefault="00834D42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REPORT TO </w:t>
            </w:r>
            <w:r w:rsidR="009A3F45" w:rsidRPr="005E4B32">
              <w:rPr>
                <w:rFonts w:ascii="Arial" w:hAnsi="Arial" w:cs="Arial"/>
                <w:szCs w:val="24"/>
              </w:rPr>
              <w:t>BOARD OF DIRECTORS</w:t>
            </w:r>
          </w:p>
          <w:p w14:paraId="27C99A8F" w14:textId="62945772" w:rsidR="00B84929" w:rsidRPr="005E4B32" w:rsidRDefault="00286D1C" w:rsidP="0058147E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Pr="00286D1C">
              <w:rPr>
                <w:rFonts w:ascii="Arial" w:hAnsi="Arial" w:cs="Arial"/>
                <w:szCs w:val="24"/>
              </w:rPr>
              <w:t xml:space="preserve">1 </w:t>
            </w:r>
            <w:r w:rsidR="00292419" w:rsidRPr="00286D1C">
              <w:rPr>
                <w:rFonts w:ascii="Arial" w:hAnsi="Arial" w:cs="Arial"/>
                <w:szCs w:val="24"/>
              </w:rPr>
              <w:t xml:space="preserve">August </w:t>
            </w:r>
            <w:r w:rsidR="00BE1631" w:rsidRPr="00286D1C">
              <w:rPr>
                <w:rFonts w:ascii="Arial" w:hAnsi="Arial" w:cs="Arial"/>
                <w:szCs w:val="24"/>
              </w:rPr>
              <w:t>2</w:t>
            </w:r>
            <w:r w:rsidR="001B345C" w:rsidRPr="00286D1C">
              <w:rPr>
                <w:rFonts w:ascii="Arial" w:hAnsi="Arial" w:cs="Arial"/>
                <w:szCs w:val="24"/>
              </w:rPr>
              <w:t>02</w:t>
            </w:r>
            <w:r w:rsidR="00292419" w:rsidRPr="00286D1C">
              <w:rPr>
                <w:rFonts w:ascii="Arial" w:hAnsi="Arial" w:cs="Arial"/>
                <w:szCs w:val="24"/>
              </w:rPr>
              <w:t>2</w:t>
            </w:r>
            <w:r w:rsidR="00B84929" w:rsidRPr="005E4B32">
              <w:rPr>
                <w:rFonts w:ascii="Arial" w:hAnsi="Arial" w:cs="Arial"/>
                <w:szCs w:val="24"/>
              </w:rPr>
              <w:fldChar w:fldCharType="begin"/>
            </w:r>
            <w:r w:rsidR="00B84929" w:rsidRPr="005E4B32">
              <w:rPr>
                <w:rFonts w:ascii="Arial" w:hAnsi="Arial" w:cs="Arial"/>
                <w:szCs w:val="24"/>
              </w:rPr>
              <w:instrText xml:space="preserve">  </w:instrText>
            </w:r>
            <w:r w:rsidR="00B84929" w:rsidRPr="005E4B3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7C3B3A16" w14:textId="3B8E995A" w:rsidR="0052022D" w:rsidRPr="005E4B32" w:rsidRDefault="009A3F45" w:rsidP="00DA0419">
            <w:pPr>
              <w:ind w:left="-108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AGENDA ITEM </w:t>
            </w:r>
            <w:r w:rsidR="00406FC0">
              <w:rPr>
                <w:rFonts w:ascii="Arial" w:hAnsi="Arial" w:cs="Arial"/>
                <w:szCs w:val="24"/>
              </w:rPr>
              <w:t>7</w:t>
            </w:r>
          </w:p>
          <w:p w14:paraId="07304B8B" w14:textId="1B5BD7B7" w:rsidR="00B84929" w:rsidRPr="005E4B32" w:rsidRDefault="00B84929" w:rsidP="00BE1631">
            <w:pPr>
              <w:ind w:left="-108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REPORT No </w:t>
            </w:r>
            <w:r w:rsidR="0085209F" w:rsidRPr="005E4B32">
              <w:rPr>
                <w:rFonts w:ascii="Arial" w:hAnsi="Arial" w:cs="Arial"/>
                <w:szCs w:val="24"/>
              </w:rPr>
              <w:t xml:space="preserve">HLH </w:t>
            </w:r>
            <w:r w:rsidR="00281200" w:rsidRPr="005E4B32">
              <w:rPr>
                <w:rFonts w:ascii="Arial" w:hAnsi="Arial" w:cs="Arial"/>
                <w:szCs w:val="24"/>
              </w:rPr>
              <w:t xml:space="preserve">   /</w:t>
            </w:r>
            <w:r w:rsidR="001B345C" w:rsidRPr="005E4B32">
              <w:rPr>
                <w:rFonts w:ascii="Arial" w:hAnsi="Arial" w:cs="Arial"/>
                <w:szCs w:val="24"/>
              </w:rPr>
              <w:t>2</w:t>
            </w:r>
            <w:r w:rsidR="00170292">
              <w:rPr>
                <w:rFonts w:ascii="Arial" w:hAnsi="Arial" w:cs="Arial"/>
                <w:szCs w:val="24"/>
              </w:rPr>
              <w:t>2</w:t>
            </w:r>
          </w:p>
        </w:tc>
      </w:tr>
    </w:tbl>
    <w:p w14:paraId="2F302D19" w14:textId="4A1B455F" w:rsidR="0039450A" w:rsidRPr="005E4B32" w:rsidRDefault="00E75B01" w:rsidP="00834D42">
      <w:pPr>
        <w:pStyle w:val="Heading2"/>
        <w:rPr>
          <w:rFonts w:ascii="Arial" w:hAnsi="Arial" w:cs="Arial"/>
          <w:b/>
          <w:szCs w:val="24"/>
          <w:u w:val="none"/>
        </w:rPr>
      </w:pPr>
      <w:r w:rsidRPr="005E4B32">
        <w:rPr>
          <w:rFonts w:ascii="Arial" w:hAnsi="Arial" w:cs="Arial"/>
          <w:b/>
          <w:szCs w:val="24"/>
          <w:u w:val="none"/>
        </w:rPr>
        <w:t xml:space="preserve">RISK REGISTER </w:t>
      </w:r>
      <w:r w:rsidR="00185CF1">
        <w:rPr>
          <w:rFonts w:ascii="Arial" w:hAnsi="Arial" w:cs="Arial"/>
          <w:b/>
          <w:szCs w:val="24"/>
          <w:u w:val="none"/>
        </w:rPr>
        <w:t xml:space="preserve">ANNUAL REVIEW </w:t>
      </w:r>
      <w:r w:rsidR="00834D42" w:rsidRPr="005E4B32">
        <w:rPr>
          <w:rFonts w:ascii="Arial" w:hAnsi="Arial" w:cs="Arial"/>
          <w:b/>
          <w:szCs w:val="24"/>
          <w:u w:val="none"/>
        </w:rPr>
        <w:t xml:space="preserve">- </w:t>
      </w:r>
      <w:r w:rsidR="0039450A" w:rsidRPr="005E4B32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5E4B32">
        <w:rPr>
          <w:rFonts w:ascii="Arial" w:hAnsi="Arial" w:cs="Arial"/>
          <w:b/>
          <w:szCs w:val="24"/>
          <w:u w:val="none"/>
        </w:rPr>
        <w:t>by</w:t>
      </w:r>
      <w:r w:rsidR="002B7DC4" w:rsidRPr="005E4B32">
        <w:rPr>
          <w:rFonts w:ascii="Arial" w:hAnsi="Arial" w:cs="Arial"/>
          <w:b/>
          <w:szCs w:val="24"/>
          <w:u w:val="none"/>
        </w:rPr>
        <w:t xml:space="preserve"> </w:t>
      </w:r>
      <w:r w:rsidR="00B96369" w:rsidRPr="005E4B32">
        <w:rPr>
          <w:rFonts w:ascii="Arial" w:hAnsi="Arial" w:cs="Arial"/>
          <w:b/>
          <w:szCs w:val="24"/>
          <w:u w:val="none"/>
        </w:rPr>
        <w:t>Chief Executive</w:t>
      </w:r>
    </w:p>
    <w:p w14:paraId="663EF3DE" w14:textId="77777777" w:rsidR="0039450A" w:rsidRPr="005E4B32" w:rsidRDefault="0039450A" w:rsidP="00834D42">
      <w:pPr>
        <w:pStyle w:val="Heading1"/>
        <w:jc w:val="left"/>
        <w:rPr>
          <w:rFonts w:ascii="Arial" w:hAnsi="Arial" w:cs="Arial"/>
          <w:szCs w:val="24"/>
        </w:rPr>
      </w:pPr>
      <w:r w:rsidRPr="005E4B32">
        <w:rPr>
          <w:rFonts w:ascii="Arial" w:hAnsi="Arial" w:cs="Arial"/>
          <w:szCs w:val="24"/>
        </w:rPr>
        <w:fldChar w:fldCharType="begin"/>
      </w:r>
      <w:r w:rsidRPr="005E4B32">
        <w:rPr>
          <w:rFonts w:ascii="Arial" w:hAnsi="Arial" w:cs="Arial"/>
          <w:szCs w:val="24"/>
        </w:rPr>
        <w:instrText xml:space="preserve">  </w:instrText>
      </w:r>
      <w:r w:rsidRPr="005E4B32">
        <w:rPr>
          <w:rFonts w:ascii="Arial" w:hAnsi="Arial" w:cs="Arial"/>
          <w:szCs w:val="24"/>
        </w:rPr>
        <w:fldChar w:fldCharType="end"/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880"/>
        <w:gridCol w:w="8647"/>
      </w:tblGrid>
      <w:tr w:rsidR="0039450A" w:rsidRPr="005E4B32" w14:paraId="0B5969D8" w14:textId="77777777" w:rsidTr="00406FC0">
        <w:trPr>
          <w:cantSplit/>
        </w:trPr>
        <w:tc>
          <w:tcPr>
            <w:tcW w:w="9635" w:type="dxa"/>
            <w:gridSpan w:val="3"/>
          </w:tcPr>
          <w:p w14:paraId="181E790C" w14:textId="77777777" w:rsidR="0039450A" w:rsidRPr="005E4B32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5E4B32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64167C53" w14:textId="77777777" w:rsidR="002B7DC4" w:rsidRPr="005E4B32" w:rsidRDefault="002B7DC4" w:rsidP="002B7DC4">
            <w:pPr>
              <w:rPr>
                <w:rFonts w:ascii="Arial" w:hAnsi="Arial" w:cs="Arial"/>
                <w:szCs w:val="24"/>
              </w:rPr>
            </w:pPr>
          </w:p>
          <w:p w14:paraId="4DAC7A7B" w14:textId="77777777" w:rsidR="00E75B01" w:rsidRPr="005E4B32" w:rsidRDefault="00E75B01" w:rsidP="00E75B01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This report provides </w:t>
            </w:r>
            <w:r w:rsidR="003857A6" w:rsidRPr="005E4B32">
              <w:rPr>
                <w:rFonts w:ascii="Arial" w:hAnsi="Arial" w:cs="Arial"/>
                <w:szCs w:val="24"/>
              </w:rPr>
              <w:t>the annual</w:t>
            </w:r>
            <w:r w:rsidRPr="005E4B32">
              <w:rPr>
                <w:rFonts w:ascii="Arial" w:hAnsi="Arial" w:cs="Arial"/>
                <w:szCs w:val="24"/>
              </w:rPr>
              <w:t xml:space="preserve"> update on Hig</w:t>
            </w:r>
            <w:r w:rsidR="00117BE1" w:rsidRPr="005E4B32">
              <w:rPr>
                <w:rFonts w:ascii="Arial" w:hAnsi="Arial" w:cs="Arial"/>
                <w:szCs w:val="24"/>
              </w:rPr>
              <w:t>h Life Highland’s Risk Register.</w:t>
            </w:r>
          </w:p>
          <w:p w14:paraId="6CE3A3F6" w14:textId="77777777" w:rsidR="00117BE1" w:rsidRPr="005E4B32" w:rsidRDefault="00117BE1" w:rsidP="00E75B01">
            <w:pPr>
              <w:jc w:val="both"/>
              <w:rPr>
                <w:rFonts w:ascii="Arial" w:hAnsi="Arial" w:cs="Arial"/>
                <w:szCs w:val="24"/>
              </w:rPr>
            </w:pPr>
          </w:p>
          <w:p w14:paraId="7416080E" w14:textId="475B02FD" w:rsidR="00F4113A" w:rsidRPr="005E4B32" w:rsidRDefault="00F4113A" w:rsidP="00F4113A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It is recommended that Directors review and approve the Risk Register at </w:t>
            </w:r>
            <w:r w:rsidRPr="005E4B32">
              <w:rPr>
                <w:rFonts w:ascii="Arial" w:hAnsi="Arial" w:cs="Arial"/>
                <w:b/>
                <w:szCs w:val="24"/>
              </w:rPr>
              <w:t xml:space="preserve">Appendix A </w:t>
            </w:r>
            <w:r w:rsidRPr="005E4B32">
              <w:rPr>
                <w:rFonts w:ascii="Arial" w:hAnsi="Arial" w:cs="Arial"/>
                <w:szCs w:val="24"/>
              </w:rPr>
              <w:t xml:space="preserve">and the associated supporting documents at </w:t>
            </w:r>
            <w:r w:rsidRPr="005E4B32">
              <w:rPr>
                <w:rFonts w:ascii="Arial" w:hAnsi="Arial" w:cs="Arial"/>
                <w:b/>
                <w:szCs w:val="24"/>
              </w:rPr>
              <w:t>Appendi</w:t>
            </w:r>
            <w:r w:rsidR="001E4737">
              <w:rPr>
                <w:rFonts w:ascii="Arial" w:hAnsi="Arial" w:cs="Arial"/>
                <w:b/>
                <w:szCs w:val="24"/>
              </w:rPr>
              <w:t>x</w:t>
            </w:r>
            <w:r w:rsidRPr="005E4B32">
              <w:rPr>
                <w:rFonts w:ascii="Arial" w:hAnsi="Arial" w:cs="Arial"/>
                <w:b/>
                <w:szCs w:val="24"/>
              </w:rPr>
              <w:t xml:space="preserve"> B</w:t>
            </w:r>
            <w:r w:rsidR="0033755C">
              <w:rPr>
                <w:rFonts w:ascii="Arial" w:hAnsi="Arial" w:cs="Arial"/>
                <w:b/>
                <w:szCs w:val="24"/>
              </w:rPr>
              <w:t>, C and D</w:t>
            </w:r>
            <w:r w:rsidRPr="005E4B32">
              <w:rPr>
                <w:rFonts w:ascii="Arial" w:hAnsi="Arial" w:cs="Arial"/>
                <w:szCs w:val="24"/>
              </w:rPr>
              <w:t>.</w:t>
            </w:r>
          </w:p>
          <w:p w14:paraId="0C3FEC50" w14:textId="77777777" w:rsidR="0039450A" w:rsidRPr="005E4B32" w:rsidRDefault="0039450A" w:rsidP="007508F7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fldChar w:fldCharType="begin"/>
            </w:r>
            <w:r w:rsidRPr="005E4B32">
              <w:rPr>
                <w:rFonts w:ascii="Arial" w:hAnsi="Arial" w:cs="Arial"/>
                <w:szCs w:val="24"/>
              </w:rPr>
              <w:instrText xml:space="preserve">  </w:instrText>
            </w:r>
            <w:r w:rsidRPr="005E4B3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43129" w:rsidRPr="005E4B32" w14:paraId="62BAE2FF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003E4077" w14:textId="77777777" w:rsidR="00943129" w:rsidRPr="005E4B32" w:rsidRDefault="00943129" w:rsidP="00416B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6F3BC329" w14:textId="77777777" w:rsidR="003979DB" w:rsidRPr="005E4B32" w:rsidRDefault="003979DB" w:rsidP="003979D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06FC0" w:rsidRPr="005E4B32" w14:paraId="140A3C78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59D3EA09" w14:textId="77777777" w:rsidR="00406FC0" w:rsidRPr="005E4B32" w:rsidRDefault="00406FC0" w:rsidP="00406FC0">
            <w:pPr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1.</w:t>
            </w:r>
          </w:p>
          <w:p w14:paraId="34F86007" w14:textId="77777777" w:rsidR="00406FC0" w:rsidRPr="005E4B32" w:rsidRDefault="00406FC0" w:rsidP="00416B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3788BEBD" w14:textId="5803780F" w:rsidR="00406FC0" w:rsidRPr="005E4B32" w:rsidRDefault="00406FC0" w:rsidP="003979DB">
            <w:pPr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Business Plan Contribution</w:t>
            </w:r>
          </w:p>
        </w:tc>
      </w:tr>
      <w:tr w:rsidR="00406FC0" w:rsidRPr="00406FC0" w14:paraId="77A8F2CA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5FA81F0C" w14:textId="0A4DA510" w:rsidR="00406FC0" w:rsidRPr="00406FC0" w:rsidRDefault="00406FC0" w:rsidP="00406FC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1.1</w:t>
            </w:r>
          </w:p>
        </w:tc>
        <w:tc>
          <w:tcPr>
            <w:tcW w:w="8647" w:type="dxa"/>
          </w:tcPr>
          <w:p w14:paraId="6183FA98" w14:textId="77777777" w:rsidR="00406FC0" w:rsidRPr="00831E2F" w:rsidRDefault="00406FC0" w:rsidP="00406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E2F">
              <w:rPr>
                <w:rFonts w:ascii="Arial" w:hAnsi="Arial" w:cs="Arial"/>
              </w:rPr>
              <w:t xml:space="preserve">This report supports all </w:t>
            </w:r>
            <w:r>
              <w:rPr>
                <w:rFonts w:ascii="Arial" w:hAnsi="Arial" w:cs="Arial"/>
              </w:rPr>
              <w:t xml:space="preserve">11 of </w:t>
            </w:r>
            <w:r w:rsidRPr="00831E2F">
              <w:rPr>
                <w:rFonts w:ascii="Arial" w:hAnsi="Arial" w:cs="Arial"/>
              </w:rPr>
              <w:t>the Business Outcomes from the High Life Highland (HLH) Business Plan:</w:t>
            </w:r>
          </w:p>
          <w:p w14:paraId="1F318C29" w14:textId="77777777" w:rsidR="00406FC0" w:rsidRPr="00831E2F" w:rsidRDefault="00406FC0" w:rsidP="00406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ADACCCC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Seek to continuously improve standards of Health and Safety.</w:t>
            </w:r>
          </w:p>
          <w:p w14:paraId="46EF8806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Commit to the Scottish Government’s zero carbon targets and maintain the highest standards in environmental compliance.</w:t>
            </w:r>
          </w:p>
          <w:p w14:paraId="6E4226D1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Use research and market analysis to develop and improve services to meet customer needs.</w:t>
            </w:r>
          </w:p>
          <w:p w14:paraId="7AD81B8E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Increase employee satisfaction, engagement and development to improve staff recruitment and retention.</w:t>
            </w:r>
          </w:p>
          <w:p w14:paraId="4FA60BB3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Improve the financial sustainability of the company.</w:t>
            </w:r>
          </w:p>
          <w:p w14:paraId="301BA845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Value and strengthen the relationship with THC.</w:t>
            </w:r>
          </w:p>
          <w:p w14:paraId="30133B87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Develop and deliver the HLH Corporate Programme and seek to attract capital investment.</w:t>
            </w:r>
          </w:p>
          <w:p w14:paraId="6CDF896D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Use research and market analysis to develop and deliver proactive marketing and promotion of HLH and its services.</w:t>
            </w:r>
          </w:p>
          <w:p w14:paraId="56A7FD34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Initiate and implement an ICT digital transformation strategy across the charity.</w:t>
            </w:r>
          </w:p>
          <w:p w14:paraId="05A98F3B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Develop and strengthen relationships with customers, key stakeholders and partners.</w:t>
            </w:r>
          </w:p>
          <w:p w14:paraId="54E88E05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Deliver targeted programmes which support and enhance the physical and mental health and wellbeing of the population and which contribute to the prevention agenda.</w:t>
            </w:r>
          </w:p>
          <w:p w14:paraId="4FBBEE11" w14:textId="77777777" w:rsidR="00406FC0" w:rsidRPr="00406FC0" w:rsidRDefault="00406FC0" w:rsidP="003979D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79570B" w:rsidRPr="005E4B32" w14:paraId="14083919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555D96C8" w14:textId="77777777" w:rsidR="0079570B" w:rsidRPr="005E4B32" w:rsidRDefault="0079570B" w:rsidP="00416BFF">
            <w:pPr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14:paraId="026E57B1" w14:textId="77777777" w:rsidR="0079570B" w:rsidRPr="005E4B32" w:rsidRDefault="0079570B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Background</w:t>
            </w:r>
          </w:p>
          <w:p w14:paraId="5E26DD64" w14:textId="77777777" w:rsidR="0079570B" w:rsidRPr="005E4B32" w:rsidRDefault="0079570B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79570B" w:rsidRPr="005E4B32" w14:paraId="1C6BC354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1A83308D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2.1</w:t>
            </w:r>
          </w:p>
          <w:p w14:paraId="35EA5B1A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7AB5D207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2C4751BA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471717B9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2.2</w:t>
            </w:r>
          </w:p>
          <w:p w14:paraId="5BF5F52A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05CB27C0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5DC09BE8" w14:textId="77777777" w:rsidR="003857A6" w:rsidRPr="005E4B32" w:rsidRDefault="003857A6" w:rsidP="00416BFF">
            <w:pPr>
              <w:rPr>
                <w:rFonts w:ascii="Arial" w:hAnsi="Arial" w:cs="Arial"/>
                <w:szCs w:val="24"/>
              </w:rPr>
            </w:pPr>
          </w:p>
          <w:p w14:paraId="09EBCC6E" w14:textId="77777777" w:rsidR="00514B4D" w:rsidRDefault="00514B4D" w:rsidP="00416BFF">
            <w:pPr>
              <w:rPr>
                <w:rFonts w:ascii="Arial" w:hAnsi="Arial" w:cs="Arial"/>
                <w:szCs w:val="24"/>
              </w:rPr>
            </w:pPr>
          </w:p>
          <w:p w14:paraId="5EE6888C" w14:textId="77777777" w:rsidR="00514B4D" w:rsidRDefault="00514B4D" w:rsidP="00416BFF">
            <w:pPr>
              <w:rPr>
                <w:rFonts w:ascii="Arial" w:hAnsi="Arial" w:cs="Arial"/>
                <w:szCs w:val="24"/>
              </w:rPr>
            </w:pPr>
          </w:p>
          <w:p w14:paraId="2974EF26" w14:textId="77777777" w:rsidR="00514B4D" w:rsidRDefault="00514B4D" w:rsidP="00416BFF">
            <w:pPr>
              <w:rPr>
                <w:rFonts w:ascii="Arial" w:hAnsi="Arial" w:cs="Arial"/>
                <w:szCs w:val="24"/>
              </w:rPr>
            </w:pPr>
          </w:p>
          <w:p w14:paraId="620C0587" w14:textId="77777777" w:rsidR="00514B4D" w:rsidRDefault="00514B4D" w:rsidP="00416BFF">
            <w:pPr>
              <w:rPr>
                <w:rFonts w:ascii="Arial" w:hAnsi="Arial" w:cs="Arial"/>
                <w:szCs w:val="24"/>
              </w:rPr>
            </w:pPr>
          </w:p>
          <w:p w14:paraId="7859BD98" w14:textId="77777777" w:rsidR="00514B4D" w:rsidRDefault="00514B4D" w:rsidP="00416BFF">
            <w:pPr>
              <w:rPr>
                <w:rFonts w:ascii="Arial" w:hAnsi="Arial" w:cs="Arial"/>
                <w:szCs w:val="24"/>
              </w:rPr>
            </w:pPr>
          </w:p>
          <w:p w14:paraId="07781413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3188E8E6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0F947AD3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70D1B711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412A0519" w14:textId="0B10878E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2.3</w:t>
            </w:r>
          </w:p>
          <w:p w14:paraId="0412668E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50F4FA3A" w14:textId="77777777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</w:p>
          <w:p w14:paraId="61305617" w14:textId="77777777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</w:p>
          <w:p w14:paraId="16639416" w14:textId="77777777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</w:p>
          <w:p w14:paraId="60212FD2" w14:textId="77777777" w:rsidR="009F478B" w:rsidRPr="005E4B32" w:rsidRDefault="009F478B" w:rsidP="00416BFF">
            <w:pPr>
              <w:rPr>
                <w:rFonts w:ascii="Arial" w:hAnsi="Arial" w:cs="Arial"/>
                <w:szCs w:val="24"/>
              </w:rPr>
            </w:pPr>
          </w:p>
          <w:p w14:paraId="6B428D34" w14:textId="77777777" w:rsidR="00937218" w:rsidRPr="005E4B32" w:rsidRDefault="00937218" w:rsidP="00416BFF">
            <w:pPr>
              <w:rPr>
                <w:rFonts w:ascii="Arial" w:hAnsi="Arial" w:cs="Arial"/>
                <w:szCs w:val="24"/>
              </w:rPr>
            </w:pPr>
          </w:p>
          <w:p w14:paraId="5F87AAC1" w14:textId="77777777" w:rsidR="001E4737" w:rsidRDefault="001E4737" w:rsidP="00416BFF">
            <w:pPr>
              <w:rPr>
                <w:rFonts w:ascii="Arial" w:hAnsi="Arial" w:cs="Arial"/>
                <w:szCs w:val="24"/>
              </w:rPr>
            </w:pPr>
          </w:p>
          <w:p w14:paraId="0534E0C5" w14:textId="683B5C6C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2.4</w:t>
            </w:r>
          </w:p>
          <w:p w14:paraId="589F91B3" w14:textId="77777777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</w:p>
          <w:p w14:paraId="7CA55957" w14:textId="77777777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</w:p>
          <w:p w14:paraId="6E614C39" w14:textId="77777777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</w:p>
          <w:p w14:paraId="7EE517BC" w14:textId="77777777" w:rsidR="009339F4" w:rsidRDefault="009339F4" w:rsidP="00416BFF">
            <w:pPr>
              <w:rPr>
                <w:rFonts w:ascii="Arial" w:hAnsi="Arial" w:cs="Arial"/>
                <w:szCs w:val="24"/>
              </w:rPr>
            </w:pPr>
          </w:p>
          <w:p w14:paraId="04377713" w14:textId="77777777" w:rsidR="009339F4" w:rsidRDefault="009339F4" w:rsidP="00416BFF">
            <w:pPr>
              <w:rPr>
                <w:rFonts w:ascii="Arial" w:hAnsi="Arial" w:cs="Arial"/>
                <w:szCs w:val="24"/>
              </w:rPr>
            </w:pPr>
          </w:p>
          <w:p w14:paraId="4C4F2A9F" w14:textId="77777777" w:rsidR="009339F4" w:rsidRDefault="009339F4" w:rsidP="00416BFF">
            <w:pPr>
              <w:rPr>
                <w:rFonts w:ascii="Arial" w:hAnsi="Arial" w:cs="Arial"/>
                <w:szCs w:val="24"/>
              </w:rPr>
            </w:pPr>
          </w:p>
          <w:p w14:paraId="1D290348" w14:textId="77777777" w:rsidR="009339F4" w:rsidRDefault="009339F4" w:rsidP="00416BFF">
            <w:pPr>
              <w:rPr>
                <w:rFonts w:ascii="Arial" w:hAnsi="Arial" w:cs="Arial"/>
                <w:szCs w:val="24"/>
              </w:rPr>
            </w:pPr>
          </w:p>
          <w:p w14:paraId="5A29EB10" w14:textId="77777777" w:rsidR="009339F4" w:rsidRDefault="009339F4" w:rsidP="00416BFF">
            <w:pPr>
              <w:rPr>
                <w:rFonts w:ascii="Arial" w:hAnsi="Arial" w:cs="Arial"/>
                <w:szCs w:val="24"/>
              </w:rPr>
            </w:pPr>
          </w:p>
          <w:p w14:paraId="483DFE23" w14:textId="77777777" w:rsidR="009339F4" w:rsidRDefault="009339F4" w:rsidP="00416BFF">
            <w:pPr>
              <w:rPr>
                <w:rFonts w:ascii="Arial" w:hAnsi="Arial" w:cs="Arial"/>
                <w:szCs w:val="24"/>
              </w:rPr>
            </w:pPr>
          </w:p>
          <w:p w14:paraId="20D8CF5A" w14:textId="71ECFAC8" w:rsidR="009339F4" w:rsidRDefault="00406FC0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2.4.1</w:t>
            </w:r>
          </w:p>
          <w:p w14:paraId="1A219EA1" w14:textId="77777777" w:rsidR="00EB019B" w:rsidRDefault="00EB019B" w:rsidP="00416BFF">
            <w:pPr>
              <w:rPr>
                <w:rFonts w:ascii="Arial" w:hAnsi="Arial" w:cs="Arial"/>
                <w:szCs w:val="24"/>
              </w:rPr>
            </w:pPr>
          </w:p>
          <w:p w14:paraId="26852F30" w14:textId="77777777" w:rsidR="00EB019B" w:rsidRDefault="00EB019B" w:rsidP="00416BFF">
            <w:pPr>
              <w:rPr>
                <w:rFonts w:ascii="Arial" w:hAnsi="Arial" w:cs="Arial"/>
                <w:szCs w:val="24"/>
              </w:rPr>
            </w:pPr>
          </w:p>
          <w:p w14:paraId="64F6A131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6FA65D2C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35BD2635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36E3EFD1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37E22F52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18AF1F1C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2808049E" w14:textId="77777777" w:rsidR="00712185" w:rsidRDefault="00712185" w:rsidP="00416BFF">
            <w:pPr>
              <w:rPr>
                <w:rFonts w:ascii="Arial" w:hAnsi="Arial" w:cs="Arial"/>
                <w:szCs w:val="24"/>
              </w:rPr>
            </w:pPr>
          </w:p>
          <w:p w14:paraId="37BE2F2E" w14:textId="77777777" w:rsidR="00712185" w:rsidRPr="00712185" w:rsidRDefault="00712185" w:rsidP="00416BFF">
            <w:pPr>
              <w:rPr>
                <w:rFonts w:ascii="Arial" w:hAnsi="Arial" w:cs="Arial"/>
                <w:sz w:val="8"/>
                <w:szCs w:val="8"/>
              </w:rPr>
            </w:pPr>
          </w:p>
          <w:p w14:paraId="10F11882" w14:textId="77777777" w:rsidR="00286D1C" w:rsidRDefault="00286D1C" w:rsidP="00416BFF">
            <w:pPr>
              <w:rPr>
                <w:rFonts w:ascii="Arial" w:hAnsi="Arial" w:cs="Arial"/>
                <w:szCs w:val="24"/>
              </w:rPr>
            </w:pPr>
          </w:p>
          <w:p w14:paraId="309231BD" w14:textId="77777777" w:rsidR="00250200" w:rsidRDefault="00250200" w:rsidP="00416BFF">
            <w:pPr>
              <w:rPr>
                <w:rFonts w:ascii="Arial" w:hAnsi="Arial" w:cs="Arial"/>
                <w:szCs w:val="24"/>
              </w:rPr>
            </w:pPr>
          </w:p>
          <w:p w14:paraId="5C7AE91A" w14:textId="77777777" w:rsidR="0054594A" w:rsidRDefault="0054594A" w:rsidP="00416BFF">
            <w:pPr>
              <w:rPr>
                <w:rFonts w:ascii="Arial" w:hAnsi="Arial" w:cs="Arial"/>
                <w:szCs w:val="24"/>
              </w:rPr>
            </w:pPr>
          </w:p>
          <w:p w14:paraId="1DAE3A76" w14:textId="77777777" w:rsidR="0054594A" w:rsidRDefault="0054594A" w:rsidP="00416BFF">
            <w:pPr>
              <w:rPr>
                <w:rFonts w:ascii="Arial" w:hAnsi="Arial" w:cs="Arial"/>
                <w:szCs w:val="24"/>
              </w:rPr>
            </w:pPr>
          </w:p>
          <w:p w14:paraId="2F60C235" w14:textId="77777777" w:rsidR="0054594A" w:rsidRDefault="0054594A" w:rsidP="00416BFF">
            <w:pPr>
              <w:rPr>
                <w:rFonts w:ascii="Arial" w:hAnsi="Arial" w:cs="Arial"/>
                <w:szCs w:val="24"/>
              </w:rPr>
            </w:pPr>
          </w:p>
          <w:p w14:paraId="656318E0" w14:textId="77777777" w:rsidR="0054594A" w:rsidRDefault="0054594A" w:rsidP="00416BFF">
            <w:pPr>
              <w:rPr>
                <w:rFonts w:ascii="Arial" w:hAnsi="Arial" w:cs="Arial"/>
                <w:szCs w:val="24"/>
              </w:rPr>
            </w:pPr>
          </w:p>
          <w:p w14:paraId="183EBDC1" w14:textId="3A02436B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03E14374" w14:textId="73E57BF9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45D2008F" w14:textId="246C469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68DCE41F" w14:textId="7D286E39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13196F4E" w14:textId="51CFBAB5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293A9483" w14:textId="47602880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660A1F14" w14:textId="2D573236" w:rsidR="00CE7D4F" w:rsidRDefault="00CE7D4F" w:rsidP="00416BFF">
            <w:pPr>
              <w:rPr>
                <w:rFonts w:ascii="Arial" w:hAnsi="Arial" w:cs="Arial"/>
                <w:szCs w:val="24"/>
              </w:rPr>
            </w:pPr>
          </w:p>
          <w:p w14:paraId="052E0355" w14:textId="514292D1" w:rsidR="00CE7D4F" w:rsidRDefault="00CE7D4F" w:rsidP="00416BFF">
            <w:pPr>
              <w:rPr>
                <w:rFonts w:ascii="Arial" w:hAnsi="Arial" w:cs="Arial"/>
                <w:szCs w:val="24"/>
              </w:rPr>
            </w:pPr>
          </w:p>
          <w:p w14:paraId="02074BF3" w14:textId="6CF94B98" w:rsidR="00CE7D4F" w:rsidRDefault="00CE7D4F" w:rsidP="00416BFF">
            <w:pPr>
              <w:rPr>
                <w:rFonts w:ascii="Arial" w:hAnsi="Arial" w:cs="Arial"/>
                <w:szCs w:val="24"/>
              </w:rPr>
            </w:pPr>
          </w:p>
          <w:p w14:paraId="32D5E767" w14:textId="531B3B73" w:rsidR="00CE7D4F" w:rsidRDefault="00CE7D4F" w:rsidP="00416BFF">
            <w:pPr>
              <w:rPr>
                <w:rFonts w:ascii="Arial" w:hAnsi="Arial" w:cs="Arial"/>
                <w:szCs w:val="24"/>
              </w:rPr>
            </w:pPr>
          </w:p>
          <w:p w14:paraId="56C48D3B" w14:textId="77777777" w:rsidR="00CE7D4F" w:rsidRDefault="00CE7D4F" w:rsidP="00416BFF">
            <w:pPr>
              <w:rPr>
                <w:rFonts w:ascii="Arial" w:hAnsi="Arial" w:cs="Arial"/>
                <w:szCs w:val="24"/>
              </w:rPr>
            </w:pPr>
          </w:p>
          <w:p w14:paraId="7A569577" w14:textId="18081EE0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2.5</w:t>
            </w:r>
          </w:p>
          <w:p w14:paraId="2DDF5297" w14:textId="53E983BE" w:rsidR="009F478B" w:rsidRDefault="009F478B" w:rsidP="00416BFF">
            <w:pPr>
              <w:rPr>
                <w:rFonts w:ascii="Arial" w:hAnsi="Arial" w:cs="Arial"/>
                <w:szCs w:val="24"/>
              </w:rPr>
            </w:pPr>
          </w:p>
          <w:p w14:paraId="406FF3C1" w14:textId="21E703E3" w:rsidR="007448D9" w:rsidRDefault="007448D9" w:rsidP="00416BFF">
            <w:pPr>
              <w:rPr>
                <w:rFonts w:ascii="Arial" w:hAnsi="Arial" w:cs="Arial"/>
                <w:szCs w:val="24"/>
              </w:rPr>
            </w:pPr>
          </w:p>
          <w:p w14:paraId="4ABAECD9" w14:textId="16EFE737" w:rsidR="009F478B" w:rsidRPr="005E4B32" w:rsidRDefault="009F478B" w:rsidP="00416BFF">
            <w:pPr>
              <w:rPr>
                <w:rFonts w:ascii="Arial" w:hAnsi="Arial" w:cs="Arial"/>
                <w:szCs w:val="24"/>
              </w:rPr>
            </w:pPr>
          </w:p>
          <w:p w14:paraId="6B0E8AB3" w14:textId="77777777" w:rsidR="007448D9" w:rsidRDefault="007448D9" w:rsidP="00416BFF">
            <w:pPr>
              <w:rPr>
                <w:rFonts w:ascii="Arial" w:hAnsi="Arial" w:cs="Arial"/>
                <w:szCs w:val="24"/>
              </w:rPr>
            </w:pPr>
          </w:p>
          <w:p w14:paraId="20937C8C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1D8CE45B" w14:textId="77777777" w:rsidR="00CE7D4F" w:rsidRDefault="00CE7D4F" w:rsidP="00416BFF">
            <w:pPr>
              <w:rPr>
                <w:rFonts w:ascii="Arial" w:hAnsi="Arial" w:cs="Arial"/>
                <w:szCs w:val="24"/>
              </w:rPr>
            </w:pPr>
          </w:p>
          <w:p w14:paraId="37AE57B9" w14:textId="4D6B0433" w:rsidR="00621F9C" w:rsidRDefault="00621F9C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2.6</w:t>
            </w:r>
          </w:p>
          <w:p w14:paraId="54FD9C91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7466D473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6B6A265D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7CED7D5A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2B512D1B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2.7</w:t>
            </w:r>
          </w:p>
          <w:p w14:paraId="739016C1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362B94A9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412EF2B7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5490EEE5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758065A4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71C74CA0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2126C718" w14:textId="77777777" w:rsidR="00621F9C" w:rsidRDefault="00621F9C" w:rsidP="00416BFF">
            <w:pPr>
              <w:rPr>
                <w:rFonts w:ascii="Arial" w:hAnsi="Arial" w:cs="Arial"/>
                <w:szCs w:val="24"/>
              </w:rPr>
            </w:pPr>
          </w:p>
          <w:p w14:paraId="1A1A1547" w14:textId="29A7F1B2" w:rsidR="00621F9C" w:rsidRPr="005E4B32" w:rsidRDefault="00621F9C" w:rsidP="00416BF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2.8</w:t>
            </w:r>
          </w:p>
        </w:tc>
        <w:tc>
          <w:tcPr>
            <w:tcW w:w="8647" w:type="dxa"/>
          </w:tcPr>
          <w:p w14:paraId="75AF156A" w14:textId="7BD09E22" w:rsidR="0079570B" w:rsidRPr="005E4B32" w:rsidRDefault="0079570B" w:rsidP="008D6735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lastRenderedPageBreak/>
              <w:t xml:space="preserve">The </w:t>
            </w:r>
            <w:r w:rsidR="00406FC0">
              <w:rPr>
                <w:rFonts w:ascii="Arial" w:hAnsi="Arial" w:cs="Arial"/>
                <w:szCs w:val="24"/>
              </w:rPr>
              <w:t>Charity</w:t>
            </w:r>
            <w:r w:rsidRPr="005E4B32">
              <w:rPr>
                <w:rFonts w:ascii="Arial" w:hAnsi="Arial" w:cs="Arial"/>
                <w:szCs w:val="24"/>
              </w:rPr>
              <w:t xml:space="preserve"> Financial </w:t>
            </w:r>
            <w:r w:rsidR="00250200">
              <w:rPr>
                <w:rFonts w:ascii="Arial" w:hAnsi="Arial" w:cs="Arial"/>
                <w:szCs w:val="24"/>
              </w:rPr>
              <w:t xml:space="preserve">Risk Management Policy </w:t>
            </w:r>
            <w:r w:rsidRPr="005E4B32">
              <w:rPr>
                <w:rFonts w:ascii="Arial" w:hAnsi="Arial" w:cs="Arial"/>
                <w:szCs w:val="24"/>
              </w:rPr>
              <w:t>require</w:t>
            </w:r>
            <w:r w:rsidR="00250200">
              <w:rPr>
                <w:rFonts w:ascii="Arial" w:hAnsi="Arial" w:cs="Arial"/>
                <w:szCs w:val="24"/>
              </w:rPr>
              <w:t>s</w:t>
            </w:r>
            <w:r w:rsidRPr="005E4B32">
              <w:rPr>
                <w:rFonts w:ascii="Arial" w:hAnsi="Arial" w:cs="Arial"/>
                <w:szCs w:val="24"/>
              </w:rPr>
              <w:t xml:space="preserve"> that the Risk Register is reviewed </w:t>
            </w:r>
            <w:r w:rsidR="007508F7" w:rsidRPr="005E4B32">
              <w:rPr>
                <w:rFonts w:ascii="Arial" w:hAnsi="Arial" w:cs="Arial"/>
                <w:szCs w:val="24"/>
              </w:rPr>
              <w:t xml:space="preserve">and approved </w:t>
            </w:r>
            <w:r w:rsidRPr="005E4B32">
              <w:rPr>
                <w:rFonts w:ascii="Arial" w:hAnsi="Arial" w:cs="Arial"/>
                <w:szCs w:val="24"/>
              </w:rPr>
              <w:t xml:space="preserve">annually by the HLH Board. The last review was </w:t>
            </w:r>
            <w:r w:rsidR="00621F9C">
              <w:rPr>
                <w:rFonts w:ascii="Arial" w:hAnsi="Arial" w:cs="Arial"/>
                <w:szCs w:val="24"/>
              </w:rPr>
              <w:t xml:space="preserve">conducted </w:t>
            </w:r>
            <w:r w:rsidRPr="005E4B32">
              <w:rPr>
                <w:rFonts w:ascii="Arial" w:hAnsi="Arial" w:cs="Arial"/>
                <w:szCs w:val="24"/>
              </w:rPr>
              <w:t xml:space="preserve">on </w:t>
            </w:r>
            <w:r w:rsidR="009A0F73" w:rsidRPr="005E4B32">
              <w:rPr>
                <w:rFonts w:ascii="Arial" w:hAnsi="Arial" w:cs="Arial"/>
                <w:szCs w:val="24"/>
              </w:rPr>
              <w:t>2</w:t>
            </w:r>
            <w:r w:rsidR="00E2433D">
              <w:rPr>
                <w:rFonts w:ascii="Arial" w:hAnsi="Arial" w:cs="Arial"/>
                <w:szCs w:val="24"/>
              </w:rPr>
              <w:t>1 Sep</w:t>
            </w:r>
            <w:r w:rsidR="00095199">
              <w:rPr>
                <w:rFonts w:ascii="Arial" w:hAnsi="Arial" w:cs="Arial"/>
                <w:szCs w:val="24"/>
              </w:rPr>
              <w:t>tember</w:t>
            </w:r>
            <w:r w:rsidR="00E2433D">
              <w:rPr>
                <w:rFonts w:ascii="Arial" w:hAnsi="Arial" w:cs="Arial"/>
                <w:szCs w:val="24"/>
              </w:rPr>
              <w:t xml:space="preserve"> </w:t>
            </w:r>
            <w:r w:rsidR="00427416">
              <w:rPr>
                <w:rFonts w:ascii="Arial" w:hAnsi="Arial" w:cs="Arial"/>
                <w:szCs w:val="24"/>
              </w:rPr>
              <w:t>20</w:t>
            </w:r>
            <w:r w:rsidR="00E2433D">
              <w:rPr>
                <w:rFonts w:ascii="Arial" w:hAnsi="Arial" w:cs="Arial"/>
                <w:szCs w:val="24"/>
              </w:rPr>
              <w:t>21</w:t>
            </w:r>
            <w:r w:rsidR="009A0F73" w:rsidRPr="005E4B32">
              <w:rPr>
                <w:rFonts w:ascii="Arial" w:hAnsi="Arial" w:cs="Arial"/>
                <w:szCs w:val="24"/>
              </w:rPr>
              <w:t>.</w:t>
            </w:r>
            <w:r w:rsidRPr="005E4B32">
              <w:rPr>
                <w:rFonts w:ascii="Arial" w:hAnsi="Arial" w:cs="Arial"/>
                <w:szCs w:val="24"/>
              </w:rPr>
              <w:t xml:space="preserve">  </w:t>
            </w:r>
          </w:p>
          <w:p w14:paraId="58D56E6E" w14:textId="77777777" w:rsidR="0079570B" w:rsidRPr="005E4B32" w:rsidRDefault="0079570B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EFA5399" w14:textId="404E5C4F" w:rsidR="0079570B" w:rsidRPr="005E4B32" w:rsidRDefault="0079570B" w:rsidP="00406FC0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In addition</w:t>
            </w:r>
            <w:r w:rsidR="003857A6" w:rsidRPr="005E4B32">
              <w:rPr>
                <w:rFonts w:ascii="Arial" w:hAnsi="Arial" w:cs="Arial"/>
                <w:szCs w:val="24"/>
              </w:rPr>
              <w:t xml:space="preserve"> to the annual review by the </w:t>
            </w:r>
            <w:r w:rsidR="009D624C">
              <w:rPr>
                <w:rFonts w:ascii="Arial" w:hAnsi="Arial" w:cs="Arial"/>
                <w:szCs w:val="24"/>
              </w:rPr>
              <w:t xml:space="preserve">HLH </w:t>
            </w:r>
            <w:r w:rsidR="003857A6" w:rsidRPr="005E4B32">
              <w:rPr>
                <w:rFonts w:ascii="Arial" w:hAnsi="Arial" w:cs="Arial"/>
                <w:szCs w:val="24"/>
              </w:rPr>
              <w:t>Board</w:t>
            </w:r>
            <w:r w:rsidRPr="005E4B32">
              <w:rPr>
                <w:rFonts w:ascii="Arial" w:hAnsi="Arial" w:cs="Arial"/>
                <w:szCs w:val="24"/>
              </w:rPr>
              <w:t>, the Finance and Audit Committee review</w:t>
            </w:r>
            <w:r w:rsidR="00361A1F" w:rsidRPr="005E4B32">
              <w:rPr>
                <w:rFonts w:ascii="Arial" w:hAnsi="Arial" w:cs="Arial"/>
                <w:szCs w:val="24"/>
              </w:rPr>
              <w:t>s</w:t>
            </w:r>
            <w:r w:rsidRPr="005E4B32">
              <w:rPr>
                <w:rFonts w:ascii="Arial" w:hAnsi="Arial" w:cs="Arial"/>
                <w:szCs w:val="24"/>
              </w:rPr>
              <w:t xml:space="preserve"> the Ris</w:t>
            </w:r>
            <w:r w:rsidR="00361A1F" w:rsidRPr="005E4B32">
              <w:rPr>
                <w:rFonts w:ascii="Arial" w:hAnsi="Arial" w:cs="Arial"/>
                <w:szCs w:val="24"/>
              </w:rPr>
              <w:t>k Register on a quarterly basis, most recently at its</w:t>
            </w:r>
            <w:r w:rsidR="00406FC0">
              <w:rPr>
                <w:rFonts w:ascii="Arial" w:hAnsi="Arial" w:cs="Arial"/>
                <w:szCs w:val="24"/>
              </w:rPr>
              <w:t xml:space="preserve"> </w:t>
            </w:r>
            <w:r w:rsidR="00E2433D">
              <w:rPr>
                <w:rFonts w:ascii="Arial" w:hAnsi="Arial" w:cs="Arial"/>
                <w:szCs w:val="24"/>
              </w:rPr>
              <w:t xml:space="preserve">8 August </w:t>
            </w:r>
            <w:r w:rsidR="00427416">
              <w:rPr>
                <w:rFonts w:ascii="Arial" w:hAnsi="Arial" w:cs="Arial"/>
                <w:szCs w:val="24"/>
              </w:rPr>
              <w:t>20</w:t>
            </w:r>
            <w:r w:rsidR="00E2433D">
              <w:rPr>
                <w:rFonts w:ascii="Arial" w:hAnsi="Arial" w:cs="Arial"/>
                <w:szCs w:val="24"/>
              </w:rPr>
              <w:t>22</w:t>
            </w:r>
            <w:r w:rsidR="00361A1F" w:rsidRPr="005E4B32">
              <w:rPr>
                <w:rFonts w:ascii="Arial" w:hAnsi="Arial" w:cs="Arial"/>
                <w:szCs w:val="24"/>
              </w:rPr>
              <w:t xml:space="preserve"> meeting.</w:t>
            </w:r>
            <w:r w:rsidR="00671DBF" w:rsidRPr="005E4B32">
              <w:rPr>
                <w:rFonts w:ascii="Arial" w:hAnsi="Arial" w:cs="Arial"/>
                <w:szCs w:val="24"/>
              </w:rPr>
              <w:t xml:space="preserve">  No additional risks have been added since this meeting.</w:t>
            </w:r>
            <w:r w:rsidR="009339F4">
              <w:rPr>
                <w:rFonts w:ascii="Arial" w:hAnsi="Arial" w:cs="Arial"/>
                <w:szCs w:val="24"/>
              </w:rPr>
              <w:t xml:space="preserve">  </w:t>
            </w:r>
            <w:r w:rsidR="009339F4" w:rsidRPr="00470E82">
              <w:rPr>
                <w:rFonts w:ascii="Arial" w:hAnsi="Arial" w:cs="Arial"/>
                <w:szCs w:val="24"/>
              </w:rPr>
              <w:t>However, risk HLH13 - Reliance on individual suppliers / contracts</w:t>
            </w:r>
            <w:r w:rsidR="00250200">
              <w:rPr>
                <w:rFonts w:ascii="Arial" w:hAnsi="Arial" w:cs="Arial"/>
                <w:szCs w:val="24"/>
              </w:rPr>
              <w:t xml:space="preserve">, has had its risk profile changed to RED </w:t>
            </w:r>
            <w:r w:rsidR="009339F4" w:rsidRPr="00470E82">
              <w:rPr>
                <w:rFonts w:ascii="Arial" w:hAnsi="Arial" w:cs="Arial"/>
                <w:szCs w:val="24"/>
              </w:rPr>
              <w:t>to reflect the ongoing supply and demand issues around pool chemical</w:t>
            </w:r>
            <w:r w:rsidR="00514B4D" w:rsidRPr="00470E82">
              <w:rPr>
                <w:rFonts w:ascii="Arial" w:hAnsi="Arial" w:cs="Arial"/>
                <w:szCs w:val="24"/>
              </w:rPr>
              <w:t>s</w:t>
            </w:r>
            <w:r w:rsidR="00621F9C">
              <w:rPr>
                <w:rFonts w:ascii="Arial" w:hAnsi="Arial" w:cs="Arial"/>
                <w:szCs w:val="24"/>
              </w:rPr>
              <w:t xml:space="preserve">, </w:t>
            </w:r>
            <w:r w:rsidR="00514B4D" w:rsidRPr="00470E82">
              <w:rPr>
                <w:rFonts w:ascii="Arial" w:hAnsi="Arial" w:cs="Arial"/>
                <w:szCs w:val="24"/>
              </w:rPr>
              <w:t xml:space="preserve">a risk management plan </w:t>
            </w:r>
            <w:r w:rsidR="00621F9C">
              <w:rPr>
                <w:rFonts w:ascii="Arial" w:hAnsi="Arial" w:cs="Arial"/>
                <w:szCs w:val="24"/>
              </w:rPr>
              <w:t xml:space="preserve">for HLH13 </w:t>
            </w:r>
            <w:r w:rsidR="00514B4D" w:rsidRPr="00470E82">
              <w:rPr>
                <w:rFonts w:ascii="Arial" w:hAnsi="Arial" w:cs="Arial"/>
                <w:szCs w:val="24"/>
              </w:rPr>
              <w:t>has been created accordingly.</w:t>
            </w:r>
            <w:r w:rsidR="00712185" w:rsidRPr="00470E82">
              <w:rPr>
                <w:rFonts w:ascii="Arial" w:hAnsi="Arial" w:cs="Arial"/>
                <w:szCs w:val="24"/>
              </w:rPr>
              <w:t xml:space="preserve"> The</w:t>
            </w:r>
            <w:r w:rsidR="00712185" w:rsidRPr="00712185">
              <w:rPr>
                <w:rFonts w:ascii="Arial" w:hAnsi="Arial" w:cs="Arial"/>
                <w:szCs w:val="24"/>
              </w:rPr>
              <w:t xml:space="preserve"> leisure team are currently dealing with the operational risk of a UK wide supply issue of </w:t>
            </w:r>
            <w:r w:rsidR="00406FC0">
              <w:rPr>
                <w:rFonts w:ascii="Arial" w:hAnsi="Arial" w:cs="Arial"/>
                <w:szCs w:val="24"/>
              </w:rPr>
              <w:t>c</w:t>
            </w:r>
            <w:r w:rsidR="00712185" w:rsidRPr="00712185">
              <w:rPr>
                <w:rFonts w:ascii="Arial" w:hAnsi="Arial" w:cs="Arial"/>
                <w:szCs w:val="24"/>
              </w:rPr>
              <w:t xml:space="preserve">hlorine, used within swimming pools.  However, we can report that sites have not only sourced alternative suppliers but they have </w:t>
            </w:r>
            <w:r w:rsidR="00712185" w:rsidRPr="00712185">
              <w:rPr>
                <w:rFonts w:ascii="Arial" w:hAnsi="Arial" w:cs="Arial"/>
                <w:szCs w:val="24"/>
              </w:rPr>
              <w:lastRenderedPageBreak/>
              <w:t>invested in their pool plant equipment to enable the pools to be able to operate with alternative chlorine compatible chemicals</w:t>
            </w:r>
            <w:r w:rsidR="00621F9C">
              <w:rPr>
                <w:rFonts w:ascii="Arial" w:hAnsi="Arial" w:cs="Arial"/>
                <w:szCs w:val="24"/>
              </w:rPr>
              <w:t xml:space="preserve">, </w:t>
            </w:r>
            <w:r w:rsidR="00712185" w:rsidRPr="00712185">
              <w:rPr>
                <w:rFonts w:ascii="Arial" w:hAnsi="Arial" w:cs="Arial"/>
                <w:szCs w:val="24"/>
              </w:rPr>
              <w:t xml:space="preserve">minimising the current supply issues.  However, this risk will continue to be monitored and reported on.  </w:t>
            </w:r>
          </w:p>
          <w:p w14:paraId="3465BBB2" w14:textId="77777777" w:rsidR="00671DBF" w:rsidRPr="005E4B32" w:rsidRDefault="00671DBF" w:rsidP="00406FC0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9DF8BD" w14:textId="39262951" w:rsidR="00250200" w:rsidRDefault="001E4737" w:rsidP="008D673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risk register presented at the Finance and Audit Committee </w:t>
            </w:r>
            <w:r w:rsidR="00286D1C">
              <w:rPr>
                <w:rFonts w:ascii="Arial" w:hAnsi="Arial" w:cs="Arial"/>
                <w:szCs w:val="24"/>
              </w:rPr>
              <w:t xml:space="preserve">on 8 August 2022, </w:t>
            </w:r>
            <w:r>
              <w:rPr>
                <w:rFonts w:ascii="Arial" w:hAnsi="Arial" w:cs="Arial"/>
                <w:szCs w:val="24"/>
              </w:rPr>
              <w:t xml:space="preserve">had undergone a comprehensive review </w:t>
            </w:r>
            <w:r w:rsidR="00E23A32">
              <w:rPr>
                <w:rFonts w:ascii="Arial" w:hAnsi="Arial" w:cs="Arial"/>
                <w:szCs w:val="24"/>
              </w:rPr>
              <w:t xml:space="preserve">by the </w:t>
            </w:r>
            <w:r>
              <w:rPr>
                <w:rFonts w:ascii="Arial" w:hAnsi="Arial" w:cs="Arial"/>
                <w:szCs w:val="24"/>
              </w:rPr>
              <w:t xml:space="preserve">Executive </w:t>
            </w:r>
            <w:r w:rsidR="00621F9C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>eam</w:t>
            </w:r>
            <w:r w:rsidR="00621F9C">
              <w:rPr>
                <w:rFonts w:ascii="Arial" w:hAnsi="Arial" w:cs="Arial"/>
                <w:szCs w:val="24"/>
              </w:rPr>
              <w:t>, facilitated by</w:t>
            </w:r>
            <w:r>
              <w:rPr>
                <w:rFonts w:ascii="Arial" w:hAnsi="Arial" w:cs="Arial"/>
                <w:szCs w:val="24"/>
              </w:rPr>
              <w:t xml:space="preserve"> the Head of Investment and Programme Management</w:t>
            </w:r>
            <w:r w:rsidR="00E23A32">
              <w:rPr>
                <w:rFonts w:ascii="Arial" w:hAnsi="Arial" w:cs="Arial"/>
                <w:szCs w:val="24"/>
              </w:rPr>
              <w:t xml:space="preserve">.  The purpose of this </w:t>
            </w:r>
            <w:r>
              <w:rPr>
                <w:rFonts w:ascii="Arial" w:hAnsi="Arial" w:cs="Arial"/>
                <w:szCs w:val="24"/>
              </w:rPr>
              <w:t xml:space="preserve">exercise </w:t>
            </w:r>
            <w:r w:rsidR="00E23A32">
              <w:rPr>
                <w:rFonts w:ascii="Arial" w:hAnsi="Arial" w:cs="Arial"/>
                <w:szCs w:val="24"/>
              </w:rPr>
              <w:t xml:space="preserve">was to </w:t>
            </w:r>
            <w:r>
              <w:rPr>
                <w:rFonts w:ascii="Arial" w:hAnsi="Arial" w:cs="Arial"/>
                <w:szCs w:val="24"/>
              </w:rPr>
              <w:t xml:space="preserve">review and capture what were </w:t>
            </w:r>
            <w:r w:rsidR="00514B4D">
              <w:rPr>
                <w:rFonts w:ascii="Arial" w:hAnsi="Arial" w:cs="Arial"/>
                <w:szCs w:val="24"/>
              </w:rPr>
              <w:t xml:space="preserve">the </w:t>
            </w:r>
            <w:r>
              <w:rPr>
                <w:rFonts w:ascii="Arial" w:hAnsi="Arial" w:cs="Arial"/>
                <w:szCs w:val="24"/>
              </w:rPr>
              <w:t>business critical risks and what wer</w:t>
            </w:r>
            <w:r w:rsidR="00E23A32">
              <w:rPr>
                <w:rFonts w:ascii="Arial" w:hAnsi="Arial" w:cs="Arial"/>
                <w:szCs w:val="24"/>
              </w:rPr>
              <w:t>e</w:t>
            </w:r>
            <w:r>
              <w:rPr>
                <w:rFonts w:ascii="Arial" w:hAnsi="Arial" w:cs="Arial"/>
                <w:szCs w:val="24"/>
              </w:rPr>
              <w:t xml:space="preserve"> in effect, operational</w:t>
            </w:r>
            <w:r w:rsidR="00621F9C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managed risks.  This resulted in a number of risks being removed from the register, to enable </w:t>
            </w:r>
            <w:r w:rsidR="00621F9C">
              <w:rPr>
                <w:rFonts w:ascii="Arial" w:hAnsi="Arial" w:cs="Arial"/>
                <w:szCs w:val="24"/>
              </w:rPr>
              <w:t xml:space="preserve">focus on </w:t>
            </w:r>
            <w:r>
              <w:rPr>
                <w:rFonts w:ascii="Arial" w:hAnsi="Arial" w:cs="Arial"/>
                <w:szCs w:val="24"/>
              </w:rPr>
              <w:t xml:space="preserve">business critical </w:t>
            </w:r>
            <w:r w:rsidR="00621F9C">
              <w:rPr>
                <w:rFonts w:ascii="Arial" w:hAnsi="Arial" w:cs="Arial"/>
                <w:szCs w:val="24"/>
              </w:rPr>
              <w:t xml:space="preserve">risks for </w:t>
            </w:r>
            <w:r>
              <w:rPr>
                <w:rFonts w:ascii="Arial" w:hAnsi="Arial" w:cs="Arial"/>
                <w:szCs w:val="24"/>
              </w:rPr>
              <w:t xml:space="preserve">review </w:t>
            </w:r>
            <w:r w:rsidR="00621F9C">
              <w:rPr>
                <w:rFonts w:ascii="Arial" w:hAnsi="Arial" w:cs="Arial"/>
                <w:szCs w:val="24"/>
              </w:rPr>
              <w:t>by</w:t>
            </w:r>
            <w:r>
              <w:rPr>
                <w:rFonts w:ascii="Arial" w:hAnsi="Arial" w:cs="Arial"/>
                <w:szCs w:val="24"/>
              </w:rPr>
              <w:t xml:space="preserve"> the Finance and Audit committee on behalf of the Board.  </w:t>
            </w:r>
          </w:p>
          <w:p w14:paraId="2E897908" w14:textId="77777777" w:rsidR="00250200" w:rsidRDefault="00250200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CC94CA7" w14:textId="6631FC6C" w:rsidR="009339F4" w:rsidRDefault="00EB019B" w:rsidP="008D673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risk register </w:t>
            </w:r>
            <w:r w:rsidR="00286D1C">
              <w:rPr>
                <w:rFonts w:ascii="Arial" w:hAnsi="Arial" w:cs="Arial"/>
                <w:szCs w:val="24"/>
              </w:rPr>
              <w:t>now indicates bo</w:t>
            </w:r>
            <w:r>
              <w:rPr>
                <w:rFonts w:ascii="Arial" w:hAnsi="Arial" w:cs="Arial"/>
                <w:szCs w:val="24"/>
              </w:rPr>
              <w:t xml:space="preserve">th pre and post mitigation risk levels.  </w:t>
            </w:r>
            <w:r w:rsidR="00286D1C">
              <w:rPr>
                <w:rFonts w:ascii="Arial" w:hAnsi="Arial" w:cs="Arial"/>
                <w:szCs w:val="24"/>
              </w:rPr>
              <w:t xml:space="preserve">With risks </w:t>
            </w:r>
            <w:r>
              <w:rPr>
                <w:rFonts w:ascii="Arial" w:hAnsi="Arial" w:cs="Arial"/>
                <w:szCs w:val="24"/>
              </w:rPr>
              <w:t>automatically profiled with R</w:t>
            </w:r>
            <w:r w:rsidR="00250200">
              <w:rPr>
                <w:rFonts w:ascii="Arial" w:hAnsi="Arial" w:cs="Arial"/>
                <w:szCs w:val="24"/>
              </w:rPr>
              <w:t>ed</w:t>
            </w:r>
            <w:r>
              <w:rPr>
                <w:rFonts w:ascii="Arial" w:hAnsi="Arial" w:cs="Arial"/>
                <w:szCs w:val="24"/>
              </w:rPr>
              <w:t xml:space="preserve">, Amber and Green status based upon a calculated formula.  </w:t>
            </w:r>
            <w:r w:rsidR="0033755C">
              <w:rPr>
                <w:rFonts w:ascii="Arial" w:hAnsi="Arial" w:cs="Arial"/>
                <w:szCs w:val="24"/>
              </w:rPr>
              <w:t>T</w:t>
            </w:r>
            <w:r w:rsidR="001E4737">
              <w:rPr>
                <w:rFonts w:ascii="Arial" w:hAnsi="Arial" w:cs="Arial"/>
                <w:szCs w:val="24"/>
              </w:rPr>
              <w:t xml:space="preserve">he register incorporated, for the first time, </w:t>
            </w:r>
            <w:r w:rsidR="00514B4D">
              <w:rPr>
                <w:rFonts w:ascii="Arial" w:hAnsi="Arial" w:cs="Arial"/>
                <w:szCs w:val="24"/>
              </w:rPr>
              <w:t xml:space="preserve">the initial thoughts around a number of </w:t>
            </w:r>
            <w:r w:rsidR="001E4737">
              <w:rPr>
                <w:rFonts w:ascii="Arial" w:hAnsi="Arial" w:cs="Arial"/>
                <w:szCs w:val="24"/>
              </w:rPr>
              <w:t>specific Trading Company risks</w:t>
            </w:r>
            <w:r>
              <w:rPr>
                <w:rFonts w:ascii="Arial" w:hAnsi="Arial" w:cs="Arial"/>
                <w:szCs w:val="24"/>
              </w:rPr>
              <w:t xml:space="preserve"> and these will be explored further within the Trading Company meeting on 31 Aug</w:t>
            </w:r>
            <w:r w:rsidR="0093038A">
              <w:rPr>
                <w:rFonts w:ascii="Arial" w:hAnsi="Arial" w:cs="Arial"/>
                <w:szCs w:val="24"/>
              </w:rPr>
              <w:t>ust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3A5DA1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>22</w:t>
            </w:r>
            <w:r w:rsidR="00286D1C">
              <w:rPr>
                <w:rFonts w:ascii="Arial" w:hAnsi="Arial" w:cs="Arial"/>
                <w:szCs w:val="24"/>
              </w:rPr>
              <w:t xml:space="preserve"> and subsequent Trading Company meetings, with all risks being reviewed and reported on to the Finance and Audit Committee.</w:t>
            </w:r>
            <w:r w:rsidR="00E23A32">
              <w:rPr>
                <w:rFonts w:ascii="Arial" w:hAnsi="Arial" w:cs="Arial"/>
                <w:szCs w:val="24"/>
              </w:rPr>
              <w:t xml:space="preserve"> </w:t>
            </w:r>
            <w:r w:rsidR="0033755C">
              <w:rPr>
                <w:rFonts w:ascii="Arial" w:hAnsi="Arial" w:cs="Arial"/>
                <w:szCs w:val="24"/>
              </w:rPr>
              <w:t xml:space="preserve">  Finally, the risk management policy statement and guidance has been amended to reflect the new register and can be found at </w:t>
            </w:r>
            <w:r w:rsidR="0033755C" w:rsidRPr="00CE7D4F">
              <w:rPr>
                <w:rFonts w:ascii="Arial" w:hAnsi="Arial" w:cs="Arial"/>
                <w:b/>
                <w:bCs/>
                <w:szCs w:val="24"/>
              </w:rPr>
              <w:t>Appendix C and D</w:t>
            </w:r>
            <w:r w:rsidR="0033755C">
              <w:rPr>
                <w:rFonts w:ascii="Arial" w:hAnsi="Arial" w:cs="Arial"/>
                <w:szCs w:val="24"/>
              </w:rPr>
              <w:t xml:space="preserve"> for review and approval.   </w:t>
            </w:r>
            <w:r w:rsidR="00E23A32">
              <w:rPr>
                <w:rFonts w:ascii="Arial" w:hAnsi="Arial" w:cs="Arial"/>
                <w:szCs w:val="24"/>
              </w:rPr>
              <w:t xml:space="preserve"> </w:t>
            </w:r>
          </w:p>
          <w:p w14:paraId="1F98E848" w14:textId="77777777" w:rsidR="009339F4" w:rsidRDefault="009339F4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270089" w14:textId="77777777" w:rsidR="008078F5" w:rsidRDefault="009339F4" w:rsidP="008D673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revised layout of the register was very well received by the Finance and Audit Committee with only a few suggestions for consideration for future issues</w:t>
            </w:r>
            <w:r w:rsidR="008078F5">
              <w:rPr>
                <w:rFonts w:ascii="Arial" w:hAnsi="Arial" w:cs="Arial"/>
                <w:szCs w:val="24"/>
              </w:rPr>
              <w:t xml:space="preserve"> as follows:</w:t>
            </w:r>
          </w:p>
          <w:p w14:paraId="1496324E" w14:textId="77777777" w:rsidR="008078F5" w:rsidRDefault="008078F5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BFDBE0" w14:textId="1780B942" w:rsidR="008078F5" w:rsidRDefault="008078F5" w:rsidP="008078F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9339F4" w:rsidRPr="008078F5">
              <w:rPr>
                <w:rFonts w:ascii="Arial" w:hAnsi="Arial" w:cs="Arial"/>
                <w:szCs w:val="24"/>
              </w:rPr>
              <w:t xml:space="preserve"> focus on how best to describe risks, how to indicate what the risk </w:t>
            </w:r>
            <w:r w:rsidR="00EB019B" w:rsidRPr="008078F5">
              <w:rPr>
                <w:rFonts w:ascii="Arial" w:hAnsi="Arial" w:cs="Arial"/>
                <w:szCs w:val="24"/>
              </w:rPr>
              <w:t>actually was</w:t>
            </w:r>
            <w:r w:rsidR="009339F4" w:rsidRPr="008078F5">
              <w:rPr>
                <w:rFonts w:ascii="Arial" w:hAnsi="Arial" w:cs="Arial"/>
                <w:szCs w:val="24"/>
              </w:rPr>
              <w:t>, what the trigger would be and what the mitigation needed to help prevent this risk</w:t>
            </w:r>
            <w:r w:rsidR="00EB019B" w:rsidRPr="008078F5">
              <w:rPr>
                <w:rFonts w:ascii="Arial" w:hAnsi="Arial" w:cs="Arial"/>
                <w:szCs w:val="24"/>
              </w:rPr>
              <w:t xml:space="preserve"> was</w:t>
            </w:r>
            <w:r w:rsidR="00286D1C">
              <w:rPr>
                <w:rFonts w:ascii="Arial" w:hAnsi="Arial" w:cs="Arial"/>
                <w:szCs w:val="24"/>
              </w:rPr>
              <w:t xml:space="preserve"> </w:t>
            </w:r>
            <w:r w:rsidR="00406FC0">
              <w:rPr>
                <w:rFonts w:ascii="Arial" w:hAnsi="Arial" w:cs="Arial"/>
                <w:szCs w:val="24"/>
              </w:rPr>
              <w:t xml:space="preserve">- </w:t>
            </w:r>
            <w:r w:rsidR="00286D1C">
              <w:rPr>
                <w:rFonts w:ascii="Arial" w:hAnsi="Arial" w:cs="Arial"/>
                <w:b/>
                <w:bCs/>
                <w:szCs w:val="24"/>
              </w:rPr>
              <w:t>Ongoing</w:t>
            </w:r>
          </w:p>
          <w:p w14:paraId="0F625C74" w14:textId="351B9AF9" w:rsidR="008078F5" w:rsidRDefault="008078F5" w:rsidP="008078F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</w:t>
            </w:r>
            <w:r w:rsidR="009339F4" w:rsidRPr="008078F5">
              <w:rPr>
                <w:rFonts w:ascii="Arial" w:hAnsi="Arial" w:cs="Arial"/>
                <w:szCs w:val="24"/>
              </w:rPr>
              <w:t xml:space="preserve">request </w:t>
            </w:r>
            <w:r>
              <w:rPr>
                <w:rFonts w:ascii="Arial" w:hAnsi="Arial" w:cs="Arial"/>
                <w:szCs w:val="24"/>
              </w:rPr>
              <w:t xml:space="preserve">after the meeting </w:t>
            </w:r>
            <w:r w:rsidR="009339F4" w:rsidRPr="008078F5">
              <w:rPr>
                <w:rFonts w:ascii="Arial" w:hAnsi="Arial" w:cs="Arial"/>
                <w:szCs w:val="24"/>
              </w:rPr>
              <w:t xml:space="preserve">to provide details of the wider </w:t>
            </w:r>
            <w:r w:rsidR="00EB019B" w:rsidRPr="008078F5">
              <w:rPr>
                <w:rFonts w:ascii="Arial" w:hAnsi="Arial" w:cs="Arial"/>
                <w:szCs w:val="24"/>
              </w:rPr>
              <w:t xml:space="preserve">risk </w:t>
            </w:r>
            <w:r w:rsidR="009339F4" w:rsidRPr="008078F5">
              <w:rPr>
                <w:rFonts w:ascii="Arial" w:hAnsi="Arial" w:cs="Arial"/>
                <w:szCs w:val="24"/>
              </w:rPr>
              <w:t>mitigation already taking place</w:t>
            </w:r>
            <w:r w:rsidR="00EB019B" w:rsidRPr="008078F5">
              <w:rPr>
                <w:rFonts w:ascii="Arial" w:hAnsi="Arial" w:cs="Arial"/>
                <w:szCs w:val="24"/>
              </w:rPr>
              <w:t>,</w:t>
            </w:r>
            <w:r w:rsidR="009339F4" w:rsidRPr="008078F5">
              <w:rPr>
                <w:rFonts w:ascii="Arial" w:hAnsi="Arial" w:cs="Arial"/>
                <w:szCs w:val="24"/>
              </w:rPr>
              <w:t xml:space="preserve"> within the </w:t>
            </w:r>
            <w:r w:rsidR="00EB019B" w:rsidRPr="008078F5">
              <w:rPr>
                <w:rFonts w:ascii="Arial" w:hAnsi="Arial" w:cs="Arial"/>
                <w:szCs w:val="24"/>
              </w:rPr>
              <w:t xml:space="preserve">existing </w:t>
            </w:r>
            <w:r w:rsidR="009339F4" w:rsidRPr="008078F5">
              <w:rPr>
                <w:rFonts w:ascii="Arial" w:hAnsi="Arial" w:cs="Arial"/>
                <w:szCs w:val="24"/>
              </w:rPr>
              <w:t>risk management plans</w:t>
            </w:r>
            <w:r w:rsidR="00712185">
              <w:rPr>
                <w:rFonts w:ascii="Arial" w:hAnsi="Arial" w:cs="Arial"/>
                <w:szCs w:val="24"/>
              </w:rPr>
              <w:t xml:space="preserve"> for HLH06 and HLH09</w:t>
            </w:r>
            <w:r w:rsidR="00286D1C">
              <w:rPr>
                <w:rFonts w:ascii="Arial" w:hAnsi="Arial" w:cs="Arial"/>
                <w:szCs w:val="24"/>
              </w:rPr>
              <w:t xml:space="preserve"> - </w:t>
            </w:r>
            <w:r w:rsidR="00286D1C" w:rsidRPr="00286D1C">
              <w:rPr>
                <w:rFonts w:ascii="Arial" w:hAnsi="Arial" w:cs="Arial"/>
                <w:b/>
                <w:bCs/>
                <w:szCs w:val="24"/>
              </w:rPr>
              <w:t>Completed</w:t>
            </w:r>
          </w:p>
          <w:p w14:paraId="5DA83ED5" w14:textId="404FD299" w:rsidR="00EB019B" w:rsidRDefault="008078F5" w:rsidP="008078F5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HLH02</w:t>
            </w:r>
            <w:r w:rsidR="00712185">
              <w:rPr>
                <w:rFonts w:ascii="Arial" w:hAnsi="Arial" w:cs="Arial"/>
                <w:szCs w:val="24"/>
              </w:rPr>
              <w:t xml:space="preserve"> - </w:t>
            </w:r>
            <w:r>
              <w:rPr>
                <w:rFonts w:ascii="Arial" w:hAnsi="Arial" w:cs="Arial"/>
                <w:szCs w:val="24"/>
              </w:rPr>
              <w:t>Rewording – Recruitment and retention issues – to reflect that this is not only linked to higher wages being paid but a broader recruitment issue – note that HLH is restricted with regards to pay flexibility</w:t>
            </w:r>
            <w:r w:rsidR="00286D1C">
              <w:rPr>
                <w:rFonts w:ascii="Arial" w:hAnsi="Arial" w:cs="Arial"/>
                <w:szCs w:val="24"/>
              </w:rPr>
              <w:t xml:space="preserve"> - </w:t>
            </w:r>
            <w:r w:rsidR="00286D1C">
              <w:rPr>
                <w:rFonts w:ascii="Arial" w:hAnsi="Arial" w:cs="Arial"/>
                <w:b/>
                <w:bCs/>
                <w:szCs w:val="24"/>
              </w:rPr>
              <w:t>Completed</w:t>
            </w:r>
          </w:p>
          <w:p w14:paraId="4BCE8413" w14:textId="020D20B8" w:rsidR="008078F5" w:rsidRPr="0054594A" w:rsidRDefault="008078F5" w:rsidP="009A20C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24"/>
              </w:rPr>
            </w:pPr>
            <w:r w:rsidRPr="00AD38E5">
              <w:rPr>
                <w:rFonts w:ascii="Arial" w:hAnsi="Arial" w:cs="Arial"/>
                <w:szCs w:val="24"/>
              </w:rPr>
              <w:t xml:space="preserve">HLH03 – an amalgamation of a number of external factors that could affect the ability of HLH to deliver services – Confirmation to the committee and </w:t>
            </w:r>
            <w:r w:rsidR="00250200" w:rsidRPr="00AD38E5">
              <w:rPr>
                <w:rFonts w:ascii="Arial" w:hAnsi="Arial" w:cs="Arial"/>
                <w:szCs w:val="24"/>
              </w:rPr>
              <w:t xml:space="preserve">here </w:t>
            </w:r>
            <w:r w:rsidRPr="00AD38E5">
              <w:rPr>
                <w:rFonts w:ascii="Arial" w:hAnsi="Arial" w:cs="Arial"/>
                <w:szCs w:val="24"/>
              </w:rPr>
              <w:t>to the Board</w:t>
            </w:r>
            <w:r w:rsidR="00250200" w:rsidRPr="00AD38E5">
              <w:rPr>
                <w:rFonts w:ascii="Arial" w:hAnsi="Arial" w:cs="Arial"/>
                <w:szCs w:val="24"/>
              </w:rPr>
              <w:t xml:space="preserve">, </w:t>
            </w:r>
            <w:r w:rsidRPr="00AD38E5">
              <w:rPr>
                <w:rFonts w:ascii="Arial" w:hAnsi="Arial" w:cs="Arial"/>
                <w:szCs w:val="24"/>
              </w:rPr>
              <w:t xml:space="preserve">that </w:t>
            </w:r>
            <w:r w:rsidR="00AD38E5" w:rsidRPr="00AD38E5">
              <w:rPr>
                <w:rFonts w:ascii="Arial" w:hAnsi="Arial" w:cs="Arial"/>
                <w:szCs w:val="24"/>
              </w:rPr>
              <w:t>this is to highlight an overarching risk</w:t>
            </w:r>
            <w:r w:rsidR="009D624C">
              <w:rPr>
                <w:rFonts w:ascii="Arial" w:hAnsi="Arial" w:cs="Arial"/>
                <w:szCs w:val="24"/>
              </w:rPr>
              <w:t xml:space="preserve"> possibility</w:t>
            </w:r>
            <w:r w:rsidR="00AD38E5" w:rsidRPr="00AD38E5">
              <w:rPr>
                <w:rFonts w:ascii="Arial" w:hAnsi="Arial" w:cs="Arial"/>
                <w:szCs w:val="24"/>
              </w:rPr>
              <w:t>.  W</w:t>
            </w:r>
            <w:r w:rsidRPr="00AD38E5">
              <w:rPr>
                <w:rFonts w:ascii="Arial" w:hAnsi="Arial" w:cs="Arial"/>
                <w:szCs w:val="24"/>
              </w:rPr>
              <w:t xml:space="preserve">hilst it lists various scenarios, any particular emerging risk </w:t>
            </w:r>
            <w:r w:rsidR="00AD38E5" w:rsidRPr="00AD38E5">
              <w:rPr>
                <w:rFonts w:ascii="Arial" w:hAnsi="Arial" w:cs="Arial"/>
                <w:szCs w:val="24"/>
              </w:rPr>
              <w:t xml:space="preserve">that is ‘triggered’ would </w:t>
            </w:r>
            <w:r w:rsidRPr="00AD38E5">
              <w:rPr>
                <w:rFonts w:ascii="Arial" w:hAnsi="Arial" w:cs="Arial"/>
                <w:szCs w:val="24"/>
              </w:rPr>
              <w:t xml:space="preserve">require a separate entry and risk management plan and as such, the plan was to retain </w:t>
            </w:r>
            <w:r w:rsidR="00250200" w:rsidRPr="00AD38E5">
              <w:rPr>
                <w:rFonts w:ascii="Arial" w:hAnsi="Arial" w:cs="Arial"/>
                <w:szCs w:val="24"/>
              </w:rPr>
              <w:t xml:space="preserve">the </w:t>
            </w:r>
            <w:r w:rsidR="00712185" w:rsidRPr="00AD38E5">
              <w:rPr>
                <w:rFonts w:ascii="Arial" w:hAnsi="Arial" w:cs="Arial"/>
                <w:szCs w:val="24"/>
              </w:rPr>
              <w:t>amalgamated</w:t>
            </w:r>
            <w:r w:rsidRPr="00AD38E5">
              <w:rPr>
                <w:rFonts w:ascii="Arial" w:hAnsi="Arial" w:cs="Arial"/>
                <w:szCs w:val="24"/>
              </w:rPr>
              <w:t xml:space="preserve"> </w:t>
            </w:r>
            <w:r w:rsidR="00250200" w:rsidRPr="00AD38E5">
              <w:rPr>
                <w:rFonts w:ascii="Arial" w:hAnsi="Arial" w:cs="Arial"/>
                <w:szCs w:val="24"/>
              </w:rPr>
              <w:t xml:space="preserve">list </w:t>
            </w:r>
            <w:r w:rsidRPr="00AD38E5">
              <w:rPr>
                <w:rFonts w:ascii="Arial" w:hAnsi="Arial" w:cs="Arial"/>
                <w:szCs w:val="24"/>
              </w:rPr>
              <w:t xml:space="preserve">for the moment </w:t>
            </w:r>
            <w:r w:rsidR="00250200" w:rsidRPr="00AD38E5">
              <w:rPr>
                <w:rFonts w:ascii="Arial" w:hAnsi="Arial" w:cs="Arial"/>
                <w:szCs w:val="24"/>
              </w:rPr>
              <w:t>and monitor and adjust if necessary</w:t>
            </w:r>
            <w:r w:rsidR="00AD38E5" w:rsidRPr="00AD38E5">
              <w:rPr>
                <w:rFonts w:ascii="Arial" w:hAnsi="Arial" w:cs="Arial"/>
                <w:szCs w:val="24"/>
              </w:rPr>
              <w:t xml:space="preserve"> </w:t>
            </w:r>
            <w:r w:rsidR="0054594A">
              <w:rPr>
                <w:rFonts w:ascii="Arial" w:hAnsi="Arial" w:cs="Arial"/>
                <w:szCs w:val="24"/>
              </w:rPr>
              <w:t>–</w:t>
            </w:r>
            <w:r w:rsidR="00286D1C" w:rsidRPr="00AD38E5">
              <w:rPr>
                <w:rFonts w:ascii="Arial" w:hAnsi="Arial" w:cs="Arial"/>
                <w:szCs w:val="24"/>
              </w:rPr>
              <w:t xml:space="preserve"> </w:t>
            </w:r>
            <w:r w:rsidR="00286D1C" w:rsidRPr="00AD38E5">
              <w:rPr>
                <w:rFonts w:ascii="Arial" w:hAnsi="Arial" w:cs="Arial"/>
                <w:b/>
                <w:bCs/>
                <w:szCs w:val="24"/>
              </w:rPr>
              <w:t>Closed</w:t>
            </w:r>
          </w:p>
          <w:p w14:paraId="00ED1E9D" w14:textId="04C7606A" w:rsidR="0054594A" w:rsidRPr="00AD38E5" w:rsidRDefault="0054594A" w:rsidP="009A20C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Consideration of including the risk of ‘going concern’ into the register.  The </w:t>
            </w:r>
            <w:r w:rsidR="007A1D9F">
              <w:rPr>
                <w:rFonts w:ascii="Arial" w:hAnsi="Arial" w:cs="Arial"/>
                <w:szCs w:val="24"/>
              </w:rPr>
              <w:t>H</w:t>
            </w:r>
            <w:r>
              <w:rPr>
                <w:rFonts w:ascii="Arial" w:hAnsi="Arial" w:cs="Arial"/>
                <w:szCs w:val="24"/>
              </w:rPr>
              <w:t xml:space="preserve">ead of Finance is due to meet with the Highland Council regarding </w:t>
            </w:r>
            <w:r w:rsidR="00E6259E">
              <w:rPr>
                <w:rFonts w:ascii="Arial" w:hAnsi="Arial" w:cs="Arial"/>
                <w:szCs w:val="24"/>
              </w:rPr>
              <w:t xml:space="preserve">the provision of a </w:t>
            </w:r>
            <w:r>
              <w:rPr>
                <w:rFonts w:ascii="Arial" w:hAnsi="Arial" w:cs="Arial"/>
                <w:szCs w:val="24"/>
              </w:rPr>
              <w:t>letter of comfort from them, on 18 Aug</w:t>
            </w:r>
            <w:r w:rsidR="0093038A">
              <w:rPr>
                <w:rFonts w:ascii="Arial" w:hAnsi="Arial" w:cs="Arial"/>
                <w:szCs w:val="24"/>
              </w:rPr>
              <w:t>ust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87DF9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 xml:space="preserve">22.  A verbal update will be provided on </w:t>
            </w:r>
            <w:r w:rsidR="00E6259E">
              <w:rPr>
                <w:rFonts w:ascii="Arial" w:hAnsi="Arial" w:cs="Arial"/>
                <w:szCs w:val="24"/>
              </w:rPr>
              <w:t>the outcome of this discussion</w:t>
            </w:r>
            <w:r>
              <w:rPr>
                <w:rFonts w:ascii="Arial" w:hAnsi="Arial" w:cs="Arial"/>
                <w:szCs w:val="24"/>
              </w:rPr>
              <w:t xml:space="preserve"> at the meeting on 31 Aug</w:t>
            </w:r>
            <w:r w:rsidR="0093038A">
              <w:rPr>
                <w:rFonts w:ascii="Arial" w:hAnsi="Arial" w:cs="Arial"/>
                <w:szCs w:val="24"/>
              </w:rPr>
              <w:t>ust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87DF9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 xml:space="preserve">22. </w:t>
            </w:r>
            <w:r w:rsidR="00E6259E">
              <w:rPr>
                <w:rFonts w:ascii="Arial" w:hAnsi="Arial" w:cs="Arial"/>
                <w:szCs w:val="24"/>
              </w:rPr>
              <w:t xml:space="preserve">- </w:t>
            </w:r>
            <w:r w:rsidR="00E6259E">
              <w:rPr>
                <w:rFonts w:ascii="Arial" w:hAnsi="Arial" w:cs="Arial"/>
                <w:b/>
                <w:bCs/>
                <w:szCs w:val="24"/>
              </w:rPr>
              <w:t>Ongoing</w:t>
            </w:r>
          </w:p>
          <w:p w14:paraId="202D9840" w14:textId="77777777" w:rsidR="00EB019B" w:rsidRDefault="00EB019B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4F150D47" w14:textId="239269E5" w:rsidR="009F478B" w:rsidRDefault="009339F4" w:rsidP="008D673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r w:rsidR="00FC7EBE">
              <w:rPr>
                <w:rFonts w:ascii="Arial" w:hAnsi="Arial" w:cs="Arial"/>
                <w:szCs w:val="24"/>
              </w:rPr>
              <w:t>H</w:t>
            </w:r>
            <w:r>
              <w:rPr>
                <w:rFonts w:ascii="Arial" w:hAnsi="Arial" w:cs="Arial"/>
                <w:szCs w:val="24"/>
              </w:rPr>
              <w:t xml:space="preserve">ead of Investment and Programme Management </w:t>
            </w:r>
            <w:r w:rsidR="00E12454">
              <w:rPr>
                <w:rFonts w:ascii="Arial" w:hAnsi="Arial" w:cs="Arial"/>
                <w:szCs w:val="24"/>
              </w:rPr>
              <w:t xml:space="preserve">has arranged </w:t>
            </w:r>
            <w:r>
              <w:rPr>
                <w:rFonts w:ascii="Arial" w:hAnsi="Arial" w:cs="Arial"/>
                <w:szCs w:val="24"/>
              </w:rPr>
              <w:t xml:space="preserve">to </w:t>
            </w:r>
            <w:r w:rsidR="00286D1C">
              <w:rPr>
                <w:rFonts w:ascii="Arial" w:hAnsi="Arial" w:cs="Arial"/>
                <w:szCs w:val="24"/>
              </w:rPr>
              <w:t xml:space="preserve">attend individual meetings with </w:t>
            </w:r>
            <w:r w:rsidR="00E12454">
              <w:rPr>
                <w:rFonts w:ascii="Arial" w:hAnsi="Arial" w:cs="Arial"/>
                <w:szCs w:val="24"/>
              </w:rPr>
              <w:t xml:space="preserve">two </w:t>
            </w:r>
            <w:r w:rsidR="00286D1C">
              <w:rPr>
                <w:rFonts w:ascii="Arial" w:hAnsi="Arial" w:cs="Arial"/>
                <w:szCs w:val="24"/>
              </w:rPr>
              <w:t xml:space="preserve">Finance and Audit Committee members </w:t>
            </w:r>
            <w:r>
              <w:rPr>
                <w:rFonts w:ascii="Arial" w:hAnsi="Arial" w:cs="Arial"/>
                <w:szCs w:val="24"/>
              </w:rPr>
              <w:t xml:space="preserve">on </w:t>
            </w:r>
            <w:r w:rsidR="00224069">
              <w:rPr>
                <w:rFonts w:ascii="Arial" w:hAnsi="Arial" w:cs="Arial"/>
                <w:szCs w:val="24"/>
              </w:rPr>
              <w:t xml:space="preserve">17 and </w:t>
            </w:r>
            <w:r>
              <w:rPr>
                <w:rFonts w:ascii="Arial" w:hAnsi="Arial" w:cs="Arial"/>
                <w:szCs w:val="24"/>
              </w:rPr>
              <w:t>24 Aug</w:t>
            </w:r>
            <w:r w:rsidR="0093038A">
              <w:rPr>
                <w:rFonts w:ascii="Arial" w:hAnsi="Arial" w:cs="Arial"/>
                <w:szCs w:val="24"/>
              </w:rPr>
              <w:t>ust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E87DF9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 xml:space="preserve">22, to consider </w:t>
            </w:r>
            <w:r w:rsidR="00250200">
              <w:rPr>
                <w:rFonts w:ascii="Arial" w:hAnsi="Arial" w:cs="Arial"/>
                <w:szCs w:val="24"/>
              </w:rPr>
              <w:t xml:space="preserve">the above suggestions </w:t>
            </w:r>
            <w:r>
              <w:rPr>
                <w:rFonts w:ascii="Arial" w:hAnsi="Arial" w:cs="Arial"/>
                <w:szCs w:val="24"/>
              </w:rPr>
              <w:t>and also review how other organisations manage risks.</w:t>
            </w:r>
            <w:r w:rsidR="00250200">
              <w:rPr>
                <w:rFonts w:ascii="Arial" w:hAnsi="Arial" w:cs="Arial"/>
                <w:szCs w:val="24"/>
              </w:rPr>
              <w:t xml:space="preserve">  The outcome of these discussions will be reflected in the review of the risk register by the Finance and Audit Committee in Nov</w:t>
            </w:r>
            <w:r w:rsidR="0093038A">
              <w:rPr>
                <w:rFonts w:ascii="Arial" w:hAnsi="Arial" w:cs="Arial"/>
                <w:szCs w:val="24"/>
              </w:rPr>
              <w:t>ember</w:t>
            </w:r>
            <w:r w:rsidR="00250200">
              <w:rPr>
                <w:rFonts w:ascii="Arial" w:hAnsi="Arial" w:cs="Arial"/>
                <w:szCs w:val="24"/>
              </w:rPr>
              <w:t xml:space="preserve"> </w:t>
            </w:r>
            <w:r w:rsidR="00FC7EBE">
              <w:rPr>
                <w:rFonts w:ascii="Arial" w:hAnsi="Arial" w:cs="Arial"/>
                <w:szCs w:val="24"/>
              </w:rPr>
              <w:t>20</w:t>
            </w:r>
            <w:r w:rsidR="00250200">
              <w:rPr>
                <w:rFonts w:ascii="Arial" w:hAnsi="Arial" w:cs="Arial"/>
                <w:szCs w:val="24"/>
              </w:rPr>
              <w:t>22.</w:t>
            </w:r>
          </w:p>
          <w:p w14:paraId="272CE10C" w14:textId="77777777" w:rsidR="001E4737" w:rsidRPr="005E4B32" w:rsidRDefault="001E4737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5AE9232D" w14:textId="68F10050" w:rsidR="00E23A32" w:rsidRDefault="009F478B" w:rsidP="009F478B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The risk register continues to be reviewed and challenged regularly at </w:t>
            </w:r>
            <w:r w:rsidR="00E23A32">
              <w:rPr>
                <w:rFonts w:ascii="Arial" w:hAnsi="Arial" w:cs="Arial"/>
                <w:szCs w:val="24"/>
              </w:rPr>
              <w:t xml:space="preserve">management </w:t>
            </w:r>
            <w:r w:rsidRPr="005E4B32">
              <w:rPr>
                <w:rFonts w:ascii="Arial" w:hAnsi="Arial" w:cs="Arial"/>
                <w:szCs w:val="24"/>
              </w:rPr>
              <w:t xml:space="preserve">meetings across HLH, with </w:t>
            </w:r>
            <w:r w:rsidR="00712185">
              <w:rPr>
                <w:rFonts w:ascii="Arial" w:hAnsi="Arial" w:cs="Arial"/>
                <w:szCs w:val="24"/>
              </w:rPr>
              <w:t xml:space="preserve">only </w:t>
            </w:r>
            <w:r w:rsidR="00250200">
              <w:rPr>
                <w:rFonts w:ascii="Arial" w:hAnsi="Arial" w:cs="Arial"/>
                <w:szCs w:val="24"/>
              </w:rPr>
              <w:t xml:space="preserve">the </w:t>
            </w:r>
            <w:r w:rsidR="00712185">
              <w:rPr>
                <w:rFonts w:ascii="Arial" w:hAnsi="Arial" w:cs="Arial"/>
                <w:szCs w:val="24"/>
              </w:rPr>
              <w:t xml:space="preserve">one </w:t>
            </w:r>
            <w:r w:rsidRPr="005E4B32">
              <w:rPr>
                <w:rFonts w:ascii="Arial" w:hAnsi="Arial" w:cs="Arial"/>
                <w:szCs w:val="24"/>
              </w:rPr>
              <w:t xml:space="preserve">risk profile change to report since the </w:t>
            </w:r>
            <w:r w:rsidR="00712185">
              <w:rPr>
                <w:rFonts w:ascii="Arial" w:hAnsi="Arial" w:cs="Arial"/>
                <w:szCs w:val="24"/>
              </w:rPr>
              <w:t xml:space="preserve">8 </w:t>
            </w:r>
            <w:r w:rsidR="00531475" w:rsidRPr="005E4B32">
              <w:rPr>
                <w:rFonts w:ascii="Arial" w:hAnsi="Arial" w:cs="Arial"/>
                <w:szCs w:val="24"/>
              </w:rPr>
              <w:t>August</w:t>
            </w:r>
            <w:r w:rsidRPr="005E4B32">
              <w:rPr>
                <w:rFonts w:ascii="Arial" w:hAnsi="Arial" w:cs="Arial"/>
                <w:szCs w:val="24"/>
              </w:rPr>
              <w:t xml:space="preserve"> 202</w:t>
            </w:r>
            <w:r w:rsidR="00712185">
              <w:rPr>
                <w:rFonts w:ascii="Arial" w:hAnsi="Arial" w:cs="Arial"/>
                <w:szCs w:val="24"/>
              </w:rPr>
              <w:t>2</w:t>
            </w:r>
            <w:r w:rsidR="00286D1C">
              <w:rPr>
                <w:rFonts w:ascii="Arial" w:hAnsi="Arial" w:cs="Arial"/>
                <w:szCs w:val="24"/>
              </w:rPr>
              <w:t>,</w:t>
            </w:r>
            <w:r w:rsidRPr="005E4B32">
              <w:rPr>
                <w:rFonts w:ascii="Arial" w:hAnsi="Arial" w:cs="Arial"/>
                <w:szCs w:val="24"/>
              </w:rPr>
              <w:t xml:space="preserve"> Finance and Audit Committee meeting</w:t>
            </w:r>
            <w:r w:rsidR="00712185">
              <w:rPr>
                <w:rFonts w:ascii="Arial" w:hAnsi="Arial" w:cs="Arial"/>
                <w:szCs w:val="24"/>
              </w:rPr>
              <w:t>, as mentioned above.</w:t>
            </w:r>
            <w:r w:rsidRPr="005E4B32">
              <w:rPr>
                <w:rFonts w:ascii="Arial" w:hAnsi="Arial" w:cs="Arial"/>
                <w:szCs w:val="24"/>
              </w:rPr>
              <w:t xml:space="preserve">  </w:t>
            </w:r>
          </w:p>
          <w:p w14:paraId="7849633A" w14:textId="77777777" w:rsidR="00E23A32" w:rsidRDefault="00E23A32" w:rsidP="009F478B">
            <w:pPr>
              <w:jc w:val="both"/>
              <w:rPr>
                <w:rFonts w:ascii="Arial" w:hAnsi="Arial" w:cs="Arial"/>
                <w:szCs w:val="24"/>
              </w:rPr>
            </w:pPr>
          </w:p>
          <w:p w14:paraId="51601D51" w14:textId="3D9265A2" w:rsidR="00B23906" w:rsidRDefault="00B23906" w:rsidP="00E23A32">
            <w:pPr>
              <w:jc w:val="both"/>
              <w:rPr>
                <w:rFonts w:ascii="Arial" w:hAnsi="Arial" w:cs="Arial"/>
                <w:szCs w:val="24"/>
              </w:rPr>
            </w:pPr>
            <w:r w:rsidRPr="00B23906">
              <w:rPr>
                <w:rFonts w:ascii="Arial" w:hAnsi="Arial" w:cs="Arial"/>
                <w:szCs w:val="24"/>
              </w:rPr>
              <w:t>In the previous year’s review, the board were requested to note an emerging risk incorporated within the then numbered risk HLH19</w:t>
            </w:r>
            <w:r w:rsidR="009D624C">
              <w:rPr>
                <w:rFonts w:ascii="Arial" w:hAnsi="Arial" w:cs="Arial"/>
                <w:szCs w:val="24"/>
              </w:rPr>
              <w:t xml:space="preserve"> (now HLH06)</w:t>
            </w:r>
            <w:r w:rsidRPr="00B23906">
              <w:rPr>
                <w:rFonts w:ascii="Arial" w:hAnsi="Arial" w:cs="Arial"/>
                <w:szCs w:val="24"/>
              </w:rPr>
              <w:t xml:space="preserve">, relating to the non-achievement of income.  The  </w:t>
            </w:r>
            <w:r w:rsidR="009D624C">
              <w:rPr>
                <w:rFonts w:ascii="Arial" w:hAnsi="Arial" w:cs="Arial"/>
                <w:szCs w:val="24"/>
              </w:rPr>
              <w:t xml:space="preserve">emergent </w:t>
            </w:r>
            <w:r w:rsidRPr="00B23906">
              <w:rPr>
                <w:rFonts w:ascii="Arial" w:hAnsi="Arial" w:cs="Arial"/>
                <w:szCs w:val="24"/>
              </w:rPr>
              <w:t>risk, related to the Scottish Government’s decision to remove the fees associated with music tuition.  While the SG have fully funded provision for 22/23 they are continuing to monitor the impact of this policy change on service delivery and explore how the service will be delivered in future</w:t>
            </w:r>
            <w:r>
              <w:rPr>
                <w:rFonts w:ascii="Arial" w:hAnsi="Arial" w:cs="Arial"/>
                <w:szCs w:val="24"/>
              </w:rPr>
              <w:t xml:space="preserve"> years</w:t>
            </w:r>
            <w:r w:rsidRPr="00B23906">
              <w:rPr>
                <w:rFonts w:ascii="Arial" w:hAnsi="Arial" w:cs="Arial"/>
                <w:szCs w:val="24"/>
              </w:rPr>
              <w:t xml:space="preserve">. </w:t>
            </w:r>
          </w:p>
          <w:p w14:paraId="27A0F8F8" w14:textId="77777777" w:rsidR="00B23906" w:rsidRDefault="00B23906" w:rsidP="00E23A32">
            <w:pPr>
              <w:jc w:val="both"/>
              <w:rPr>
                <w:rFonts w:ascii="Arial" w:hAnsi="Arial" w:cs="Arial"/>
                <w:szCs w:val="24"/>
              </w:rPr>
            </w:pPr>
          </w:p>
          <w:p w14:paraId="62AD8F7F" w14:textId="320882DA" w:rsidR="00092127" w:rsidRDefault="00B23906" w:rsidP="00E23A32">
            <w:pPr>
              <w:jc w:val="both"/>
              <w:rPr>
                <w:rFonts w:ascii="Arial" w:hAnsi="Arial" w:cs="Arial"/>
                <w:szCs w:val="24"/>
              </w:rPr>
            </w:pPr>
            <w:r w:rsidRPr="00B23906">
              <w:rPr>
                <w:rFonts w:ascii="Arial" w:hAnsi="Arial" w:cs="Arial"/>
                <w:szCs w:val="24"/>
              </w:rPr>
              <w:t>The Highland Council and HLH are continuing to engage with COSLA and the Scottish Government as part of this process and the risk will continue to be monitored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0BBAE83A" w14:textId="657C0A8C" w:rsidR="00B23906" w:rsidRPr="005E4B32" w:rsidRDefault="00B23906" w:rsidP="00E23A32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570B" w:rsidRPr="005E4B32" w14:paraId="7D2B2109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6D312137" w14:textId="77777777" w:rsidR="0079570B" w:rsidRPr="005E4B32" w:rsidRDefault="0079570B" w:rsidP="00E75B0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lastRenderedPageBreak/>
              <w:t>3.</w:t>
            </w:r>
          </w:p>
        </w:tc>
        <w:tc>
          <w:tcPr>
            <w:tcW w:w="8647" w:type="dxa"/>
          </w:tcPr>
          <w:p w14:paraId="10D4218F" w14:textId="77777777" w:rsidR="0079570B" w:rsidRPr="005E4B32" w:rsidRDefault="0079570B" w:rsidP="00E75B01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The Risk Register</w:t>
            </w:r>
          </w:p>
          <w:p w14:paraId="3518380D" w14:textId="77777777" w:rsidR="0079570B" w:rsidRPr="005E4B32" w:rsidRDefault="0079570B" w:rsidP="00E75B0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9570B" w:rsidRPr="005E4B32" w14:paraId="3D04D7AE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7A9F600F" w14:textId="77777777" w:rsidR="0079570B" w:rsidRPr="005E4B32" w:rsidRDefault="0079570B" w:rsidP="00E75B0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3.1</w:t>
            </w:r>
          </w:p>
        </w:tc>
        <w:tc>
          <w:tcPr>
            <w:tcW w:w="8647" w:type="dxa"/>
          </w:tcPr>
          <w:p w14:paraId="4F352126" w14:textId="5CEFA895" w:rsidR="007508F7" w:rsidRPr="005E4B32" w:rsidRDefault="0079570B" w:rsidP="007508F7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The Risk Register is included at </w:t>
            </w:r>
            <w:r w:rsidRPr="005E4B32">
              <w:rPr>
                <w:rFonts w:ascii="Arial" w:hAnsi="Arial" w:cs="Arial"/>
                <w:b/>
                <w:szCs w:val="24"/>
              </w:rPr>
              <w:t>Appendix A</w:t>
            </w:r>
            <w:r w:rsidR="00D2279E" w:rsidRPr="005E4B32">
              <w:rPr>
                <w:rFonts w:ascii="Arial" w:hAnsi="Arial" w:cs="Arial"/>
                <w:szCs w:val="24"/>
              </w:rPr>
              <w:t xml:space="preserve"> </w:t>
            </w:r>
            <w:r w:rsidRPr="005E4B32">
              <w:rPr>
                <w:rFonts w:ascii="Arial" w:hAnsi="Arial" w:cs="Arial"/>
                <w:szCs w:val="24"/>
              </w:rPr>
              <w:t xml:space="preserve">and </w:t>
            </w:r>
            <w:r w:rsidR="007508F7" w:rsidRPr="005E4B32">
              <w:rPr>
                <w:rFonts w:ascii="Arial" w:hAnsi="Arial" w:cs="Arial"/>
                <w:szCs w:val="24"/>
              </w:rPr>
              <w:t xml:space="preserve">the Board is asked to identify any risks that are not included in the register and score these and approve the register as part of the annual review.  </w:t>
            </w:r>
          </w:p>
          <w:p w14:paraId="444598D4" w14:textId="77777777" w:rsidR="007508F7" w:rsidRPr="005E4B32" w:rsidRDefault="007508F7" w:rsidP="007508F7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79570B" w:rsidRPr="005E4B32" w14:paraId="7D83158C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7DD2FFCE" w14:textId="77777777" w:rsidR="0079570B" w:rsidRPr="005E4B32" w:rsidRDefault="0079570B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4.</w:t>
            </w:r>
          </w:p>
          <w:p w14:paraId="22AC7A9F" w14:textId="77777777" w:rsidR="0079570B" w:rsidRPr="005E4B32" w:rsidRDefault="0079570B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4DE8F81B" w14:textId="77777777" w:rsidR="0079570B" w:rsidRPr="005E4B32" w:rsidRDefault="0079570B" w:rsidP="00E619D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Risk Management Plans</w:t>
            </w:r>
          </w:p>
        </w:tc>
      </w:tr>
      <w:tr w:rsidR="009339F4" w:rsidRPr="005E4B32" w14:paraId="1472D358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28DE91B9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4.1  </w:t>
            </w:r>
          </w:p>
          <w:p w14:paraId="7D893567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3D2B066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4C5F5D3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09745F0C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7BC83664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45CEC52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BBDBD3D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02A5742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CF392BF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18BA3DB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C7F7B31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5B8AD88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A36CE00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87E4AFC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13740DD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77B4E3F" w14:textId="77777777" w:rsidR="009339F4" w:rsidRP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2A1A61C3" w14:textId="77777777" w:rsidR="00712185" w:rsidRDefault="00712185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C9478BC" w14:textId="77777777" w:rsidR="00712185" w:rsidRDefault="00712185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06EF619" w14:textId="51253CA5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4.2</w:t>
            </w:r>
          </w:p>
          <w:p w14:paraId="4BE3F366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2FD737D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044374F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40AB4AE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6A05BA1" w14:textId="2DA0F74C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14:paraId="65EDC290" w14:textId="21A25BFC" w:rsidR="009339F4" w:rsidRPr="00005E0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  <w:r w:rsidRPr="00005E02">
              <w:rPr>
                <w:rFonts w:ascii="Arial" w:hAnsi="Arial" w:cs="Arial"/>
                <w:szCs w:val="24"/>
              </w:rPr>
              <w:t xml:space="preserve">There </w:t>
            </w:r>
            <w:r w:rsidRPr="00250200">
              <w:rPr>
                <w:rFonts w:ascii="Arial" w:hAnsi="Arial" w:cs="Arial"/>
                <w:szCs w:val="24"/>
              </w:rPr>
              <w:t xml:space="preserve">are </w:t>
            </w:r>
            <w:r w:rsidR="008078F5" w:rsidRPr="00250200">
              <w:rPr>
                <w:rFonts w:ascii="Arial" w:hAnsi="Arial" w:cs="Arial"/>
                <w:szCs w:val="24"/>
              </w:rPr>
              <w:t>ten</w:t>
            </w:r>
            <w:r w:rsidRPr="00250200">
              <w:rPr>
                <w:rFonts w:ascii="Arial" w:hAnsi="Arial" w:cs="Arial"/>
                <w:szCs w:val="24"/>
              </w:rPr>
              <w:t xml:space="preserve"> risks</w:t>
            </w:r>
            <w:r w:rsidRPr="00005E02">
              <w:rPr>
                <w:rFonts w:ascii="Arial" w:hAnsi="Arial" w:cs="Arial"/>
                <w:szCs w:val="24"/>
              </w:rPr>
              <w:t xml:space="preserve"> scored as being “above the line” and requiring risk management plans</w:t>
            </w:r>
            <w:r>
              <w:rPr>
                <w:rFonts w:ascii="Arial" w:hAnsi="Arial" w:cs="Arial"/>
                <w:szCs w:val="24"/>
              </w:rPr>
              <w:t xml:space="preserve"> (RMPs)</w:t>
            </w:r>
            <w:r w:rsidRPr="00005E02">
              <w:rPr>
                <w:rFonts w:ascii="Arial" w:hAnsi="Arial" w:cs="Arial"/>
                <w:szCs w:val="24"/>
              </w:rPr>
              <w:t xml:space="preserve">. </w:t>
            </w:r>
            <w:r>
              <w:rPr>
                <w:rFonts w:ascii="Arial" w:hAnsi="Arial" w:cs="Arial"/>
                <w:szCs w:val="24"/>
              </w:rPr>
              <w:t xml:space="preserve">Within the new format all risks which score 6 or below, will automatically require a RMP and be rated as ‘red’. Please note that HLH05 and 08 share an RMP. </w:t>
            </w:r>
            <w:r w:rsidR="00250200">
              <w:rPr>
                <w:rFonts w:ascii="Arial" w:hAnsi="Arial" w:cs="Arial"/>
                <w:szCs w:val="24"/>
              </w:rPr>
              <w:t xml:space="preserve"> The RMPs are available at </w:t>
            </w:r>
            <w:r w:rsidR="00250200">
              <w:rPr>
                <w:rFonts w:ascii="Arial" w:hAnsi="Arial" w:cs="Arial"/>
                <w:b/>
                <w:bCs/>
                <w:szCs w:val="24"/>
              </w:rPr>
              <w:t>Appendix B</w:t>
            </w:r>
            <w:r w:rsidRPr="00005E02">
              <w:rPr>
                <w:rFonts w:ascii="Arial" w:hAnsi="Arial" w:cs="Arial"/>
                <w:szCs w:val="24"/>
              </w:rPr>
              <w:t xml:space="preserve"> </w:t>
            </w:r>
          </w:p>
          <w:p w14:paraId="6D4DFA22" w14:textId="77777777" w:rsidR="009339F4" w:rsidRPr="00005E0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381D2CD" w14:textId="77777777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005E02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01</w:t>
            </w:r>
            <w:r w:rsidRPr="00F7458A">
              <w:rPr>
                <w:rFonts w:ascii="Arial" w:hAnsi="Arial" w:cs="Arial"/>
                <w:szCs w:val="24"/>
              </w:rPr>
              <w:t xml:space="preserve"> - </w:t>
            </w:r>
            <w:r w:rsidRPr="00005E02">
              <w:rPr>
                <w:rFonts w:ascii="Arial" w:hAnsi="Arial" w:cs="Arial"/>
                <w:szCs w:val="24"/>
              </w:rPr>
              <w:t>Impact of the HLH Capital programme</w:t>
            </w:r>
            <w:r w:rsidRPr="00F7458A">
              <w:rPr>
                <w:rFonts w:ascii="Arial" w:hAnsi="Arial" w:cs="Arial"/>
                <w:szCs w:val="24"/>
              </w:rPr>
              <w:t xml:space="preserve"> </w:t>
            </w:r>
          </w:p>
          <w:p w14:paraId="0680E468" w14:textId="77777777" w:rsidR="009339F4" w:rsidRPr="00413A4C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413A4C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HLH02</w:t>
            </w:r>
            <w:r w:rsidRPr="00413A4C">
              <w:rPr>
                <w:rFonts w:ascii="Arial" w:hAnsi="Arial" w:cs="Arial"/>
                <w:szCs w:val="24"/>
              </w:rPr>
              <w:t xml:space="preserve"> - Recruitment and retention issues</w:t>
            </w:r>
          </w:p>
          <w:p w14:paraId="19C72CC5" w14:textId="77777777" w:rsidR="009339F4" w:rsidRPr="00005E02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005E02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03</w:t>
            </w:r>
            <w:r w:rsidRPr="00005E02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005E02">
              <w:rPr>
                <w:rFonts w:ascii="Arial" w:hAnsi="Arial" w:cs="Arial"/>
                <w:szCs w:val="24"/>
              </w:rPr>
              <w:t xml:space="preserve">- Major </w:t>
            </w:r>
            <w:r>
              <w:rPr>
                <w:rFonts w:ascii="Arial" w:hAnsi="Arial" w:cs="Arial"/>
                <w:szCs w:val="24"/>
              </w:rPr>
              <w:t xml:space="preserve">external </w:t>
            </w:r>
            <w:r w:rsidRPr="00005E02">
              <w:rPr>
                <w:rFonts w:ascii="Arial" w:hAnsi="Arial" w:cs="Arial"/>
                <w:szCs w:val="24"/>
              </w:rPr>
              <w:t xml:space="preserve">issues affecting service delivery </w:t>
            </w:r>
          </w:p>
          <w:p w14:paraId="090D43E2" w14:textId="77777777" w:rsidR="009339F4" w:rsidRPr="007B3DFA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413A4C">
              <w:rPr>
                <w:rFonts w:ascii="Arial" w:hAnsi="Arial" w:cs="Arial"/>
                <w:b/>
                <w:bCs/>
                <w:szCs w:val="24"/>
                <w:highlight w:val="red"/>
                <w:shd w:val="clear" w:color="auto" w:fill="FFC000"/>
              </w:rPr>
              <w:t>HLH04</w:t>
            </w:r>
            <w:r>
              <w:rPr>
                <w:rFonts w:ascii="Arial" w:hAnsi="Arial" w:cs="Arial"/>
                <w:szCs w:val="24"/>
              </w:rPr>
              <w:t xml:space="preserve"> -</w:t>
            </w:r>
            <w:r w:rsidRPr="00C90DB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Changes to the political landscape</w:t>
            </w:r>
          </w:p>
          <w:p w14:paraId="5CF1DF0F" w14:textId="77777777" w:rsidR="009339F4" w:rsidRPr="00C90DBC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413A4C">
              <w:rPr>
                <w:rFonts w:ascii="Arial" w:hAnsi="Arial" w:cs="Arial"/>
                <w:b/>
                <w:bCs/>
                <w:szCs w:val="24"/>
                <w:highlight w:val="red"/>
                <w:shd w:val="clear" w:color="auto" w:fill="FFC000"/>
              </w:rPr>
              <w:t>HLH05</w:t>
            </w:r>
            <w:r w:rsidRPr="00C90DB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</w:t>
            </w:r>
            <w:r w:rsidRPr="00C90DBC">
              <w:rPr>
                <w:rFonts w:ascii="Arial" w:hAnsi="Arial" w:cs="Arial"/>
                <w:szCs w:val="24"/>
              </w:rPr>
              <w:t xml:space="preserve"> Poor or ineffective working relationship with </w:t>
            </w:r>
            <w:r>
              <w:rPr>
                <w:rFonts w:ascii="Arial" w:hAnsi="Arial" w:cs="Arial"/>
                <w:szCs w:val="24"/>
              </w:rPr>
              <w:t>T</w:t>
            </w:r>
            <w:r w:rsidRPr="00C90DBC">
              <w:rPr>
                <w:rFonts w:ascii="Arial" w:hAnsi="Arial" w:cs="Arial"/>
                <w:szCs w:val="24"/>
              </w:rPr>
              <w:t>HC</w:t>
            </w:r>
          </w:p>
          <w:p w14:paraId="460737DD" w14:textId="77777777" w:rsidR="009339F4" w:rsidRPr="00413A4C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413A4C">
              <w:rPr>
                <w:rFonts w:ascii="Arial" w:hAnsi="Arial" w:cs="Arial"/>
                <w:b/>
                <w:bCs/>
                <w:szCs w:val="24"/>
                <w:highlight w:val="red"/>
              </w:rPr>
              <w:t>HLH06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 - </w:t>
            </w:r>
            <w:r w:rsidRPr="00413A4C">
              <w:rPr>
                <w:rFonts w:ascii="Arial" w:hAnsi="Arial" w:cs="Arial"/>
                <w:szCs w:val="24"/>
              </w:rPr>
              <w:t xml:space="preserve">Non achievement of income/inc introduction of Lets charges </w:t>
            </w:r>
          </w:p>
          <w:p w14:paraId="1DF6E4F7" w14:textId="77777777" w:rsidR="009339F4" w:rsidRPr="00F7458A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7458A">
              <w:rPr>
                <w:rFonts w:ascii="Arial" w:hAnsi="Arial" w:cs="Arial"/>
                <w:b/>
                <w:bCs/>
                <w:szCs w:val="24"/>
                <w:highlight w:val="red"/>
              </w:rPr>
              <w:t>HL</w:t>
            </w:r>
            <w:r>
              <w:rPr>
                <w:rFonts w:ascii="Arial" w:hAnsi="Arial" w:cs="Arial"/>
                <w:b/>
                <w:bCs/>
                <w:szCs w:val="24"/>
                <w:highlight w:val="red"/>
              </w:rPr>
              <w:t>H</w:t>
            </w:r>
            <w:r w:rsidRPr="00413A4C">
              <w:rPr>
                <w:rFonts w:ascii="Arial" w:hAnsi="Arial" w:cs="Arial"/>
                <w:b/>
                <w:bCs/>
                <w:szCs w:val="24"/>
                <w:highlight w:val="red"/>
              </w:rPr>
              <w:t>07</w:t>
            </w:r>
            <w:r>
              <w:rPr>
                <w:rFonts w:ascii="Arial" w:hAnsi="Arial" w:cs="Arial"/>
                <w:szCs w:val="24"/>
              </w:rPr>
              <w:t xml:space="preserve"> – Failure to implement THC ICT Transformation project</w:t>
            </w:r>
          </w:p>
          <w:p w14:paraId="23BA9CBE" w14:textId="77777777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7458A">
              <w:rPr>
                <w:rFonts w:ascii="Arial" w:hAnsi="Arial" w:cs="Arial"/>
                <w:b/>
                <w:bCs/>
                <w:szCs w:val="24"/>
                <w:highlight w:val="red"/>
              </w:rPr>
              <w:t>HL</w:t>
            </w:r>
            <w:r>
              <w:rPr>
                <w:rFonts w:ascii="Arial" w:hAnsi="Arial" w:cs="Arial"/>
                <w:b/>
                <w:bCs/>
                <w:szCs w:val="24"/>
                <w:highlight w:val="red"/>
              </w:rPr>
              <w:t>H</w:t>
            </w:r>
            <w:r w:rsidRPr="00413A4C">
              <w:rPr>
                <w:rFonts w:ascii="Arial" w:hAnsi="Arial" w:cs="Arial"/>
                <w:b/>
                <w:bCs/>
                <w:szCs w:val="24"/>
                <w:highlight w:val="red"/>
              </w:rPr>
              <w:t>08</w:t>
            </w:r>
            <w:r>
              <w:rPr>
                <w:rFonts w:ascii="Arial" w:hAnsi="Arial" w:cs="Arial"/>
                <w:szCs w:val="24"/>
              </w:rPr>
              <w:t xml:space="preserve"> - </w:t>
            </w:r>
            <w:r w:rsidRPr="00F7458A">
              <w:rPr>
                <w:rFonts w:ascii="Arial" w:hAnsi="Arial" w:cs="Arial"/>
                <w:szCs w:val="24"/>
              </w:rPr>
              <w:t>Specific Council decisions impact increasingly on HLH</w:t>
            </w:r>
          </w:p>
          <w:p w14:paraId="491BE3AA" w14:textId="0B9676DB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413A4C">
              <w:rPr>
                <w:rFonts w:ascii="Arial" w:hAnsi="Arial" w:cs="Arial"/>
                <w:b/>
                <w:bCs/>
                <w:szCs w:val="24"/>
                <w:highlight w:val="red"/>
                <w:shd w:val="clear" w:color="auto" w:fill="FFC000"/>
              </w:rPr>
              <w:t>HLH09</w:t>
            </w:r>
            <w:r w:rsidRPr="00005E02">
              <w:rPr>
                <w:rFonts w:ascii="Arial" w:hAnsi="Arial" w:cs="Arial"/>
                <w:szCs w:val="24"/>
              </w:rPr>
              <w:t xml:space="preserve"> -</w:t>
            </w:r>
            <w:r>
              <w:t xml:space="preserve"> </w:t>
            </w:r>
            <w:r w:rsidRPr="005B357A">
              <w:rPr>
                <w:rFonts w:ascii="Arial" w:hAnsi="Arial" w:cs="Arial"/>
                <w:szCs w:val="24"/>
              </w:rPr>
              <w:t xml:space="preserve">SDC not fully understood, or amended by THC without HLH agreement, as </w:t>
            </w:r>
            <w:r>
              <w:rPr>
                <w:rFonts w:ascii="Arial" w:hAnsi="Arial" w:cs="Arial"/>
                <w:szCs w:val="24"/>
              </w:rPr>
              <w:t>T</w:t>
            </w:r>
            <w:r w:rsidRPr="005B357A">
              <w:rPr>
                <w:rFonts w:ascii="Arial" w:hAnsi="Arial" w:cs="Arial"/>
                <w:szCs w:val="24"/>
              </w:rPr>
              <w:t>HC corporate memory can be lost over time'</w:t>
            </w:r>
          </w:p>
          <w:p w14:paraId="595243D3" w14:textId="77777777" w:rsidR="008078F5" w:rsidRDefault="008078F5" w:rsidP="008078F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8078F5">
              <w:rPr>
                <w:rFonts w:ascii="Arial" w:hAnsi="Arial" w:cs="Arial"/>
                <w:b/>
                <w:bCs/>
                <w:szCs w:val="24"/>
                <w:highlight w:val="red"/>
                <w:shd w:val="clear" w:color="auto" w:fill="FFC000"/>
              </w:rPr>
              <w:t>HLH13</w:t>
            </w:r>
            <w:r>
              <w:rPr>
                <w:rFonts w:ascii="Arial" w:hAnsi="Arial" w:cs="Arial"/>
                <w:szCs w:val="24"/>
              </w:rPr>
              <w:t xml:space="preserve"> – Reliance on individual suppliers / contracts</w:t>
            </w:r>
          </w:p>
          <w:p w14:paraId="265A6F40" w14:textId="77777777" w:rsidR="008078F5" w:rsidRPr="00005E02" w:rsidRDefault="008078F5" w:rsidP="008078F5">
            <w:pPr>
              <w:ind w:left="360"/>
              <w:jc w:val="both"/>
              <w:rPr>
                <w:rFonts w:ascii="Arial" w:hAnsi="Arial" w:cs="Arial"/>
                <w:szCs w:val="24"/>
              </w:rPr>
            </w:pPr>
          </w:p>
          <w:p w14:paraId="4DF9C4E7" w14:textId="77777777" w:rsidR="009339F4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0203AB16" w14:textId="4108D636" w:rsidR="009339F4" w:rsidRPr="00005E02" w:rsidRDefault="00712185" w:rsidP="009339F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Seven</w:t>
            </w:r>
            <w:r w:rsidR="009339F4" w:rsidRPr="00005E02">
              <w:rPr>
                <w:rFonts w:ascii="Arial" w:hAnsi="Arial" w:cs="Arial"/>
                <w:szCs w:val="24"/>
              </w:rPr>
              <w:t xml:space="preserve"> risks </w:t>
            </w:r>
            <w:r w:rsidR="009339F4">
              <w:rPr>
                <w:rFonts w:ascii="Arial" w:hAnsi="Arial" w:cs="Arial"/>
                <w:szCs w:val="24"/>
              </w:rPr>
              <w:t xml:space="preserve">are </w:t>
            </w:r>
            <w:r w:rsidR="009339F4" w:rsidRPr="00005E02">
              <w:rPr>
                <w:rFonts w:ascii="Arial" w:hAnsi="Arial" w:cs="Arial"/>
                <w:szCs w:val="24"/>
              </w:rPr>
              <w:t xml:space="preserve">rated </w:t>
            </w:r>
            <w:r w:rsidR="009339F4">
              <w:rPr>
                <w:rFonts w:ascii="Arial" w:hAnsi="Arial" w:cs="Arial"/>
                <w:szCs w:val="24"/>
              </w:rPr>
              <w:t>as “a</w:t>
            </w:r>
            <w:r w:rsidR="009339F4" w:rsidRPr="00005E02">
              <w:rPr>
                <w:rFonts w:ascii="Arial" w:hAnsi="Arial" w:cs="Arial"/>
                <w:szCs w:val="24"/>
              </w:rPr>
              <w:t>mber</w:t>
            </w:r>
            <w:r w:rsidR="009339F4">
              <w:rPr>
                <w:rFonts w:ascii="Arial" w:hAnsi="Arial" w:cs="Arial"/>
                <w:szCs w:val="24"/>
              </w:rPr>
              <w:t xml:space="preserve">”. Within the new format all risks which score between 7 and 9, will automatically be rated as ‘amber’. </w:t>
            </w:r>
            <w:r w:rsidR="009339F4" w:rsidRPr="00005E02">
              <w:rPr>
                <w:rFonts w:ascii="Arial" w:hAnsi="Arial" w:cs="Arial"/>
                <w:szCs w:val="24"/>
              </w:rPr>
              <w:t xml:space="preserve"> </w:t>
            </w:r>
          </w:p>
          <w:p w14:paraId="61C72450" w14:textId="77777777" w:rsidR="009339F4" w:rsidRPr="00005E0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2FC8E92F" w14:textId="77777777" w:rsidR="009339F4" w:rsidRPr="00005E02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005E02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10</w:t>
            </w:r>
            <w:r w:rsidRPr="00005E0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–</w:t>
            </w:r>
            <w:r w:rsidRPr="00005E0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Over reaching / Over commitment </w:t>
            </w:r>
          </w:p>
          <w:p w14:paraId="49A66B91" w14:textId="77777777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005E02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11</w:t>
            </w:r>
            <w:r w:rsidRPr="00005E0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– Insufficient succession planning</w:t>
            </w:r>
          </w:p>
          <w:p w14:paraId="10797C0F" w14:textId="77777777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HLH12</w:t>
            </w:r>
            <w:r>
              <w:rPr>
                <w:rFonts w:ascii="Arial" w:hAnsi="Arial" w:cs="Arial"/>
                <w:szCs w:val="24"/>
              </w:rPr>
              <w:t xml:space="preserve"> – THC savings consultation/ HLH vulnerable to criticism</w:t>
            </w:r>
          </w:p>
          <w:p w14:paraId="4E4FDB0D" w14:textId="77777777" w:rsidR="009339F4" w:rsidRPr="00567142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567142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HLH14</w:t>
            </w:r>
            <w:r w:rsidRPr="00567142">
              <w:rPr>
                <w:rFonts w:ascii="Arial" w:hAnsi="Arial" w:cs="Arial"/>
                <w:szCs w:val="24"/>
              </w:rPr>
              <w:t xml:space="preserve"> – War in Ukraine – Impact on service delivery / operations</w:t>
            </w:r>
          </w:p>
          <w:p w14:paraId="6893544B" w14:textId="77777777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HLH15</w:t>
            </w:r>
            <w:r>
              <w:rPr>
                <w:rFonts w:ascii="Arial" w:hAnsi="Arial" w:cs="Arial"/>
                <w:szCs w:val="24"/>
              </w:rPr>
              <w:t xml:space="preserve"> – Uncertainty of economic climate and cost of living increases</w:t>
            </w:r>
          </w:p>
          <w:p w14:paraId="7715A187" w14:textId="2D6AB944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HLH16</w:t>
            </w:r>
            <w:r>
              <w:rPr>
                <w:rFonts w:ascii="Arial" w:hAnsi="Arial" w:cs="Arial"/>
                <w:szCs w:val="24"/>
              </w:rPr>
              <w:t xml:space="preserve"> –Non income generating sites – financial los</w:t>
            </w:r>
            <w:r w:rsidR="00406FC0"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 xml:space="preserve">es become unsustainable (Trading Company </w:t>
            </w:r>
            <w:r w:rsidR="00406FC0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>isk)</w:t>
            </w:r>
          </w:p>
          <w:p w14:paraId="13E2A18C" w14:textId="092082C1" w:rsidR="009339F4" w:rsidRDefault="009339F4" w:rsidP="009339F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lastRenderedPageBreak/>
              <w:t>HLH17</w:t>
            </w:r>
            <w:r>
              <w:rPr>
                <w:rFonts w:ascii="Arial" w:hAnsi="Arial" w:cs="Arial"/>
                <w:szCs w:val="24"/>
              </w:rPr>
              <w:t xml:space="preserve"> – HLH Catering Strategy is not achieved (Trading </w:t>
            </w:r>
            <w:r w:rsidR="00406FC0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 xml:space="preserve">ompany </w:t>
            </w:r>
            <w:r w:rsidR="00406FC0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 xml:space="preserve">isk) </w:t>
            </w:r>
          </w:p>
          <w:p w14:paraId="785C21BE" w14:textId="77777777" w:rsidR="009339F4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4B94EA11" w14:textId="77777777" w:rsidR="009339F4" w:rsidRPr="002340AA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Risks HLH 18 – HLH24 “green”. Within the new format all risks which score 10 or above, will automatically be rated as ‘green’. </w:t>
            </w:r>
            <w:r w:rsidRPr="00005E02">
              <w:rPr>
                <w:rFonts w:ascii="Arial" w:hAnsi="Arial" w:cs="Arial"/>
                <w:szCs w:val="24"/>
              </w:rPr>
              <w:t xml:space="preserve"> </w:t>
            </w:r>
          </w:p>
          <w:p w14:paraId="7D508107" w14:textId="2AE479ED" w:rsidR="009339F4" w:rsidRPr="005E4B3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  <w:r w:rsidRPr="00005E02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9339F4" w:rsidRPr="005E4B32" w14:paraId="4FB5714D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7D400A86" w14:textId="3CA9D903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lastRenderedPageBreak/>
              <w:t>5.</w:t>
            </w:r>
          </w:p>
          <w:p w14:paraId="5AF70A1A" w14:textId="524B6242" w:rsidR="00406FC0" w:rsidRDefault="00406FC0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745C14B7" w14:textId="6B359A61" w:rsidR="009339F4" w:rsidRPr="005E4B32" w:rsidRDefault="00406FC0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5.1</w:t>
            </w:r>
          </w:p>
          <w:p w14:paraId="3AC028FA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5C8DA4CA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79F3DFC1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4229CBB" w14:textId="1BDBEE92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8647" w:type="dxa"/>
          </w:tcPr>
          <w:p w14:paraId="052484C4" w14:textId="4ABB604C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THC Corporate Risk Management Group</w:t>
            </w:r>
          </w:p>
          <w:p w14:paraId="6505F9F0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15268DF" w14:textId="790F0119" w:rsidR="009339F4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5E4B32">
              <w:rPr>
                <w:rFonts w:ascii="Arial" w:hAnsi="Arial" w:cs="Arial"/>
                <w:bCs/>
                <w:szCs w:val="24"/>
              </w:rPr>
              <w:t xml:space="preserve">HLH is represented on the Council’s Corporate Risk Management Group (CRMG) so that there is a formal way of notifying the Council of risks on the HLH risk register which might have an impact on the Council.  </w:t>
            </w:r>
          </w:p>
          <w:p w14:paraId="4FAA1DA2" w14:textId="098FFF8B" w:rsidR="00250200" w:rsidRDefault="00250200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0EE36989" w14:textId="24B851CB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Risk Implications</w:t>
            </w:r>
          </w:p>
          <w:p w14:paraId="455457B4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9339F4" w:rsidRPr="005E4B32" w14:paraId="2C768637" w14:textId="77777777" w:rsidTr="00406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880" w:type="dxa"/>
          </w:tcPr>
          <w:p w14:paraId="7EC879CD" w14:textId="6C1C2872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6.1</w:t>
            </w:r>
          </w:p>
          <w:p w14:paraId="6BF59DB7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48B05337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F7547D0" w14:textId="6BEEE56B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6.2</w:t>
            </w:r>
          </w:p>
          <w:p w14:paraId="4150C071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1F38CA3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7671E0A" w14:textId="4A281CC0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6.3</w:t>
            </w:r>
          </w:p>
          <w:p w14:paraId="19F80A6D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BB4B231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E24DD4A" w14:textId="6056D96A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6.4</w:t>
            </w:r>
          </w:p>
        </w:tc>
        <w:tc>
          <w:tcPr>
            <w:tcW w:w="8647" w:type="dxa"/>
          </w:tcPr>
          <w:p w14:paraId="274A3168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E4B32">
              <w:rPr>
                <w:rFonts w:ascii="Arial" w:hAnsi="Arial" w:cs="Arial"/>
                <w:color w:val="000000"/>
                <w:szCs w:val="24"/>
              </w:rPr>
              <w:t>Resource Implications – there are no new resource implications associated with the recommendations of this report.</w:t>
            </w:r>
          </w:p>
          <w:p w14:paraId="64562E3B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59388A43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E4B32">
              <w:rPr>
                <w:rFonts w:ascii="Arial" w:hAnsi="Arial" w:cs="Arial"/>
                <w:color w:val="000000"/>
                <w:szCs w:val="24"/>
              </w:rPr>
              <w:t>Legal Implications – there are no new legal implications associated with the recommendations of this report.</w:t>
            </w:r>
          </w:p>
          <w:p w14:paraId="691D1DB4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1D097BC7" w14:textId="795527F5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E4B32">
              <w:rPr>
                <w:rFonts w:ascii="Arial" w:hAnsi="Arial" w:cs="Arial"/>
                <w:color w:val="000000"/>
                <w:szCs w:val="24"/>
              </w:rPr>
              <w:t xml:space="preserve">Risk Implications – the risk implications along with the risk management plans for mitigating the risks are included in </w:t>
            </w:r>
            <w:r w:rsidRPr="005E4B32">
              <w:rPr>
                <w:rFonts w:ascii="Arial" w:hAnsi="Arial" w:cs="Arial"/>
                <w:b/>
                <w:color w:val="000000"/>
                <w:szCs w:val="24"/>
              </w:rPr>
              <w:t xml:space="preserve">Appendix 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B</w:t>
            </w:r>
            <w:r w:rsidRPr="005E4B32">
              <w:rPr>
                <w:rFonts w:ascii="Arial" w:hAnsi="Arial" w:cs="Arial"/>
                <w:color w:val="000000"/>
                <w:szCs w:val="24"/>
              </w:rPr>
              <w:t xml:space="preserve">. </w:t>
            </w:r>
          </w:p>
          <w:p w14:paraId="0FDE3EAA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5C16AA2A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Equality Implications – there are no new equality implications associated with the recommendations of this report.</w:t>
            </w:r>
          </w:p>
          <w:p w14:paraId="6C8B061D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39F4" w:rsidRPr="005E4B32" w14:paraId="28B68981" w14:textId="77777777" w:rsidTr="00406FC0">
        <w:trPr>
          <w:cantSplit/>
        </w:trPr>
        <w:tc>
          <w:tcPr>
            <w:tcW w:w="9635" w:type="dxa"/>
            <w:gridSpan w:val="3"/>
          </w:tcPr>
          <w:p w14:paraId="5A07B33C" w14:textId="77777777" w:rsidR="009339F4" w:rsidRPr="005E4B32" w:rsidRDefault="009339F4" w:rsidP="009339F4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5E4B32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7473FB08" w14:textId="77777777" w:rsidR="009339F4" w:rsidRPr="005E4B3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2E5A6B" w14:textId="12DE7B1A" w:rsidR="009339F4" w:rsidRPr="005E4B3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It is recommended that Directors review and approve the Risk Register at </w:t>
            </w:r>
            <w:r w:rsidRPr="005E4B32">
              <w:rPr>
                <w:rFonts w:ascii="Arial" w:hAnsi="Arial" w:cs="Arial"/>
                <w:b/>
                <w:szCs w:val="24"/>
              </w:rPr>
              <w:t xml:space="preserve">Appendix A </w:t>
            </w:r>
            <w:r w:rsidRPr="005E4B32">
              <w:rPr>
                <w:rFonts w:ascii="Arial" w:hAnsi="Arial" w:cs="Arial"/>
                <w:szCs w:val="24"/>
              </w:rPr>
              <w:t xml:space="preserve">and the associated supporting documents at </w:t>
            </w:r>
            <w:r w:rsidRPr="005E4B32">
              <w:rPr>
                <w:rFonts w:ascii="Arial" w:hAnsi="Arial" w:cs="Arial"/>
                <w:b/>
                <w:szCs w:val="24"/>
              </w:rPr>
              <w:t>Appendi</w:t>
            </w:r>
            <w:r>
              <w:rPr>
                <w:rFonts w:ascii="Arial" w:hAnsi="Arial" w:cs="Arial"/>
                <w:b/>
                <w:szCs w:val="24"/>
              </w:rPr>
              <w:t>x</w:t>
            </w:r>
            <w:r w:rsidRPr="005E4B32">
              <w:rPr>
                <w:rFonts w:ascii="Arial" w:hAnsi="Arial" w:cs="Arial"/>
                <w:b/>
                <w:szCs w:val="24"/>
              </w:rPr>
              <w:t xml:space="preserve"> B</w:t>
            </w:r>
            <w:r w:rsidR="0033755C">
              <w:rPr>
                <w:rFonts w:ascii="Arial" w:hAnsi="Arial" w:cs="Arial"/>
                <w:b/>
                <w:szCs w:val="24"/>
              </w:rPr>
              <w:t>, C and D</w:t>
            </w:r>
            <w:r w:rsidRPr="005E4B32">
              <w:rPr>
                <w:rFonts w:ascii="Arial" w:hAnsi="Arial" w:cs="Arial"/>
                <w:szCs w:val="24"/>
              </w:rPr>
              <w:t>.</w:t>
            </w:r>
          </w:p>
          <w:p w14:paraId="5D08767D" w14:textId="77777777" w:rsidR="009339F4" w:rsidRPr="005E4B3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fldChar w:fldCharType="begin"/>
            </w:r>
            <w:r w:rsidRPr="005E4B32">
              <w:rPr>
                <w:rFonts w:ascii="Arial" w:hAnsi="Arial" w:cs="Arial"/>
                <w:szCs w:val="24"/>
              </w:rPr>
              <w:instrText xml:space="preserve">  </w:instrText>
            </w:r>
            <w:r w:rsidRPr="005E4B32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DC5E982" w14:textId="77777777" w:rsidR="008E077F" w:rsidRPr="005E4B32" w:rsidRDefault="008E077F" w:rsidP="00250F92">
      <w:pPr>
        <w:tabs>
          <w:tab w:val="left" w:pos="1843"/>
        </w:tabs>
        <w:rPr>
          <w:rFonts w:ascii="Arial" w:hAnsi="Arial" w:cs="Arial"/>
          <w:szCs w:val="24"/>
        </w:rPr>
      </w:pPr>
    </w:p>
    <w:p w14:paraId="2C9C23A7" w14:textId="77777777" w:rsidR="0039450A" w:rsidRPr="005E4B32" w:rsidRDefault="0039450A" w:rsidP="00250F92">
      <w:pPr>
        <w:tabs>
          <w:tab w:val="left" w:pos="1843"/>
        </w:tabs>
        <w:rPr>
          <w:rFonts w:ascii="Arial" w:hAnsi="Arial" w:cs="Arial"/>
          <w:szCs w:val="24"/>
        </w:rPr>
      </w:pPr>
      <w:r w:rsidRPr="005E4B32">
        <w:rPr>
          <w:rFonts w:ascii="Arial" w:hAnsi="Arial" w:cs="Arial"/>
          <w:szCs w:val="24"/>
        </w:rPr>
        <w:t>Designation:</w:t>
      </w:r>
      <w:r w:rsidR="008B770E" w:rsidRPr="005E4B32">
        <w:rPr>
          <w:rFonts w:ascii="Arial" w:hAnsi="Arial" w:cs="Arial"/>
          <w:szCs w:val="24"/>
        </w:rPr>
        <w:tab/>
      </w:r>
      <w:r w:rsidR="0036440C" w:rsidRPr="005E4B32">
        <w:rPr>
          <w:rFonts w:ascii="Arial" w:hAnsi="Arial" w:cs="Arial"/>
          <w:szCs w:val="24"/>
        </w:rPr>
        <w:t>Chief Executive</w:t>
      </w:r>
    </w:p>
    <w:p w14:paraId="7D108838" w14:textId="77777777" w:rsidR="00A65ADE" w:rsidRPr="005E4B32" w:rsidRDefault="00A65ADE" w:rsidP="00F4113A">
      <w:pPr>
        <w:tabs>
          <w:tab w:val="left" w:pos="1843"/>
        </w:tabs>
        <w:rPr>
          <w:rFonts w:ascii="Arial" w:hAnsi="Arial" w:cs="Arial"/>
          <w:szCs w:val="24"/>
        </w:rPr>
      </w:pPr>
    </w:p>
    <w:p w14:paraId="7E46C247" w14:textId="07F77E02" w:rsidR="00BE6D36" w:rsidRDefault="00513508" w:rsidP="00F4113A">
      <w:pPr>
        <w:tabs>
          <w:tab w:val="left" w:pos="1843"/>
        </w:tabs>
        <w:rPr>
          <w:rFonts w:ascii="Arial" w:hAnsi="Arial" w:cs="Arial"/>
          <w:szCs w:val="24"/>
        </w:rPr>
      </w:pPr>
      <w:r w:rsidRPr="005E4B32">
        <w:rPr>
          <w:rFonts w:ascii="Arial" w:hAnsi="Arial" w:cs="Arial"/>
          <w:szCs w:val="24"/>
        </w:rPr>
        <w:t>Date:</w:t>
      </w:r>
      <w:r w:rsidRPr="005E4B32">
        <w:rPr>
          <w:rFonts w:ascii="Arial" w:hAnsi="Arial" w:cs="Arial"/>
          <w:szCs w:val="24"/>
        </w:rPr>
        <w:tab/>
      </w:r>
      <w:r w:rsidR="00CE7D4F">
        <w:rPr>
          <w:rFonts w:ascii="Arial" w:hAnsi="Arial" w:cs="Arial"/>
          <w:szCs w:val="24"/>
        </w:rPr>
        <w:t xml:space="preserve">16 </w:t>
      </w:r>
      <w:r w:rsidR="00E54E6A">
        <w:rPr>
          <w:rFonts w:ascii="Arial" w:hAnsi="Arial" w:cs="Arial"/>
          <w:szCs w:val="24"/>
        </w:rPr>
        <w:t>August</w:t>
      </w:r>
      <w:r w:rsidR="00BE1631" w:rsidRPr="005E4B32">
        <w:rPr>
          <w:rFonts w:ascii="Arial" w:hAnsi="Arial" w:cs="Arial"/>
          <w:szCs w:val="24"/>
        </w:rPr>
        <w:t xml:space="preserve"> 20</w:t>
      </w:r>
      <w:r w:rsidR="00264B31">
        <w:rPr>
          <w:rFonts w:ascii="Arial" w:hAnsi="Arial" w:cs="Arial"/>
          <w:szCs w:val="24"/>
        </w:rPr>
        <w:t>22</w:t>
      </w:r>
    </w:p>
    <w:p w14:paraId="6D13F654" w14:textId="31DDE881" w:rsidR="00264B31" w:rsidRDefault="00264B31" w:rsidP="00F4113A">
      <w:pPr>
        <w:tabs>
          <w:tab w:val="left" w:pos="1843"/>
        </w:tabs>
        <w:rPr>
          <w:rFonts w:ascii="Arial" w:hAnsi="Arial" w:cs="Arial"/>
          <w:szCs w:val="24"/>
        </w:rPr>
      </w:pPr>
    </w:p>
    <w:p w14:paraId="51381D2A" w14:textId="77777777" w:rsidR="00264B31" w:rsidRPr="00513131" w:rsidRDefault="00264B31" w:rsidP="00264B31">
      <w:pPr>
        <w:tabs>
          <w:tab w:val="left" w:pos="184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Simon Swanson, Head of Investment and Programme Management</w:t>
      </w:r>
    </w:p>
    <w:p w14:paraId="292D7D99" w14:textId="77777777" w:rsidR="00264B31" w:rsidRPr="008D6735" w:rsidRDefault="00264B31" w:rsidP="00F4113A">
      <w:pPr>
        <w:tabs>
          <w:tab w:val="left" w:pos="1843"/>
        </w:tabs>
        <w:rPr>
          <w:rFonts w:ascii="Arial" w:hAnsi="Arial" w:cs="Arial"/>
          <w:szCs w:val="24"/>
        </w:rPr>
      </w:pPr>
    </w:p>
    <w:sectPr w:rsidR="00264B31" w:rsidRPr="008D6735" w:rsidSect="008D6735">
      <w:pgSz w:w="11906" w:h="16838"/>
      <w:pgMar w:top="709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820D" w14:textId="77777777" w:rsidR="00E91AD8" w:rsidRDefault="00E91AD8">
      <w:r>
        <w:separator/>
      </w:r>
    </w:p>
  </w:endnote>
  <w:endnote w:type="continuationSeparator" w:id="0">
    <w:p w14:paraId="645155D9" w14:textId="77777777" w:rsidR="00E91AD8" w:rsidRDefault="00E9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80382" w14:textId="77777777" w:rsidR="00E91AD8" w:rsidRDefault="00E91AD8">
      <w:r>
        <w:separator/>
      </w:r>
    </w:p>
  </w:footnote>
  <w:footnote w:type="continuationSeparator" w:id="0">
    <w:p w14:paraId="5179C578" w14:textId="77777777" w:rsidR="00E91AD8" w:rsidRDefault="00E9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EAB"/>
    <w:multiLevelType w:val="hybridMultilevel"/>
    <w:tmpl w:val="22825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018A4"/>
    <w:multiLevelType w:val="hybridMultilevel"/>
    <w:tmpl w:val="34748E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5398A"/>
    <w:multiLevelType w:val="hybridMultilevel"/>
    <w:tmpl w:val="EA72C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B42D50"/>
    <w:multiLevelType w:val="hybridMultilevel"/>
    <w:tmpl w:val="0F34B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1C7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604"/>
    <w:multiLevelType w:val="hybridMultilevel"/>
    <w:tmpl w:val="D628575A"/>
    <w:lvl w:ilvl="0" w:tplc="B16E3A38">
      <w:start w:val="1"/>
      <w:numFmt w:val="decimal"/>
      <w:lvlText w:val="%1."/>
      <w:lvlJc w:val="left"/>
      <w:pPr>
        <w:ind w:left="490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6" w:hanging="360"/>
      </w:pPr>
    </w:lvl>
    <w:lvl w:ilvl="2" w:tplc="0809001B" w:tentative="1">
      <w:start w:val="1"/>
      <w:numFmt w:val="lowerRoman"/>
      <w:lvlText w:val="%3."/>
      <w:lvlJc w:val="right"/>
      <w:pPr>
        <w:ind w:left="1726" w:hanging="180"/>
      </w:pPr>
    </w:lvl>
    <w:lvl w:ilvl="3" w:tplc="0809000F" w:tentative="1">
      <w:start w:val="1"/>
      <w:numFmt w:val="decimal"/>
      <w:lvlText w:val="%4."/>
      <w:lvlJc w:val="left"/>
      <w:pPr>
        <w:ind w:left="2446" w:hanging="360"/>
      </w:pPr>
    </w:lvl>
    <w:lvl w:ilvl="4" w:tplc="08090019" w:tentative="1">
      <w:start w:val="1"/>
      <w:numFmt w:val="lowerLetter"/>
      <w:lvlText w:val="%5."/>
      <w:lvlJc w:val="left"/>
      <w:pPr>
        <w:ind w:left="3166" w:hanging="360"/>
      </w:pPr>
    </w:lvl>
    <w:lvl w:ilvl="5" w:tplc="0809001B" w:tentative="1">
      <w:start w:val="1"/>
      <w:numFmt w:val="lowerRoman"/>
      <w:lvlText w:val="%6."/>
      <w:lvlJc w:val="right"/>
      <w:pPr>
        <w:ind w:left="3886" w:hanging="180"/>
      </w:pPr>
    </w:lvl>
    <w:lvl w:ilvl="6" w:tplc="0809000F" w:tentative="1">
      <w:start w:val="1"/>
      <w:numFmt w:val="decimal"/>
      <w:lvlText w:val="%7."/>
      <w:lvlJc w:val="left"/>
      <w:pPr>
        <w:ind w:left="4606" w:hanging="360"/>
      </w:pPr>
    </w:lvl>
    <w:lvl w:ilvl="7" w:tplc="08090019" w:tentative="1">
      <w:start w:val="1"/>
      <w:numFmt w:val="lowerLetter"/>
      <w:lvlText w:val="%8."/>
      <w:lvlJc w:val="left"/>
      <w:pPr>
        <w:ind w:left="5326" w:hanging="360"/>
      </w:pPr>
    </w:lvl>
    <w:lvl w:ilvl="8" w:tplc="08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23CF6BE3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434D"/>
    <w:multiLevelType w:val="hybridMultilevel"/>
    <w:tmpl w:val="63A2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F2A60"/>
    <w:multiLevelType w:val="hybridMultilevel"/>
    <w:tmpl w:val="0F34B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7E27"/>
    <w:multiLevelType w:val="hybridMultilevel"/>
    <w:tmpl w:val="0EF0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C0CE2"/>
    <w:multiLevelType w:val="hybridMultilevel"/>
    <w:tmpl w:val="E326E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D2107C"/>
    <w:multiLevelType w:val="hybridMultilevel"/>
    <w:tmpl w:val="15CEF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87243"/>
    <w:multiLevelType w:val="hybridMultilevel"/>
    <w:tmpl w:val="6352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4F5E"/>
    <w:multiLevelType w:val="hybridMultilevel"/>
    <w:tmpl w:val="0F34B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06076"/>
    <w:multiLevelType w:val="hybridMultilevel"/>
    <w:tmpl w:val="D2B05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427E6"/>
    <w:multiLevelType w:val="hybridMultilevel"/>
    <w:tmpl w:val="ABE29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5D71"/>
    <w:multiLevelType w:val="hybridMultilevel"/>
    <w:tmpl w:val="7E4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493CE1"/>
    <w:multiLevelType w:val="hybridMultilevel"/>
    <w:tmpl w:val="63A41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594B80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302AF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D82605E"/>
    <w:multiLevelType w:val="hybridMultilevel"/>
    <w:tmpl w:val="6DC234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347E01"/>
    <w:multiLevelType w:val="hybridMultilevel"/>
    <w:tmpl w:val="9CA6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46B14"/>
    <w:multiLevelType w:val="hybridMultilevel"/>
    <w:tmpl w:val="6FAA5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787736"/>
    <w:multiLevelType w:val="multilevel"/>
    <w:tmpl w:val="D72A0E32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25" w15:restartNumberingAfterBreak="0">
    <w:nsid w:val="79C83941"/>
    <w:multiLevelType w:val="hybridMultilevel"/>
    <w:tmpl w:val="C47C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AA43744"/>
    <w:multiLevelType w:val="hybridMultilevel"/>
    <w:tmpl w:val="314C7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725793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F9C517B"/>
    <w:multiLevelType w:val="hybridMultilevel"/>
    <w:tmpl w:val="E1D41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2"/>
  </w:num>
  <w:num w:numId="4">
    <w:abstractNumId w:val="10"/>
  </w:num>
  <w:num w:numId="5">
    <w:abstractNumId w:val="26"/>
  </w:num>
  <w:num w:numId="6">
    <w:abstractNumId w:val="17"/>
  </w:num>
  <w:num w:numId="7">
    <w:abstractNumId w:val="2"/>
  </w:num>
  <w:num w:numId="8">
    <w:abstractNumId w:val="28"/>
  </w:num>
  <w:num w:numId="9">
    <w:abstractNumId w:val="8"/>
  </w:num>
  <w:num w:numId="10">
    <w:abstractNumId w:val="18"/>
  </w:num>
  <w:num w:numId="11">
    <w:abstractNumId w:val="25"/>
  </w:num>
  <w:num w:numId="12">
    <w:abstractNumId w:val="11"/>
  </w:num>
  <w:num w:numId="13">
    <w:abstractNumId w:val="0"/>
  </w:num>
  <w:num w:numId="14">
    <w:abstractNumId w:val="7"/>
  </w:num>
  <w:num w:numId="15">
    <w:abstractNumId w:val="19"/>
  </w:num>
  <w:num w:numId="16">
    <w:abstractNumId w:val="5"/>
  </w:num>
  <w:num w:numId="17">
    <w:abstractNumId w:val="15"/>
  </w:num>
  <w:num w:numId="18">
    <w:abstractNumId w:val="4"/>
  </w:num>
  <w:num w:numId="19">
    <w:abstractNumId w:val="23"/>
  </w:num>
  <w:num w:numId="20">
    <w:abstractNumId w:val="21"/>
  </w:num>
  <w:num w:numId="21">
    <w:abstractNumId w:val="1"/>
  </w:num>
  <w:num w:numId="22">
    <w:abstractNumId w:val="3"/>
  </w:num>
  <w:num w:numId="23">
    <w:abstractNumId w:val="14"/>
  </w:num>
  <w:num w:numId="24">
    <w:abstractNumId w:val="9"/>
  </w:num>
  <w:num w:numId="25">
    <w:abstractNumId w:val="6"/>
  </w:num>
  <w:num w:numId="26">
    <w:abstractNumId w:val="24"/>
  </w:num>
  <w:num w:numId="27">
    <w:abstractNumId w:val="13"/>
  </w:num>
  <w:num w:numId="28">
    <w:abstractNumId w:val="16"/>
  </w:num>
  <w:num w:numId="2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6F99"/>
    <w:rsid w:val="000476B1"/>
    <w:rsid w:val="00054DE1"/>
    <w:rsid w:val="000636A7"/>
    <w:rsid w:val="00067467"/>
    <w:rsid w:val="00083A4A"/>
    <w:rsid w:val="00092127"/>
    <w:rsid w:val="0009405C"/>
    <w:rsid w:val="00095199"/>
    <w:rsid w:val="000A439E"/>
    <w:rsid w:val="000D5F4B"/>
    <w:rsid w:val="000E3CD9"/>
    <w:rsid w:val="000E61AD"/>
    <w:rsid w:val="000E7598"/>
    <w:rsid w:val="000F1AEC"/>
    <w:rsid w:val="000F274B"/>
    <w:rsid w:val="000F3262"/>
    <w:rsid w:val="000F4BA8"/>
    <w:rsid w:val="000F6071"/>
    <w:rsid w:val="001006F2"/>
    <w:rsid w:val="00104560"/>
    <w:rsid w:val="001072B4"/>
    <w:rsid w:val="00110848"/>
    <w:rsid w:val="00115356"/>
    <w:rsid w:val="00115FE9"/>
    <w:rsid w:val="00117BE1"/>
    <w:rsid w:val="0012639B"/>
    <w:rsid w:val="0013408B"/>
    <w:rsid w:val="001369E0"/>
    <w:rsid w:val="00150971"/>
    <w:rsid w:val="00152E9B"/>
    <w:rsid w:val="00153846"/>
    <w:rsid w:val="001614BD"/>
    <w:rsid w:val="00164BEF"/>
    <w:rsid w:val="00170292"/>
    <w:rsid w:val="00171187"/>
    <w:rsid w:val="0017201B"/>
    <w:rsid w:val="00182352"/>
    <w:rsid w:val="00185CF1"/>
    <w:rsid w:val="001A1DB8"/>
    <w:rsid w:val="001A4F23"/>
    <w:rsid w:val="001A5631"/>
    <w:rsid w:val="001A5A41"/>
    <w:rsid w:val="001A606D"/>
    <w:rsid w:val="001B0C62"/>
    <w:rsid w:val="001B0DAB"/>
    <w:rsid w:val="001B345C"/>
    <w:rsid w:val="001C1870"/>
    <w:rsid w:val="001C35E6"/>
    <w:rsid w:val="001C6970"/>
    <w:rsid w:val="001D0877"/>
    <w:rsid w:val="001D1D38"/>
    <w:rsid w:val="001D7D2E"/>
    <w:rsid w:val="001E4737"/>
    <w:rsid w:val="001F1DE0"/>
    <w:rsid w:val="001F2E8B"/>
    <w:rsid w:val="001F57B6"/>
    <w:rsid w:val="00202695"/>
    <w:rsid w:val="00204269"/>
    <w:rsid w:val="0021581E"/>
    <w:rsid w:val="00215A87"/>
    <w:rsid w:val="002173BA"/>
    <w:rsid w:val="00217D31"/>
    <w:rsid w:val="00224069"/>
    <w:rsid w:val="00225D0F"/>
    <w:rsid w:val="002304E3"/>
    <w:rsid w:val="00250200"/>
    <w:rsid w:val="002504A2"/>
    <w:rsid w:val="00250E04"/>
    <w:rsid w:val="00250F92"/>
    <w:rsid w:val="00252F00"/>
    <w:rsid w:val="00264B31"/>
    <w:rsid w:val="00265473"/>
    <w:rsid w:val="00266059"/>
    <w:rsid w:val="00273748"/>
    <w:rsid w:val="00281200"/>
    <w:rsid w:val="00286D1C"/>
    <w:rsid w:val="0029010C"/>
    <w:rsid w:val="00292419"/>
    <w:rsid w:val="00293D5D"/>
    <w:rsid w:val="002A09C0"/>
    <w:rsid w:val="002B236B"/>
    <w:rsid w:val="002B7DC4"/>
    <w:rsid w:val="002C7B3D"/>
    <w:rsid w:val="002D7CED"/>
    <w:rsid w:val="002E3D92"/>
    <w:rsid w:val="003118A0"/>
    <w:rsid w:val="003309D7"/>
    <w:rsid w:val="003318D6"/>
    <w:rsid w:val="00335223"/>
    <w:rsid w:val="0033755C"/>
    <w:rsid w:val="003410F0"/>
    <w:rsid w:val="00343275"/>
    <w:rsid w:val="0035707D"/>
    <w:rsid w:val="00357B55"/>
    <w:rsid w:val="00361A1F"/>
    <w:rsid w:val="0036440C"/>
    <w:rsid w:val="00365E55"/>
    <w:rsid w:val="00372950"/>
    <w:rsid w:val="00384DBD"/>
    <w:rsid w:val="003857A6"/>
    <w:rsid w:val="00387B72"/>
    <w:rsid w:val="00387E56"/>
    <w:rsid w:val="0039450A"/>
    <w:rsid w:val="003979DB"/>
    <w:rsid w:val="003A15D7"/>
    <w:rsid w:val="003A503B"/>
    <w:rsid w:val="003A5DA1"/>
    <w:rsid w:val="003C4A5B"/>
    <w:rsid w:val="003D7DB0"/>
    <w:rsid w:val="003F386F"/>
    <w:rsid w:val="00406FC0"/>
    <w:rsid w:val="004074AB"/>
    <w:rsid w:val="00410580"/>
    <w:rsid w:val="00411CB6"/>
    <w:rsid w:val="00415EF1"/>
    <w:rsid w:val="00416BFF"/>
    <w:rsid w:val="0042527D"/>
    <w:rsid w:val="00425F23"/>
    <w:rsid w:val="00427110"/>
    <w:rsid w:val="00427416"/>
    <w:rsid w:val="00427536"/>
    <w:rsid w:val="00451872"/>
    <w:rsid w:val="004669E9"/>
    <w:rsid w:val="00470E82"/>
    <w:rsid w:val="0047717A"/>
    <w:rsid w:val="0047759F"/>
    <w:rsid w:val="0048029C"/>
    <w:rsid w:val="004A0988"/>
    <w:rsid w:val="004D7398"/>
    <w:rsid w:val="004E20BC"/>
    <w:rsid w:val="004F7B55"/>
    <w:rsid w:val="00501DB8"/>
    <w:rsid w:val="00513508"/>
    <w:rsid w:val="00514B4D"/>
    <w:rsid w:val="0052022D"/>
    <w:rsid w:val="00531475"/>
    <w:rsid w:val="00533A22"/>
    <w:rsid w:val="00534269"/>
    <w:rsid w:val="00540A58"/>
    <w:rsid w:val="0054594A"/>
    <w:rsid w:val="0055202A"/>
    <w:rsid w:val="00555522"/>
    <w:rsid w:val="00555F79"/>
    <w:rsid w:val="0058147E"/>
    <w:rsid w:val="00581B1E"/>
    <w:rsid w:val="0059426B"/>
    <w:rsid w:val="00594527"/>
    <w:rsid w:val="005A3C30"/>
    <w:rsid w:val="005A5DBA"/>
    <w:rsid w:val="005B322C"/>
    <w:rsid w:val="005C444D"/>
    <w:rsid w:val="005D21C9"/>
    <w:rsid w:val="005D2719"/>
    <w:rsid w:val="005E16BA"/>
    <w:rsid w:val="005E23D5"/>
    <w:rsid w:val="005E3A09"/>
    <w:rsid w:val="005E4B32"/>
    <w:rsid w:val="005F02CD"/>
    <w:rsid w:val="005F2E96"/>
    <w:rsid w:val="005F66B8"/>
    <w:rsid w:val="00612494"/>
    <w:rsid w:val="00621F9C"/>
    <w:rsid w:val="00646786"/>
    <w:rsid w:val="006605B7"/>
    <w:rsid w:val="00671DBF"/>
    <w:rsid w:val="0067632B"/>
    <w:rsid w:val="00680931"/>
    <w:rsid w:val="006852AD"/>
    <w:rsid w:val="00686AE0"/>
    <w:rsid w:val="00693FC7"/>
    <w:rsid w:val="006B0E6E"/>
    <w:rsid w:val="006B2C43"/>
    <w:rsid w:val="006C6C17"/>
    <w:rsid w:val="006D07F4"/>
    <w:rsid w:val="006D6A29"/>
    <w:rsid w:val="006D70E8"/>
    <w:rsid w:val="006E3970"/>
    <w:rsid w:val="006E5CF8"/>
    <w:rsid w:val="006F0461"/>
    <w:rsid w:val="006F36AB"/>
    <w:rsid w:val="00707C87"/>
    <w:rsid w:val="00712185"/>
    <w:rsid w:val="00716326"/>
    <w:rsid w:val="007214D1"/>
    <w:rsid w:val="00734A86"/>
    <w:rsid w:val="0074360E"/>
    <w:rsid w:val="00743A87"/>
    <w:rsid w:val="00744438"/>
    <w:rsid w:val="007448D9"/>
    <w:rsid w:val="007508F7"/>
    <w:rsid w:val="00753065"/>
    <w:rsid w:val="007566DB"/>
    <w:rsid w:val="00763DAE"/>
    <w:rsid w:val="00774A53"/>
    <w:rsid w:val="00775876"/>
    <w:rsid w:val="00777B03"/>
    <w:rsid w:val="00781DDE"/>
    <w:rsid w:val="0078559F"/>
    <w:rsid w:val="00791F8A"/>
    <w:rsid w:val="00794115"/>
    <w:rsid w:val="0079570B"/>
    <w:rsid w:val="007A1D9F"/>
    <w:rsid w:val="007A4029"/>
    <w:rsid w:val="007A5031"/>
    <w:rsid w:val="007B364C"/>
    <w:rsid w:val="007B422B"/>
    <w:rsid w:val="007B7D68"/>
    <w:rsid w:val="007C2756"/>
    <w:rsid w:val="007C7477"/>
    <w:rsid w:val="007D7D07"/>
    <w:rsid w:val="007E1AA1"/>
    <w:rsid w:val="007E2FF5"/>
    <w:rsid w:val="007E41E2"/>
    <w:rsid w:val="007E5082"/>
    <w:rsid w:val="007E7E29"/>
    <w:rsid w:val="007F0D2D"/>
    <w:rsid w:val="0080022C"/>
    <w:rsid w:val="008078F5"/>
    <w:rsid w:val="00825BCB"/>
    <w:rsid w:val="00825FD9"/>
    <w:rsid w:val="0083424A"/>
    <w:rsid w:val="00834D42"/>
    <w:rsid w:val="00846D7B"/>
    <w:rsid w:val="0085209F"/>
    <w:rsid w:val="0085560B"/>
    <w:rsid w:val="00885F26"/>
    <w:rsid w:val="008A0E4A"/>
    <w:rsid w:val="008A1F14"/>
    <w:rsid w:val="008B770E"/>
    <w:rsid w:val="008C504D"/>
    <w:rsid w:val="008D2CFA"/>
    <w:rsid w:val="008D6735"/>
    <w:rsid w:val="008D6EE0"/>
    <w:rsid w:val="008E077F"/>
    <w:rsid w:val="008E0DCD"/>
    <w:rsid w:val="008E24C9"/>
    <w:rsid w:val="0090678C"/>
    <w:rsid w:val="0093038A"/>
    <w:rsid w:val="009339F4"/>
    <w:rsid w:val="00937218"/>
    <w:rsid w:val="009373A8"/>
    <w:rsid w:val="00943129"/>
    <w:rsid w:val="00943CCF"/>
    <w:rsid w:val="00946A15"/>
    <w:rsid w:val="00952B22"/>
    <w:rsid w:val="00956AA6"/>
    <w:rsid w:val="0096194E"/>
    <w:rsid w:val="00967DA2"/>
    <w:rsid w:val="0098231B"/>
    <w:rsid w:val="009871B4"/>
    <w:rsid w:val="009951C5"/>
    <w:rsid w:val="009959DA"/>
    <w:rsid w:val="009A0F73"/>
    <w:rsid w:val="009A34E8"/>
    <w:rsid w:val="009A3F45"/>
    <w:rsid w:val="009B21B6"/>
    <w:rsid w:val="009B3A8E"/>
    <w:rsid w:val="009B41FD"/>
    <w:rsid w:val="009B50DC"/>
    <w:rsid w:val="009D624C"/>
    <w:rsid w:val="009F478B"/>
    <w:rsid w:val="009F4D19"/>
    <w:rsid w:val="009F60B5"/>
    <w:rsid w:val="00A11704"/>
    <w:rsid w:val="00A15F04"/>
    <w:rsid w:val="00A165D0"/>
    <w:rsid w:val="00A17632"/>
    <w:rsid w:val="00A242B8"/>
    <w:rsid w:val="00A252F9"/>
    <w:rsid w:val="00A47A09"/>
    <w:rsid w:val="00A504A9"/>
    <w:rsid w:val="00A65ADE"/>
    <w:rsid w:val="00A65E77"/>
    <w:rsid w:val="00A72644"/>
    <w:rsid w:val="00A8159A"/>
    <w:rsid w:val="00A86077"/>
    <w:rsid w:val="00A9057A"/>
    <w:rsid w:val="00A9784A"/>
    <w:rsid w:val="00AB2E5F"/>
    <w:rsid w:val="00AC51A3"/>
    <w:rsid w:val="00AD0D67"/>
    <w:rsid w:val="00AD38E5"/>
    <w:rsid w:val="00B107E0"/>
    <w:rsid w:val="00B1309F"/>
    <w:rsid w:val="00B16827"/>
    <w:rsid w:val="00B23906"/>
    <w:rsid w:val="00B23F97"/>
    <w:rsid w:val="00B2481B"/>
    <w:rsid w:val="00B33E09"/>
    <w:rsid w:val="00B4511E"/>
    <w:rsid w:val="00B5151C"/>
    <w:rsid w:val="00B56CDC"/>
    <w:rsid w:val="00B76782"/>
    <w:rsid w:val="00B84929"/>
    <w:rsid w:val="00B8667F"/>
    <w:rsid w:val="00B90B12"/>
    <w:rsid w:val="00B922E0"/>
    <w:rsid w:val="00B96369"/>
    <w:rsid w:val="00B96AED"/>
    <w:rsid w:val="00B96D53"/>
    <w:rsid w:val="00B96F95"/>
    <w:rsid w:val="00BA0A7B"/>
    <w:rsid w:val="00BA2C93"/>
    <w:rsid w:val="00BB4C85"/>
    <w:rsid w:val="00BC311A"/>
    <w:rsid w:val="00BD086C"/>
    <w:rsid w:val="00BE1631"/>
    <w:rsid w:val="00BE4CF7"/>
    <w:rsid w:val="00BE6D36"/>
    <w:rsid w:val="00BF2FDA"/>
    <w:rsid w:val="00C04068"/>
    <w:rsid w:val="00C170C7"/>
    <w:rsid w:val="00C24E6B"/>
    <w:rsid w:val="00C25C3F"/>
    <w:rsid w:val="00C3172A"/>
    <w:rsid w:val="00C65D2D"/>
    <w:rsid w:val="00C67742"/>
    <w:rsid w:val="00C77859"/>
    <w:rsid w:val="00C8005D"/>
    <w:rsid w:val="00C809FD"/>
    <w:rsid w:val="00C832CC"/>
    <w:rsid w:val="00C85B6C"/>
    <w:rsid w:val="00C90A11"/>
    <w:rsid w:val="00C90CEC"/>
    <w:rsid w:val="00C91043"/>
    <w:rsid w:val="00C91EE3"/>
    <w:rsid w:val="00C94443"/>
    <w:rsid w:val="00C94CD2"/>
    <w:rsid w:val="00C97FA3"/>
    <w:rsid w:val="00CA280E"/>
    <w:rsid w:val="00CA539B"/>
    <w:rsid w:val="00CA5CEE"/>
    <w:rsid w:val="00CB0AAD"/>
    <w:rsid w:val="00CB3B1B"/>
    <w:rsid w:val="00CC2010"/>
    <w:rsid w:val="00CC636A"/>
    <w:rsid w:val="00CD007D"/>
    <w:rsid w:val="00CD29BA"/>
    <w:rsid w:val="00CE35B2"/>
    <w:rsid w:val="00CE7D4F"/>
    <w:rsid w:val="00CF058F"/>
    <w:rsid w:val="00CF19AE"/>
    <w:rsid w:val="00D01889"/>
    <w:rsid w:val="00D04E3B"/>
    <w:rsid w:val="00D1003C"/>
    <w:rsid w:val="00D22375"/>
    <w:rsid w:val="00D2279E"/>
    <w:rsid w:val="00D267DA"/>
    <w:rsid w:val="00D273A9"/>
    <w:rsid w:val="00D30C99"/>
    <w:rsid w:val="00D32134"/>
    <w:rsid w:val="00D57CDF"/>
    <w:rsid w:val="00D6075B"/>
    <w:rsid w:val="00D62C0B"/>
    <w:rsid w:val="00D66538"/>
    <w:rsid w:val="00D76BCA"/>
    <w:rsid w:val="00D770EF"/>
    <w:rsid w:val="00D85217"/>
    <w:rsid w:val="00D97DF1"/>
    <w:rsid w:val="00DA0419"/>
    <w:rsid w:val="00DB3601"/>
    <w:rsid w:val="00DB75DA"/>
    <w:rsid w:val="00DC2768"/>
    <w:rsid w:val="00DC2C8B"/>
    <w:rsid w:val="00DF0350"/>
    <w:rsid w:val="00DF68C1"/>
    <w:rsid w:val="00DF753F"/>
    <w:rsid w:val="00E00110"/>
    <w:rsid w:val="00E078E9"/>
    <w:rsid w:val="00E12454"/>
    <w:rsid w:val="00E15396"/>
    <w:rsid w:val="00E16079"/>
    <w:rsid w:val="00E23A32"/>
    <w:rsid w:val="00E2433D"/>
    <w:rsid w:val="00E35A53"/>
    <w:rsid w:val="00E51E27"/>
    <w:rsid w:val="00E52B9B"/>
    <w:rsid w:val="00E54E6A"/>
    <w:rsid w:val="00E56E40"/>
    <w:rsid w:val="00E619D2"/>
    <w:rsid w:val="00E6259E"/>
    <w:rsid w:val="00E62C1F"/>
    <w:rsid w:val="00E66F0E"/>
    <w:rsid w:val="00E71D63"/>
    <w:rsid w:val="00E758FD"/>
    <w:rsid w:val="00E75B01"/>
    <w:rsid w:val="00E81CF1"/>
    <w:rsid w:val="00E87DF9"/>
    <w:rsid w:val="00E91AD8"/>
    <w:rsid w:val="00E936F4"/>
    <w:rsid w:val="00EA3E05"/>
    <w:rsid w:val="00EB019B"/>
    <w:rsid w:val="00EB09B2"/>
    <w:rsid w:val="00EB0FDD"/>
    <w:rsid w:val="00EB2386"/>
    <w:rsid w:val="00EB23B2"/>
    <w:rsid w:val="00EB53B2"/>
    <w:rsid w:val="00EC0D3B"/>
    <w:rsid w:val="00EC60F4"/>
    <w:rsid w:val="00ED7102"/>
    <w:rsid w:val="00EE0CC7"/>
    <w:rsid w:val="00EE15E3"/>
    <w:rsid w:val="00EE2784"/>
    <w:rsid w:val="00EE3547"/>
    <w:rsid w:val="00EE5B69"/>
    <w:rsid w:val="00EF1F16"/>
    <w:rsid w:val="00EF6091"/>
    <w:rsid w:val="00F1210E"/>
    <w:rsid w:val="00F15DF0"/>
    <w:rsid w:val="00F1795A"/>
    <w:rsid w:val="00F23919"/>
    <w:rsid w:val="00F27DF8"/>
    <w:rsid w:val="00F352A7"/>
    <w:rsid w:val="00F36249"/>
    <w:rsid w:val="00F4113A"/>
    <w:rsid w:val="00F4597B"/>
    <w:rsid w:val="00F50B0C"/>
    <w:rsid w:val="00F52671"/>
    <w:rsid w:val="00F56BA2"/>
    <w:rsid w:val="00F578BF"/>
    <w:rsid w:val="00F6479D"/>
    <w:rsid w:val="00F84C71"/>
    <w:rsid w:val="00FA7828"/>
    <w:rsid w:val="00FB00D0"/>
    <w:rsid w:val="00FB2139"/>
    <w:rsid w:val="00FB4E8E"/>
    <w:rsid w:val="00FC7125"/>
    <w:rsid w:val="00FC7EBE"/>
    <w:rsid w:val="00FD3B15"/>
    <w:rsid w:val="00FE0CEC"/>
    <w:rsid w:val="00FE4D79"/>
    <w:rsid w:val="00FE6D4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6D838746"/>
  <w15:docId w15:val="{9D593989-5613-42B4-9010-AFD98A5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1F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0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D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65E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5E55"/>
    <w:rPr>
      <w:color w:val="800080"/>
      <w:u w:val="single"/>
    </w:rPr>
  </w:style>
  <w:style w:type="paragraph" w:customStyle="1" w:styleId="xl65">
    <w:name w:val="xl65"/>
    <w:basedOn w:val="Normal"/>
    <w:rsid w:val="00365E5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365E5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365E55"/>
    <w:pPr>
      <w:pBdr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6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6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C87F-0E31-4853-A88B-2FF23DC9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1558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F&amp;AC Finance Report</vt:lpstr>
    </vt:vector>
  </TitlesOfParts>
  <Company>.</Company>
  <LinksUpToDate>false</LinksUpToDate>
  <CharactersWithSpaces>9844</CharactersWithSpaces>
  <SharedDoc>false</SharedDoc>
  <HLinks>
    <vt:vector size="6" baseType="variant"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\\nthchq4\highlifehighland\HLH Board\HLH Board Meetings\PURPOSE KEY BUSINESS OBJECTIVES AND CORPORATE VALUES.doc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F&amp;AC Finance Report</dc:title>
  <dc:creator>Graham Watson</dc:creator>
  <cp:lastModifiedBy>Jackie MacKenzie (HLH Corporate Services)</cp:lastModifiedBy>
  <cp:revision>19</cp:revision>
  <cp:lastPrinted>2022-08-17T12:07:00Z</cp:lastPrinted>
  <dcterms:created xsi:type="dcterms:W3CDTF">2022-08-16T10:13:00Z</dcterms:created>
  <dcterms:modified xsi:type="dcterms:W3CDTF">2022-08-22T09:31:00Z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</Properties>
</file>