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5F37" w14:textId="1CFC12EB" w:rsidR="00117BE1" w:rsidRPr="004D1E69" w:rsidRDefault="00C90B8D" w:rsidP="00D637FC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Appendix D</w:t>
      </w:r>
    </w:p>
    <w:p w14:paraId="45A28311" w14:textId="77777777" w:rsidR="00ED35B7" w:rsidRDefault="00ED35B7" w:rsidP="00BF438D">
      <w:pPr>
        <w:jc w:val="both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5224"/>
      </w:tblGrid>
      <w:tr w:rsidR="00ED35B7" w14:paraId="56A48E02" w14:textId="77777777" w:rsidTr="0088568C">
        <w:tc>
          <w:tcPr>
            <w:tcW w:w="3794" w:type="dxa"/>
            <w:shd w:val="clear" w:color="auto" w:fill="auto"/>
          </w:tcPr>
          <w:p w14:paraId="068B04F6" w14:textId="77777777" w:rsidR="00ED35B7" w:rsidRPr="006E3D74" w:rsidRDefault="00ED35B7" w:rsidP="0088568C">
            <w:pPr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Cs w:val="22"/>
              </w:rPr>
              <w:drawing>
                <wp:inline distT="0" distB="0" distL="0" distR="0" wp14:anchorId="43A7D191" wp14:editId="181F8B7C">
                  <wp:extent cx="2247900" cy="1143000"/>
                  <wp:effectExtent l="0" t="0" r="0" b="0"/>
                  <wp:docPr id="2" name="Picture 2" descr="Description: C:\Users\lorrhour\AppData\Local\Microsoft\Windows\Temporary Internet Files\Content.Outlook\FU2TPUMV\high_life_black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orrhour\AppData\Local\Microsoft\Windows\Temporary Internet Files\Content.Outlook\FU2TPUMV\high_life_black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8" w:type="dxa"/>
            <w:shd w:val="clear" w:color="auto" w:fill="auto"/>
          </w:tcPr>
          <w:p w14:paraId="1E4A066B" w14:textId="77777777" w:rsidR="00ED35B7" w:rsidRDefault="00ED35B7" w:rsidP="0088568C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14:paraId="18E5016D" w14:textId="77777777" w:rsidR="00ED35B7" w:rsidRDefault="00ED35B7" w:rsidP="0088568C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Risk Management Guidance</w:t>
            </w:r>
          </w:p>
          <w:p w14:paraId="2474822C" w14:textId="77777777" w:rsidR="00ED35B7" w:rsidRPr="00030CA2" w:rsidRDefault="00ED35B7" w:rsidP="0088568C">
            <w:pPr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  <w:r w:rsidRPr="00030CA2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(including </w:t>
            </w:r>
            <w:r w:rsidRPr="00030CA2">
              <w:rPr>
                <w:rFonts w:ascii="Arial" w:eastAsia="Calibri" w:hAnsi="Arial" w:cs="Arial"/>
                <w:b/>
                <w:i/>
                <w:sz w:val="22"/>
                <w:szCs w:val="22"/>
                <w:highlight w:val="yellow"/>
                <w:lang w:eastAsia="en-US"/>
              </w:rPr>
              <w:t>business cases</w:t>
            </w:r>
            <w:r w:rsidRPr="00030CA2"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  <w:t xml:space="preserve"> and </w:t>
            </w:r>
            <w:r w:rsidRPr="00030CA2">
              <w:rPr>
                <w:rFonts w:ascii="Arial" w:eastAsia="Calibri" w:hAnsi="Arial" w:cs="Arial"/>
                <w:b/>
                <w:i/>
                <w:sz w:val="22"/>
                <w:szCs w:val="22"/>
                <w:highlight w:val="yellow"/>
                <w:lang w:eastAsia="en-US"/>
              </w:rPr>
              <w:t>project planning)</w:t>
            </w:r>
          </w:p>
          <w:p w14:paraId="24B2A814" w14:textId="77777777" w:rsidR="007016BA" w:rsidRDefault="007016BA" w:rsidP="0088568C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14:paraId="729F4566" w14:textId="24DCAA59" w:rsidR="00486313" w:rsidRDefault="007016BA" w:rsidP="00486313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Hlk111452555"/>
            <w:r w:rsidRPr="00701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</w:t>
            </w:r>
            <w:r w:rsidR="004863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9 </w:t>
            </w:r>
            <w:r w:rsidR="003469A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August</w:t>
            </w:r>
            <w:r w:rsidR="004863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2022</w:t>
            </w:r>
            <w:r w:rsidRPr="00701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5DF6DAAC" w14:textId="0568F1B9" w:rsidR="007016BA" w:rsidRDefault="007016BA" w:rsidP="00486313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016B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F838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Policy approved</w:t>
            </w:r>
            <w:r w:rsidR="00E633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and reviewed by</w:t>
            </w:r>
            <w:r w:rsidR="00F838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HLH Board </w:t>
            </w:r>
            <w:r w:rsidR="00E633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-latest review 10/12/20</w:t>
            </w:r>
            <w:r w:rsidR="007E1A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; 1</w:t>
            </w:r>
            <w:r w:rsidR="004863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 w:rsidR="007E1A2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/12/2</w:t>
            </w:r>
            <w:r w:rsidR="004863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1;14 Dec 22</w:t>
            </w:r>
            <w:r w:rsidR="00E633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)</w:t>
            </w:r>
          </w:p>
          <w:p w14:paraId="4297B5F3" w14:textId="77777777" w:rsidR="00486313" w:rsidRDefault="00486313" w:rsidP="00486313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bookmarkEnd w:id="0"/>
          <w:p w14:paraId="74E6D5CA" w14:textId="0D1A4297" w:rsidR="007E1A2B" w:rsidRPr="007016BA" w:rsidRDefault="007E1A2B" w:rsidP="00F83848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Review Date – </w:t>
            </w:r>
            <w:r w:rsidR="004863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Dec 2024</w:t>
            </w:r>
          </w:p>
        </w:tc>
      </w:tr>
    </w:tbl>
    <w:p w14:paraId="01E8C4A9" w14:textId="77777777" w:rsidR="00D637FC" w:rsidRPr="004D1E69" w:rsidRDefault="00D637FC" w:rsidP="00D637FC">
      <w:pPr>
        <w:rPr>
          <w:rFonts w:ascii="Arial" w:hAnsi="Arial" w:cs="Arial"/>
          <w:sz w:val="22"/>
          <w:szCs w:val="22"/>
        </w:rPr>
      </w:pPr>
    </w:p>
    <w:p w14:paraId="59CD4A61" w14:textId="77777777" w:rsidR="00D637FC" w:rsidRPr="005D2F72" w:rsidRDefault="00D637FC" w:rsidP="00F50823">
      <w:pPr>
        <w:jc w:val="both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H</w:t>
      </w:r>
      <w:r w:rsidR="001860C2" w:rsidRPr="005D2F72">
        <w:rPr>
          <w:rFonts w:ascii="Arial" w:hAnsi="Arial" w:cs="Arial"/>
          <w:szCs w:val="24"/>
        </w:rPr>
        <w:t xml:space="preserve">igh </w:t>
      </w:r>
      <w:r w:rsidRPr="005D2F72">
        <w:rPr>
          <w:rFonts w:ascii="Arial" w:hAnsi="Arial" w:cs="Arial"/>
          <w:szCs w:val="24"/>
        </w:rPr>
        <w:t>L</w:t>
      </w:r>
      <w:r w:rsidR="001860C2" w:rsidRPr="005D2F72">
        <w:rPr>
          <w:rFonts w:ascii="Arial" w:hAnsi="Arial" w:cs="Arial"/>
          <w:szCs w:val="24"/>
        </w:rPr>
        <w:t xml:space="preserve">ife </w:t>
      </w:r>
      <w:r w:rsidRPr="005D2F72">
        <w:rPr>
          <w:rFonts w:ascii="Arial" w:hAnsi="Arial" w:cs="Arial"/>
          <w:szCs w:val="24"/>
        </w:rPr>
        <w:t>H</w:t>
      </w:r>
      <w:r w:rsidR="001860C2" w:rsidRPr="005D2F72">
        <w:rPr>
          <w:rFonts w:ascii="Arial" w:hAnsi="Arial" w:cs="Arial"/>
          <w:szCs w:val="24"/>
        </w:rPr>
        <w:t>ighland (HLH)</w:t>
      </w:r>
      <w:r w:rsidRPr="005D2F72">
        <w:rPr>
          <w:rFonts w:ascii="Arial" w:hAnsi="Arial" w:cs="Arial"/>
          <w:szCs w:val="24"/>
        </w:rPr>
        <w:t xml:space="preserve"> has a policy and strategy to reduce harm and loss through risk management. This guidance details how these are implemented.</w:t>
      </w:r>
    </w:p>
    <w:p w14:paraId="33AB53EB" w14:textId="77777777" w:rsidR="00D637FC" w:rsidRPr="005D2F72" w:rsidRDefault="00D637FC" w:rsidP="00F50823">
      <w:pPr>
        <w:jc w:val="both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 </w:t>
      </w:r>
    </w:p>
    <w:p w14:paraId="4EBF1F55" w14:textId="77777777" w:rsidR="00D637FC" w:rsidRPr="004D1E69" w:rsidRDefault="00D637FC" w:rsidP="004D1E69">
      <w:pPr>
        <w:jc w:val="both"/>
        <w:rPr>
          <w:rFonts w:ascii="Arial" w:hAnsi="Arial" w:cs="Arial"/>
          <w:sz w:val="22"/>
          <w:szCs w:val="22"/>
        </w:rPr>
      </w:pPr>
      <w:r w:rsidRPr="005D2F72">
        <w:rPr>
          <w:rFonts w:ascii="Arial" w:hAnsi="Arial" w:cs="Arial"/>
          <w:szCs w:val="24"/>
        </w:rPr>
        <w:t>A risk register is maintained with the following information</w:t>
      </w:r>
      <w:r w:rsidRPr="004D1E69">
        <w:rPr>
          <w:rFonts w:ascii="Arial" w:hAnsi="Arial" w:cs="Arial"/>
          <w:sz w:val="22"/>
          <w:szCs w:val="22"/>
        </w:rPr>
        <w:t>:</w:t>
      </w:r>
    </w:p>
    <w:p w14:paraId="1521EC3A" w14:textId="77777777" w:rsidR="00D637FC" w:rsidRDefault="00D637FC" w:rsidP="004D1E69">
      <w:pPr>
        <w:jc w:val="both"/>
        <w:rPr>
          <w:rFonts w:ascii="Arial" w:hAnsi="Arial" w:cs="Arial"/>
          <w:sz w:val="22"/>
          <w:szCs w:val="22"/>
        </w:rPr>
      </w:pPr>
      <w:r w:rsidRPr="004D1E69">
        <w:rPr>
          <w:rFonts w:ascii="Arial" w:hAnsi="Arial" w:cs="Arial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2"/>
        <w:gridCol w:w="5554"/>
      </w:tblGrid>
      <w:tr w:rsidR="001860C2" w14:paraId="73379E46" w14:textId="77777777" w:rsidTr="005D2F72">
        <w:tc>
          <w:tcPr>
            <w:tcW w:w="3510" w:type="dxa"/>
          </w:tcPr>
          <w:p w14:paraId="51703992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Risk Number</w:t>
            </w:r>
          </w:p>
        </w:tc>
        <w:tc>
          <w:tcPr>
            <w:tcW w:w="5670" w:type="dxa"/>
          </w:tcPr>
          <w:p w14:paraId="595D8156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Each risk is allocated its own unique number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1860C2" w14:paraId="3AA9F11B" w14:textId="77777777" w:rsidTr="005D2F72">
        <w:tc>
          <w:tcPr>
            <w:tcW w:w="3510" w:type="dxa"/>
          </w:tcPr>
          <w:p w14:paraId="37BFE20F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Risk Rating</w:t>
            </w:r>
          </w:p>
        </w:tc>
        <w:tc>
          <w:tcPr>
            <w:tcW w:w="5670" w:type="dxa"/>
          </w:tcPr>
          <w:p w14:paraId="57503263" w14:textId="7D57E890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 xml:space="preserve">Each risk is scored on a scale of the likelihood of it happening, </w:t>
            </w:r>
            <w:r w:rsidR="00654801">
              <w:rPr>
                <w:rFonts w:ascii="Arial" w:hAnsi="Arial" w:cs="Arial"/>
                <w:sz w:val="22"/>
              </w:rPr>
              <w:t>1 (A)= Very High, 2 (B) = High, 3 (C) = Significant, 4 (D) = Low</w:t>
            </w:r>
            <w:r w:rsidR="00D41AEB">
              <w:rPr>
                <w:rFonts w:ascii="Arial" w:hAnsi="Arial" w:cs="Arial"/>
                <w:sz w:val="22"/>
              </w:rPr>
              <w:t xml:space="preserve"> and 5 € = Very Low.  On the impact, if it were to happen, 1 = Critical, 2 = Major Impact, 3 = Minor Impact and 4 = Marginal Impact.  </w:t>
            </w:r>
            <w:r w:rsidR="00D41AEB" w:rsidRPr="00D41AEB">
              <w:rPr>
                <w:rFonts w:ascii="Arial" w:hAnsi="Arial" w:cs="Arial"/>
                <w:sz w:val="22"/>
              </w:rPr>
              <w:t xml:space="preserve">(For example a risk might be scored </w:t>
            </w:r>
            <w:r w:rsidR="00D41AEB">
              <w:rPr>
                <w:rFonts w:ascii="Arial" w:hAnsi="Arial" w:cs="Arial"/>
                <w:sz w:val="22"/>
              </w:rPr>
              <w:t xml:space="preserve"> 2(</w:t>
            </w:r>
            <w:r w:rsidR="00D41AEB" w:rsidRPr="00D41AEB">
              <w:rPr>
                <w:rFonts w:ascii="Arial" w:hAnsi="Arial" w:cs="Arial"/>
                <w:sz w:val="22"/>
              </w:rPr>
              <w:t>B</w:t>
            </w:r>
            <w:r w:rsidR="00D41AEB">
              <w:rPr>
                <w:rFonts w:ascii="Arial" w:hAnsi="Arial" w:cs="Arial"/>
                <w:sz w:val="22"/>
              </w:rPr>
              <w:t>):2</w:t>
            </w:r>
            <w:r w:rsidR="00D41AEB" w:rsidRPr="00D41AEB">
              <w:rPr>
                <w:rFonts w:ascii="Arial" w:hAnsi="Arial" w:cs="Arial"/>
                <w:sz w:val="22"/>
              </w:rPr>
              <w:t xml:space="preserve"> which would be a high chance of it happening and </w:t>
            </w:r>
            <w:r w:rsidR="00D41AEB">
              <w:rPr>
                <w:rFonts w:ascii="Arial" w:hAnsi="Arial" w:cs="Arial"/>
                <w:sz w:val="22"/>
              </w:rPr>
              <w:t xml:space="preserve">have a major impact if it did, </w:t>
            </w:r>
            <w:r w:rsidR="00D41AEB" w:rsidRPr="00D41AEB">
              <w:rPr>
                <w:rFonts w:ascii="Arial" w:hAnsi="Arial" w:cs="Arial"/>
                <w:sz w:val="22"/>
              </w:rPr>
              <w:t xml:space="preserve">or </w:t>
            </w:r>
            <w:r w:rsidR="00D41AEB">
              <w:rPr>
                <w:rFonts w:ascii="Arial" w:hAnsi="Arial" w:cs="Arial"/>
                <w:sz w:val="22"/>
              </w:rPr>
              <w:t>4(D):1</w:t>
            </w:r>
            <w:r w:rsidR="00D41AEB" w:rsidRPr="00D41AEB">
              <w:rPr>
                <w:rFonts w:ascii="Arial" w:hAnsi="Arial" w:cs="Arial"/>
                <w:sz w:val="22"/>
              </w:rPr>
              <w:t xml:space="preserve">, low chance of it happening with </w:t>
            </w:r>
            <w:r w:rsidR="00D41AEB">
              <w:rPr>
                <w:rFonts w:ascii="Arial" w:hAnsi="Arial" w:cs="Arial"/>
                <w:sz w:val="22"/>
              </w:rPr>
              <w:t xml:space="preserve">a critical </w:t>
            </w:r>
            <w:r w:rsidR="00D41AEB" w:rsidRPr="00D41AEB">
              <w:rPr>
                <w:rFonts w:ascii="Arial" w:hAnsi="Arial" w:cs="Arial"/>
                <w:sz w:val="22"/>
              </w:rPr>
              <w:t>impact).</w:t>
            </w:r>
          </w:p>
        </w:tc>
      </w:tr>
      <w:tr w:rsidR="001860C2" w14:paraId="5C26DBAF" w14:textId="77777777" w:rsidTr="005D2F72">
        <w:tc>
          <w:tcPr>
            <w:tcW w:w="3510" w:type="dxa"/>
          </w:tcPr>
          <w:p w14:paraId="24937D4A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Above the line</w:t>
            </w:r>
          </w:p>
        </w:tc>
        <w:tc>
          <w:tcPr>
            <w:tcW w:w="5670" w:type="dxa"/>
          </w:tcPr>
          <w:p w14:paraId="493A499D" w14:textId="6D1B2EED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 xml:space="preserve">The scoring matrix has a line above which </w:t>
            </w:r>
            <w:r w:rsidR="00D41AEB">
              <w:rPr>
                <w:rFonts w:ascii="Arial" w:hAnsi="Arial" w:cs="Arial"/>
                <w:sz w:val="22"/>
              </w:rPr>
              <w:t>risks</w:t>
            </w:r>
            <w:r w:rsidR="00D41AEB" w:rsidRPr="004D1E69">
              <w:rPr>
                <w:rFonts w:ascii="Arial" w:hAnsi="Arial" w:cs="Arial"/>
                <w:sz w:val="22"/>
              </w:rPr>
              <w:t xml:space="preserve"> </w:t>
            </w:r>
            <w:r w:rsidRPr="004D1E69">
              <w:rPr>
                <w:rFonts w:ascii="Arial" w:hAnsi="Arial" w:cs="Arial"/>
                <w:sz w:val="22"/>
              </w:rPr>
              <w:t xml:space="preserve">require a </w:t>
            </w:r>
            <w:r w:rsidR="00D41AEB">
              <w:rPr>
                <w:rFonts w:ascii="Arial" w:hAnsi="Arial" w:cs="Arial"/>
                <w:sz w:val="22"/>
              </w:rPr>
              <w:t xml:space="preserve">risk management </w:t>
            </w:r>
            <w:r w:rsidRPr="004D1E69">
              <w:rPr>
                <w:rFonts w:ascii="Arial" w:hAnsi="Arial" w:cs="Arial"/>
                <w:sz w:val="22"/>
              </w:rPr>
              <w:t xml:space="preserve">plan to address how to </w:t>
            </w:r>
            <w:r w:rsidR="00D41AEB">
              <w:rPr>
                <w:rFonts w:ascii="Arial" w:hAnsi="Arial" w:cs="Arial"/>
                <w:sz w:val="22"/>
              </w:rPr>
              <w:t>manage and mitigate</w:t>
            </w:r>
            <w:r w:rsidR="00D41AEB" w:rsidRPr="004D1E69">
              <w:rPr>
                <w:rFonts w:ascii="Arial" w:hAnsi="Arial" w:cs="Arial"/>
                <w:sz w:val="22"/>
              </w:rPr>
              <w:t xml:space="preserve"> </w:t>
            </w:r>
            <w:r w:rsidRPr="004D1E69">
              <w:rPr>
                <w:rFonts w:ascii="Arial" w:hAnsi="Arial" w:cs="Arial"/>
                <w:sz w:val="22"/>
              </w:rPr>
              <w:t xml:space="preserve">the risk, whilst </w:t>
            </w:r>
            <w:r w:rsidR="00D41AEB">
              <w:rPr>
                <w:rFonts w:ascii="Arial" w:hAnsi="Arial" w:cs="Arial"/>
                <w:sz w:val="22"/>
              </w:rPr>
              <w:t>risks</w:t>
            </w:r>
            <w:r w:rsidR="00D41AEB" w:rsidRPr="004D1E69">
              <w:rPr>
                <w:rFonts w:ascii="Arial" w:hAnsi="Arial" w:cs="Arial"/>
                <w:sz w:val="22"/>
              </w:rPr>
              <w:t xml:space="preserve"> </w:t>
            </w:r>
            <w:r w:rsidRPr="004D1E69">
              <w:rPr>
                <w:rFonts w:ascii="Arial" w:hAnsi="Arial" w:cs="Arial"/>
                <w:sz w:val="22"/>
              </w:rPr>
              <w:t xml:space="preserve">“below the line” are those to be aware of. </w:t>
            </w:r>
          </w:p>
        </w:tc>
      </w:tr>
      <w:tr w:rsidR="001860C2" w14:paraId="3D9C1D66" w14:textId="77777777" w:rsidTr="005D2F72">
        <w:tc>
          <w:tcPr>
            <w:tcW w:w="3510" w:type="dxa"/>
          </w:tcPr>
          <w:p w14:paraId="59C6A5A2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Progress Status R/A/G</w:t>
            </w:r>
          </w:p>
        </w:tc>
        <w:tc>
          <w:tcPr>
            <w:tcW w:w="5670" w:type="dxa"/>
          </w:tcPr>
          <w:p w14:paraId="34CD289F" w14:textId="3CA04055" w:rsidR="001860C2" w:rsidRDefault="00D41AEB" w:rsidP="004D1E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risk register automatically rates the risk </w:t>
            </w:r>
            <w:r w:rsidR="00486313"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ed, amber or green depending on the above scoring</w:t>
            </w:r>
            <w:r w:rsidR="00486313" w:rsidRPr="004D1E69">
              <w:rPr>
                <w:rFonts w:ascii="Arial" w:hAnsi="Arial" w:cs="Arial"/>
                <w:sz w:val="22"/>
              </w:rPr>
              <w:t xml:space="preserve"> i.e. </w:t>
            </w:r>
            <w:r w:rsidR="00486313">
              <w:rPr>
                <w:rFonts w:ascii="Arial" w:hAnsi="Arial" w:cs="Arial"/>
                <w:sz w:val="22"/>
              </w:rPr>
              <w:t>is it fully in place, partially</w:t>
            </w:r>
            <w:r w:rsidR="00486313" w:rsidRPr="004D1E69">
              <w:rPr>
                <w:rFonts w:ascii="Arial" w:hAnsi="Arial" w:cs="Arial"/>
                <w:sz w:val="22"/>
              </w:rPr>
              <w:t xml:space="preserve"> or does the risk remain largely unaddressed</w:t>
            </w:r>
            <w:r w:rsidR="00486313">
              <w:rPr>
                <w:rFonts w:ascii="Arial" w:hAnsi="Arial" w:cs="Arial"/>
                <w:sz w:val="22"/>
              </w:rPr>
              <w:t xml:space="preserve">.  </w:t>
            </w:r>
          </w:p>
        </w:tc>
      </w:tr>
      <w:tr w:rsidR="001860C2" w14:paraId="50BF661D" w14:textId="77777777" w:rsidTr="005D2F72">
        <w:tc>
          <w:tcPr>
            <w:tcW w:w="3510" w:type="dxa"/>
          </w:tcPr>
          <w:p w14:paraId="2920B064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Risk Description/ Short Name</w:t>
            </w:r>
          </w:p>
        </w:tc>
        <w:tc>
          <w:tcPr>
            <w:tcW w:w="5670" w:type="dxa"/>
          </w:tcPr>
          <w:p w14:paraId="661BBA1A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</w:t>
            </w:r>
            <w:r w:rsidRPr="004D1E69">
              <w:rPr>
                <w:rFonts w:ascii="Arial" w:hAnsi="Arial" w:cs="Arial"/>
                <w:sz w:val="22"/>
              </w:rPr>
              <w:t>hat is the thing that may happen?</w:t>
            </w:r>
          </w:p>
        </w:tc>
      </w:tr>
      <w:tr w:rsidR="001860C2" w14:paraId="6174F265" w14:textId="77777777" w:rsidTr="005D2F72">
        <w:tc>
          <w:tcPr>
            <w:tcW w:w="3510" w:type="dxa"/>
          </w:tcPr>
          <w:p w14:paraId="59BD4B3D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Vulnerability</w:t>
            </w:r>
          </w:p>
        </w:tc>
        <w:tc>
          <w:tcPr>
            <w:tcW w:w="5670" w:type="dxa"/>
          </w:tcPr>
          <w:p w14:paraId="4DFC41CB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How might it manifest itself in HLH?</w:t>
            </w:r>
          </w:p>
        </w:tc>
      </w:tr>
      <w:tr w:rsidR="001860C2" w14:paraId="1002F351" w14:textId="77777777" w:rsidTr="005D2F72">
        <w:tc>
          <w:tcPr>
            <w:tcW w:w="3510" w:type="dxa"/>
          </w:tcPr>
          <w:p w14:paraId="5E83EAE0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Trigger</w:t>
            </w:r>
          </w:p>
        </w:tc>
        <w:tc>
          <w:tcPr>
            <w:tcW w:w="5670" w:type="dxa"/>
          </w:tcPr>
          <w:p w14:paraId="05D67995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What might cause it to happen?</w:t>
            </w:r>
          </w:p>
        </w:tc>
      </w:tr>
      <w:tr w:rsidR="001860C2" w14:paraId="5A5F697C" w14:textId="77777777" w:rsidTr="005D2F72">
        <w:tc>
          <w:tcPr>
            <w:tcW w:w="3510" w:type="dxa"/>
          </w:tcPr>
          <w:p w14:paraId="5C3D2804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Consequences</w:t>
            </w:r>
          </w:p>
        </w:tc>
        <w:tc>
          <w:tcPr>
            <w:tcW w:w="5670" w:type="dxa"/>
          </w:tcPr>
          <w:p w14:paraId="31350722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What would happen if it did occur</w:t>
            </w:r>
            <w:r>
              <w:rPr>
                <w:rFonts w:ascii="Arial" w:hAnsi="Arial" w:cs="Arial"/>
                <w:sz w:val="22"/>
              </w:rPr>
              <w:t>?</w:t>
            </w:r>
          </w:p>
        </w:tc>
      </w:tr>
      <w:tr w:rsidR="001860C2" w14:paraId="4BD5903B" w14:textId="77777777" w:rsidTr="005D2F72">
        <w:tc>
          <w:tcPr>
            <w:tcW w:w="3510" w:type="dxa"/>
          </w:tcPr>
          <w:p w14:paraId="195E947D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  <w:tc>
          <w:tcPr>
            <w:tcW w:w="5670" w:type="dxa"/>
          </w:tcPr>
          <w:p w14:paraId="5C733C1A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Who is ultimately responsible for addressing the risk</w:t>
            </w:r>
            <w:r>
              <w:rPr>
                <w:rFonts w:ascii="Arial" w:hAnsi="Arial" w:cs="Arial"/>
                <w:sz w:val="22"/>
              </w:rPr>
              <w:t>, e.g. HLH Board, SMT etc?</w:t>
            </w:r>
          </w:p>
        </w:tc>
      </w:tr>
      <w:tr w:rsidR="001860C2" w14:paraId="3901A969" w14:textId="77777777" w:rsidTr="005D2F72">
        <w:tc>
          <w:tcPr>
            <w:tcW w:w="3510" w:type="dxa"/>
          </w:tcPr>
          <w:p w14:paraId="5B0AF8A8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b/>
                <w:bCs/>
                <w:sz w:val="22"/>
              </w:rPr>
              <w:t>Lead officer</w:t>
            </w:r>
          </w:p>
        </w:tc>
        <w:tc>
          <w:tcPr>
            <w:tcW w:w="5670" w:type="dxa"/>
          </w:tcPr>
          <w:p w14:paraId="4EF21AF9" w14:textId="77777777" w:rsidR="001860C2" w:rsidRDefault="001860C2" w:rsidP="004D1E69">
            <w:pPr>
              <w:jc w:val="both"/>
              <w:rPr>
                <w:rFonts w:ascii="Arial" w:hAnsi="Arial" w:cs="Arial"/>
                <w:sz w:val="22"/>
              </w:rPr>
            </w:pPr>
            <w:r w:rsidRPr="004D1E69">
              <w:rPr>
                <w:rFonts w:ascii="Arial" w:hAnsi="Arial" w:cs="Arial"/>
                <w:sz w:val="22"/>
              </w:rPr>
              <w:t>Nominated person to be in charge of managing the risk</w:t>
            </w:r>
          </w:p>
        </w:tc>
      </w:tr>
    </w:tbl>
    <w:p w14:paraId="27FAB652" w14:textId="77777777" w:rsidR="00D637FC" w:rsidRPr="004D1E69" w:rsidRDefault="00F50823" w:rsidP="004D1E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637FC" w:rsidRPr="004D1E69">
        <w:rPr>
          <w:rFonts w:ascii="Arial" w:hAnsi="Arial" w:cs="Arial"/>
          <w:sz w:val="22"/>
          <w:szCs w:val="22"/>
        </w:rPr>
        <w:t> </w:t>
      </w:r>
    </w:p>
    <w:p w14:paraId="72A466B2" w14:textId="77777777" w:rsidR="00D637FC" w:rsidRPr="005D2F72" w:rsidRDefault="00D637FC" w:rsidP="004D1E69">
      <w:pPr>
        <w:jc w:val="both"/>
        <w:rPr>
          <w:rFonts w:ascii="Arial" w:hAnsi="Arial" w:cs="Arial"/>
          <w:szCs w:val="24"/>
        </w:rPr>
      </w:pPr>
    </w:p>
    <w:p w14:paraId="2804A92F" w14:textId="4FA78010" w:rsidR="00D637FC" w:rsidRPr="005D2F72" w:rsidRDefault="00D637FC" w:rsidP="004D1E69">
      <w:pPr>
        <w:jc w:val="both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 xml:space="preserve">The </w:t>
      </w:r>
      <w:r w:rsidR="004D5F9D">
        <w:rPr>
          <w:rFonts w:ascii="Arial" w:hAnsi="Arial" w:cs="Arial"/>
          <w:szCs w:val="24"/>
        </w:rPr>
        <w:t>Head of Investment and Programme Management</w:t>
      </w:r>
      <w:r w:rsidRPr="005D2F72">
        <w:rPr>
          <w:rFonts w:ascii="Arial" w:hAnsi="Arial" w:cs="Arial"/>
          <w:szCs w:val="24"/>
        </w:rPr>
        <w:t xml:space="preserve"> is responsible for maintaining the Risk Register. The Risk Register is reviewed </w:t>
      </w:r>
      <w:r w:rsidR="00486313">
        <w:rPr>
          <w:rFonts w:ascii="Arial" w:hAnsi="Arial" w:cs="Arial"/>
          <w:szCs w:val="24"/>
        </w:rPr>
        <w:t xml:space="preserve">Annually by the HLH Board, </w:t>
      </w:r>
      <w:proofErr w:type="gramStart"/>
      <w:r w:rsidR="00486313">
        <w:rPr>
          <w:rFonts w:ascii="Arial" w:hAnsi="Arial" w:cs="Arial"/>
          <w:szCs w:val="24"/>
        </w:rPr>
        <w:t>Quarterly</w:t>
      </w:r>
      <w:proofErr w:type="gramEnd"/>
      <w:r w:rsidR="00486313">
        <w:rPr>
          <w:rFonts w:ascii="Arial" w:hAnsi="Arial" w:cs="Arial"/>
          <w:szCs w:val="24"/>
        </w:rPr>
        <w:t xml:space="preserve"> by the Finance and Audit Committee and M</w:t>
      </w:r>
      <w:r w:rsidRPr="005D2F72">
        <w:rPr>
          <w:rFonts w:ascii="Arial" w:hAnsi="Arial" w:cs="Arial"/>
          <w:szCs w:val="24"/>
        </w:rPr>
        <w:t>onthly by S</w:t>
      </w:r>
      <w:r w:rsidR="00486313">
        <w:rPr>
          <w:rFonts w:ascii="Arial" w:hAnsi="Arial" w:cs="Arial"/>
          <w:szCs w:val="24"/>
        </w:rPr>
        <w:t>enior Management Team.</w:t>
      </w:r>
    </w:p>
    <w:p w14:paraId="55DB46EA" w14:textId="77777777" w:rsidR="001860C2" w:rsidRPr="005D2F72" w:rsidRDefault="001860C2">
      <w:pPr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br w:type="page"/>
      </w:r>
    </w:p>
    <w:p w14:paraId="583C6CDA" w14:textId="77777777" w:rsidR="004C23A8" w:rsidRPr="005D2F72" w:rsidRDefault="004C23A8" w:rsidP="004C23A8">
      <w:pPr>
        <w:jc w:val="right"/>
        <w:rPr>
          <w:rFonts w:ascii="Arial" w:hAnsi="Arial" w:cs="Arial"/>
          <w:b/>
          <w:bCs/>
          <w:szCs w:val="24"/>
        </w:rPr>
      </w:pPr>
    </w:p>
    <w:p w14:paraId="2128CBFA" w14:textId="77777777" w:rsidR="00D637FC" w:rsidRPr="005D2F72" w:rsidRDefault="00D637FC" w:rsidP="00D637FC">
      <w:pPr>
        <w:rPr>
          <w:rFonts w:ascii="Arial" w:hAnsi="Arial" w:cs="Arial"/>
          <w:szCs w:val="24"/>
        </w:rPr>
      </w:pPr>
      <w:r w:rsidRPr="005D2F72">
        <w:rPr>
          <w:rFonts w:ascii="Arial" w:hAnsi="Arial" w:cs="Arial"/>
          <w:b/>
          <w:bCs/>
          <w:szCs w:val="24"/>
        </w:rPr>
        <w:t>How do items get onto the Risk Register?</w:t>
      </w:r>
    </w:p>
    <w:p w14:paraId="3525F510" w14:textId="77777777" w:rsidR="00D637FC" w:rsidRPr="005D2F72" w:rsidRDefault="00D637FC" w:rsidP="00D637FC">
      <w:pPr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 </w:t>
      </w:r>
    </w:p>
    <w:p w14:paraId="0C3725FB" w14:textId="6C211418" w:rsidR="00D637FC" w:rsidRPr="005D2F72" w:rsidRDefault="001860C2" w:rsidP="009C1503">
      <w:pPr>
        <w:numPr>
          <w:ilvl w:val="0"/>
          <w:numId w:val="6"/>
        </w:numPr>
        <w:ind w:left="540"/>
        <w:jc w:val="both"/>
        <w:textAlignment w:val="center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i</w:t>
      </w:r>
      <w:r w:rsidR="00D637FC" w:rsidRPr="005D2F72">
        <w:rPr>
          <w:rFonts w:ascii="Arial" w:hAnsi="Arial" w:cs="Arial"/>
          <w:szCs w:val="24"/>
        </w:rPr>
        <w:t xml:space="preserve">ssues are discussed at the </w:t>
      </w:r>
      <w:r w:rsidR="00E633B6">
        <w:rPr>
          <w:rFonts w:ascii="Arial" w:hAnsi="Arial" w:cs="Arial"/>
          <w:szCs w:val="24"/>
        </w:rPr>
        <w:t>Weekly Business</w:t>
      </w:r>
      <w:r w:rsidR="00D637FC" w:rsidRPr="005D2F72">
        <w:rPr>
          <w:rFonts w:ascii="Arial" w:hAnsi="Arial" w:cs="Arial"/>
          <w:szCs w:val="24"/>
        </w:rPr>
        <w:t xml:space="preserve"> meeting </w:t>
      </w:r>
      <w:r w:rsidR="00E633B6">
        <w:rPr>
          <w:rFonts w:ascii="Arial" w:hAnsi="Arial" w:cs="Arial"/>
          <w:szCs w:val="24"/>
        </w:rPr>
        <w:t xml:space="preserve">(WBM) </w:t>
      </w:r>
      <w:r w:rsidR="00D637FC" w:rsidRPr="005D2F72">
        <w:rPr>
          <w:rFonts w:ascii="Arial" w:hAnsi="Arial" w:cs="Arial"/>
          <w:szCs w:val="24"/>
        </w:rPr>
        <w:t>and decisions taken whether t</w:t>
      </w:r>
      <w:r w:rsidR="00F50823" w:rsidRPr="005D2F72">
        <w:rPr>
          <w:rFonts w:ascii="Arial" w:hAnsi="Arial" w:cs="Arial"/>
          <w:szCs w:val="24"/>
        </w:rPr>
        <w:t xml:space="preserve">o add them to the risk </w:t>
      </w:r>
      <w:proofErr w:type="gramStart"/>
      <w:r w:rsidR="00F50823" w:rsidRPr="005D2F72">
        <w:rPr>
          <w:rFonts w:ascii="Arial" w:hAnsi="Arial" w:cs="Arial"/>
          <w:szCs w:val="24"/>
        </w:rPr>
        <w:t>register;</w:t>
      </w:r>
      <w:proofErr w:type="gramEnd"/>
    </w:p>
    <w:p w14:paraId="3AB8C661" w14:textId="2336AA7C" w:rsidR="00D637FC" w:rsidRPr="005D2F72" w:rsidRDefault="001860C2" w:rsidP="009C1503">
      <w:pPr>
        <w:numPr>
          <w:ilvl w:val="0"/>
          <w:numId w:val="7"/>
        </w:numPr>
        <w:ind w:left="540"/>
        <w:jc w:val="both"/>
        <w:textAlignment w:val="center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w</w:t>
      </w:r>
      <w:r w:rsidR="00D637FC" w:rsidRPr="005D2F72">
        <w:rPr>
          <w:rFonts w:ascii="Arial" w:hAnsi="Arial" w:cs="Arial"/>
          <w:szCs w:val="24"/>
        </w:rPr>
        <w:t xml:space="preserve">hen </w:t>
      </w:r>
      <w:r w:rsidR="00D637FC" w:rsidRPr="002477F2">
        <w:rPr>
          <w:rFonts w:ascii="Arial" w:hAnsi="Arial" w:cs="Arial"/>
          <w:szCs w:val="24"/>
          <w:highlight w:val="yellow"/>
        </w:rPr>
        <w:t>business cases</w:t>
      </w:r>
      <w:r w:rsidR="00D637FC" w:rsidRPr="005D2F72">
        <w:rPr>
          <w:rFonts w:ascii="Arial" w:hAnsi="Arial" w:cs="Arial"/>
          <w:szCs w:val="24"/>
        </w:rPr>
        <w:t xml:space="preserve"> </w:t>
      </w:r>
      <w:r w:rsidR="00486313">
        <w:rPr>
          <w:rFonts w:ascii="Arial" w:hAnsi="Arial" w:cs="Arial"/>
          <w:szCs w:val="24"/>
        </w:rPr>
        <w:t>or</w:t>
      </w:r>
      <w:r w:rsidR="00486313" w:rsidRPr="005D2F72">
        <w:rPr>
          <w:rFonts w:ascii="Arial" w:hAnsi="Arial" w:cs="Arial"/>
          <w:szCs w:val="24"/>
        </w:rPr>
        <w:t xml:space="preserve"> </w:t>
      </w:r>
      <w:r w:rsidR="00D637FC" w:rsidRPr="002477F2">
        <w:rPr>
          <w:rFonts w:ascii="Arial" w:hAnsi="Arial" w:cs="Arial"/>
          <w:szCs w:val="24"/>
          <w:highlight w:val="yellow"/>
        </w:rPr>
        <w:t>projects</w:t>
      </w:r>
      <w:r w:rsidR="00D637FC" w:rsidRPr="005D2F72">
        <w:rPr>
          <w:rFonts w:ascii="Arial" w:hAnsi="Arial" w:cs="Arial"/>
          <w:szCs w:val="24"/>
        </w:rPr>
        <w:t xml:space="preserve"> are discussed at </w:t>
      </w:r>
      <w:r w:rsidR="00486313">
        <w:rPr>
          <w:rFonts w:ascii="Arial" w:hAnsi="Arial" w:cs="Arial"/>
          <w:szCs w:val="24"/>
        </w:rPr>
        <w:t xml:space="preserve">the Corporate Programme Board meetings, </w:t>
      </w:r>
      <w:r w:rsidR="00E633B6">
        <w:rPr>
          <w:rFonts w:ascii="Arial" w:hAnsi="Arial" w:cs="Arial"/>
          <w:szCs w:val="24"/>
        </w:rPr>
        <w:t>WBM</w:t>
      </w:r>
      <w:r w:rsidR="00D637FC" w:rsidRPr="005D2F72">
        <w:rPr>
          <w:rFonts w:ascii="Arial" w:hAnsi="Arial" w:cs="Arial"/>
          <w:szCs w:val="24"/>
        </w:rPr>
        <w:t xml:space="preserve"> </w:t>
      </w:r>
      <w:r w:rsidR="00486313">
        <w:rPr>
          <w:rFonts w:ascii="Arial" w:hAnsi="Arial" w:cs="Arial"/>
          <w:szCs w:val="24"/>
        </w:rPr>
        <w:t>or</w:t>
      </w:r>
      <w:r w:rsidR="00486313" w:rsidRPr="005D2F72">
        <w:rPr>
          <w:rFonts w:ascii="Arial" w:hAnsi="Arial" w:cs="Arial"/>
          <w:szCs w:val="24"/>
        </w:rPr>
        <w:t xml:space="preserve"> </w:t>
      </w:r>
      <w:r w:rsidR="00D637FC" w:rsidRPr="005D2F72">
        <w:rPr>
          <w:rFonts w:ascii="Arial" w:hAnsi="Arial" w:cs="Arial"/>
          <w:szCs w:val="24"/>
        </w:rPr>
        <w:t xml:space="preserve">SMT, a decision is taken whether to add them to the risk </w:t>
      </w:r>
      <w:proofErr w:type="gramStart"/>
      <w:r w:rsidR="00D637FC" w:rsidRPr="005D2F72">
        <w:rPr>
          <w:rFonts w:ascii="Arial" w:hAnsi="Arial" w:cs="Arial"/>
          <w:szCs w:val="24"/>
        </w:rPr>
        <w:t>register</w:t>
      </w:r>
      <w:r w:rsidR="00F50823" w:rsidRPr="005D2F72">
        <w:rPr>
          <w:rFonts w:ascii="Arial" w:hAnsi="Arial" w:cs="Arial"/>
          <w:szCs w:val="24"/>
        </w:rPr>
        <w:t>;</w:t>
      </w:r>
      <w:proofErr w:type="gramEnd"/>
    </w:p>
    <w:p w14:paraId="5D9F59EB" w14:textId="77777777" w:rsidR="00D637FC" w:rsidRPr="005D2F72" w:rsidRDefault="001860C2" w:rsidP="009C1503">
      <w:pPr>
        <w:numPr>
          <w:ilvl w:val="0"/>
          <w:numId w:val="8"/>
        </w:numPr>
        <w:ind w:left="540"/>
        <w:jc w:val="both"/>
        <w:textAlignment w:val="center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i</w:t>
      </w:r>
      <w:r w:rsidR="00D637FC" w:rsidRPr="005D2F72">
        <w:rPr>
          <w:rFonts w:ascii="Arial" w:hAnsi="Arial" w:cs="Arial"/>
          <w:szCs w:val="24"/>
        </w:rPr>
        <w:t>tems are added through decisions at monthly SMT meetings and the quarterly extended management team meetings</w:t>
      </w:r>
      <w:r w:rsidR="00F50823" w:rsidRPr="005D2F72">
        <w:rPr>
          <w:rFonts w:ascii="Arial" w:hAnsi="Arial" w:cs="Arial"/>
          <w:szCs w:val="24"/>
        </w:rPr>
        <w:t>; and</w:t>
      </w:r>
    </w:p>
    <w:p w14:paraId="45496EAD" w14:textId="77777777" w:rsidR="00D637FC" w:rsidRPr="005D2F72" w:rsidRDefault="001860C2" w:rsidP="009C1503">
      <w:pPr>
        <w:numPr>
          <w:ilvl w:val="0"/>
          <w:numId w:val="8"/>
        </w:numPr>
        <w:ind w:left="540"/>
        <w:jc w:val="both"/>
        <w:textAlignment w:val="center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i</w:t>
      </w:r>
      <w:r w:rsidR="00D637FC" w:rsidRPr="005D2F72">
        <w:rPr>
          <w:rFonts w:ascii="Arial" w:hAnsi="Arial" w:cs="Arial"/>
          <w:szCs w:val="24"/>
        </w:rPr>
        <w:t>tems are added by the Finance and Audit Committee and by the Board</w:t>
      </w:r>
      <w:r w:rsidR="00F50823" w:rsidRPr="005D2F72">
        <w:rPr>
          <w:rFonts w:ascii="Arial" w:hAnsi="Arial" w:cs="Arial"/>
          <w:szCs w:val="24"/>
        </w:rPr>
        <w:t>.</w:t>
      </w:r>
    </w:p>
    <w:p w14:paraId="2D27C8AD" w14:textId="77777777" w:rsidR="00D637FC" w:rsidRPr="005D2F72" w:rsidRDefault="00D637FC" w:rsidP="004D1E69">
      <w:pPr>
        <w:jc w:val="both"/>
        <w:rPr>
          <w:rFonts w:ascii="Arial" w:hAnsi="Arial" w:cs="Arial"/>
          <w:szCs w:val="24"/>
        </w:rPr>
      </w:pPr>
      <w:r w:rsidRPr="005D2F72">
        <w:rPr>
          <w:rFonts w:ascii="Arial" w:hAnsi="Arial" w:cs="Arial"/>
          <w:szCs w:val="24"/>
        </w:rPr>
        <w:t> </w:t>
      </w:r>
    </w:p>
    <w:p w14:paraId="6A4A68EA" w14:textId="77777777" w:rsidR="004C23A8" w:rsidRDefault="004C23A8">
      <w:pPr>
        <w:rPr>
          <w:rFonts w:ascii="Arial" w:hAnsi="Arial" w:cs="Arial"/>
          <w:b/>
          <w:sz w:val="22"/>
          <w:szCs w:val="22"/>
        </w:rPr>
      </w:pPr>
    </w:p>
    <w:sectPr w:rsidR="004C23A8" w:rsidSect="002477F2">
      <w:pgSz w:w="11906" w:h="16838"/>
      <w:pgMar w:top="1418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8EC3" w14:textId="77777777" w:rsidR="007016BA" w:rsidRDefault="007016BA">
      <w:r>
        <w:separator/>
      </w:r>
    </w:p>
  </w:endnote>
  <w:endnote w:type="continuationSeparator" w:id="0">
    <w:p w14:paraId="72A26027" w14:textId="77777777" w:rsidR="007016BA" w:rsidRDefault="0070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C56E" w14:textId="77777777" w:rsidR="007016BA" w:rsidRDefault="007016BA">
      <w:r>
        <w:separator/>
      </w:r>
    </w:p>
  </w:footnote>
  <w:footnote w:type="continuationSeparator" w:id="0">
    <w:p w14:paraId="126B8E26" w14:textId="77777777" w:rsidR="007016BA" w:rsidRDefault="0070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CDF"/>
    <w:multiLevelType w:val="multilevel"/>
    <w:tmpl w:val="C9F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D4189"/>
    <w:multiLevelType w:val="multilevel"/>
    <w:tmpl w:val="E28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AE4E07"/>
    <w:multiLevelType w:val="hybridMultilevel"/>
    <w:tmpl w:val="5202872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764C9F"/>
    <w:multiLevelType w:val="multilevel"/>
    <w:tmpl w:val="43A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962A0"/>
    <w:multiLevelType w:val="hybridMultilevel"/>
    <w:tmpl w:val="B6FC80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27"/>
    <w:multiLevelType w:val="hybridMultilevel"/>
    <w:tmpl w:val="24148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D65F8"/>
    <w:multiLevelType w:val="hybridMultilevel"/>
    <w:tmpl w:val="1B223CEA"/>
    <w:lvl w:ilvl="0" w:tplc="E7928C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92C4F"/>
    <w:multiLevelType w:val="hybridMultilevel"/>
    <w:tmpl w:val="1786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1E5"/>
    <w:multiLevelType w:val="hybridMultilevel"/>
    <w:tmpl w:val="B2C84DB4"/>
    <w:lvl w:ilvl="0" w:tplc="483A63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56FAF"/>
    <w:multiLevelType w:val="hybridMultilevel"/>
    <w:tmpl w:val="4126CF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94174"/>
    <w:multiLevelType w:val="hybridMultilevel"/>
    <w:tmpl w:val="1A98AE08"/>
    <w:lvl w:ilvl="0" w:tplc="E312E9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E0B7C"/>
    <w:multiLevelType w:val="hybridMultilevel"/>
    <w:tmpl w:val="B1B618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632C"/>
    <w:multiLevelType w:val="multilevel"/>
    <w:tmpl w:val="A012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A964B0"/>
    <w:multiLevelType w:val="hybridMultilevel"/>
    <w:tmpl w:val="4F0AB92E"/>
    <w:lvl w:ilvl="0" w:tplc="6BC4A9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31052"/>
    <w:multiLevelType w:val="hybridMultilevel"/>
    <w:tmpl w:val="98268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62624"/>
    <w:multiLevelType w:val="multilevel"/>
    <w:tmpl w:val="C40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F258D"/>
    <w:multiLevelType w:val="hybridMultilevel"/>
    <w:tmpl w:val="1D300166"/>
    <w:lvl w:ilvl="0" w:tplc="10B694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94758"/>
    <w:multiLevelType w:val="multilevel"/>
    <w:tmpl w:val="C414E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C047FF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6B14"/>
    <w:multiLevelType w:val="hybridMultilevel"/>
    <w:tmpl w:val="6FAA5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B55C7"/>
    <w:multiLevelType w:val="hybridMultilevel"/>
    <w:tmpl w:val="FB1023D6"/>
    <w:lvl w:ilvl="0" w:tplc="F1F4BF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763ACB"/>
    <w:multiLevelType w:val="hybridMultilevel"/>
    <w:tmpl w:val="A0D8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2"/>
  </w:num>
  <w:num w:numId="5">
    <w:abstractNumId w:val="15"/>
  </w:num>
  <w:num w:numId="6">
    <w:abstractNumId w:val="0"/>
  </w:num>
  <w:num w:numId="7">
    <w:abstractNumId w:val="3"/>
  </w:num>
  <w:num w:numId="8">
    <w:abstractNumId w:val="16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6"/>
  </w:num>
  <w:num w:numId="14">
    <w:abstractNumId w:val="17"/>
  </w:num>
  <w:num w:numId="15">
    <w:abstractNumId w:val="21"/>
  </w:num>
  <w:num w:numId="16">
    <w:abstractNumId w:val="10"/>
  </w:num>
  <w:num w:numId="17">
    <w:abstractNumId w:val="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9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6F99"/>
    <w:rsid w:val="00030CA2"/>
    <w:rsid w:val="00054DE1"/>
    <w:rsid w:val="00083A4A"/>
    <w:rsid w:val="00091856"/>
    <w:rsid w:val="0009405C"/>
    <w:rsid w:val="000A439E"/>
    <w:rsid w:val="000C2A87"/>
    <w:rsid w:val="000C3F55"/>
    <w:rsid w:val="000D5F4B"/>
    <w:rsid w:val="000E3CD9"/>
    <w:rsid w:val="000E61AD"/>
    <w:rsid w:val="000E7598"/>
    <w:rsid w:val="000F274B"/>
    <w:rsid w:val="000F3262"/>
    <w:rsid w:val="000F4BA8"/>
    <w:rsid w:val="000F5C9A"/>
    <w:rsid w:val="000F6071"/>
    <w:rsid w:val="001006F2"/>
    <w:rsid w:val="00104560"/>
    <w:rsid w:val="001072B4"/>
    <w:rsid w:val="00110848"/>
    <w:rsid w:val="00114DF2"/>
    <w:rsid w:val="00115FE9"/>
    <w:rsid w:val="00117BE1"/>
    <w:rsid w:val="0012639B"/>
    <w:rsid w:val="0013408B"/>
    <w:rsid w:val="001369E0"/>
    <w:rsid w:val="00150971"/>
    <w:rsid w:val="001509E0"/>
    <w:rsid w:val="00152E9B"/>
    <w:rsid w:val="00153846"/>
    <w:rsid w:val="001614BD"/>
    <w:rsid w:val="00164BEF"/>
    <w:rsid w:val="00171187"/>
    <w:rsid w:val="0017201B"/>
    <w:rsid w:val="00182352"/>
    <w:rsid w:val="001860C2"/>
    <w:rsid w:val="00195D52"/>
    <w:rsid w:val="001A1DB8"/>
    <w:rsid w:val="001A4F23"/>
    <w:rsid w:val="001A5A41"/>
    <w:rsid w:val="001A606D"/>
    <w:rsid w:val="001B0DAB"/>
    <w:rsid w:val="001C1870"/>
    <w:rsid w:val="001C35E6"/>
    <w:rsid w:val="001C6970"/>
    <w:rsid w:val="001D1D38"/>
    <w:rsid w:val="001D7D2E"/>
    <w:rsid w:val="001F1DE0"/>
    <w:rsid w:val="00204269"/>
    <w:rsid w:val="0021581E"/>
    <w:rsid w:val="002173BA"/>
    <w:rsid w:val="00217D31"/>
    <w:rsid w:val="00225D0F"/>
    <w:rsid w:val="002304E3"/>
    <w:rsid w:val="002477F2"/>
    <w:rsid w:val="002504A2"/>
    <w:rsid w:val="00250E04"/>
    <w:rsid w:val="00250F92"/>
    <w:rsid w:val="00252F00"/>
    <w:rsid w:val="00265473"/>
    <w:rsid w:val="00266059"/>
    <w:rsid w:val="00273808"/>
    <w:rsid w:val="0029010C"/>
    <w:rsid w:val="00293D5D"/>
    <w:rsid w:val="002A09C0"/>
    <w:rsid w:val="002A0F75"/>
    <w:rsid w:val="002B236B"/>
    <w:rsid w:val="002B7DC4"/>
    <w:rsid w:val="002C7B3D"/>
    <w:rsid w:val="002E3D92"/>
    <w:rsid w:val="003118A0"/>
    <w:rsid w:val="003309D7"/>
    <w:rsid w:val="003318D6"/>
    <w:rsid w:val="00335223"/>
    <w:rsid w:val="003410F0"/>
    <w:rsid w:val="00343275"/>
    <w:rsid w:val="003469A4"/>
    <w:rsid w:val="0035707D"/>
    <w:rsid w:val="00357B55"/>
    <w:rsid w:val="0036440C"/>
    <w:rsid w:val="00365E55"/>
    <w:rsid w:val="00372950"/>
    <w:rsid w:val="00384DBD"/>
    <w:rsid w:val="00387B72"/>
    <w:rsid w:val="0039450A"/>
    <w:rsid w:val="00394C34"/>
    <w:rsid w:val="003979DB"/>
    <w:rsid w:val="003A15D7"/>
    <w:rsid w:val="003D7DB0"/>
    <w:rsid w:val="003F386F"/>
    <w:rsid w:val="004074AB"/>
    <w:rsid w:val="00410580"/>
    <w:rsid w:val="00415EF1"/>
    <w:rsid w:val="00416BFF"/>
    <w:rsid w:val="00425F23"/>
    <w:rsid w:val="00427110"/>
    <w:rsid w:val="00427536"/>
    <w:rsid w:val="00451872"/>
    <w:rsid w:val="004669E9"/>
    <w:rsid w:val="0047717A"/>
    <w:rsid w:val="0048627F"/>
    <w:rsid w:val="00486313"/>
    <w:rsid w:val="004A0988"/>
    <w:rsid w:val="004A231E"/>
    <w:rsid w:val="004A3477"/>
    <w:rsid w:val="004C23A8"/>
    <w:rsid w:val="004D1E69"/>
    <w:rsid w:val="004D5F9D"/>
    <w:rsid w:val="004D7398"/>
    <w:rsid w:val="004D7ECC"/>
    <w:rsid w:val="004E20BC"/>
    <w:rsid w:val="004F7B55"/>
    <w:rsid w:val="00513508"/>
    <w:rsid w:val="0052022D"/>
    <w:rsid w:val="00533A22"/>
    <w:rsid w:val="00534269"/>
    <w:rsid w:val="00581B1E"/>
    <w:rsid w:val="0059426B"/>
    <w:rsid w:val="005A5DBA"/>
    <w:rsid w:val="005C444D"/>
    <w:rsid w:val="005C5B9A"/>
    <w:rsid w:val="005D2719"/>
    <w:rsid w:val="005D2F72"/>
    <w:rsid w:val="005E23D5"/>
    <w:rsid w:val="005E3A09"/>
    <w:rsid w:val="005F2E96"/>
    <w:rsid w:val="005F66B8"/>
    <w:rsid w:val="00612494"/>
    <w:rsid w:val="00646786"/>
    <w:rsid w:val="00654801"/>
    <w:rsid w:val="006605B7"/>
    <w:rsid w:val="00680931"/>
    <w:rsid w:val="0068393E"/>
    <w:rsid w:val="006852AD"/>
    <w:rsid w:val="00686AE0"/>
    <w:rsid w:val="00693FC7"/>
    <w:rsid w:val="006B0E6E"/>
    <w:rsid w:val="006B2C43"/>
    <w:rsid w:val="006D6A29"/>
    <w:rsid w:val="006D70E8"/>
    <w:rsid w:val="006E3970"/>
    <w:rsid w:val="006E5CF8"/>
    <w:rsid w:val="006F0461"/>
    <w:rsid w:val="006F36AB"/>
    <w:rsid w:val="007016BA"/>
    <w:rsid w:val="0070627A"/>
    <w:rsid w:val="00707C87"/>
    <w:rsid w:val="00712D76"/>
    <w:rsid w:val="00716326"/>
    <w:rsid w:val="007214D1"/>
    <w:rsid w:val="0074360E"/>
    <w:rsid w:val="00744438"/>
    <w:rsid w:val="00753065"/>
    <w:rsid w:val="007566DB"/>
    <w:rsid w:val="00763DAE"/>
    <w:rsid w:val="00774A53"/>
    <w:rsid w:val="00775876"/>
    <w:rsid w:val="00775DA9"/>
    <w:rsid w:val="00777B03"/>
    <w:rsid w:val="00781DDE"/>
    <w:rsid w:val="0078559F"/>
    <w:rsid w:val="007861B0"/>
    <w:rsid w:val="00794115"/>
    <w:rsid w:val="007A4029"/>
    <w:rsid w:val="007A5031"/>
    <w:rsid w:val="007B364C"/>
    <w:rsid w:val="007B422B"/>
    <w:rsid w:val="007B5329"/>
    <w:rsid w:val="007C2756"/>
    <w:rsid w:val="007C46B7"/>
    <w:rsid w:val="007C7477"/>
    <w:rsid w:val="007D7D07"/>
    <w:rsid w:val="007E1A2B"/>
    <w:rsid w:val="007E1AA1"/>
    <w:rsid w:val="007E2FF5"/>
    <w:rsid w:val="007E41E2"/>
    <w:rsid w:val="007E5082"/>
    <w:rsid w:val="007E7E29"/>
    <w:rsid w:val="007F0D2D"/>
    <w:rsid w:val="0080022C"/>
    <w:rsid w:val="0082255A"/>
    <w:rsid w:val="00825BCB"/>
    <w:rsid w:val="00825FD9"/>
    <w:rsid w:val="0083424A"/>
    <w:rsid w:val="00834D42"/>
    <w:rsid w:val="00846D7B"/>
    <w:rsid w:val="00857D6D"/>
    <w:rsid w:val="0087665D"/>
    <w:rsid w:val="0088568C"/>
    <w:rsid w:val="00885F26"/>
    <w:rsid w:val="008A0E4A"/>
    <w:rsid w:val="008A1F14"/>
    <w:rsid w:val="008B4AF4"/>
    <w:rsid w:val="008B770E"/>
    <w:rsid w:val="008C504D"/>
    <w:rsid w:val="008D2CFA"/>
    <w:rsid w:val="008D6EE0"/>
    <w:rsid w:val="008E24C9"/>
    <w:rsid w:val="00943129"/>
    <w:rsid w:val="00946A15"/>
    <w:rsid w:val="00952B22"/>
    <w:rsid w:val="00956AA6"/>
    <w:rsid w:val="0096194E"/>
    <w:rsid w:val="00967DA2"/>
    <w:rsid w:val="009746A3"/>
    <w:rsid w:val="0098231B"/>
    <w:rsid w:val="009871B4"/>
    <w:rsid w:val="009951C5"/>
    <w:rsid w:val="009959DA"/>
    <w:rsid w:val="009A34E8"/>
    <w:rsid w:val="009B21B6"/>
    <w:rsid w:val="009B3A8E"/>
    <w:rsid w:val="009B41FD"/>
    <w:rsid w:val="009B50DC"/>
    <w:rsid w:val="009C1503"/>
    <w:rsid w:val="009F4D19"/>
    <w:rsid w:val="009F60B5"/>
    <w:rsid w:val="00A11704"/>
    <w:rsid w:val="00A15F04"/>
    <w:rsid w:val="00A17632"/>
    <w:rsid w:val="00A252F9"/>
    <w:rsid w:val="00A40FFD"/>
    <w:rsid w:val="00A47A09"/>
    <w:rsid w:val="00A504A9"/>
    <w:rsid w:val="00A65E77"/>
    <w:rsid w:val="00A72644"/>
    <w:rsid w:val="00A8047C"/>
    <w:rsid w:val="00A8159A"/>
    <w:rsid w:val="00A834F8"/>
    <w:rsid w:val="00A84BCA"/>
    <w:rsid w:val="00A85F3A"/>
    <w:rsid w:val="00A86077"/>
    <w:rsid w:val="00A9057A"/>
    <w:rsid w:val="00A92CC7"/>
    <w:rsid w:val="00A9784A"/>
    <w:rsid w:val="00AB2E5F"/>
    <w:rsid w:val="00AC51A3"/>
    <w:rsid w:val="00AD0D67"/>
    <w:rsid w:val="00B1309F"/>
    <w:rsid w:val="00B23F97"/>
    <w:rsid w:val="00B2481B"/>
    <w:rsid w:val="00B33E09"/>
    <w:rsid w:val="00B4511E"/>
    <w:rsid w:val="00B5151C"/>
    <w:rsid w:val="00B56CDC"/>
    <w:rsid w:val="00B76782"/>
    <w:rsid w:val="00B84929"/>
    <w:rsid w:val="00B922E0"/>
    <w:rsid w:val="00B96350"/>
    <w:rsid w:val="00B96369"/>
    <w:rsid w:val="00B96AED"/>
    <w:rsid w:val="00B96D53"/>
    <w:rsid w:val="00BA02FE"/>
    <w:rsid w:val="00BA0A7B"/>
    <w:rsid w:val="00BA2C93"/>
    <w:rsid w:val="00BA5F73"/>
    <w:rsid w:val="00BC311A"/>
    <w:rsid w:val="00BD086C"/>
    <w:rsid w:val="00BD667F"/>
    <w:rsid w:val="00BF2FDA"/>
    <w:rsid w:val="00BF438D"/>
    <w:rsid w:val="00C04068"/>
    <w:rsid w:val="00C13433"/>
    <w:rsid w:val="00C24E6B"/>
    <w:rsid w:val="00C25C3F"/>
    <w:rsid w:val="00C3172A"/>
    <w:rsid w:val="00C65D2D"/>
    <w:rsid w:val="00C67742"/>
    <w:rsid w:val="00C70859"/>
    <w:rsid w:val="00C77859"/>
    <w:rsid w:val="00C8005D"/>
    <w:rsid w:val="00C832CC"/>
    <w:rsid w:val="00C85B6C"/>
    <w:rsid w:val="00C90A11"/>
    <w:rsid w:val="00C90B8D"/>
    <w:rsid w:val="00C90CEC"/>
    <w:rsid w:val="00C91EE3"/>
    <w:rsid w:val="00C94443"/>
    <w:rsid w:val="00C94CD2"/>
    <w:rsid w:val="00C97FA3"/>
    <w:rsid w:val="00CA280E"/>
    <w:rsid w:val="00CA539B"/>
    <w:rsid w:val="00CA5CEE"/>
    <w:rsid w:val="00CB0AAD"/>
    <w:rsid w:val="00CB3B1B"/>
    <w:rsid w:val="00CC636A"/>
    <w:rsid w:val="00CD3E19"/>
    <w:rsid w:val="00CE35B2"/>
    <w:rsid w:val="00CF19AE"/>
    <w:rsid w:val="00D04E3B"/>
    <w:rsid w:val="00D1003C"/>
    <w:rsid w:val="00D22375"/>
    <w:rsid w:val="00D267DA"/>
    <w:rsid w:val="00D273A9"/>
    <w:rsid w:val="00D32134"/>
    <w:rsid w:val="00D41AEB"/>
    <w:rsid w:val="00D57CDF"/>
    <w:rsid w:val="00D6075B"/>
    <w:rsid w:val="00D637FC"/>
    <w:rsid w:val="00D638DB"/>
    <w:rsid w:val="00D76BCA"/>
    <w:rsid w:val="00D77A4B"/>
    <w:rsid w:val="00D85217"/>
    <w:rsid w:val="00D95A4F"/>
    <w:rsid w:val="00D97DF1"/>
    <w:rsid w:val="00DA0419"/>
    <w:rsid w:val="00DB3601"/>
    <w:rsid w:val="00DC2768"/>
    <w:rsid w:val="00DC2C8B"/>
    <w:rsid w:val="00DF0350"/>
    <w:rsid w:val="00E00110"/>
    <w:rsid w:val="00E078E9"/>
    <w:rsid w:val="00E16079"/>
    <w:rsid w:val="00E35A53"/>
    <w:rsid w:val="00E51E27"/>
    <w:rsid w:val="00E52B9B"/>
    <w:rsid w:val="00E56E40"/>
    <w:rsid w:val="00E619D2"/>
    <w:rsid w:val="00E62C1F"/>
    <w:rsid w:val="00E633B6"/>
    <w:rsid w:val="00E66F0E"/>
    <w:rsid w:val="00E71D63"/>
    <w:rsid w:val="00E758FD"/>
    <w:rsid w:val="00E75B01"/>
    <w:rsid w:val="00E81CF1"/>
    <w:rsid w:val="00E936F4"/>
    <w:rsid w:val="00EA3E05"/>
    <w:rsid w:val="00EB09B2"/>
    <w:rsid w:val="00EB0FDD"/>
    <w:rsid w:val="00EB2386"/>
    <w:rsid w:val="00EB23B2"/>
    <w:rsid w:val="00EB7DD1"/>
    <w:rsid w:val="00EC60F4"/>
    <w:rsid w:val="00ED35B7"/>
    <w:rsid w:val="00EE0CC7"/>
    <w:rsid w:val="00EE3547"/>
    <w:rsid w:val="00EE5B69"/>
    <w:rsid w:val="00EF1F16"/>
    <w:rsid w:val="00EF6091"/>
    <w:rsid w:val="00F1210E"/>
    <w:rsid w:val="00F15DF0"/>
    <w:rsid w:val="00F1795A"/>
    <w:rsid w:val="00F27DF8"/>
    <w:rsid w:val="00F352A7"/>
    <w:rsid w:val="00F50823"/>
    <w:rsid w:val="00F50B0C"/>
    <w:rsid w:val="00F52671"/>
    <w:rsid w:val="00F546C5"/>
    <w:rsid w:val="00F56BA2"/>
    <w:rsid w:val="00F578BF"/>
    <w:rsid w:val="00F6479D"/>
    <w:rsid w:val="00F83848"/>
    <w:rsid w:val="00FA7828"/>
    <w:rsid w:val="00FB00D0"/>
    <w:rsid w:val="00FB2139"/>
    <w:rsid w:val="00FB4E8E"/>
    <w:rsid w:val="00FD3B15"/>
    <w:rsid w:val="00FE0CEC"/>
    <w:rsid w:val="00FE4D79"/>
    <w:rsid w:val="00FE6D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01926"/>
  <w15:docId w15:val="{2574A2C9-CCCC-46AB-99CA-CFAEEA3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114DF2"/>
    <w:pPr>
      <w:spacing w:before="100" w:beforeAutospacing="1" w:after="100" w:afterAutospacing="1"/>
    </w:pPr>
    <w:rPr>
      <w:szCs w:val="24"/>
    </w:rPr>
  </w:style>
  <w:style w:type="table" w:customStyle="1" w:styleId="TableGrid1">
    <w:name w:val="Table Grid1"/>
    <w:basedOn w:val="TableNormal"/>
    <w:next w:val="TableGrid"/>
    <w:uiPriority w:val="59"/>
    <w:rsid w:val="00ED3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39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9C75-EC34-4A75-8202-ABED550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F&amp;AC Finance Report</vt:lpstr>
    </vt:vector>
  </TitlesOfParts>
  <Company>.</Company>
  <LinksUpToDate>false</LinksUpToDate>
  <CharactersWithSpaces>2480</CharactersWithSpaces>
  <SharedDoc>false</SharedDoc>
  <HLinks>
    <vt:vector size="6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\\nthchq4\highlifehighland\HLH Board\HLH Board Meetings\PURPOSE KEY BUSINESS OBJECTIVES AND CORPORATE VALUES.doc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F&amp;AC Finance Report</dc:title>
  <dc:creator>Graham Watson</dc:creator>
  <cp:lastModifiedBy>Jackie MacKenzie (HLH Corporate Services)</cp:lastModifiedBy>
  <cp:revision>6</cp:revision>
  <cp:lastPrinted>2013-10-28T13:22:00Z</cp:lastPrinted>
  <dcterms:created xsi:type="dcterms:W3CDTF">2022-08-15T10:33:00Z</dcterms:created>
  <dcterms:modified xsi:type="dcterms:W3CDTF">2022-08-23T11:31:00Z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