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2579EB" w:rsidRPr="00A90AA3" w14:paraId="667D710F" w14:textId="77777777" w:rsidTr="003C26E9">
        <w:tc>
          <w:tcPr>
            <w:tcW w:w="6237" w:type="dxa"/>
          </w:tcPr>
          <w:p w14:paraId="67B8000A" w14:textId="77777777" w:rsidR="002579EB" w:rsidRPr="00A90AA3" w:rsidRDefault="002579EB" w:rsidP="002579EB">
            <w:pPr>
              <w:pStyle w:val="NoSpacing"/>
              <w:rPr>
                <w:b/>
                <w:bCs/>
              </w:rPr>
            </w:pPr>
            <w:r w:rsidRPr="00A90AA3">
              <w:rPr>
                <w:b/>
                <w:bCs/>
              </w:rPr>
              <w:t>HIGH LIFE HIGHLAND</w:t>
            </w:r>
          </w:p>
          <w:p w14:paraId="3BD1EF96" w14:textId="77777777" w:rsidR="002579EB" w:rsidRPr="00A90AA3" w:rsidRDefault="002579EB" w:rsidP="002579EB">
            <w:pPr>
              <w:pStyle w:val="NoSpacing"/>
              <w:rPr>
                <w:b/>
                <w:bCs/>
              </w:rPr>
            </w:pPr>
            <w:r w:rsidRPr="00A90AA3">
              <w:rPr>
                <w:b/>
                <w:bCs/>
              </w:rPr>
              <w:t>REPORT TO BOARD OF DIRECTORS</w:t>
            </w:r>
          </w:p>
          <w:p w14:paraId="34E4F720" w14:textId="3908DE04" w:rsidR="002579EB" w:rsidRPr="00A90AA3" w:rsidRDefault="00544CB5" w:rsidP="002579EB">
            <w:pPr>
              <w:pStyle w:val="NoSpacing"/>
              <w:rPr>
                <w:b/>
                <w:bCs/>
              </w:rPr>
            </w:pPr>
            <w:r>
              <w:rPr>
                <w:b/>
                <w:bCs/>
              </w:rPr>
              <w:t>14 December</w:t>
            </w:r>
            <w:r w:rsidR="00513F2A">
              <w:rPr>
                <w:b/>
                <w:bCs/>
              </w:rPr>
              <w:t xml:space="preserve"> 2022</w:t>
            </w:r>
          </w:p>
        </w:tc>
        <w:tc>
          <w:tcPr>
            <w:tcW w:w="3499" w:type="dxa"/>
          </w:tcPr>
          <w:p w14:paraId="70D98E9B" w14:textId="77777777" w:rsidR="00FB3196" w:rsidRDefault="002579EB" w:rsidP="00FB3196">
            <w:pPr>
              <w:pStyle w:val="NoSpacing"/>
            </w:pPr>
            <w:r w:rsidRPr="00A90AA3">
              <w:t>AGENDA ITEM</w:t>
            </w:r>
            <w:r w:rsidR="008C5CBC">
              <w:t xml:space="preserve"> </w:t>
            </w:r>
          </w:p>
          <w:p w14:paraId="4EE94809" w14:textId="70C5D717" w:rsidR="002579EB" w:rsidRPr="00A90AA3" w:rsidRDefault="002579EB" w:rsidP="00FB3196">
            <w:pPr>
              <w:pStyle w:val="NoSpacing"/>
            </w:pPr>
            <w:r w:rsidRPr="00A90AA3">
              <w:t>REPORT No HLH/</w:t>
            </w:r>
            <w:r w:rsidR="003C26E9">
              <w:t xml:space="preserve"> </w:t>
            </w:r>
            <w:r w:rsidR="008C5CBC">
              <w:t xml:space="preserve">  </w:t>
            </w:r>
            <w:r w:rsidR="003C26E9">
              <w:t xml:space="preserve"> </w:t>
            </w:r>
            <w:r w:rsidRPr="00A90AA3">
              <w:t>/2</w:t>
            </w:r>
            <w:r w:rsidR="00671739" w:rsidRPr="00A90AA3">
              <w:t>2</w:t>
            </w:r>
          </w:p>
        </w:tc>
      </w:tr>
    </w:tbl>
    <w:p w14:paraId="4EC5F4EF" w14:textId="7AD1BEA5" w:rsidR="006C2604" w:rsidRPr="00A90AA3" w:rsidRDefault="006C2604"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579EB" w:rsidRPr="00A90AA3" w14:paraId="4E22C322" w14:textId="77777777" w:rsidTr="000E18CA">
        <w:tc>
          <w:tcPr>
            <w:tcW w:w="9736" w:type="dxa"/>
          </w:tcPr>
          <w:p w14:paraId="194A3011" w14:textId="514BC397" w:rsidR="002579EB" w:rsidRPr="00A90AA3" w:rsidRDefault="006E6ED7" w:rsidP="006D0D6A">
            <w:pPr>
              <w:pStyle w:val="NoSpacing"/>
              <w:rPr>
                <w:b/>
                <w:bCs/>
              </w:rPr>
            </w:pPr>
            <w:r w:rsidRPr="00A90AA3">
              <w:rPr>
                <w:b/>
                <w:bCs/>
              </w:rPr>
              <w:t>HR UPDATE</w:t>
            </w:r>
            <w:r w:rsidR="00394EBE">
              <w:rPr>
                <w:b/>
                <w:bCs/>
              </w:rPr>
              <w:t xml:space="preserve"> – Report by Chief Executive</w:t>
            </w:r>
          </w:p>
        </w:tc>
      </w:tr>
    </w:tbl>
    <w:p w14:paraId="5B8BC889" w14:textId="4E34867B" w:rsidR="002579EB" w:rsidRPr="00A90AA3" w:rsidRDefault="002579EB" w:rsidP="002579EB">
      <w:pPr>
        <w:pStyle w:val="NoSpacing"/>
      </w:pPr>
    </w:p>
    <w:tbl>
      <w:tblPr>
        <w:tblStyle w:val="TableGrid"/>
        <w:tblW w:w="0" w:type="auto"/>
        <w:tblLook w:val="04A0" w:firstRow="1" w:lastRow="0" w:firstColumn="1" w:lastColumn="0" w:noHBand="0" w:noVBand="1"/>
      </w:tblPr>
      <w:tblGrid>
        <w:gridCol w:w="9736"/>
      </w:tblGrid>
      <w:tr w:rsidR="006D0D6A" w:rsidRPr="00A90AA3" w14:paraId="3D8CDE3D" w14:textId="77777777" w:rsidTr="006D0D6A">
        <w:tc>
          <w:tcPr>
            <w:tcW w:w="9736" w:type="dxa"/>
          </w:tcPr>
          <w:p w14:paraId="77CDDC87" w14:textId="67DB21C5" w:rsidR="006D0D6A" w:rsidRPr="00A90AA3" w:rsidRDefault="00E6244C" w:rsidP="002579EB">
            <w:pPr>
              <w:pStyle w:val="NoSpacing"/>
            </w:pPr>
            <w:bookmarkStart w:id="0" w:name="_Hlk89254243"/>
            <w:r w:rsidRPr="00A90AA3">
              <w:rPr>
                <w:b/>
                <w:bCs/>
              </w:rPr>
              <w:t>Summary</w:t>
            </w:r>
          </w:p>
          <w:p w14:paraId="1406F880" w14:textId="53AD7657" w:rsidR="006D0D6A" w:rsidRPr="00A90AA3" w:rsidRDefault="006D0D6A" w:rsidP="002579EB">
            <w:pPr>
              <w:pStyle w:val="NoSpacing"/>
            </w:pPr>
          </w:p>
          <w:p w14:paraId="70BEF412" w14:textId="49B91985" w:rsidR="00F110B2" w:rsidRPr="00A90AA3" w:rsidRDefault="006E6ED7" w:rsidP="000E18CA">
            <w:pPr>
              <w:pStyle w:val="NoSpacing"/>
              <w:jc w:val="both"/>
            </w:pPr>
            <w:r w:rsidRPr="00A90AA3">
              <w:t xml:space="preserve">The purpose of this report is to update </w:t>
            </w:r>
            <w:r w:rsidR="000E18CA">
              <w:t>Directors</w:t>
            </w:r>
            <w:r w:rsidR="00005ECF" w:rsidRPr="00A90AA3">
              <w:t xml:space="preserve"> on HR related matters for</w:t>
            </w:r>
            <w:r w:rsidR="00394EBE">
              <w:t xml:space="preserve"> </w:t>
            </w:r>
            <w:r w:rsidR="00F110B2" w:rsidRPr="00A90AA3">
              <w:t xml:space="preserve">Quarter </w:t>
            </w:r>
            <w:r w:rsidR="00544CB5">
              <w:t>2</w:t>
            </w:r>
            <w:r w:rsidR="00394EBE">
              <w:t xml:space="preserve">, </w:t>
            </w:r>
            <w:r w:rsidR="00544CB5">
              <w:t>July</w:t>
            </w:r>
            <w:r w:rsidR="00513F2A">
              <w:t xml:space="preserve"> to </w:t>
            </w:r>
            <w:r w:rsidR="00544CB5">
              <w:t>September</w:t>
            </w:r>
            <w:r w:rsidR="00513F2A">
              <w:t xml:space="preserve"> 2022</w:t>
            </w:r>
            <w:r w:rsidR="000E18CA">
              <w:t>.</w:t>
            </w:r>
          </w:p>
          <w:p w14:paraId="77DF8143" w14:textId="546EDD80" w:rsidR="007C3ECB" w:rsidRPr="00A90AA3" w:rsidRDefault="007C3ECB" w:rsidP="007C3ECB">
            <w:pPr>
              <w:pStyle w:val="NoSpacing"/>
            </w:pPr>
          </w:p>
          <w:p w14:paraId="3CDD9D11" w14:textId="77777777" w:rsidR="00B07720" w:rsidRDefault="00B07720" w:rsidP="00B07720">
            <w:pPr>
              <w:pStyle w:val="NoSpacing"/>
            </w:pPr>
            <w:r>
              <w:t>It is recommended Directors note and comment on:</w:t>
            </w:r>
          </w:p>
          <w:p w14:paraId="1CDF59AA" w14:textId="77777777" w:rsidR="00B07720" w:rsidRDefault="00B07720" w:rsidP="00B07720">
            <w:pPr>
              <w:pStyle w:val="NoSpacing"/>
            </w:pPr>
          </w:p>
          <w:p w14:paraId="3F7F82FC" w14:textId="686A65AE" w:rsidR="00B07720" w:rsidRDefault="00B07720" w:rsidP="00B07720">
            <w:pPr>
              <w:pStyle w:val="NoSpacing"/>
              <w:numPr>
                <w:ilvl w:val="0"/>
                <w:numId w:val="9"/>
              </w:numPr>
              <w:jc w:val="both"/>
            </w:pPr>
            <w:r>
              <w:t xml:space="preserve">the standing HR matters for Q2, </w:t>
            </w:r>
            <w:r w:rsidR="008C5CBC">
              <w:t xml:space="preserve">July to September </w:t>
            </w:r>
            <w:r>
              <w:t>2022;</w:t>
            </w:r>
          </w:p>
          <w:p w14:paraId="62E8B341" w14:textId="1B7900F8" w:rsidR="003C7969" w:rsidRDefault="00DB65C2" w:rsidP="00B07720">
            <w:pPr>
              <w:pStyle w:val="NoSpacing"/>
              <w:numPr>
                <w:ilvl w:val="0"/>
                <w:numId w:val="9"/>
              </w:numPr>
              <w:jc w:val="both"/>
            </w:pPr>
            <w:r w:rsidRPr="00D60919">
              <w:t xml:space="preserve">the </w:t>
            </w:r>
            <w:r w:rsidR="003C7969" w:rsidRPr="00D60919">
              <w:t>SJC Pay Award</w:t>
            </w:r>
            <w:r w:rsidR="00D43B41">
              <w:t>;</w:t>
            </w:r>
          </w:p>
          <w:p w14:paraId="4DC10BA4" w14:textId="5C6CD1D6" w:rsidR="00D43B41" w:rsidRPr="00D60919" w:rsidRDefault="008C5CBC" w:rsidP="00B07720">
            <w:pPr>
              <w:pStyle w:val="NoSpacing"/>
              <w:numPr>
                <w:ilvl w:val="0"/>
                <w:numId w:val="9"/>
              </w:numPr>
              <w:jc w:val="both"/>
            </w:pPr>
            <w:r>
              <w:t>the a</w:t>
            </w:r>
            <w:r w:rsidR="00D43B41">
              <w:t>dditional Coronation Bank Holiday;</w:t>
            </w:r>
          </w:p>
          <w:p w14:paraId="19D0C82E" w14:textId="0AEAD878" w:rsidR="00B07720" w:rsidRDefault="00B07720" w:rsidP="00B07720">
            <w:pPr>
              <w:pStyle w:val="ListParagraph"/>
              <w:numPr>
                <w:ilvl w:val="0"/>
                <w:numId w:val="9"/>
              </w:numPr>
              <w:spacing w:after="0" w:line="240" w:lineRule="auto"/>
              <w:contextualSpacing w:val="0"/>
              <w:jc w:val="both"/>
              <w:rPr>
                <w:rFonts w:ascii="Arial" w:hAnsi="Arial" w:cs="Arial"/>
                <w:sz w:val="24"/>
                <w:szCs w:val="24"/>
              </w:rPr>
            </w:pPr>
            <w:r w:rsidRPr="00CC4EFF">
              <w:rPr>
                <w:rFonts w:ascii="Arial" w:hAnsi="Arial" w:cs="Arial"/>
                <w:sz w:val="24"/>
                <w:szCs w:val="24"/>
              </w:rPr>
              <w:t xml:space="preserve">the draft Gender Pay Gap Report in </w:t>
            </w:r>
            <w:r w:rsidRPr="00CC4EFF">
              <w:rPr>
                <w:rFonts w:ascii="Arial" w:hAnsi="Arial" w:cs="Arial"/>
                <w:b/>
                <w:sz w:val="24"/>
                <w:szCs w:val="24"/>
              </w:rPr>
              <w:t xml:space="preserve">Appendix </w:t>
            </w:r>
            <w:r>
              <w:rPr>
                <w:rFonts w:ascii="Arial" w:hAnsi="Arial" w:cs="Arial"/>
                <w:b/>
                <w:sz w:val="24"/>
                <w:szCs w:val="24"/>
              </w:rPr>
              <w:t>C</w:t>
            </w:r>
            <w:r w:rsidRPr="00CC4EFF">
              <w:rPr>
                <w:rFonts w:ascii="Arial" w:hAnsi="Arial" w:cs="Arial"/>
                <w:b/>
                <w:sz w:val="24"/>
                <w:szCs w:val="24"/>
              </w:rPr>
              <w:t xml:space="preserve"> </w:t>
            </w:r>
            <w:r w:rsidRPr="00CC4EFF">
              <w:rPr>
                <w:rFonts w:ascii="Arial" w:hAnsi="Arial" w:cs="Arial"/>
                <w:sz w:val="24"/>
                <w:szCs w:val="24"/>
              </w:rPr>
              <w:t>and approve its submission to the UK Government and publication on the HLH website</w:t>
            </w:r>
            <w:r>
              <w:rPr>
                <w:rFonts w:ascii="Arial" w:hAnsi="Arial" w:cs="Arial"/>
                <w:sz w:val="24"/>
                <w:szCs w:val="24"/>
              </w:rPr>
              <w:t>;</w:t>
            </w:r>
            <w:r w:rsidR="00D43B41">
              <w:rPr>
                <w:rFonts w:ascii="Arial" w:hAnsi="Arial" w:cs="Arial"/>
                <w:sz w:val="24"/>
                <w:szCs w:val="24"/>
              </w:rPr>
              <w:t xml:space="preserve"> and</w:t>
            </w:r>
          </w:p>
          <w:p w14:paraId="7DC44D60" w14:textId="77777777" w:rsidR="006D0D6A" w:rsidRDefault="007247DE" w:rsidP="00B07720">
            <w:pPr>
              <w:pStyle w:val="NoSpacing"/>
              <w:numPr>
                <w:ilvl w:val="0"/>
                <w:numId w:val="9"/>
              </w:numPr>
              <w:jc w:val="both"/>
            </w:pPr>
            <w:r>
              <w:t>the updated position for responsibilities around staff health and wellbeing, and staff welfare/support</w:t>
            </w:r>
            <w:r w:rsidR="00D43B41">
              <w:t>.</w:t>
            </w:r>
          </w:p>
          <w:p w14:paraId="7528E958" w14:textId="1F8649A7" w:rsidR="00D43B41" w:rsidRPr="00A90AA3" w:rsidRDefault="00D43B41" w:rsidP="00D43B41">
            <w:pPr>
              <w:pStyle w:val="NoSpacing"/>
              <w:ind w:left="720"/>
              <w:jc w:val="both"/>
            </w:pPr>
          </w:p>
        </w:tc>
      </w:tr>
      <w:bookmarkEnd w:id="0"/>
    </w:tbl>
    <w:p w14:paraId="282914E2" w14:textId="77777777" w:rsidR="00E53486" w:rsidRPr="00A90AA3" w:rsidRDefault="00E53486"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85"/>
      </w:tblGrid>
      <w:tr w:rsidR="006D0D6A" w:rsidRPr="00A90AA3" w14:paraId="64306F6E" w14:textId="77777777" w:rsidTr="000E18CA">
        <w:tc>
          <w:tcPr>
            <w:tcW w:w="851" w:type="dxa"/>
          </w:tcPr>
          <w:p w14:paraId="14A652F0" w14:textId="26E80CD1" w:rsidR="006D0D6A" w:rsidRPr="000E18CA" w:rsidRDefault="000E18CA" w:rsidP="000E18CA">
            <w:pPr>
              <w:pStyle w:val="NoSpacing"/>
              <w:jc w:val="both"/>
              <w:rPr>
                <w:b/>
                <w:bCs/>
              </w:rPr>
            </w:pPr>
            <w:r w:rsidRPr="000E18CA">
              <w:rPr>
                <w:b/>
                <w:bCs/>
              </w:rPr>
              <w:t>1.</w:t>
            </w:r>
          </w:p>
        </w:tc>
        <w:tc>
          <w:tcPr>
            <w:tcW w:w="8885" w:type="dxa"/>
          </w:tcPr>
          <w:p w14:paraId="4AD59B01" w14:textId="77777777" w:rsidR="006D0D6A" w:rsidRPr="00A90AA3" w:rsidRDefault="006D0D6A" w:rsidP="002579EB">
            <w:pPr>
              <w:pStyle w:val="NoSpacing"/>
              <w:rPr>
                <w:b/>
                <w:bCs/>
              </w:rPr>
            </w:pPr>
            <w:r w:rsidRPr="00A90AA3">
              <w:rPr>
                <w:b/>
                <w:bCs/>
              </w:rPr>
              <w:t>Business Plan Contribution</w:t>
            </w:r>
          </w:p>
          <w:p w14:paraId="4BC874AA" w14:textId="4C1488EC" w:rsidR="006D0D6A" w:rsidRPr="00A90AA3" w:rsidRDefault="006D0D6A" w:rsidP="002579EB">
            <w:pPr>
              <w:pStyle w:val="NoSpacing"/>
              <w:rPr>
                <w:b/>
                <w:bCs/>
              </w:rPr>
            </w:pPr>
          </w:p>
        </w:tc>
      </w:tr>
      <w:tr w:rsidR="006D0D6A" w:rsidRPr="00A90AA3" w14:paraId="6E0EB0AB" w14:textId="77777777" w:rsidTr="00F80CF1">
        <w:trPr>
          <w:trHeight w:val="6355"/>
        </w:trPr>
        <w:tc>
          <w:tcPr>
            <w:tcW w:w="851" w:type="dxa"/>
          </w:tcPr>
          <w:p w14:paraId="325D1AF1" w14:textId="5C5CEC63" w:rsidR="006D0D6A" w:rsidRPr="00A90AA3" w:rsidRDefault="000E18CA" w:rsidP="000E18CA">
            <w:pPr>
              <w:pStyle w:val="NoSpacing"/>
              <w:jc w:val="both"/>
            </w:pPr>
            <w:r>
              <w:t>1.1</w:t>
            </w:r>
          </w:p>
        </w:tc>
        <w:tc>
          <w:tcPr>
            <w:tcW w:w="8885" w:type="dxa"/>
          </w:tcPr>
          <w:p w14:paraId="03DA5FA1" w14:textId="77777777" w:rsidR="00D766DD" w:rsidRPr="00A90AA3" w:rsidRDefault="00D766DD" w:rsidP="00D766DD">
            <w:pPr>
              <w:jc w:val="both"/>
              <w:rPr>
                <w:rFonts w:ascii="Arial" w:hAnsi="Arial" w:cs="Arial"/>
                <w:szCs w:val="24"/>
              </w:rPr>
            </w:pPr>
            <w:r w:rsidRPr="00A90AA3">
              <w:rPr>
                <w:rFonts w:ascii="Arial" w:hAnsi="Arial" w:cs="Arial"/>
                <w:szCs w:val="24"/>
              </w:rPr>
              <w:t>This report supports the highlighted Business Outcome from the High Life Highland (HLH) Business Plan:</w:t>
            </w:r>
          </w:p>
          <w:p w14:paraId="6B93584F" w14:textId="77777777" w:rsidR="00D766DD" w:rsidRPr="00A90AA3" w:rsidRDefault="00D766DD" w:rsidP="00D766DD">
            <w:pPr>
              <w:jc w:val="both"/>
              <w:rPr>
                <w:rFonts w:ascii="Arial" w:hAnsi="Arial" w:cs="Arial"/>
                <w:szCs w:val="24"/>
              </w:rPr>
            </w:pPr>
          </w:p>
          <w:p w14:paraId="0EAFD114"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Seek to continuously improve standards of health and safety.</w:t>
            </w:r>
          </w:p>
          <w:p w14:paraId="09F4A1D8"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Commit to the Scottish Government’s zero carbon targets and maintain the highest standards in environmental compliance.</w:t>
            </w:r>
          </w:p>
          <w:p w14:paraId="08F18A14"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Use research and market analysis to develop and improve services to meet customer needs.</w:t>
            </w:r>
          </w:p>
          <w:p w14:paraId="354AD3FE" w14:textId="77777777" w:rsidR="00D766DD" w:rsidRPr="000E18CA" w:rsidRDefault="00D766DD" w:rsidP="00D766DD">
            <w:pPr>
              <w:pStyle w:val="ListParagraph"/>
              <w:numPr>
                <w:ilvl w:val="0"/>
                <w:numId w:val="3"/>
              </w:numPr>
              <w:spacing w:after="0" w:line="240" w:lineRule="auto"/>
              <w:jc w:val="both"/>
              <w:rPr>
                <w:rFonts w:ascii="Arial" w:hAnsi="Arial" w:cs="Arial"/>
                <w:b/>
                <w:bCs/>
                <w:sz w:val="24"/>
                <w:szCs w:val="24"/>
              </w:rPr>
            </w:pPr>
            <w:r w:rsidRPr="000E18CA">
              <w:rPr>
                <w:rFonts w:ascii="Arial" w:hAnsi="Arial" w:cs="Arial"/>
                <w:b/>
                <w:bCs/>
                <w:sz w:val="24"/>
                <w:szCs w:val="24"/>
              </w:rPr>
              <w:t>Increase employee satisfaction, engagement and development to improve staff recruitment and retention.</w:t>
            </w:r>
          </w:p>
          <w:p w14:paraId="12B38FFE"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Improve the financial sustainability of the company.</w:t>
            </w:r>
          </w:p>
          <w:p w14:paraId="0DA7B926" w14:textId="77777777" w:rsidR="00D766DD" w:rsidRPr="000E18CA" w:rsidRDefault="00D766DD" w:rsidP="00D766DD">
            <w:pPr>
              <w:pStyle w:val="ListParagraph"/>
              <w:numPr>
                <w:ilvl w:val="0"/>
                <w:numId w:val="3"/>
              </w:numPr>
              <w:spacing w:after="0" w:line="240" w:lineRule="auto"/>
              <w:jc w:val="both"/>
              <w:rPr>
                <w:rFonts w:ascii="Arial" w:hAnsi="Arial" w:cs="Arial"/>
                <w:b/>
                <w:bCs/>
                <w:sz w:val="24"/>
                <w:szCs w:val="24"/>
              </w:rPr>
            </w:pPr>
            <w:r w:rsidRPr="000E18CA">
              <w:rPr>
                <w:rFonts w:ascii="Arial" w:hAnsi="Arial" w:cs="Arial"/>
                <w:b/>
                <w:bCs/>
                <w:sz w:val="24"/>
                <w:szCs w:val="24"/>
              </w:rPr>
              <w:t>Value and strengthen the relationship with THC.</w:t>
            </w:r>
          </w:p>
          <w:p w14:paraId="7676B148"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Develop and deliver the HLH Corporate Programme and seek to attract capital investment.</w:t>
            </w:r>
          </w:p>
          <w:p w14:paraId="427C0620" w14:textId="77777777" w:rsidR="00D766DD" w:rsidRPr="00A90AA3" w:rsidRDefault="00D766DD" w:rsidP="00D766DD">
            <w:pPr>
              <w:pStyle w:val="ListParagraph"/>
              <w:numPr>
                <w:ilvl w:val="0"/>
                <w:numId w:val="3"/>
              </w:numPr>
              <w:tabs>
                <w:tab w:val="left" w:pos="0"/>
              </w:tabs>
              <w:spacing w:after="0" w:line="240" w:lineRule="auto"/>
              <w:jc w:val="both"/>
              <w:rPr>
                <w:rFonts w:ascii="Arial" w:hAnsi="Arial" w:cs="Arial"/>
                <w:bCs/>
                <w:sz w:val="24"/>
                <w:szCs w:val="24"/>
              </w:rPr>
            </w:pPr>
            <w:r w:rsidRPr="00A90AA3">
              <w:rPr>
                <w:rFonts w:ascii="Arial" w:hAnsi="Arial" w:cs="Arial"/>
                <w:sz w:val="24"/>
                <w:szCs w:val="24"/>
              </w:rPr>
              <w:t>Use research and market analysis to develop and deliver proactive marketing and promotion of HLH and its services.</w:t>
            </w:r>
          </w:p>
          <w:p w14:paraId="2B03D3EA" w14:textId="77777777" w:rsidR="00D766DD" w:rsidRPr="00A90AA3" w:rsidRDefault="00D766DD" w:rsidP="00D766DD">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Initiate and implement an ICT digital transformation strategy across the charity.</w:t>
            </w:r>
          </w:p>
          <w:p w14:paraId="4CE58D20" w14:textId="77777777" w:rsidR="00D766DD" w:rsidRPr="000E18CA" w:rsidRDefault="00D766DD" w:rsidP="00D766DD">
            <w:pPr>
              <w:pStyle w:val="ListParagraph"/>
              <w:numPr>
                <w:ilvl w:val="0"/>
                <w:numId w:val="3"/>
              </w:numPr>
              <w:spacing w:after="0" w:line="240" w:lineRule="auto"/>
              <w:jc w:val="both"/>
              <w:rPr>
                <w:rFonts w:ascii="Arial" w:hAnsi="Arial" w:cs="Arial"/>
                <w:b/>
                <w:bCs/>
                <w:sz w:val="24"/>
                <w:szCs w:val="24"/>
              </w:rPr>
            </w:pPr>
            <w:r w:rsidRPr="000E18CA">
              <w:rPr>
                <w:rFonts w:ascii="Arial" w:hAnsi="Arial" w:cs="Arial"/>
                <w:b/>
                <w:bCs/>
                <w:sz w:val="24"/>
                <w:szCs w:val="24"/>
              </w:rPr>
              <w:t>Develop and strengthen relationships with customers, key stakeholders and partners.</w:t>
            </w:r>
          </w:p>
          <w:p w14:paraId="38DF6ABD" w14:textId="1421573B" w:rsidR="006D0D6A" w:rsidRPr="000E18CA" w:rsidRDefault="00D766DD" w:rsidP="006D0D6A">
            <w:pPr>
              <w:pStyle w:val="ListParagraph"/>
              <w:numPr>
                <w:ilvl w:val="0"/>
                <w:numId w:val="3"/>
              </w:numPr>
              <w:spacing w:after="0" w:line="240" w:lineRule="auto"/>
              <w:jc w:val="both"/>
              <w:rPr>
                <w:rFonts w:ascii="Arial" w:hAnsi="Arial" w:cs="Arial"/>
                <w:sz w:val="24"/>
                <w:szCs w:val="24"/>
              </w:rPr>
            </w:pPr>
            <w:r w:rsidRPr="00A90AA3">
              <w:rPr>
                <w:rFonts w:ascii="Arial" w:hAnsi="Arial" w:cs="Arial"/>
                <w:sz w:val="24"/>
                <w:szCs w:val="24"/>
              </w:rPr>
              <w:t>Deliver targeted programmes which support and enhance the physical and mental health and wellbeing of the population and which contribute to the prevention agenda</w:t>
            </w:r>
            <w:r w:rsidR="000E18CA">
              <w:rPr>
                <w:rFonts w:ascii="Arial" w:hAnsi="Arial" w:cs="Arial"/>
                <w:sz w:val="24"/>
                <w:szCs w:val="24"/>
              </w:rPr>
              <w:t>.</w:t>
            </w:r>
          </w:p>
        </w:tc>
      </w:tr>
    </w:tbl>
    <w:p w14:paraId="6BAE8B77" w14:textId="1F4AE263" w:rsidR="006D0D6A" w:rsidRDefault="006D0D6A"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85"/>
      </w:tblGrid>
      <w:tr w:rsidR="006D0D6A" w:rsidRPr="00A90AA3" w14:paraId="34AA3735" w14:textId="77777777" w:rsidTr="000E18CA">
        <w:tc>
          <w:tcPr>
            <w:tcW w:w="851" w:type="dxa"/>
          </w:tcPr>
          <w:p w14:paraId="4CE73AA6" w14:textId="6FBAB5FE" w:rsidR="006D0D6A" w:rsidRPr="000E18CA" w:rsidRDefault="000E18CA" w:rsidP="000E18CA">
            <w:pPr>
              <w:pStyle w:val="NoSpacing"/>
              <w:rPr>
                <w:b/>
                <w:bCs/>
              </w:rPr>
            </w:pPr>
            <w:r w:rsidRPr="000E18CA">
              <w:rPr>
                <w:b/>
                <w:bCs/>
              </w:rPr>
              <w:t>2.</w:t>
            </w:r>
          </w:p>
        </w:tc>
        <w:tc>
          <w:tcPr>
            <w:tcW w:w="8885" w:type="dxa"/>
          </w:tcPr>
          <w:p w14:paraId="5DC1CEB1" w14:textId="47746AC6" w:rsidR="006D0D6A" w:rsidRPr="00A90AA3" w:rsidRDefault="006D0D6A" w:rsidP="006C2604">
            <w:pPr>
              <w:pStyle w:val="NoSpacing"/>
              <w:rPr>
                <w:b/>
                <w:bCs/>
              </w:rPr>
            </w:pPr>
            <w:r w:rsidRPr="00A90AA3">
              <w:rPr>
                <w:b/>
                <w:bCs/>
              </w:rPr>
              <w:t>Background</w:t>
            </w:r>
          </w:p>
          <w:p w14:paraId="6F2334B7" w14:textId="77777777" w:rsidR="006D0D6A" w:rsidRPr="00A90AA3" w:rsidRDefault="006D0D6A" w:rsidP="006C2604">
            <w:pPr>
              <w:pStyle w:val="NoSpacing"/>
              <w:rPr>
                <w:b/>
                <w:bCs/>
              </w:rPr>
            </w:pPr>
          </w:p>
        </w:tc>
      </w:tr>
      <w:tr w:rsidR="006D0D6A" w:rsidRPr="00A90AA3" w14:paraId="4A8CE2EA" w14:textId="77777777" w:rsidTr="000E18CA">
        <w:tc>
          <w:tcPr>
            <w:tcW w:w="851" w:type="dxa"/>
          </w:tcPr>
          <w:p w14:paraId="0114C74C" w14:textId="17B803FB" w:rsidR="006D0D6A" w:rsidRPr="00A90AA3" w:rsidRDefault="000E18CA" w:rsidP="000E18CA">
            <w:pPr>
              <w:pStyle w:val="NoSpacing"/>
            </w:pPr>
            <w:r>
              <w:t>2.1</w:t>
            </w:r>
          </w:p>
        </w:tc>
        <w:tc>
          <w:tcPr>
            <w:tcW w:w="8885" w:type="dxa"/>
          </w:tcPr>
          <w:p w14:paraId="329F1030" w14:textId="22D5F696" w:rsidR="003C26E9" w:rsidRDefault="00E72386" w:rsidP="006D0D6A">
            <w:pPr>
              <w:jc w:val="both"/>
              <w:rPr>
                <w:rFonts w:ascii="Arial" w:hAnsi="Arial" w:cs="Arial"/>
                <w:szCs w:val="24"/>
              </w:rPr>
            </w:pPr>
            <w:r w:rsidRPr="00891252">
              <w:rPr>
                <w:rFonts w:ascii="Arial" w:hAnsi="Arial" w:cs="Arial"/>
                <w:szCs w:val="24"/>
              </w:rPr>
              <w:t>Th</w:t>
            </w:r>
            <w:r w:rsidR="00550B6F" w:rsidRPr="00891252">
              <w:rPr>
                <w:rFonts w:ascii="Arial" w:hAnsi="Arial" w:cs="Arial"/>
                <w:szCs w:val="24"/>
              </w:rPr>
              <w:t xml:space="preserve">is </w:t>
            </w:r>
            <w:r w:rsidR="00975ADA" w:rsidRPr="00891252">
              <w:rPr>
                <w:rFonts w:ascii="Arial" w:hAnsi="Arial" w:cs="Arial"/>
                <w:szCs w:val="24"/>
              </w:rPr>
              <w:t>report will summarise and update on the following</w:t>
            </w:r>
            <w:r w:rsidR="00791E6B" w:rsidRPr="00891252">
              <w:rPr>
                <w:rFonts w:ascii="Arial" w:hAnsi="Arial" w:cs="Arial"/>
                <w:szCs w:val="24"/>
              </w:rPr>
              <w:t xml:space="preserve"> </w:t>
            </w:r>
            <w:r w:rsidR="00782766" w:rsidRPr="00891252">
              <w:rPr>
                <w:rFonts w:ascii="Arial" w:hAnsi="Arial" w:cs="Arial"/>
                <w:szCs w:val="24"/>
              </w:rPr>
              <w:t>standing</w:t>
            </w:r>
            <w:r w:rsidR="00975ADA" w:rsidRPr="00891252">
              <w:rPr>
                <w:rFonts w:ascii="Arial" w:hAnsi="Arial" w:cs="Arial"/>
                <w:szCs w:val="24"/>
              </w:rPr>
              <w:t xml:space="preserve"> HR </w:t>
            </w:r>
            <w:r w:rsidR="009765A8" w:rsidRPr="00891252">
              <w:rPr>
                <w:rFonts w:ascii="Arial" w:hAnsi="Arial" w:cs="Arial"/>
                <w:szCs w:val="24"/>
              </w:rPr>
              <w:t xml:space="preserve">matters, relating to </w:t>
            </w:r>
            <w:r w:rsidR="006B118A">
              <w:rPr>
                <w:rFonts w:ascii="Arial" w:hAnsi="Arial" w:cs="Arial"/>
                <w:szCs w:val="24"/>
              </w:rPr>
              <w:t>2022/23</w:t>
            </w:r>
            <w:r w:rsidR="009765A8" w:rsidRPr="00891252">
              <w:rPr>
                <w:rFonts w:ascii="Arial" w:hAnsi="Arial" w:cs="Arial"/>
                <w:szCs w:val="24"/>
              </w:rPr>
              <w:t xml:space="preserve"> Q</w:t>
            </w:r>
            <w:r w:rsidR="00544CB5">
              <w:rPr>
                <w:rFonts w:ascii="Arial" w:hAnsi="Arial" w:cs="Arial"/>
                <w:szCs w:val="24"/>
              </w:rPr>
              <w:t>2</w:t>
            </w:r>
            <w:r w:rsidR="009765A8" w:rsidRPr="00891252">
              <w:rPr>
                <w:rFonts w:ascii="Arial" w:hAnsi="Arial" w:cs="Arial"/>
                <w:szCs w:val="24"/>
              </w:rPr>
              <w:t>.</w:t>
            </w:r>
          </w:p>
          <w:p w14:paraId="04820057" w14:textId="77777777" w:rsidR="003C26E9" w:rsidRPr="00891252" w:rsidRDefault="003C26E9" w:rsidP="006D0D6A">
            <w:pPr>
              <w:jc w:val="both"/>
              <w:rPr>
                <w:rFonts w:ascii="Arial" w:hAnsi="Arial" w:cs="Arial"/>
                <w:szCs w:val="24"/>
              </w:rPr>
            </w:pPr>
          </w:p>
          <w:p w14:paraId="0BD889B4" w14:textId="10FC2FA0" w:rsidR="003A43C1" w:rsidRDefault="009765A8" w:rsidP="00372468">
            <w:pPr>
              <w:pStyle w:val="ListParagraph"/>
              <w:numPr>
                <w:ilvl w:val="0"/>
                <w:numId w:val="21"/>
              </w:numPr>
              <w:spacing w:line="240" w:lineRule="auto"/>
              <w:ind w:left="458" w:hanging="458"/>
              <w:jc w:val="both"/>
              <w:rPr>
                <w:rFonts w:ascii="Arial" w:hAnsi="Arial" w:cs="Arial"/>
                <w:sz w:val="24"/>
                <w:szCs w:val="24"/>
              </w:rPr>
            </w:pPr>
            <w:r w:rsidRPr="00891252">
              <w:rPr>
                <w:rFonts w:ascii="Arial" w:hAnsi="Arial" w:cs="Arial"/>
                <w:sz w:val="24"/>
                <w:szCs w:val="24"/>
              </w:rPr>
              <w:lastRenderedPageBreak/>
              <w:t>Staffing</w:t>
            </w:r>
            <w:r w:rsidR="003A43C1" w:rsidRPr="00891252">
              <w:rPr>
                <w:rFonts w:ascii="Arial" w:hAnsi="Arial" w:cs="Arial"/>
                <w:sz w:val="24"/>
                <w:szCs w:val="24"/>
              </w:rPr>
              <w:t xml:space="preserve"> matters:</w:t>
            </w:r>
            <w:r w:rsidRPr="00891252">
              <w:rPr>
                <w:rFonts w:ascii="Arial" w:hAnsi="Arial" w:cs="Arial"/>
                <w:sz w:val="24"/>
                <w:szCs w:val="24"/>
              </w:rPr>
              <w:t xml:space="preserve"> </w:t>
            </w:r>
          </w:p>
          <w:p w14:paraId="4E7922CE" w14:textId="5F75A931" w:rsidR="00746937" w:rsidRPr="00891252" w:rsidRDefault="003A43C1" w:rsidP="00372468">
            <w:pPr>
              <w:pStyle w:val="ListParagraph"/>
              <w:numPr>
                <w:ilvl w:val="1"/>
                <w:numId w:val="4"/>
              </w:numPr>
              <w:spacing w:line="240" w:lineRule="auto"/>
              <w:jc w:val="both"/>
              <w:rPr>
                <w:rFonts w:ascii="Arial" w:hAnsi="Arial" w:cs="Arial"/>
                <w:sz w:val="24"/>
                <w:szCs w:val="24"/>
              </w:rPr>
            </w:pPr>
            <w:r w:rsidRPr="00891252">
              <w:rPr>
                <w:rFonts w:ascii="Arial" w:hAnsi="Arial" w:cs="Arial"/>
                <w:sz w:val="24"/>
                <w:szCs w:val="24"/>
              </w:rPr>
              <w:t>e</w:t>
            </w:r>
            <w:r w:rsidR="009765A8" w:rsidRPr="00891252">
              <w:rPr>
                <w:rFonts w:ascii="Arial" w:hAnsi="Arial" w:cs="Arial"/>
                <w:sz w:val="24"/>
                <w:szCs w:val="24"/>
              </w:rPr>
              <w:t>stablishment</w:t>
            </w:r>
            <w:r w:rsidR="00746937" w:rsidRPr="00891252">
              <w:rPr>
                <w:rFonts w:ascii="Arial" w:hAnsi="Arial" w:cs="Arial"/>
                <w:sz w:val="24"/>
                <w:szCs w:val="24"/>
              </w:rPr>
              <w:t>;</w:t>
            </w:r>
          </w:p>
          <w:p w14:paraId="5C376CDB" w14:textId="77777777" w:rsidR="00746937" w:rsidRPr="00891252" w:rsidRDefault="00FB0020" w:rsidP="00372468">
            <w:pPr>
              <w:pStyle w:val="ListParagraph"/>
              <w:numPr>
                <w:ilvl w:val="1"/>
                <w:numId w:val="4"/>
              </w:numPr>
              <w:spacing w:line="240" w:lineRule="auto"/>
              <w:jc w:val="both"/>
              <w:rPr>
                <w:rFonts w:ascii="Arial" w:hAnsi="Arial" w:cs="Arial"/>
                <w:sz w:val="24"/>
                <w:szCs w:val="24"/>
              </w:rPr>
            </w:pPr>
            <w:r w:rsidRPr="00891252">
              <w:rPr>
                <w:rFonts w:ascii="Arial" w:hAnsi="Arial" w:cs="Arial"/>
                <w:sz w:val="24"/>
                <w:szCs w:val="24"/>
              </w:rPr>
              <w:t>turnover;</w:t>
            </w:r>
          </w:p>
          <w:p w14:paraId="76573EBF" w14:textId="61CF14F3" w:rsidR="009765A8" w:rsidRPr="00891252" w:rsidRDefault="00746937" w:rsidP="00372468">
            <w:pPr>
              <w:pStyle w:val="ListParagraph"/>
              <w:numPr>
                <w:ilvl w:val="1"/>
                <w:numId w:val="4"/>
              </w:numPr>
              <w:spacing w:line="240" w:lineRule="auto"/>
              <w:jc w:val="both"/>
              <w:rPr>
                <w:rFonts w:ascii="Arial" w:hAnsi="Arial" w:cs="Arial"/>
                <w:sz w:val="24"/>
                <w:szCs w:val="24"/>
              </w:rPr>
            </w:pPr>
            <w:r w:rsidRPr="00891252">
              <w:rPr>
                <w:rFonts w:ascii="Arial" w:hAnsi="Arial" w:cs="Arial"/>
                <w:sz w:val="24"/>
                <w:szCs w:val="24"/>
              </w:rPr>
              <w:t>a</w:t>
            </w:r>
            <w:r w:rsidR="009765A8" w:rsidRPr="00891252">
              <w:rPr>
                <w:rFonts w:ascii="Arial" w:hAnsi="Arial" w:cs="Arial"/>
                <w:sz w:val="24"/>
                <w:szCs w:val="24"/>
              </w:rPr>
              <w:t>ttendance management;</w:t>
            </w:r>
          </w:p>
          <w:p w14:paraId="07D1BD3F" w14:textId="77777777" w:rsidR="00891252" w:rsidRPr="00891252" w:rsidRDefault="00FB0020" w:rsidP="00372468">
            <w:pPr>
              <w:pStyle w:val="ListParagraph"/>
              <w:numPr>
                <w:ilvl w:val="0"/>
                <w:numId w:val="21"/>
              </w:numPr>
              <w:spacing w:line="240" w:lineRule="auto"/>
              <w:ind w:left="458" w:hanging="425"/>
              <w:jc w:val="both"/>
              <w:rPr>
                <w:rFonts w:ascii="Arial" w:hAnsi="Arial" w:cs="Arial"/>
                <w:sz w:val="24"/>
                <w:szCs w:val="24"/>
              </w:rPr>
            </w:pPr>
            <w:r w:rsidRPr="00891252">
              <w:rPr>
                <w:rFonts w:ascii="Arial" w:hAnsi="Arial" w:cs="Arial"/>
                <w:sz w:val="24"/>
                <w:szCs w:val="24"/>
              </w:rPr>
              <w:t>Im</w:t>
            </w:r>
            <w:r w:rsidR="00A84B1C" w:rsidRPr="00891252">
              <w:rPr>
                <w:rFonts w:ascii="Arial" w:hAnsi="Arial" w:cs="Arial"/>
                <w:sz w:val="24"/>
                <w:szCs w:val="24"/>
              </w:rPr>
              <w:t>plementation of HR policies/procedures;</w:t>
            </w:r>
          </w:p>
          <w:p w14:paraId="584AD9A8" w14:textId="3D1FCB94" w:rsidR="00791E6B" w:rsidRPr="00891252" w:rsidRDefault="00A54A90" w:rsidP="00372468">
            <w:pPr>
              <w:pStyle w:val="ListParagraph"/>
              <w:numPr>
                <w:ilvl w:val="0"/>
                <w:numId w:val="21"/>
              </w:numPr>
              <w:spacing w:line="240" w:lineRule="auto"/>
              <w:ind w:left="458" w:hanging="425"/>
              <w:jc w:val="both"/>
              <w:rPr>
                <w:rFonts w:ascii="Arial" w:hAnsi="Arial" w:cs="Arial"/>
                <w:szCs w:val="24"/>
              </w:rPr>
            </w:pPr>
            <w:r w:rsidRPr="00891252">
              <w:rPr>
                <w:rFonts w:ascii="Arial" w:hAnsi="Arial" w:cs="Arial"/>
                <w:sz w:val="24"/>
                <w:szCs w:val="24"/>
              </w:rPr>
              <w:t>Industrial relationships</w:t>
            </w:r>
          </w:p>
        </w:tc>
      </w:tr>
      <w:tr w:rsidR="003A43C1" w:rsidRPr="00A90AA3" w14:paraId="40F7DF7C" w14:textId="77777777" w:rsidTr="000E18CA">
        <w:trPr>
          <w:trHeight w:val="1080"/>
        </w:trPr>
        <w:tc>
          <w:tcPr>
            <w:tcW w:w="851" w:type="dxa"/>
          </w:tcPr>
          <w:p w14:paraId="2B6A90E9" w14:textId="6B5C5628" w:rsidR="003A43C1" w:rsidRPr="00A90AA3" w:rsidRDefault="000E18CA" w:rsidP="000E18CA">
            <w:pPr>
              <w:pStyle w:val="NoSpacing"/>
            </w:pPr>
            <w:r>
              <w:lastRenderedPageBreak/>
              <w:t>2.2</w:t>
            </w:r>
          </w:p>
        </w:tc>
        <w:tc>
          <w:tcPr>
            <w:tcW w:w="8885" w:type="dxa"/>
          </w:tcPr>
          <w:p w14:paraId="351643EF" w14:textId="4077A9AF" w:rsidR="003A43C1" w:rsidRPr="00A90AA3" w:rsidRDefault="00791E6B" w:rsidP="006D0D6A">
            <w:pPr>
              <w:jc w:val="both"/>
              <w:rPr>
                <w:rFonts w:ascii="Arial" w:hAnsi="Arial" w:cs="Arial"/>
                <w:szCs w:val="24"/>
              </w:rPr>
            </w:pPr>
            <w:r w:rsidRPr="00A90AA3">
              <w:rPr>
                <w:rFonts w:ascii="Arial" w:hAnsi="Arial" w:cs="Arial"/>
                <w:szCs w:val="24"/>
              </w:rPr>
              <w:t>The report will also cover the following non-standard HR matter</w:t>
            </w:r>
            <w:r w:rsidR="00891252">
              <w:rPr>
                <w:rFonts w:ascii="Arial" w:hAnsi="Arial" w:cs="Arial"/>
                <w:szCs w:val="24"/>
              </w:rPr>
              <w:t>s</w:t>
            </w:r>
            <w:r w:rsidRPr="00A90AA3">
              <w:rPr>
                <w:rFonts w:ascii="Arial" w:hAnsi="Arial" w:cs="Arial"/>
                <w:szCs w:val="24"/>
              </w:rPr>
              <w:t>:</w:t>
            </w:r>
          </w:p>
          <w:p w14:paraId="4FA88C70" w14:textId="77777777" w:rsidR="009B2B8F" w:rsidRPr="00A90AA3" w:rsidRDefault="009B2B8F" w:rsidP="006D0D6A">
            <w:pPr>
              <w:jc w:val="both"/>
              <w:rPr>
                <w:rFonts w:ascii="Arial" w:hAnsi="Arial" w:cs="Arial"/>
                <w:szCs w:val="24"/>
              </w:rPr>
            </w:pPr>
          </w:p>
          <w:p w14:paraId="674E971C" w14:textId="17EE92C5" w:rsidR="00B07720" w:rsidRDefault="00B07720" w:rsidP="00E454C1">
            <w:pPr>
              <w:pStyle w:val="ListParagraph"/>
              <w:numPr>
                <w:ilvl w:val="0"/>
                <w:numId w:val="17"/>
              </w:numPr>
              <w:spacing w:line="240" w:lineRule="auto"/>
              <w:ind w:left="459" w:hanging="425"/>
              <w:jc w:val="both"/>
              <w:rPr>
                <w:rFonts w:ascii="Arial" w:hAnsi="Arial" w:cs="Arial"/>
                <w:sz w:val="24"/>
                <w:szCs w:val="24"/>
              </w:rPr>
            </w:pPr>
            <w:r>
              <w:rPr>
                <w:rFonts w:ascii="Arial" w:hAnsi="Arial" w:cs="Arial"/>
                <w:sz w:val="24"/>
                <w:szCs w:val="24"/>
              </w:rPr>
              <w:t>SJC Pay Award</w:t>
            </w:r>
          </w:p>
          <w:p w14:paraId="368141B2" w14:textId="41BC5A23" w:rsidR="00E25EB2" w:rsidRDefault="00E25EB2" w:rsidP="00E454C1">
            <w:pPr>
              <w:pStyle w:val="ListParagraph"/>
              <w:numPr>
                <w:ilvl w:val="0"/>
                <w:numId w:val="17"/>
              </w:numPr>
              <w:spacing w:line="240" w:lineRule="auto"/>
              <w:ind w:left="459" w:hanging="425"/>
              <w:jc w:val="both"/>
              <w:rPr>
                <w:rFonts w:ascii="Arial" w:hAnsi="Arial" w:cs="Arial"/>
                <w:sz w:val="24"/>
                <w:szCs w:val="24"/>
              </w:rPr>
            </w:pPr>
            <w:r>
              <w:rPr>
                <w:rFonts w:ascii="Arial" w:hAnsi="Arial" w:cs="Arial"/>
                <w:sz w:val="24"/>
                <w:szCs w:val="24"/>
              </w:rPr>
              <w:t>Additional Coronation Bank Holiday</w:t>
            </w:r>
          </w:p>
          <w:p w14:paraId="7B317A13" w14:textId="77777777" w:rsidR="0059575D" w:rsidRDefault="00E454C1" w:rsidP="00E454C1">
            <w:pPr>
              <w:pStyle w:val="ListParagraph"/>
              <w:numPr>
                <w:ilvl w:val="0"/>
                <w:numId w:val="17"/>
              </w:numPr>
              <w:spacing w:line="240" w:lineRule="auto"/>
              <w:ind w:left="459" w:hanging="425"/>
              <w:jc w:val="both"/>
              <w:rPr>
                <w:rFonts w:ascii="Arial" w:hAnsi="Arial" w:cs="Arial"/>
                <w:sz w:val="24"/>
                <w:szCs w:val="24"/>
              </w:rPr>
            </w:pPr>
            <w:r>
              <w:rPr>
                <w:rFonts w:ascii="Arial" w:hAnsi="Arial" w:cs="Arial"/>
                <w:sz w:val="24"/>
                <w:szCs w:val="24"/>
              </w:rPr>
              <w:t>Gender Pay Gap Report</w:t>
            </w:r>
          </w:p>
          <w:p w14:paraId="3245F5EA" w14:textId="61EC6C29" w:rsidR="00D60919" w:rsidRPr="00E454C1" w:rsidRDefault="00D60919" w:rsidP="00E454C1">
            <w:pPr>
              <w:pStyle w:val="ListParagraph"/>
              <w:numPr>
                <w:ilvl w:val="0"/>
                <w:numId w:val="17"/>
              </w:numPr>
              <w:spacing w:line="240" w:lineRule="auto"/>
              <w:ind w:left="459" w:hanging="425"/>
              <w:jc w:val="both"/>
              <w:rPr>
                <w:rFonts w:ascii="Arial" w:hAnsi="Arial" w:cs="Arial"/>
                <w:sz w:val="24"/>
                <w:szCs w:val="24"/>
              </w:rPr>
            </w:pPr>
            <w:r>
              <w:rPr>
                <w:rFonts w:ascii="Arial" w:hAnsi="Arial" w:cs="Arial"/>
                <w:sz w:val="24"/>
                <w:szCs w:val="24"/>
              </w:rPr>
              <w:t xml:space="preserve">Staff </w:t>
            </w:r>
            <w:r w:rsidR="008C5CBC">
              <w:rPr>
                <w:rFonts w:ascii="Arial" w:hAnsi="Arial" w:cs="Arial"/>
                <w:sz w:val="24"/>
                <w:szCs w:val="24"/>
              </w:rPr>
              <w:t>h</w:t>
            </w:r>
            <w:r>
              <w:rPr>
                <w:rFonts w:ascii="Arial" w:hAnsi="Arial" w:cs="Arial"/>
                <w:sz w:val="24"/>
                <w:szCs w:val="24"/>
              </w:rPr>
              <w:t xml:space="preserve">ealth </w:t>
            </w:r>
            <w:r w:rsidR="008C5CBC">
              <w:rPr>
                <w:rFonts w:ascii="Arial" w:hAnsi="Arial" w:cs="Arial"/>
                <w:sz w:val="24"/>
                <w:szCs w:val="24"/>
              </w:rPr>
              <w:t>and</w:t>
            </w:r>
            <w:r>
              <w:rPr>
                <w:rFonts w:ascii="Arial" w:hAnsi="Arial" w:cs="Arial"/>
                <w:sz w:val="24"/>
                <w:szCs w:val="24"/>
              </w:rPr>
              <w:t xml:space="preserve"> </w:t>
            </w:r>
            <w:r w:rsidR="008C5CBC">
              <w:rPr>
                <w:rFonts w:ascii="Arial" w:hAnsi="Arial" w:cs="Arial"/>
                <w:sz w:val="24"/>
                <w:szCs w:val="24"/>
              </w:rPr>
              <w:t>w</w:t>
            </w:r>
            <w:r>
              <w:rPr>
                <w:rFonts w:ascii="Arial" w:hAnsi="Arial" w:cs="Arial"/>
                <w:sz w:val="24"/>
                <w:szCs w:val="24"/>
              </w:rPr>
              <w:t xml:space="preserve">ellbeing and </w:t>
            </w:r>
            <w:r w:rsidR="008C5CBC">
              <w:rPr>
                <w:rFonts w:ascii="Arial" w:hAnsi="Arial" w:cs="Arial"/>
                <w:sz w:val="24"/>
                <w:szCs w:val="24"/>
              </w:rPr>
              <w:t>s</w:t>
            </w:r>
            <w:r>
              <w:rPr>
                <w:rFonts w:ascii="Arial" w:hAnsi="Arial" w:cs="Arial"/>
                <w:sz w:val="24"/>
                <w:szCs w:val="24"/>
              </w:rPr>
              <w:t>taff welfare responsibilities</w:t>
            </w:r>
            <w:r w:rsidR="008C5CBC">
              <w:rPr>
                <w:rFonts w:ascii="Arial" w:hAnsi="Arial" w:cs="Arial"/>
                <w:sz w:val="24"/>
                <w:szCs w:val="24"/>
              </w:rPr>
              <w:t>.</w:t>
            </w:r>
          </w:p>
        </w:tc>
      </w:tr>
    </w:tbl>
    <w:p w14:paraId="6A216875" w14:textId="19E024D7" w:rsidR="006D0D6A" w:rsidRPr="00A90AA3" w:rsidRDefault="006D0D6A"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85"/>
      </w:tblGrid>
      <w:tr w:rsidR="006D0D6A" w:rsidRPr="00A90AA3" w14:paraId="4B54BEF5" w14:textId="77777777" w:rsidTr="00D05FB8">
        <w:tc>
          <w:tcPr>
            <w:tcW w:w="851" w:type="dxa"/>
          </w:tcPr>
          <w:p w14:paraId="50A9BD7A" w14:textId="5FA79952" w:rsidR="006D0D6A" w:rsidRPr="000E18CA" w:rsidRDefault="000E18CA" w:rsidP="000E18CA">
            <w:pPr>
              <w:pStyle w:val="NoSpacing"/>
              <w:rPr>
                <w:b/>
                <w:bCs/>
              </w:rPr>
            </w:pPr>
            <w:r w:rsidRPr="000E18CA">
              <w:rPr>
                <w:b/>
                <w:bCs/>
              </w:rPr>
              <w:t>3.</w:t>
            </w:r>
          </w:p>
        </w:tc>
        <w:tc>
          <w:tcPr>
            <w:tcW w:w="8885" w:type="dxa"/>
          </w:tcPr>
          <w:p w14:paraId="1AD6CB3D" w14:textId="5B3D5E44" w:rsidR="006D0D6A" w:rsidRPr="00A90AA3" w:rsidRDefault="00E72A3A" w:rsidP="006C2604">
            <w:pPr>
              <w:pStyle w:val="NoSpacing"/>
              <w:rPr>
                <w:b/>
                <w:bCs/>
              </w:rPr>
            </w:pPr>
            <w:r w:rsidRPr="00A90AA3">
              <w:rPr>
                <w:b/>
                <w:bCs/>
              </w:rPr>
              <w:t>Update</w:t>
            </w:r>
            <w:r w:rsidR="006D0D6A" w:rsidRPr="00A90AA3">
              <w:rPr>
                <w:b/>
                <w:bCs/>
              </w:rPr>
              <w:t xml:space="preserve"> </w:t>
            </w:r>
            <w:r w:rsidR="00782766" w:rsidRPr="00A90AA3">
              <w:rPr>
                <w:b/>
                <w:bCs/>
              </w:rPr>
              <w:t>on standing HR matter</w:t>
            </w:r>
            <w:r w:rsidR="00F80CF1">
              <w:rPr>
                <w:b/>
                <w:bCs/>
              </w:rPr>
              <w:t>s</w:t>
            </w:r>
            <w:r w:rsidRPr="00A90AA3">
              <w:rPr>
                <w:b/>
                <w:bCs/>
              </w:rPr>
              <w:t xml:space="preserve"> Q</w:t>
            </w:r>
            <w:r w:rsidR="00544CB5">
              <w:rPr>
                <w:b/>
                <w:bCs/>
              </w:rPr>
              <w:t>2</w:t>
            </w:r>
            <w:r w:rsidR="00F80CF1">
              <w:rPr>
                <w:b/>
                <w:bCs/>
              </w:rPr>
              <w:t xml:space="preserve">, </w:t>
            </w:r>
            <w:r w:rsidR="00544CB5">
              <w:rPr>
                <w:b/>
                <w:bCs/>
              </w:rPr>
              <w:t>July to September</w:t>
            </w:r>
            <w:r w:rsidR="00513F2A">
              <w:rPr>
                <w:b/>
                <w:bCs/>
              </w:rPr>
              <w:t xml:space="preserve"> 2022</w:t>
            </w:r>
          </w:p>
          <w:p w14:paraId="3D3F9570" w14:textId="77777777" w:rsidR="006D0D6A" w:rsidRPr="00A90AA3" w:rsidRDefault="006D0D6A" w:rsidP="006C2604">
            <w:pPr>
              <w:pStyle w:val="NoSpacing"/>
              <w:rPr>
                <w:b/>
                <w:bCs/>
              </w:rPr>
            </w:pPr>
          </w:p>
        </w:tc>
      </w:tr>
      <w:tr w:rsidR="006D0D6A" w:rsidRPr="00A90AA3" w14:paraId="3AAC68DE" w14:textId="77777777" w:rsidTr="00D05FB8">
        <w:tc>
          <w:tcPr>
            <w:tcW w:w="851" w:type="dxa"/>
          </w:tcPr>
          <w:p w14:paraId="0D2E8B9B" w14:textId="72573105" w:rsidR="006D0D6A" w:rsidRPr="00A90AA3" w:rsidRDefault="000E18CA" w:rsidP="000E18CA">
            <w:pPr>
              <w:pStyle w:val="NoSpacing"/>
              <w:ind w:right="-243"/>
            </w:pPr>
            <w:r>
              <w:t>3.1</w:t>
            </w:r>
          </w:p>
        </w:tc>
        <w:tc>
          <w:tcPr>
            <w:tcW w:w="8885" w:type="dxa"/>
          </w:tcPr>
          <w:p w14:paraId="0B1ED35C" w14:textId="4E1C8A1C" w:rsidR="006D0D6A" w:rsidRPr="00A90AA3" w:rsidRDefault="00F662ED" w:rsidP="006C2604">
            <w:pPr>
              <w:jc w:val="both"/>
              <w:rPr>
                <w:rFonts w:ascii="Arial" w:hAnsi="Arial" w:cs="Arial"/>
                <w:szCs w:val="24"/>
              </w:rPr>
            </w:pPr>
            <w:r w:rsidRPr="00A90AA3">
              <w:rPr>
                <w:rFonts w:ascii="Arial" w:hAnsi="Arial" w:cs="Arial"/>
                <w:szCs w:val="24"/>
                <w:u w:val="single"/>
              </w:rPr>
              <w:t>Staffing matters</w:t>
            </w:r>
            <w:r w:rsidR="00EF4209" w:rsidRPr="00A90AA3">
              <w:rPr>
                <w:rFonts w:ascii="Arial" w:hAnsi="Arial" w:cs="Arial"/>
                <w:szCs w:val="24"/>
                <w:u w:val="single"/>
              </w:rPr>
              <w:t xml:space="preserve"> – establishment</w:t>
            </w:r>
          </w:p>
          <w:p w14:paraId="4DAE818A" w14:textId="547E44B6" w:rsidR="00EF4209" w:rsidRPr="00A90AA3" w:rsidRDefault="00EF4209" w:rsidP="006C2604">
            <w:pPr>
              <w:jc w:val="both"/>
              <w:rPr>
                <w:rFonts w:ascii="Arial" w:hAnsi="Arial" w:cs="Arial"/>
                <w:szCs w:val="24"/>
              </w:rPr>
            </w:pPr>
          </w:p>
        </w:tc>
      </w:tr>
      <w:tr w:rsidR="00EF4209" w:rsidRPr="00A90AA3" w14:paraId="25E2C41F" w14:textId="77777777" w:rsidTr="00D05FB8">
        <w:tc>
          <w:tcPr>
            <w:tcW w:w="851" w:type="dxa"/>
          </w:tcPr>
          <w:p w14:paraId="4EE20392" w14:textId="5EEB133B" w:rsidR="00EF4209" w:rsidRPr="00A90AA3" w:rsidRDefault="000E18CA" w:rsidP="000E18CA">
            <w:pPr>
              <w:pStyle w:val="NoSpacing"/>
              <w:ind w:left="720" w:hanging="683"/>
            </w:pPr>
            <w:r>
              <w:t>3.1.1</w:t>
            </w:r>
          </w:p>
        </w:tc>
        <w:tc>
          <w:tcPr>
            <w:tcW w:w="8885" w:type="dxa"/>
          </w:tcPr>
          <w:p w14:paraId="09DD75D1" w14:textId="25039684" w:rsidR="00EF4209" w:rsidRPr="00A90AA3" w:rsidRDefault="00EE3EB9" w:rsidP="006C2604">
            <w:pPr>
              <w:jc w:val="both"/>
              <w:rPr>
                <w:rFonts w:ascii="Arial" w:hAnsi="Arial" w:cs="Arial"/>
                <w:szCs w:val="24"/>
              </w:rPr>
            </w:pPr>
            <w:r w:rsidRPr="00A90AA3">
              <w:rPr>
                <w:rFonts w:ascii="Arial" w:hAnsi="Arial" w:cs="Arial"/>
                <w:szCs w:val="24"/>
              </w:rPr>
              <w:t>Changes to the charity’s staffing establishment = +</w:t>
            </w:r>
            <w:r w:rsidR="00775287">
              <w:rPr>
                <w:rFonts w:ascii="Arial" w:hAnsi="Arial" w:cs="Arial"/>
                <w:szCs w:val="24"/>
              </w:rPr>
              <w:t>3.23</w:t>
            </w:r>
            <w:r w:rsidRPr="00A90AA3">
              <w:rPr>
                <w:rFonts w:ascii="Arial" w:hAnsi="Arial" w:cs="Arial"/>
                <w:szCs w:val="24"/>
              </w:rPr>
              <w:t>FTE</w:t>
            </w:r>
            <w:r w:rsidR="007D5F47" w:rsidRPr="00A90AA3">
              <w:rPr>
                <w:rFonts w:ascii="Arial" w:hAnsi="Arial" w:cs="Arial"/>
                <w:szCs w:val="24"/>
              </w:rPr>
              <w:t>.</w:t>
            </w:r>
            <w:r w:rsidR="00DA3DEC">
              <w:rPr>
                <w:rFonts w:ascii="Arial" w:hAnsi="Arial" w:cs="Arial"/>
                <w:szCs w:val="24"/>
              </w:rPr>
              <w:t xml:space="preserve"> (</w:t>
            </w:r>
            <w:r w:rsidR="00DA3DEC" w:rsidRPr="00E55373">
              <w:rPr>
                <w:rFonts w:ascii="Arial" w:hAnsi="Arial" w:cs="Arial"/>
                <w:b/>
                <w:bCs/>
                <w:szCs w:val="24"/>
              </w:rPr>
              <w:t>Appendix A</w:t>
            </w:r>
            <w:r w:rsidR="00DA3DEC">
              <w:rPr>
                <w:rFonts w:ascii="Arial" w:hAnsi="Arial" w:cs="Arial"/>
                <w:szCs w:val="24"/>
              </w:rPr>
              <w:t>)</w:t>
            </w:r>
          </w:p>
          <w:p w14:paraId="4FAFC9EF" w14:textId="4DD1EF7D" w:rsidR="007D5F47" w:rsidRPr="00A90AA3" w:rsidRDefault="007D5F47" w:rsidP="006C2604">
            <w:pPr>
              <w:jc w:val="both"/>
              <w:rPr>
                <w:rFonts w:ascii="Arial" w:hAnsi="Arial" w:cs="Arial"/>
                <w:szCs w:val="24"/>
              </w:rPr>
            </w:pPr>
          </w:p>
        </w:tc>
      </w:tr>
      <w:tr w:rsidR="007D5F47" w:rsidRPr="00A90AA3" w14:paraId="63B1C652" w14:textId="77777777" w:rsidTr="00D05FB8">
        <w:tc>
          <w:tcPr>
            <w:tcW w:w="851" w:type="dxa"/>
          </w:tcPr>
          <w:p w14:paraId="42A6F98D" w14:textId="575FEDB6" w:rsidR="007D5F47" w:rsidRPr="00A90AA3" w:rsidRDefault="000E18CA" w:rsidP="000E18CA">
            <w:pPr>
              <w:pStyle w:val="NoSpacing"/>
              <w:ind w:left="720" w:hanging="720"/>
            </w:pPr>
            <w:r>
              <w:t>3.1.2</w:t>
            </w:r>
          </w:p>
        </w:tc>
        <w:tc>
          <w:tcPr>
            <w:tcW w:w="8885" w:type="dxa"/>
          </w:tcPr>
          <w:p w14:paraId="1029218F" w14:textId="3155400F" w:rsidR="007D5F47" w:rsidRDefault="002D3A47" w:rsidP="006C2604">
            <w:pPr>
              <w:jc w:val="both"/>
              <w:rPr>
                <w:rFonts w:ascii="Arial" w:hAnsi="Arial" w:cs="Arial"/>
                <w:szCs w:val="24"/>
              </w:rPr>
            </w:pPr>
            <w:r w:rsidRPr="00A90AA3">
              <w:rPr>
                <w:rFonts w:ascii="Arial" w:hAnsi="Arial" w:cs="Arial"/>
                <w:szCs w:val="24"/>
              </w:rPr>
              <w:t xml:space="preserve">Quarter </w:t>
            </w:r>
            <w:r w:rsidR="00544CB5">
              <w:rPr>
                <w:rFonts w:ascii="Arial" w:hAnsi="Arial" w:cs="Arial"/>
                <w:szCs w:val="24"/>
              </w:rPr>
              <w:t>2</w:t>
            </w:r>
            <w:r w:rsidR="006B118A">
              <w:rPr>
                <w:rFonts w:ascii="Arial" w:hAnsi="Arial" w:cs="Arial"/>
                <w:szCs w:val="24"/>
              </w:rPr>
              <w:t>(2022/23)</w:t>
            </w:r>
            <w:r w:rsidRPr="00A90AA3">
              <w:rPr>
                <w:rFonts w:ascii="Arial" w:hAnsi="Arial" w:cs="Arial"/>
                <w:szCs w:val="24"/>
              </w:rPr>
              <w:t xml:space="preserve"> establishment = </w:t>
            </w:r>
            <w:r w:rsidR="00775287">
              <w:rPr>
                <w:rFonts w:ascii="Arial" w:hAnsi="Arial" w:cs="Arial"/>
                <w:szCs w:val="24"/>
              </w:rPr>
              <w:t>826.31</w:t>
            </w:r>
            <w:r w:rsidR="006B118A">
              <w:rPr>
                <w:rFonts w:ascii="Arial" w:hAnsi="Arial" w:cs="Arial"/>
                <w:szCs w:val="24"/>
              </w:rPr>
              <w:t xml:space="preserve"> FTE</w:t>
            </w:r>
          </w:p>
          <w:p w14:paraId="11EC8EA2" w14:textId="77777777" w:rsidR="00544CB5" w:rsidRDefault="00544CB5" w:rsidP="00544CB5">
            <w:pPr>
              <w:jc w:val="both"/>
              <w:rPr>
                <w:rFonts w:ascii="Arial" w:hAnsi="Arial" w:cs="Arial"/>
                <w:szCs w:val="24"/>
              </w:rPr>
            </w:pPr>
            <w:r w:rsidRPr="00A90AA3">
              <w:rPr>
                <w:rFonts w:ascii="Arial" w:hAnsi="Arial" w:cs="Arial"/>
                <w:szCs w:val="24"/>
              </w:rPr>
              <w:t xml:space="preserve">Quarter </w:t>
            </w:r>
            <w:r>
              <w:rPr>
                <w:rFonts w:ascii="Arial" w:hAnsi="Arial" w:cs="Arial"/>
                <w:szCs w:val="24"/>
              </w:rPr>
              <w:t>1(2022/23)</w:t>
            </w:r>
            <w:r w:rsidRPr="00A90AA3">
              <w:rPr>
                <w:rFonts w:ascii="Arial" w:hAnsi="Arial" w:cs="Arial"/>
                <w:szCs w:val="24"/>
              </w:rPr>
              <w:t xml:space="preserve"> establishment = </w:t>
            </w:r>
            <w:r>
              <w:rPr>
                <w:rFonts w:ascii="Arial" w:hAnsi="Arial" w:cs="Arial"/>
                <w:szCs w:val="24"/>
              </w:rPr>
              <w:t>823.08 FTE</w:t>
            </w:r>
          </w:p>
          <w:p w14:paraId="1AC070BD" w14:textId="28318E34" w:rsidR="00193FE5" w:rsidRPr="00A90AA3" w:rsidRDefault="00193FE5" w:rsidP="00544CB5">
            <w:pPr>
              <w:jc w:val="both"/>
              <w:rPr>
                <w:rFonts w:ascii="Arial" w:hAnsi="Arial" w:cs="Arial"/>
                <w:szCs w:val="24"/>
              </w:rPr>
            </w:pPr>
          </w:p>
        </w:tc>
      </w:tr>
      <w:tr w:rsidR="00D47262" w:rsidRPr="00A90AA3" w14:paraId="26CAB48B" w14:textId="77777777" w:rsidTr="00D05FB8">
        <w:tc>
          <w:tcPr>
            <w:tcW w:w="851" w:type="dxa"/>
          </w:tcPr>
          <w:p w14:paraId="32647D66" w14:textId="7DF07A40" w:rsidR="00D47262" w:rsidRPr="00A90AA3" w:rsidRDefault="000E18CA" w:rsidP="000E18CA">
            <w:pPr>
              <w:pStyle w:val="NoSpacing"/>
              <w:ind w:left="720" w:hanging="720"/>
            </w:pPr>
            <w:r>
              <w:t>3.1.3</w:t>
            </w:r>
          </w:p>
        </w:tc>
        <w:tc>
          <w:tcPr>
            <w:tcW w:w="8885" w:type="dxa"/>
          </w:tcPr>
          <w:p w14:paraId="4BF05A4D" w14:textId="598CDDFA" w:rsidR="00D47262" w:rsidRPr="00A90AA3" w:rsidRDefault="00D47262" w:rsidP="006C2604">
            <w:pPr>
              <w:jc w:val="both"/>
              <w:rPr>
                <w:rFonts w:ascii="Arial" w:hAnsi="Arial" w:cs="Arial"/>
                <w:szCs w:val="24"/>
              </w:rPr>
            </w:pPr>
            <w:r w:rsidRPr="00A90AA3">
              <w:rPr>
                <w:rFonts w:ascii="Arial" w:hAnsi="Arial" w:cs="Arial"/>
                <w:szCs w:val="24"/>
              </w:rPr>
              <w:t>The above changes can</w:t>
            </w:r>
            <w:r w:rsidR="00904090" w:rsidRPr="00A90AA3">
              <w:rPr>
                <w:rFonts w:ascii="Arial" w:hAnsi="Arial" w:cs="Arial"/>
                <w:szCs w:val="24"/>
              </w:rPr>
              <w:t xml:space="preserve"> predominantly</w:t>
            </w:r>
            <w:r w:rsidRPr="00A90AA3">
              <w:rPr>
                <w:rFonts w:ascii="Arial" w:hAnsi="Arial" w:cs="Arial"/>
                <w:szCs w:val="24"/>
              </w:rPr>
              <w:t xml:space="preserve"> be attributed to </w:t>
            </w:r>
            <w:r w:rsidR="006B118A">
              <w:rPr>
                <w:rFonts w:ascii="Arial" w:hAnsi="Arial" w:cs="Arial"/>
                <w:szCs w:val="24"/>
              </w:rPr>
              <w:t xml:space="preserve">the creation of </w:t>
            </w:r>
            <w:r w:rsidR="00544CB5">
              <w:rPr>
                <w:rFonts w:ascii="Arial" w:hAnsi="Arial" w:cs="Arial"/>
                <w:szCs w:val="24"/>
              </w:rPr>
              <w:t xml:space="preserve">fixed term, temporary </w:t>
            </w:r>
            <w:r w:rsidR="006B118A">
              <w:rPr>
                <w:rFonts w:ascii="Arial" w:hAnsi="Arial" w:cs="Arial"/>
                <w:szCs w:val="24"/>
              </w:rPr>
              <w:t>posts and minor adjustments to the establishment within</w:t>
            </w:r>
            <w:r w:rsidR="00A90AA3" w:rsidRPr="00A90AA3">
              <w:rPr>
                <w:rFonts w:ascii="Arial" w:hAnsi="Arial" w:cs="Arial"/>
                <w:szCs w:val="24"/>
              </w:rPr>
              <w:t>:</w:t>
            </w:r>
          </w:p>
          <w:p w14:paraId="42DFE6ED" w14:textId="12007B2C" w:rsidR="00A90AA3" w:rsidRPr="00A90AA3" w:rsidRDefault="00A90AA3" w:rsidP="006C2604">
            <w:pPr>
              <w:jc w:val="both"/>
              <w:rPr>
                <w:rFonts w:ascii="Arial" w:hAnsi="Arial" w:cs="Arial"/>
                <w:szCs w:val="24"/>
              </w:rPr>
            </w:pPr>
          </w:p>
          <w:p w14:paraId="248D1549" w14:textId="766D0A42" w:rsidR="004D05D2" w:rsidRPr="00891252" w:rsidRDefault="004D05D2" w:rsidP="00372468">
            <w:pPr>
              <w:pStyle w:val="ListParagraph"/>
              <w:numPr>
                <w:ilvl w:val="0"/>
                <w:numId w:val="22"/>
              </w:numPr>
              <w:spacing w:line="240" w:lineRule="auto"/>
              <w:ind w:left="459" w:hanging="425"/>
              <w:jc w:val="both"/>
              <w:rPr>
                <w:rFonts w:ascii="Arial" w:hAnsi="Arial" w:cs="Arial"/>
                <w:sz w:val="24"/>
                <w:szCs w:val="24"/>
              </w:rPr>
            </w:pPr>
            <w:r w:rsidRPr="00891252">
              <w:rPr>
                <w:rFonts w:ascii="Arial" w:hAnsi="Arial" w:cs="Arial"/>
                <w:sz w:val="24"/>
                <w:szCs w:val="24"/>
              </w:rPr>
              <w:t>Adult Learning;</w:t>
            </w:r>
          </w:p>
          <w:p w14:paraId="27E444FD" w14:textId="77777777" w:rsidR="00544CB5" w:rsidRDefault="004D05D2" w:rsidP="00372468">
            <w:pPr>
              <w:pStyle w:val="ListParagraph"/>
              <w:numPr>
                <w:ilvl w:val="0"/>
                <w:numId w:val="22"/>
              </w:numPr>
              <w:spacing w:line="240" w:lineRule="auto"/>
              <w:ind w:left="459" w:hanging="425"/>
              <w:jc w:val="both"/>
              <w:rPr>
                <w:rFonts w:ascii="Arial" w:hAnsi="Arial" w:cs="Arial"/>
                <w:sz w:val="24"/>
                <w:szCs w:val="24"/>
              </w:rPr>
            </w:pPr>
            <w:r w:rsidRPr="00891252">
              <w:rPr>
                <w:rFonts w:ascii="Arial" w:hAnsi="Arial" w:cs="Arial"/>
                <w:sz w:val="24"/>
                <w:szCs w:val="24"/>
              </w:rPr>
              <w:t xml:space="preserve">Leisure; </w:t>
            </w:r>
          </w:p>
          <w:p w14:paraId="25AFC28D" w14:textId="4B747D75" w:rsidR="004D05D2" w:rsidRPr="00891252" w:rsidRDefault="00544CB5" w:rsidP="00372468">
            <w:pPr>
              <w:pStyle w:val="ListParagraph"/>
              <w:numPr>
                <w:ilvl w:val="0"/>
                <w:numId w:val="22"/>
              </w:numPr>
              <w:spacing w:line="240" w:lineRule="auto"/>
              <w:ind w:left="459" w:hanging="425"/>
              <w:jc w:val="both"/>
              <w:rPr>
                <w:rFonts w:ascii="Arial" w:hAnsi="Arial" w:cs="Arial"/>
                <w:sz w:val="24"/>
                <w:szCs w:val="24"/>
              </w:rPr>
            </w:pPr>
            <w:r>
              <w:rPr>
                <w:rFonts w:ascii="Arial" w:hAnsi="Arial" w:cs="Arial"/>
                <w:sz w:val="24"/>
                <w:szCs w:val="24"/>
              </w:rPr>
              <w:t>Marketing;</w:t>
            </w:r>
            <w:r w:rsidR="00E454C1">
              <w:rPr>
                <w:rFonts w:ascii="Arial" w:hAnsi="Arial" w:cs="Arial"/>
                <w:sz w:val="24"/>
                <w:szCs w:val="24"/>
              </w:rPr>
              <w:t xml:space="preserve"> </w:t>
            </w:r>
            <w:r w:rsidR="004D05D2" w:rsidRPr="00891252">
              <w:rPr>
                <w:rFonts w:ascii="Arial" w:hAnsi="Arial" w:cs="Arial"/>
                <w:sz w:val="24"/>
                <w:szCs w:val="24"/>
              </w:rPr>
              <w:t>and</w:t>
            </w:r>
          </w:p>
          <w:p w14:paraId="542B939C" w14:textId="07025D24" w:rsidR="00DA3DEC" w:rsidRPr="00891252" w:rsidRDefault="004D05D2" w:rsidP="00372468">
            <w:pPr>
              <w:pStyle w:val="ListParagraph"/>
              <w:numPr>
                <w:ilvl w:val="0"/>
                <w:numId w:val="22"/>
              </w:numPr>
              <w:spacing w:line="240" w:lineRule="auto"/>
              <w:ind w:left="459" w:hanging="425"/>
              <w:jc w:val="both"/>
              <w:rPr>
                <w:rFonts w:ascii="Arial" w:hAnsi="Arial" w:cs="Arial"/>
                <w:szCs w:val="24"/>
              </w:rPr>
            </w:pPr>
            <w:r w:rsidRPr="00891252">
              <w:rPr>
                <w:rFonts w:ascii="Arial" w:hAnsi="Arial" w:cs="Arial"/>
                <w:sz w:val="24"/>
                <w:szCs w:val="24"/>
              </w:rPr>
              <w:t>Youth work.</w:t>
            </w:r>
          </w:p>
        </w:tc>
      </w:tr>
      <w:tr w:rsidR="00130A7A" w:rsidRPr="00A90AA3" w14:paraId="65186E86" w14:textId="77777777" w:rsidTr="00D05FB8">
        <w:tc>
          <w:tcPr>
            <w:tcW w:w="851" w:type="dxa"/>
          </w:tcPr>
          <w:p w14:paraId="31CA7A2B" w14:textId="564EEEDE" w:rsidR="00130A7A" w:rsidRPr="00A90AA3" w:rsidRDefault="00E55373" w:rsidP="000E18CA">
            <w:pPr>
              <w:pStyle w:val="NoSpacing"/>
              <w:ind w:left="792" w:hanging="792"/>
            </w:pPr>
            <w:r>
              <w:t>3.2</w:t>
            </w:r>
          </w:p>
        </w:tc>
        <w:tc>
          <w:tcPr>
            <w:tcW w:w="8885" w:type="dxa"/>
          </w:tcPr>
          <w:p w14:paraId="761B363A" w14:textId="42CB2C98" w:rsidR="00130A7A" w:rsidRDefault="00DF00B6" w:rsidP="006C2604">
            <w:pPr>
              <w:jc w:val="both"/>
              <w:rPr>
                <w:rFonts w:ascii="Arial" w:hAnsi="Arial" w:cs="Arial"/>
                <w:szCs w:val="24"/>
              </w:rPr>
            </w:pPr>
            <w:r>
              <w:rPr>
                <w:rFonts w:ascii="Arial" w:hAnsi="Arial" w:cs="Arial"/>
                <w:szCs w:val="24"/>
                <w:u w:val="single"/>
              </w:rPr>
              <w:t>Staffing matters – turnover</w:t>
            </w:r>
          </w:p>
          <w:p w14:paraId="3FBD8808" w14:textId="7259B254" w:rsidR="00DF00B6" w:rsidRPr="00DF00B6" w:rsidRDefault="00DF00B6" w:rsidP="006C2604">
            <w:pPr>
              <w:jc w:val="both"/>
              <w:rPr>
                <w:rFonts w:ascii="Arial" w:hAnsi="Arial" w:cs="Arial"/>
                <w:szCs w:val="24"/>
              </w:rPr>
            </w:pPr>
          </w:p>
        </w:tc>
      </w:tr>
      <w:tr w:rsidR="00644777" w:rsidRPr="00A90AA3" w14:paraId="5794D4C1" w14:textId="77777777" w:rsidTr="00D05FB8">
        <w:tc>
          <w:tcPr>
            <w:tcW w:w="851" w:type="dxa"/>
          </w:tcPr>
          <w:p w14:paraId="21C5979A" w14:textId="5F68FAF7" w:rsidR="00644777" w:rsidRPr="00A90AA3" w:rsidRDefault="00E55373" w:rsidP="000E18CA">
            <w:pPr>
              <w:pStyle w:val="NoSpacing"/>
              <w:ind w:left="720" w:hanging="720"/>
            </w:pPr>
            <w:r>
              <w:t>3.2.</w:t>
            </w:r>
            <w:r w:rsidR="00DF3ED7">
              <w:t>1</w:t>
            </w:r>
          </w:p>
        </w:tc>
        <w:tc>
          <w:tcPr>
            <w:tcW w:w="8885" w:type="dxa"/>
          </w:tcPr>
          <w:p w14:paraId="0A03B053" w14:textId="0CFEE4F8" w:rsidR="00E5383A" w:rsidRPr="003525C5" w:rsidRDefault="00644777" w:rsidP="006C2604">
            <w:pPr>
              <w:jc w:val="both"/>
              <w:rPr>
                <w:rFonts w:ascii="Arial" w:hAnsi="Arial" w:cs="Arial"/>
                <w:szCs w:val="24"/>
              </w:rPr>
            </w:pPr>
            <w:r w:rsidRPr="003525C5">
              <w:rPr>
                <w:rFonts w:ascii="Arial" w:hAnsi="Arial" w:cs="Arial"/>
                <w:szCs w:val="24"/>
              </w:rPr>
              <w:t>The number of resignations</w:t>
            </w:r>
            <w:r w:rsidR="00E5383A" w:rsidRPr="003525C5">
              <w:rPr>
                <w:rFonts w:ascii="Arial" w:hAnsi="Arial" w:cs="Arial"/>
                <w:szCs w:val="24"/>
              </w:rPr>
              <w:t xml:space="preserve"> as a percentage of posts</w:t>
            </w:r>
            <w:r w:rsidR="006E4CB1">
              <w:rPr>
                <w:rFonts w:ascii="Arial" w:hAnsi="Arial" w:cs="Arial"/>
                <w:szCs w:val="24"/>
              </w:rPr>
              <w:t xml:space="preserve"> (number in brackets denotes the number of individual resignations)</w:t>
            </w:r>
            <w:r w:rsidRPr="003525C5">
              <w:rPr>
                <w:rFonts w:ascii="Arial" w:hAnsi="Arial" w:cs="Arial"/>
                <w:szCs w:val="24"/>
              </w:rPr>
              <w:t xml:space="preserve"> </w:t>
            </w:r>
            <w:r w:rsidR="00E5383A" w:rsidRPr="003525C5">
              <w:rPr>
                <w:rFonts w:ascii="Arial" w:hAnsi="Arial" w:cs="Arial"/>
                <w:szCs w:val="24"/>
              </w:rPr>
              <w:t>during</w:t>
            </w:r>
            <w:r w:rsidR="006E4CB1">
              <w:rPr>
                <w:rFonts w:ascii="Arial" w:hAnsi="Arial" w:cs="Arial"/>
                <w:szCs w:val="24"/>
              </w:rPr>
              <w:t xml:space="preserve"> the quarter</w:t>
            </w:r>
            <w:r w:rsidR="00E5383A" w:rsidRPr="003525C5">
              <w:rPr>
                <w:rFonts w:ascii="Arial" w:hAnsi="Arial" w:cs="Arial"/>
                <w:szCs w:val="24"/>
              </w:rPr>
              <w:t xml:space="preserve"> was:</w:t>
            </w:r>
          </w:p>
          <w:p w14:paraId="14E9122E" w14:textId="77777777" w:rsidR="00E5383A" w:rsidRPr="003525C5" w:rsidRDefault="00E5383A" w:rsidP="006C2604">
            <w:pPr>
              <w:jc w:val="both"/>
              <w:rPr>
                <w:rFonts w:ascii="Arial" w:hAnsi="Arial" w:cs="Arial"/>
                <w:szCs w:val="24"/>
              </w:rPr>
            </w:pPr>
          </w:p>
          <w:p w14:paraId="1798C370" w14:textId="62EE9739" w:rsidR="00373F17" w:rsidRPr="00F54564" w:rsidRDefault="00A63E2A" w:rsidP="00372468">
            <w:pPr>
              <w:pStyle w:val="ListParagraph"/>
              <w:numPr>
                <w:ilvl w:val="0"/>
                <w:numId w:val="4"/>
              </w:numPr>
              <w:spacing w:line="240" w:lineRule="auto"/>
              <w:ind w:left="714" w:hanging="357"/>
              <w:jc w:val="both"/>
              <w:rPr>
                <w:rFonts w:ascii="Arial" w:hAnsi="Arial" w:cs="Arial"/>
                <w:sz w:val="24"/>
                <w:szCs w:val="24"/>
              </w:rPr>
            </w:pPr>
            <w:r w:rsidRPr="00F54564">
              <w:rPr>
                <w:rFonts w:ascii="Arial" w:hAnsi="Arial" w:cs="Arial"/>
                <w:sz w:val="24"/>
                <w:szCs w:val="24"/>
              </w:rPr>
              <w:t>July</w:t>
            </w:r>
            <w:r w:rsidR="003729B7" w:rsidRPr="00F54564">
              <w:rPr>
                <w:rFonts w:ascii="Arial" w:hAnsi="Arial" w:cs="Arial"/>
                <w:sz w:val="24"/>
                <w:szCs w:val="24"/>
              </w:rPr>
              <w:t xml:space="preserve"> </w:t>
            </w:r>
            <w:r w:rsidR="00373F17" w:rsidRPr="00F54564">
              <w:rPr>
                <w:rFonts w:ascii="Arial" w:hAnsi="Arial" w:cs="Arial"/>
                <w:sz w:val="24"/>
                <w:szCs w:val="24"/>
              </w:rPr>
              <w:t xml:space="preserve">= </w:t>
            </w:r>
            <w:r w:rsidRPr="00F54564">
              <w:rPr>
                <w:rFonts w:ascii="Arial" w:hAnsi="Arial" w:cs="Arial"/>
                <w:sz w:val="24"/>
                <w:szCs w:val="24"/>
              </w:rPr>
              <w:t>1.5</w:t>
            </w:r>
            <w:r w:rsidR="00373F17" w:rsidRPr="00F54564">
              <w:rPr>
                <w:rFonts w:ascii="Arial" w:hAnsi="Arial" w:cs="Arial"/>
                <w:sz w:val="24"/>
                <w:szCs w:val="24"/>
              </w:rPr>
              <w:t>%</w:t>
            </w:r>
            <w:r w:rsidR="00FC54E4" w:rsidRPr="00F54564">
              <w:rPr>
                <w:rFonts w:ascii="Arial" w:hAnsi="Arial" w:cs="Arial"/>
                <w:sz w:val="24"/>
                <w:szCs w:val="24"/>
              </w:rPr>
              <w:t xml:space="preserve"> (</w:t>
            </w:r>
            <w:r w:rsidRPr="00F54564">
              <w:rPr>
                <w:rFonts w:ascii="Arial" w:hAnsi="Arial" w:cs="Arial"/>
                <w:sz w:val="24"/>
                <w:szCs w:val="24"/>
              </w:rPr>
              <w:t>15</w:t>
            </w:r>
            <w:r w:rsidR="00FC54E4" w:rsidRPr="00F54564">
              <w:rPr>
                <w:rFonts w:ascii="Arial" w:hAnsi="Arial" w:cs="Arial"/>
                <w:sz w:val="24"/>
                <w:szCs w:val="24"/>
              </w:rPr>
              <w:t>)</w:t>
            </w:r>
          </w:p>
          <w:p w14:paraId="5D04A617" w14:textId="7299A9B1" w:rsidR="00373F17" w:rsidRPr="00F54564" w:rsidRDefault="00A63E2A" w:rsidP="00372468">
            <w:pPr>
              <w:pStyle w:val="ListParagraph"/>
              <w:numPr>
                <w:ilvl w:val="0"/>
                <w:numId w:val="4"/>
              </w:numPr>
              <w:spacing w:line="240" w:lineRule="auto"/>
              <w:ind w:left="714" w:hanging="357"/>
              <w:jc w:val="both"/>
              <w:rPr>
                <w:rFonts w:ascii="Arial" w:hAnsi="Arial" w:cs="Arial"/>
                <w:sz w:val="24"/>
                <w:szCs w:val="24"/>
              </w:rPr>
            </w:pPr>
            <w:r w:rsidRPr="00F54564">
              <w:rPr>
                <w:rFonts w:ascii="Arial" w:hAnsi="Arial" w:cs="Arial"/>
                <w:sz w:val="24"/>
                <w:szCs w:val="24"/>
              </w:rPr>
              <w:t>August</w:t>
            </w:r>
            <w:r w:rsidR="003729B7" w:rsidRPr="00F54564">
              <w:rPr>
                <w:rFonts w:ascii="Arial" w:hAnsi="Arial" w:cs="Arial"/>
                <w:sz w:val="24"/>
                <w:szCs w:val="24"/>
              </w:rPr>
              <w:t xml:space="preserve"> </w:t>
            </w:r>
            <w:r w:rsidR="00373F17" w:rsidRPr="00F54564">
              <w:rPr>
                <w:rFonts w:ascii="Arial" w:hAnsi="Arial" w:cs="Arial"/>
                <w:sz w:val="24"/>
                <w:szCs w:val="24"/>
              </w:rPr>
              <w:t xml:space="preserve">= </w:t>
            </w:r>
            <w:r w:rsidRPr="00F54564">
              <w:rPr>
                <w:rFonts w:ascii="Arial" w:hAnsi="Arial" w:cs="Arial"/>
                <w:sz w:val="24"/>
                <w:szCs w:val="24"/>
              </w:rPr>
              <w:t>1.7</w:t>
            </w:r>
            <w:r w:rsidR="00373F17" w:rsidRPr="00F54564">
              <w:rPr>
                <w:rFonts w:ascii="Arial" w:hAnsi="Arial" w:cs="Arial"/>
                <w:sz w:val="24"/>
                <w:szCs w:val="24"/>
              </w:rPr>
              <w:t>%</w:t>
            </w:r>
            <w:r w:rsidR="00FC54E4" w:rsidRPr="00F54564">
              <w:rPr>
                <w:rFonts w:ascii="Arial" w:hAnsi="Arial" w:cs="Arial"/>
                <w:sz w:val="24"/>
                <w:szCs w:val="24"/>
              </w:rPr>
              <w:t xml:space="preserve"> (</w:t>
            </w:r>
            <w:r w:rsidRPr="00F54564">
              <w:rPr>
                <w:rFonts w:ascii="Arial" w:hAnsi="Arial" w:cs="Arial"/>
                <w:sz w:val="24"/>
                <w:szCs w:val="24"/>
              </w:rPr>
              <w:t>17</w:t>
            </w:r>
            <w:r w:rsidR="00FC54E4" w:rsidRPr="00F54564">
              <w:rPr>
                <w:rFonts w:ascii="Arial" w:hAnsi="Arial" w:cs="Arial"/>
                <w:sz w:val="24"/>
                <w:szCs w:val="24"/>
              </w:rPr>
              <w:t>)</w:t>
            </w:r>
          </w:p>
          <w:p w14:paraId="3455B887" w14:textId="52F2A3F3" w:rsidR="00AA7491" w:rsidRPr="00132BFC" w:rsidRDefault="00A63E2A" w:rsidP="00372468">
            <w:pPr>
              <w:pStyle w:val="ListParagraph"/>
              <w:numPr>
                <w:ilvl w:val="0"/>
                <w:numId w:val="4"/>
              </w:numPr>
              <w:spacing w:line="240" w:lineRule="auto"/>
              <w:ind w:left="714" w:hanging="357"/>
              <w:jc w:val="both"/>
              <w:rPr>
                <w:rFonts w:ascii="Arial" w:hAnsi="Arial" w:cs="Arial"/>
                <w:sz w:val="24"/>
                <w:szCs w:val="24"/>
              </w:rPr>
            </w:pPr>
            <w:r w:rsidRPr="00F54564">
              <w:rPr>
                <w:rFonts w:ascii="Arial" w:hAnsi="Arial" w:cs="Arial"/>
                <w:sz w:val="24"/>
                <w:szCs w:val="24"/>
              </w:rPr>
              <w:t>September</w:t>
            </w:r>
            <w:r w:rsidR="003729B7" w:rsidRPr="00F54564">
              <w:rPr>
                <w:rFonts w:ascii="Arial" w:hAnsi="Arial" w:cs="Arial"/>
                <w:sz w:val="24"/>
                <w:szCs w:val="24"/>
              </w:rPr>
              <w:t xml:space="preserve"> </w:t>
            </w:r>
            <w:r w:rsidR="00373F17" w:rsidRPr="00F54564">
              <w:rPr>
                <w:rFonts w:ascii="Arial" w:hAnsi="Arial" w:cs="Arial"/>
                <w:sz w:val="24"/>
                <w:szCs w:val="24"/>
              </w:rPr>
              <w:t xml:space="preserve">= </w:t>
            </w:r>
            <w:r w:rsidRPr="00F54564">
              <w:rPr>
                <w:rFonts w:ascii="Arial" w:hAnsi="Arial" w:cs="Arial"/>
                <w:sz w:val="24"/>
                <w:szCs w:val="24"/>
              </w:rPr>
              <w:t>2</w:t>
            </w:r>
            <w:r w:rsidR="00373F17" w:rsidRPr="00F54564">
              <w:rPr>
                <w:rFonts w:ascii="Arial" w:hAnsi="Arial" w:cs="Arial"/>
                <w:sz w:val="24"/>
                <w:szCs w:val="24"/>
              </w:rPr>
              <w:t>%</w:t>
            </w:r>
            <w:r w:rsidR="00E5383A" w:rsidRPr="00F54564">
              <w:rPr>
                <w:rFonts w:ascii="Arial" w:hAnsi="Arial" w:cs="Arial"/>
                <w:sz w:val="24"/>
                <w:szCs w:val="24"/>
              </w:rPr>
              <w:t xml:space="preserve"> </w:t>
            </w:r>
            <w:r w:rsidR="00FC54E4" w:rsidRPr="00F54564">
              <w:rPr>
                <w:rFonts w:ascii="Arial" w:hAnsi="Arial" w:cs="Arial"/>
                <w:sz w:val="24"/>
                <w:szCs w:val="24"/>
              </w:rPr>
              <w:t>(</w:t>
            </w:r>
            <w:r w:rsidRPr="00F54564">
              <w:rPr>
                <w:rFonts w:ascii="Arial" w:hAnsi="Arial" w:cs="Arial"/>
                <w:sz w:val="24"/>
                <w:szCs w:val="24"/>
              </w:rPr>
              <w:t>20</w:t>
            </w:r>
            <w:r w:rsidR="00FC54E4" w:rsidRPr="00F54564">
              <w:rPr>
                <w:rFonts w:ascii="Arial" w:hAnsi="Arial" w:cs="Arial"/>
                <w:sz w:val="24"/>
                <w:szCs w:val="24"/>
              </w:rPr>
              <w:t>)</w:t>
            </w:r>
          </w:p>
        </w:tc>
      </w:tr>
      <w:tr w:rsidR="004E1B47" w:rsidRPr="00A90AA3" w14:paraId="6070BDBC" w14:textId="77777777" w:rsidTr="00D05FB8">
        <w:tc>
          <w:tcPr>
            <w:tcW w:w="851" w:type="dxa"/>
          </w:tcPr>
          <w:p w14:paraId="7FB5792C" w14:textId="7D1036CF" w:rsidR="004E1B47" w:rsidRPr="00A90AA3" w:rsidRDefault="00E55373" w:rsidP="000E18CA">
            <w:pPr>
              <w:pStyle w:val="NoSpacing"/>
              <w:ind w:left="792" w:hanging="755"/>
            </w:pPr>
            <w:r>
              <w:t>3.3</w:t>
            </w:r>
          </w:p>
        </w:tc>
        <w:tc>
          <w:tcPr>
            <w:tcW w:w="8885" w:type="dxa"/>
          </w:tcPr>
          <w:p w14:paraId="2EBCECBB" w14:textId="492791FB" w:rsidR="004E1B47" w:rsidRDefault="004E1B47" w:rsidP="006C2604">
            <w:pPr>
              <w:jc w:val="both"/>
              <w:rPr>
                <w:rFonts w:ascii="Arial" w:hAnsi="Arial" w:cs="Arial"/>
                <w:szCs w:val="24"/>
              </w:rPr>
            </w:pPr>
            <w:r>
              <w:rPr>
                <w:rFonts w:ascii="Arial" w:hAnsi="Arial" w:cs="Arial"/>
                <w:szCs w:val="24"/>
                <w:u w:val="single"/>
              </w:rPr>
              <w:t>Staff</w:t>
            </w:r>
            <w:r w:rsidR="00F80CF1">
              <w:rPr>
                <w:rFonts w:ascii="Arial" w:hAnsi="Arial" w:cs="Arial"/>
                <w:szCs w:val="24"/>
                <w:u w:val="single"/>
              </w:rPr>
              <w:t>ing</w:t>
            </w:r>
            <w:r>
              <w:rPr>
                <w:rFonts w:ascii="Arial" w:hAnsi="Arial" w:cs="Arial"/>
                <w:szCs w:val="24"/>
                <w:u w:val="single"/>
              </w:rPr>
              <w:t xml:space="preserve"> matters – attendance management</w:t>
            </w:r>
          </w:p>
          <w:p w14:paraId="6FF68C49" w14:textId="3F1BF619" w:rsidR="004E1B47" w:rsidRPr="004E1B47" w:rsidRDefault="004E1B47" w:rsidP="006C2604">
            <w:pPr>
              <w:jc w:val="both"/>
              <w:rPr>
                <w:rFonts w:ascii="Arial" w:hAnsi="Arial" w:cs="Arial"/>
                <w:szCs w:val="24"/>
              </w:rPr>
            </w:pPr>
          </w:p>
        </w:tc>
      </w:tr>
      <w:tr w:rsidR="00794E6A" w:rsidRPr="00A90AA3" w14:paraId="0B9031E2" w14:textId="77777777" w:rsidTr="00D05FB8">
        <w:tc>
          <w:tcPr>
            <w:tcW w:w="851" w:type="dxa"/>
          </w:tcPr>
          <w:p w14:paraId="2E842544" w14:textId="68BDE220" w:rsidR="00794E6A" w:rsidRPr="00A90AA3" w:rsidRDefault="00E55373" w:rsidP="000E18CA">
            <w:pPr>
              <w:pStyle w:val="NoSpacing"/>
              <w:ind w:left="720" w:hanging="683"/>
            </w:pPr>
            <w:r>
              <w:t>3.3.1</w:t>
            </w:r>
          </w:p>
        </w:tc>
        <w:tc>
          <w:tcPr>
            <w:tcW w:w="8885" w:type="dxa"/>
          </w:tcPr>
          <w:p w14:paraId="55235983" w14:textId="2BDCEDD4" w:rsidR="00794E6A" w:rsidRPr="000F140A" w:rsidRDefault="00322420" w:rsidP="006C2604">
            <w:pPr>
              <w:jc w:val="both"/>
              <w:rPr>
                <w:rFonts w:ascii="Arial" w:hAnsi="Arial" w:cs="Arial"/>
                <w:szCs w:val="24"/>
              </w:rPr>
            </w:pPr>
            <w:r w:rsidRPr="000F140A">
              <w:rPr>
                <w:rFonts w:ascii="Arial" w:hAnsi="Arial" w:cs="Arial"/>
                <w:szCs w:val="24"/>
              </w:rPr>
              <w:t>Attendance management</w:t>
            </w:r>
            <w:r w:rsidR="000F140A" w:rsidRPr="000F140A">
              <w:rPr>
                <w:rFonts w:ascii="Arial" w:hAnsi="Arial" w:cs="Arial"/>
                <w:szCs w:val="24"/>
              </w:rPr>
              <w:t xml:space="preserve"> </w:t>
            </w:r>
            <w:r w:rsidR="007C65C4" w:rsidRPr="007C65C4">
              <w:rPr>
                <w:rFonts w:ascii="Arial" w:hAnsi="Arial" w:cs="Arial"/>
                <w:b/>
                <w:bCs/>
                <w:szCs w:val="24"/>
              </w:rPr>
              <w:t>(Appendix B)</w:t>
            </w:r>
            <w:r w:rsidR="007C65C4">
              <w:rPr>
                <w:rFonts w:ascii="Arial" w:hAnsi="Arial" w:cs="Arial"/>
                <w:szCs w:val="24"/>
              </w:rPr>
              <w:t xml:space="preserve"> </w:t>
            </w:r>
            <w:r w:rsidRPr="000F140A">
              <w:rPr>
                <w:rFonts w:ascii="Arial" w:hAnsi="Arial" w:cs="Arial"/>
                <w:szCs w:val="24"/>
              </w:rPr>
              <w:t>can be summarised thus:</w:t>
            </w:r>
          </w:p>
          <w:p w14:paraId="1FB6283D" w14:textId="77777777" w:rsidR="00322420" w:rsidRPr="000F140A" w:rsidRDefault="00322420" w:rsidP="006C2604">
            <w:pPr>
              <w:jc w:val="both"/>
              <w:rPr>
                <w:rFonts w:ascii="Arial" w:hAnsi="Arial" w:cs="Arial"/>
                <w:szCs w:val="24"/>
              </w:rPr>
            </w:pPr>
          </w:p>
          <w:p w14:paraId="08DF880D" w14:textId="52DAF9D3" w:rsidR="00322420" w:rsidRDefault="000F140A"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Short-term absence (</w:t>
            </w:r>
            <w:r w:rsidR="00C647DC">
              <w:rPr>
                <w:rFonts w:ascii="Arial" w:hAnsi="Arial" w:cs="Arial"/>
                <w:sz w:val="24"/>
                <w:szCs w:val="24"/>
              </w:rPr>
              <w:t xml:space="preserve">&lt;10 consecutive working days) = </w:t>
            </w:r>
            <w:r w:rsidR="00A63E2A">
              <w:rPr>
                <w:rFonts w:ascii="Arial" w:hAnsi="Arial" w:cs="Arial"/>
                <w:sz w:val="24"/>
                <w:szCs w:val="24"/>
              </w:rPr>
              <w:t>-0.44</w:t>
            </w:r>
            <w:r w:rsidR="00511CF7" w:rsidRPr="006E4820">
              <w:rPr>
                <w:rFonts w:ascii="Arial" w:hAnsi="Arial" w:cs="Arial"/>
                <w:sz w:val="24"/>
                <w:szCs w:val="24"/>
              </w:rPr>
              <w:t>%</w:t>
            </w:r>
          </w:p>
          <w:p w14:paraId="32F18DD3" w14:textId="020DA7F8" w:rsidR="00511CF7" w:rsidRDefault="00511CF7"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Long-term absence (&gt;10</w:t>
            </w:r>
            <w:r w:rsidR="004C0156">
              <w:rPr>
                <w:rFonts w:ascii="Arial" w:hAnsi="Arial" w:cs="Arial"/>
                <w:sz w:val="24"/>
                <w:szCs w:val="24"/>
              </w:rPr>
              <w:t xml:space="preserve"> consecutive working days) = </w:t>
            </w:r>
            <w:r w:rsidR="00A63E2A">
              <w:rPr>
                <w:rFonts w:ascii="Arial" w:hAnsi="Arial" w:cs="Arial"/>
                <w:sz w:val="24"/>
                <w:szCs w:val="24"/>
              </w:rPr>
              <w:t>-0.24</w:t>
            </w:r>
            <w:r w:rsidR="004C0156" w:rsidRPr="006E4820">
              <w:rPr>
                <w:rFonts w:ascii="Arial" w:hAnsi="Arial" w:cs="Arial"/>
                <w:sz w:val="24"/>
                <w:szCs w:val="24"/>
              </w:rPr>
              <w:t>%</w:t>
            </w:r>
          </w:p>
          <w:p w14:paraId="107497D3" w14:textId="24A880AA" w:rsidR="00E461C2" w:rsidRPr="00D43B41" w:rsidRDefault="00E461C2"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 xml:space="preserve">Long-term absences carried into </w:t>
            </w:r>
            <w:r w:rsidRPr="009E6C0C">
              <w:rPr>
                <w:rFonts w:ascii="Arial" w:hAnsi="Arial" w:cs="Arial"/>
                <w:sz w:val="24"/>
                <w:szCs w:val="24"/>
              </w:rPr>
              <w:t>Q</w:t>
            </w:r>
            <w:r w:rsidR="008D5A97" w:rsidRPr="009E6C0C">
              <w:rPr>
                <w:rFonts w:ascii="Arial" w:hAnsi="Arial" w:cs="Arial"/>
                <w:sz w:val="24"/>
                <w:szCs w:val="24"/>
              </w:rPr>
              <w:t>2</w:t>
            </w:r>
            <w:r w:rsidR="0046660F">
              <w:rPr>
                <w:rFonts w:ascii="Arial" w:hAnsi="Arial" w:cs="Arial"/>
                <w:sz w:val="24"/>
                <w:szCs w:val="24"/>
              </w:rPr>
              <w:t xml:space="preserve"> = </w:t>
            </w:r>
            <w:r w:rsidR="00672158" w:rsidRPr="00D43B41">
              <w:rPr>
                <w:rFonts w:ascii="Arial" w:hAnsi="Arial" w:cs="Arial"/>
                <w:sz w:val="24"/>
                <w:szCs w:val="24"/>
              </w:rPr>
              <w:t>1</w:t>
            </w:r>
            <w:r w:rsidR="006151A2">
              <w:rPr>
                <w:rFonts w:ascii="Arial" w:hAnsi="Arial" w:cs="Arial"/>
                <w:sz w:val="24"/>
                <w:szCs w:val="24"/>
              </w:rPr>
              <w:t>1</w:t>
            </w:r>
            <w:r w:rsidR="00672158" w:rsidRPr="00D43B41">
              <w:rPr>
                <w:rFonts w:ascii="Arial" w:hAnsi="Arial" w:cs="Arial"/>
                <w:sz w:val="24"/>
                <w:szCs w:val="24"/>
              </w:rPr>
              <w:t xml:space="preserve"> </w:t>
            </w:r>
            <w:r w:rsidR="0038233B" w:rsidRPr="00D43B41">
              <w:rPr>
                <w:rFonts w:ascii="Arial" w:hAnsi="Arial" w:cs="Arial"/>
                <w:sz w:val="24"/>
                <w:szCs w:val="24"/>
              </w:rPr>
              <w:t>individuals</w:t>
            </w:r>
          </w:p>
          <w:p w14:paraId="1E966AE9" w14:textId="69FA2D20" w:rsidR="00E55373" w:rsidRPr="00DF3ED7" w:rsidRDefault="00AA2E40" w:rsidP="00372468">
            <w:pPr>
              <w:pStyle w:val="ListParagraph"/>
              <w:numPr>
                <w:ilvl w:val="0"/>
                <w:numId w:val="4"/>
              </w:numPr>
              <w:spacing w:line="240" w:lineRule="auto"/>
              <w:ind w:left="714" w:hanging="357"/>
              <w:jc w:val="both"/>
              <w:rPr>
                <w:rFonts w:ascii="Arial" w:hAnsi="Arial" w:cs="Arial"/>
                <w:sz w:val="24"/>
                <w:szCs w:val="24"/>
              </w:rPr>
            </w:pPr>
            <w:r>
              <w:rPr>
                <w:rFonts w:ascii="Arial" w:hAnsi="Arial" w:cs="Arial"/>
                <w:sz w:val="24"/>
                <w:szCs w:val="24"/>
              </w:rPr>
              <w:t>Average days sick</w:t>
            </w:r>
            <w:r w:rsidR="008C34CF">
              <w:rPr>
                <w:rFonts w:ascii="Arial" w:hAnsi="Arial" w:cs="Arial"/>
                <w:sz w:val="24"/>
                <w:szCs w:val="24"/>
              </w:rPr>
              <w:t xml:space="preserve"> per FTE employee = </w:t>
            </w:r>
            <w:r w:rsidR="00A63E2A">
              <w:rPr>
                <w:rFonts w:ascii="Arial" w:hAnsi="Arial" w:cs="Arial"/>
                <w:sz w:val="24"/>
                <w:szCs w:val="24"/>
              </w:rPr>
              <w:t>-0.21</w:t>
            </w:r>
            <w:r w:rsidR="0038233B">
              <w:rPr>
                <w:rFonts w:ascii="Arial" w:hAnsi="Arial" w:cs="Arial"/>
                <w:sz w:val="24"/>
                <w:szCs w:val="24"/>
              </w:rPr>
              <w:t xml:space="preserve"> days</w:t>
            </w:r>
          </w:p>
        </w:tc>
      </w:tr>
      <w:tr w:rsidR="007361EA" w:rsidRPr="00A90AA3" w14:paraId="3CE744B9" w14:textId="77777777" w:rsidTr="00D05FB8">
        <w:tc>
          <w:tcPr>
            <w:tcW w:w="851" w:type="dxa"/>
          </w:tcPr>
          <w:p w14:paraId="136C60F6" w14:textId="7044AE15" w:rsidR="007361EA" w:rsidRDefault="007361EA" w:rsidP="000E18CA">
            <w:pPr>
              <w:pStyle w:val="NoSpacing"/>
              <w:ind w:left="720" w:hanging="683"/>
            </w:pPr>
            <w:r>
              <w:t>3.3.2</w:t>
            </w:r>
          </w:p>
        </w:tc>
        <w:tc>
          <w:tcPr>
            <w:tcW w:w="8885" w:type="dxa"/>
          </w:tcPr>
          <w:p w14:paraId="6843DA17" w14:textId="317342AC" w:rsidR="007F1D8A" w:rsidRDefault="007F1D8A" w:rsidP="006C2604">
            <w:pPr>
              <w:jc w:val="both"/>
              <w:rPr>
                <w:rFonts w:ascii="Arial" w:hAnsi="Arial" w:cs="Arial"/>
                <w:szCs w:val="24"/>
              </w:rPr>
            </w:pPr>
            <w:r w:rsidRPr="008D5A97">
              <w:rPr>
                <w:rFonts w:ascii="Arial" w:hAnsi="Arial" w:cs="Arial"/>
                <w:szCs w:val="24"/>
              </w:rPr>
              <w:t>There</w:t>
            </w:r>
            <w:r w:rsidR="007361EA" w:rsidRPr="008D5A97">
              <w:rPr>
                <w:rFonts w:ascii="Arial" w:hAnsi="Arial" w:cs="Arial"/>
                <w:szCs w:val="24"/>
              </w:rPr>
              <w:t xml:space="preserve"> has been </w:t>
            </w:r>
            <w:r w:rsidR="00DD6C23" w:rsidRPr="008D5A97">
              <w:rPr>
                <w:rFonts w:ascii="Arial" w:hAnsi="Arial" w:cs="Arial"/>
                <w:szCs w:val="24"/>
              </w:rPr>
              <w:t>a</w:t>
            </w:r>
            <w:r w:rsidR="00A63E2A">
              <w:rPr>
                <w:rFonts w:ascii="Arial" w:hAnsi="Arial" w:cs="Arial"/>
                <w:szCs w:val="24"/>
              </w:rPr>
              <w:t xml:space="preserve"> small decrease</w:t>
            </w:r>
            <w:r w:rsidR="003B5E6A" w:rsidRPr="008D5A97">
              <w:rPr>
                <w:rFonts w:ascii="Arial" w:hAnsi="Arial" w:cs="Arial"/>
                <w:szCs w:val="24"/>
              </w:rPr>
              <w:t xml:space="preserve"> in both the </w:t>
            </w:r>
            <w:r w:rsidR="00D85E3C" w:rsidRPr="008D5A97">
              <w:rPr>
                <w:rFonts w:ascii="Arial" w:hAnsi="Arial" w:cs="Arial"/>
                <w:szCs w:val="24"/>
              </w:rPr>
              <w:t>short and long-term</w:t>
            </w:r>
            <w:r w:rsidR="00DD6C23" w:rsidRPr="008D5A97">
              <w:rPr>
                <w:rFonts w:ascii="Arial" w:hAnsi="Arial" w:cs="Arial"/>
                <w:szCs w:val="24"/>
              </w:rPr>
              <w:t xml:space="preserve"> </w:t>
            </w:r>
            <w:r w:rsidR="007361EA" w:rsidRPr="008D5A97">
              <w:rPr>
                <w:rFonts w:ascii="Arial" w:hAnsi="Arial" w:cs="Arial"/>
                <w:szCs w:val="24"/>
              </w:rPr>
              <w:t>absence</w:t>
            </w:r>
            <w:r w:rsidR="00DD6C23" w:rsidRPr="008D5A97">
              <w:rPr>
                <w:rFonts w:ascii="Arial" w:hAnsi="Arial" w:cs="Arial"/>
                <w:szCs w:val="24"/>
              </w:rPr>
              <w:t>s</w:t>
            </w:r>
            <w:r w:rsidR="007361EA" w:rsidRPr="008D5A97">
              <w:rPr>
                <w:rFonts w:ascii="Arial" w:hAnsi="Arial" w:cs="Arial"/>
                <w:szCs w:val="24"/>
              </w:rPr>
              <w:t xml:space="preserve"> during Q</w:t>
            </w:r>
            <w:r w:rsidR="00A63E2A">
              <w:rPr>
                <w:rFonts w:ascii="Arial" w:hAnsi="Arial" w:cs="Arial"/>
                <w:szCs w:val="24"/>
              </w:rPr>
              <w:t>2</w:t>
            </w:r>
            <w:r w:rsidRPr="008D5A97">
              <w:rPr>
                <w:rFonts w:ascii="Arial" w:hAnsi="Arial" w:cs="Arial"/>
                <w:szCs w:val="24"/>
              </w:rPr>
              <w:t>.</w:t>
            </w:r>
          </w:p>
          <w:p w14:paraId="2C47743F" w14:textId="77777777" w:rsidR="00D85E3C" w:rsidRPr="008D5A97" w:rsidRDefault="00D85E3C" w:rsidP="006C2604">
            <w:pPr>
              <w:jc w:val="both"/>
              <w:rPr>
                <w:rFonts w:ascii="Arial" w:hAnsi="Arial" w:cs="Arial"/>
                <w:szCs w:val="24"/>
              </w:rPr>
            </w:pPr>
          </w:p>
          <w:p w14:paraId="3FD080BA" w14:textId="3424E873" w:rsidR="00946663" w:rsidRPr="000F140A" w:rsidRDefault="00946663" w:rsidP="00A63E2A">
            <w:pPr>
              <w:jc w:val="both"/>
              <w:rPr>
                <w:rFonts w:ascii="Arial" w:hAnsi="Arial" w:cs="Arial"/>
                <w:szCs w:val="24"/>
              </w:rPr>
            </w:pPr>
          </w:p>
        </w:tc>
      </w:tr>
      <w:tr w:rsidR="00B73684" w:rsidRPr="00A90AA3" w14:paraId="316F5757" w14:textId="77777777" w:rsidTr="00D05FB8">
        <w:tc>
          <w:tcPr>
            <w:tcW w:w="851" w:type="dxa"/>
          </w:tcPr>
          <w:p w14:paraId="2DACC59A" w14:textId="1286019E" w:rsidR="00B73684" w:rsidRPr="00A90AA3" w:rsidRDefault="00E55373" w:rsidP="00E55373">
            <w:pPr>
              <w:pStyle w:val="NoSpacing"/>
              <w:ind w:left="792" w:hanging="755"/>
            </w:pPr>
            <w:r>
              <w:lastRenderedPageBreak/>
              <w:t>3.</w:t>
            </w:r>
            <w:r w:rsidR="00717494">
              <w:t>4</w:t>
            </w:r>
          </w:p>
        </w:tc>
        <w:tc>
          <w:tcPr>
            <w:tcW w:w="8885" w:type="dxa"/>
          </w:tcPr>
          <w:p w14:paraId="3A0A7FE6" w14:textId="5FB69935" w:rsidR="00B73684" w:rsidRDefault="00B73684" w:rsidP="006C2604">
            <w:pPr>
              <w:jc w:val="both"/>
              <w:rPr>
                <w:rFonts w:ascii="Arial" w:hAnsi="Arial" w:cs="Arial"/>
                <w:szCs w:val="24"/>
              </w:rPr>
            </w:pPr>
            <w:r>
              <w:rPr>
                <w:rFonts w:ascii="Arial" w:hAnsi="Arial" w:cs="Arial"/>
                <w:szCs w:val="24"/>
                <w:u w:val="single"/>
              </w:rPr>
              <w:t xml:space="preserve">Implementation of HR policies or </w:t>
            </w:r>
            <w:r w:rsidR="004535E3">
              <w:rPr>
                <w:rFonts w:ascii="Arial" w:hAnsi="Arial" w:cs="Arial"/>
                <w:szCs w:val="24"/>
                <w:u w:val="single"/>
              </w:rPr>
              <w:t>processes</w:t>
            </w:r>
          </w:p>
          <w:p w14:paraId="58257E69" w14:textId="6D38E087" w:rsidR="00B73684" w:rsidRPr="00B73684" w:rsidRDefault="00B73684" w:rsidP="006C2604">
            <w:pPr>
              <w:jc w:val="both"/>
              <w:rPr>
                <w:rFonts w:ascii="Arial" w:hAnsi="Arial" w:cs="Arial"/>
                <w:szCs w:val="24"/>
              </w:rPr>
            </w:pPr>
          </w:p>
        </w:tc>
      </w:tr>
      <w:tr w:rsidR="00B73684" w:rsidRPr="00A90AA3" w14:paraId="3A763C37" w14:textId="77777777" w:rsidTr="00D05FB8">
        <w:tc>
          <w:tcPr>
            <w:tcW w:w="851" w:type="dxa"/>
          </w:tcPr>
          <w:p w14:paraId="5356F59A" w14:textId="19AF887C" w:rsidR="00B73684" w:rsidRPr="00A90AA3" w:rsidRDefault="00E55373" w:rsidP="00E55373">
            <w:pPr>
              <w:pStyle w:val="NoSpacing"/>
              <w:ind w:left="720" w:hanging="683"/>
            </w:pPr>
            <w:r>
              <w:t>3.</w:t>
            </w:r>
            <w:r w:rsidR="00717494">
              <w:t>4</w:t>
            </w:r>
            <w:r>
              <w:t>.1</w:t>
            </w:r>
          </w:p>
        </w:tc>
        <w:tc>
          <w:tcPr>
            <w:tcW w:w="8885" w:type="dxa"/>
          </w:tcPr>
          <w:p w14:paraId="0D5B77A6" w14:textId="10B46ECC" w:rsidR="00B73684" w:rsidRPr="002F7E38" w:rsidRDefault="00510055" w:rsidP="006C2604">
            <w:pPr>
              <w:jc w:val="both"/>
              <w:rPr>
                <w:rFonts w:ascii="Arial" w:hAnsi="Arial" w:cs="Arial"/>
                <w:szCs w:val="24"/>
              </w:rPr>
            </w:pPr>
            <w:r>
              <w:rPr>
                <w:rFonts w:ascii="Arial" w:hAnsi="Arial" w:cs="Arial"/>
                <w:szCs w:val="24"/>
              </w:rPr>
              <w:t>T</w:t>
            </w:r>
            <w:r w:rsidR="00B73684" w:rsidRPr="002F7E38">
              <w:rPr>
                <w:rFonts w:ascii="Arial" w:hAnsi="Arial" w:cs="Arial"/>
                <w:szCs w:val="24"/>
              </w:rPr>
              <w:t xml:space="preserve">he </w:t>
            </w:r>
            <w:r w:rsidR="004535E3" w:rsidRPr="002F7E38">
              <w:rPr>
                <w:rFonts w:ascii="Arial" w:hAnsi="Arial" w:cs="Arial"/>
                <w:szCs w:val="24"/>
              </w:rPr>
              <w:t>following</w:t>
            </w:r>
            <w:r w:rsidR="0042659A">
              <w:rPr>
                <w:rFonts w:ascii="Arial" w:hAnsi="Arial" w:cs="Arial"/>
                <w:szCs w:val="24"/>
              </w:rPr>
              <w:t xml:space="preserve"> list details the application of</w:t>
            </w:r>
            <w:r w:rsidR="004535E3" w:rsidRPr="002F7E38">
              <w:rPr>
                <w:rFonts w:ascii="Arial" w:hAnsi="Arial" w:cs="Arial"/>
                <w:szCs w:val="24"/>
              </w:rPr>
              <w:t xml:space="preserve"> HR policies or processes:</w:t>
            </w:r>
          </w:p>
          <w:p w14:paraId="59DE2E5A" w14:textId="77777777" w:rsidR="004535E3" w:rsidRPr="002F7E38" w:rsidRDefault="004535E3" w:rsidP="006C2604">
            <w:pPr>
              <w:jc w:val="both"/>
              <w:rPr>
                <w:rFonts w:ascii="Arial" w:hAnsi="Arial" w:cs="Arial"/>
                <w:szCs w:val="24"/>
              </w:rPr>
            </w:pPr>
          </w:p>
          <w:p w14:paraId="070FE534" w14:textId="531093CC" w:rsidR="005F468A" w:rsidRPr="002F7E38" w:rsidRDefault="004535E3" w:rsidP="00891252">
            <w:pPr>
              <w:pStyle w:val="ListParagraph"/>
              <w:numPr>
                <w:ilvl w:val="0"/>
                <w:numId w:val="23"/>
              </w:numPr>
              <w:spacing w:line="240" w:lineRule="auto"/>
              <w:ind w:left="459" w:hanging="459"/>
              <w:jc w:val="both"/>
              <w:rPr>
                <w:rFonts w:ascii="Arial" w:hAnsi="Arial" w:cs="Arial"/>
                <w:sz w:val="24"/>
                <w:szCs w:val="24"/>
              </w:rPr>
            </w:pPr>
            <w:r w:rsidRPr="002F7E38">
              <w:rPr>
                <w:rFonts w:ascii="Arial" w:hAnsi="Arial" w:cs="Arial"/>
                <w:sz w:val="24"/>
                <w:szCs w:val="24"/>
              </w:rPr>
              <w:t>D</w:t>
            </w:r>
            <w:r w:rsidR="00535529" w:rsidRPr="002F7E38">
              <w:rPr>
                <w:rFonts w:ascii="Arial" w:hAnsi="Arial" w:cs="Arial"/>
                <w:sz w:val="24"/>
                <w:szCs w:val="24"/>
              </w:rPr>
              <w:t xml:space="preserve">isciplinary procedure = </w:t>
            </w:r>
            <w:r w:rsidR="005E34CA">
              <w:rPr>
                <w:rFonts w:ascii="Arial" w:hAnsi="Arial" w:cs="Arial"/>
                <w:sz w:val="24"/>
                <w:szCs w:val="24"/>
              </w:rPr>
              <w:t>1</w:t>
            </w:r>
          </w:p>
          <w:p w14:paraId="6EB9D0E4" w14:textId="0EF8D3B8" w:rsidR="005F468A" w:rsidRPr="002F7E38" w:rsidRDefault="00535529" w:rsidP="00891252">
            <w:pPr>
              <w:pStyle w:val="ListParagraph"/>
              <w:numPr>
                <w:ilvl w:val="0"/>
                <w:numId w:val="23"/>
              </w:numPr>
              <w:spacing w:line="240" w:lineRule="auto"/>
              <w:ind w:left="459" w:hanging="459"/>
              <w:jc w:val="both"/>
              <w:rPr>
                <w:rFonts w:ascii="Arial" w:hAnsi="Arial" w:cs="Arial"/>
                <w:sz w:val="24"/>
                <w:szCs w:val="24"/>
              </w:rPr>
            </w:pPr>
            <w:r w:rsidRPr="002F7E38">
              <w:rPr>
                <w:rFonts w:ascii="Arial" w:hAnsi="Arial" w:cs="Arial"/>
                <w:sz w:val="24"/>
                <w:szCs w:val="24"/>
              </w:rPr>
              <w:t>Internal resolution process (formerly</w:t>
            </w:r>
            <w:r w:rsidR="005F468A" w:rsidRPr="002F7E38">
              <w:rPr>
                <w:rFonts w:ascii="Arial" w:hAnsi="Arial" w:cs="Arial"/>
                <w:sz w:val="24"/>
                <w:szCs w:val="24"/>
              </w:rPr>
              <w:t xml:space="preserve"> Grievance) = </w:t>
            </w:r>
            <w:r w:rsidR="005E34CA">
              <w:rPr>
                <w:rFonts w:ascii="Arial" w:hAnsi="Arial" w:cs="Arial"/>
                <w:sz w:val="24"/>
                <w:szCs w:val="24"/>
              </w:rPr>
              <w:t>0</w:t>
            </w:r>
          </w:p>
          <w:p w14:paraId="18566E1F" w14:textId="77777777" w:rsidR="00564C21" w:rsidRPr="002F7E38" w:rsidRDefault="00564C21" w:rsidP="00891252">
            <w:pPr>
              <w:pStyle w:val="ListParagraph"/>
              <w:numPr>
                <w:ilvl w:val="0"/>
                <w:numId w:val="23"/>
              </w:numPr>
              <w:spacing w:line="240" w:lineRule="auto"/>
              <w:ind w:left="459" w:hanging="459"/>
              <w:jc w:val="both"/>
              <w:rPr>
                <w:rFonts w:ascii="Arial" w:hAnsi="Arial" w:cs="Arial"/>
                <w:sz w:val="24"/>
                <w:szCs w:val="24"/>
              </w:rPr>
            </w:pPr>
            <w:r w:rsidRPr="002F7E38">
              <w:rPr>
                <w:rFonts w:ascii="Arial" w:hAnsi="Arial" w:cs="Arial"/>
                <w:sz w:val="24"/>
                <w:szCs w:val="24"/>
              </w:rPr>
              <w:t>Dignity at Work = 0</w:t>
            </w:r>
          </w:p>
          <w:p w14:paraId="058D491C" w14:textId="77777777" w:rsidR="002F7E38" w:rsidRDefault="002F7E38" w:rsidP="00891252">
            <w:pPr>
              <w:pStyle w:val="ListParagraph"/>
              <w:numPr>
                <w:ilvl w:val="0"/>
                <w:numId w:val="23"/>
              </w:numPr>
              <w:spacing w:line="240" w:lineRule="auto"/>
              <w:ind w:left="459" w:hanging="459"/>
              <w:jc w:val="both"/>
              <w:rPr>
                <w:rFonts w:ascii="Arial" w:hAnsi="Arial" w:cs="Arial"/>
                <w:sz w:val="24"/>
                <w:szCs w:val="24"/>
              </w:rPr>
            </w:pPr>
            <w:r w:rsidRPr="002F7E38">
              <w:rPr>
                <w:rFonts w:ascii="Arial" w:hAnsi="Arial" w:cs="Arial"/>
                <w:sz w:val="24"/>
                <w:szCs w:val="24"/>
              </w:rPr>
              <w:t>Whistleblowing = 0</w:t>
            </w:r>
          </w:p>
          <w:p w14:paraId="4A18F4DA" w14:textId="33B5A9F6" w:rsidR="00CE0B75" w:rsidRPr="00A27CC6" w:rsidRDefault="00272C6F" w:rsidP="00891252">
            <w:pPr>
              <w:pStyle w:val="ListParagraph"/>
              <w:numPr>
                <w:ilvl w:val="0"/>
                <w:numId w:val="23"/>
              </w:numPr>
              <w:spacing w:line="240" w:lineRule="auto"/>
              <w:ind w:left="459" w:hanging="459"/>
              <w:jc w:val="both"/>
              <w:rPr>
                <w:rFonts w:ascii="Arial" w:hAnsi="Arial" w:cs="Arial"/>
                <w:sz w:val="24"/>
                <w:szCs w:val="24"/>
              </w:rPr>
            </w:pPr>
            <w:r>
              <w:rPr>
                <w:rFonts w:ascii="Arial" w:hAnsi="Arial" w:cs="Arial"/>
                <w:sz w:val="24"/>
                <w:szCs w:val="24"/>
              </w:rPr>
              <w:t xml:space="preserve">Official </w:t>
            </w:r>
            <w:r w:rsidR="00CE0B75">
              <w:rPr>
                <w:rFonts w:ascii="Arial" w:hAnsi="Arial" w:cs="Arial"/>
                <w:sz w:val="24"/>
                <w:szCs w:val="24"/>
              </w:rPr>
              <w:t>complaints against staff</w:t>
            </w:r>
            <w:r>
              <w:rPr>
                <w:rFonts w:ascii="Arial" w:hAnsi="Arial" w:cs="Arial"/>
                <w:sz w:val="24"/>
                <w:szCs w:val="24"/>
              </w:rPr>
              <w:t xml:space="preserve"> (external)</w:t>
            </w:r>
            <w:r w:rsidR="00CE0B75">
              <w:rPr>
                <w:rFonts w:ascii="Arial" w:hAnsi="Arial" w:cs="Arial"/>
                <w:sz w:val="24"/>
                <w:szCs w:val="24"/>
              </w:rPr>
              <w:t xml:space="preserve"> = </w:t>
            </w:r>
            <w:r w:rsidR="00F514DE">
              <w:rPr>
                <w:rFonts w:ascii="Arial" w:hAnsi="Arial" w:cs="Arial"/>
                <w:sz w:val="24"/>
                <w:szCs w:val="24"/>
              </w:rPr>
              <w:t>3</w:t>
            </w:r>
          </w:p>
        </w:tc>
      </w:tr>
      <w:tr w:rsidR="0071340A" w:rsidRPr="00A90AA3" w14:paraId="357A9243" w14:textId="77777777" w:rsidTr="00D05FB8">
        <w:tc>
          <w:tcPr>
            <w:tcW w:w="851" w:type="dxa"/>
          </w:tcPr>
          <w:p w14:paraId="36371B85" w14:textId="56FA18BC" w:rsidR="0071340A" w:rsidRPr="00A90AA3" w:rsidRDefault="00E55373" w:rsidP="00E55373">
            <w:pPr>
              <w:pStyle w:val="NoSpacing"/>
              <w:ind w:left="792" w:hanging="755"/>
            </w:pPr>
            <w:r>
              <w:t>3.</w:t>
            </w:r>
            <w:r w:rsidR="00717494">
              <w:t>5</w:t>
            </w:r>
          </w:p>
        </w:tc>
        <w:tc>
          <w:tcPr>
            <w:tcW w:w="8885" w:type="dxa"/>
          </w:tcPr>
          <w:p w14:paraId="5732AB2F" w14:textId="77777777" w:rsidR="0071340A" w:rsidRDefault="0071340A" w:rsidP="006C2604">
            <w:pPr>
              <w:jc w:val="both"/>
              <w:rPr>
                <w:rFonts w:ascii="Arial" w:hAnsi="Arial" w:cs="Arial"/>
                <w:szCs w:val="24"/>
              </w:rPr>
            </w:pPr>
            <w:r>
              <w:rPr>
                <w:rFonts w:ascii="Arial" w:hAnsi="Arial" w:cs="Arial"/>
                <w:szCs w:val="24"/>
                <w:u w:val="single"/>
              </w:rPr>
              <w:t>Industrial relationships</w:t>
            </w:r>
          </w:p>
          <w:p w14:paraId="7B278086" w14:textId="05638D5C" w:rsidR="0071340A" w:rsidRPr="0071340A" w:rsidRDefault="0071340A" w:rsidP="006C2604">
            <w:pPr>
              <w:jc w:val="both"/>
              <w:rPr>
                <w:rFonts w:ascii="Arial" w:hAnsi="Arial" w:cs="Arial"/>
                <w:szCs w:val="24"/>
              </w:rPr>
            </w:pPr>
          </w:p>
        </w:tc>
      </w:tr>
      <w:tr w:rsidR="0071340A" w:rsidRPr="00A90AA3" w14:paraId="6C17E350" w14:textId="77777777" w:rsidTr="00D05FB8">
        <w:tc>
          <w:tcPr>
            <w:tcW w:w="851" w:type="dxa"/>
          </w:tcPr>
          <w:p w14:paraId="0537AC1A" w14:textId="6830FC85" w:rsidR="0071340A" w:rsidRPr="00A90AA3" w:rsidRDefault="00E55373" w:rsidP="00E55373">
            <w:pPr>
              <w:pStyle w:val="NoSpacing"/>
              <w:ind w:left="720" w:hanging="683"/>
            </w:pPr>
            <w:r>
              <w:t>3.</w:t>
            </w:r>
            <w:r w:rsidR="00717494">
              <w:t>5</w:t>
            </w:r>
            <w:r>
              <w:t>.1</w:t>
            </w:r>
          </w:p>
        </w:tc>
        <w:tc>
          <w:tcPr>
            <w:tcW w:w="8885" w:type="dxa"/>
          </w:tcPr>
          <w:p w14:paraId="410A57A7" w14:textId="0DDD8FDF" w:rsidR="0071340A" w:rsidRPr="0042659A" w:rsidRDefault="000B3CD9" w:rsidP="006C2604">
            <w:pPr>
              <w:jc w:val="both"/>
              <w:rPr>
                <w:rFonts w:ascii="Arial" w:hAnsi="Arial" w:cs="Arial"/>
                <w:szCs w:val="24"/>
              </w:rPr>
            </w:pPr>
            <w:r w:rsidRPr="0042659A">
              <w:rPr>
                <w:rFonts w:ascii="Arial" w:hAnsi="Arial" w:cs="Arial"/>
                <w:szCs w:val="24"/>
              </w:rPr>
              <w:t xml:space="preserve">The </w:t>
            </w:r>
            <w:r w:rsidR="006F03D8">
              <w:rPr>
                <w:rFonts w:ascii="Arial" w:hAnsi="Arial" w:cs="Arial"/>
                <w:szCs w:val="24"/>
              </w:rPr>
              <w:t>c</w:t>
            </w:r>
            <w:r w:rsidRPr="0042659A">
              <w:rPr>
                <w:rFonts w:ascii="Arial" w:hAnsi="Arial" w:cs="Arial"/>
                <w:szCs w:val="24"/>
              </w:rPr>
              <w:t xml:space="preserve">harity </w:t>
            </w:r>
            <w:r w:rsidR="0074489B" w:rsidRPr="0042659A">
              <w:rPr>
                <w:rFonts w:ascii="Arial" w:hAnsi="Arial" w:cs="Arial"/>
                <w:szCs w:val="24"/>
              </w:rPr>
              <w:t xml:space="preserve">recognises and engages with the following </w:t>
            </w:r>
            <w:r w:rsidR="006F03D8">
              <w:rPr>
                <w:rFonts w:ascii="Arial" w:hAnsi="Arial" w:cs="Arial"/>
                <w:szCs w:val="24"/>
              </w:rPr>
              <w:t>u</w:t>
            </w:r>
            <w:r w:rsidR="0074489B" w:rsidRPr="0042659A">
              <w:rPr>
                <w:rFonts w:ascii="Arial" w:hAnsi="Arial" w:cs="Arial"/>
                <w:szCs w:val="24"/>
              </w:rPr>
              <w:t>nions:</w:t>
            </w:r>
          </w:p>
          <w:p w14:paraId="357BA4E1" w14:textId="77777777" w:rsidR="0074489B" w:rsidRPr="0042659A" w:rsidRDefault="0074489B" w:rsidP="006C2604">
            <w:pPr>
              <w:jc w:val="both"/>
              <w:rPr>
                <w:rFonts w:ascii="Arial" w:hAnsi="Arial" w:cs="Arial"/>
                <w:szCs w:val="24"/>
              </w:rPr>
            </w:pPr>
          </w:p>
          <w:p w14:paraId="717E3F7C" w14:textId="77777777" w:rsidR="005C7961" w:rsidRPr="0042659A" w:rsidRDefault="005C7961" w:rsidP="00E55373">
            <w:pPr>
              <w:pStyle w:val="ListParagraph"/>
              <w:numPr>
                <w:ilvl w:val="0"/>
                <w:numId w:val="12"/>
              </w:numPr>
              <w:spacing w:line="240" w:lineRule="auto"/>
              <w:ind w:left="714" w:hanging="357"/>
              <w:jc w:val="both"/>
              <w:rPr>
                <w:rFonts w:ascii="Arial" w:hAnsi="Arial" w:cs="Arial"/>
                <w:sz w:val="24"/>
                <w:szCs w:val="24"/>
              </w:rPr>
            </w:pPr>
            <w:r w:rsidRPr="0042659A">
              <w:rPr>
                <w:rFonts w:ascii="Arial" w:hAnsi="Arial" w:cs="Arial"/>
                <w:sz w:val="24"/>
                <w:szCs w:val="24"/>
              </w:rPr>
              <w:t>EIS (Music instructors)</w:t>
            </w:r>
          </w:p>
          <w:p w14:paraId="7CF14E23" w14:textId="77777777" w:rsidR="005C7961" w:rsidRPr="0042659A" w:rsidRDefault="005C7961" w:rsidP="00E55373">
            <w:pPr>
              <w:pStyle w:val="ListParagraph"/>
              <w:numPr>
                <w:ilvl w:val="0"/>
                <w:numId w:val="12"/>
              </w:numPr>
              <w:spacing w:line="240" w:lineRule="auto"/>
              <w:ind w:left="714" w:hanging="357"/>
              <w:jc w:val="both"/>
              <w:rPr>
                <w:rFonts w:ascii="Arial" w:hAnsi="Arial" w:cs="Arial"/>
                <w:sz w:val="24"/>
                <w:szCs w:val="24"/>
              </w:rPr>
            </w:pPr>
            <w:r w:rsidRPr="0042659A">
              <w:rPr>
                <w:rFonts w:ascii="Arial" w:hAnsi="Arial" w:cs="Arial"/>
                <w:sz w:val="24"/>
                <w:szCs w:val="24"/>
              </w:rPr>
              <w:t>GMB</w:t>
            </w:r>
          </w:p>
          <w:p w14:paraId="32984561" w14:textId="77777777" w:rsidR="005C7961" w:rsidRPr="0042659A" w:rsidRDefault="005C7961" w:rsidP="00E55373">
            <w:pPr>
              <w:pStyle w:val="ListParagraph"/>
              <w:numPr>
                <w:ilvl w:val="0"/>
                <w:numId w:val="12"/>
              </w:numPr>
              <w:spacing w:line="240" w:lineRule="auto"/>
              <w:ind w:left="714" w:hanging="357"/>
              <w:jc w:val="both"/>
              <w:rPr>
                <w:rFonts w:ascii="Arial" w:hAnsi="Arial" w:cs="Arial"/>
                <w:sz w:val="24"/>
                <w:szCs w:val="24"/>
              </w:rPr>
            </w:pPr>
            <w:r w:rsidRPr="0042659A">
              <w:rPr>
                <w:rFonts w:ascii="Arial" w:hAnsi="Arial" w:cs="Arial"/>
                <w:sz w:val="24"/>
                <w:szCs w:val="24"/>
              </w:rPr>
              <w:t>UNISON</w:t>
            </w:r>
          </w:p>
          <w:p w14:paraId="58A350E4" w14:textId="77777777" w:rsidR="005C7961" w:rsidRPr="0042659A" w:rsidRDefault="005C7961" w:rsidP="00E55373">
            <w:pPr>
              <w:pStyle w:val="ListParagraph"/>
              <w:numPr>
                <w:ilvl w:val="0"/>
                <w:numId w:val="12"/>
              </w:numPr>
              <w:spacing w:line="240" w:lineRule="auto"/>
              <w:ind w:left="714" w:hanging="357"/>
              <w:jc w:val="both"/>
              <w:rPr>
                <w:rFonts w:ascii="Arial" w:hAnsi="Arial" w:cs="Arial"/>
                <w:sz w:val="24"/>
                <w:szCs w:val="24"/>
              </w:rPr>
            </w:pPr>
            <w:r w:rsidRPr="0042659A">
              <w:rPr>
                <w:rFonts w:ascii="Arial" w:hAnsi="Arial" w:cs="Arial"/>
                <w:sz w:val="24"/>
                <w:szCs w:val="24"/>
              </w:rPr>
              <w:t>Unite the Union</w:t>
            </w:r>
          </w:p>
          <w:p w14:paraId="13DE41FA" w14:textId="78196E62" w:rsidR="007B4229" w:rsidRPr="0042659A" w:rsidRDefault="007B4229" w:rsidP="007B4229">
            <w:pPr>
              <w:jc w:val="both"/>
              <w:rPr>
                <w:rFonts w:ascii="Arial" w:hAnsi="Arial" w:cs="Arial"/>
                <w:szCs w:val="24"/>
              </w:rPr>
            </w:pPr>
            <w:r w:rsidRPr="0042659A">
              <w:rPr>
                <w:rFonts w:ascii="Arial" w:hAnsi="Arial" w:cs="Arial"/>
                <w:szCs w:val="24"/>
              </w:rPr>
              <w:t>Ongoing communication and consultation with the above unions is undertaken through the Joint Con</w:t>
            </w:r>
            <w:r w:rsidR="000F0479" w:rsidRPr="0042659A">
              <w:rPr>
                <w:rFonts w:ascii="Arial" w:hAnsi="Arial" w:cs="Arial"/>
                <w:szCs w:val="24"/>
              </w:rPr>
              <w:t xml:space="preserve">sultation Forum (JCF), </w:t>
            </w:r>
            <w:r w:rsidR="006F03D8">
              <w:rPr>
                <w:rFonts w:ascii="Arial" w:hAnsi="Arial" w:cs="Arial"/>
                <w:szCs w:val="24"/>
              </w:rPr>
              <w:t>c</w:t>
            </w:r>
            <w:r w:rsidR="000F0479" w:rsidRPr="0042659A">
              <w:rPr>
                <w:rFonts w:ascii="Arial" w:hAnsi="Arial" w:cs="Arial"/>
                <w:szCs w:val="24"/>
              </w:rPr>
              <w:t>haired by the Director of Corporate Services and which meets quarterly.</w:t>
            </w:r>
          </w:p>
          <w:p w14:paraId="43D20BB4" w14:textId="48E1A75C" w:rsidR="000F0479" w:rsidRPr="0042659A" w:rsidRDefault="000F0479" w:rsidP="007B4229">
            <w:pPr>
              <w:jc w:val="both"/>
              <w:rPr>
                <w:rFonts w:ascii="Arial" w:hAnsi="Arial" w:cs="Arial"/>
                <w:szCs w:val="24"/>
              </w:rPr>
            </w:pPr>
          </w:p>
        </w:tc>
      </w:tr>
      <w:tr w:rsidR="002456AA" w:rsidRPr="00A90AA3" w14:paraId="7DAAA51A" w14:textId="77777777" w:rsidTr="00D43B41">
        <w:trPr>
          <w:trHeight w:val="1749"/>
        </w:trPr>
        <w:tc>
          <w:tcPr>
            <w:tcW w:w="851" w:type="dxa"/>
          </w:tcPr>
          <w:p w14:paraId="3D775D6E" w14:textId="77777777" w:rsidR="002456AA" w:rsidRDefault="00E55373" w:rsidP="000E18CA">
            <w:pPr>
              <w:pStyle w:val="NoSpacing"/>
              <w:ind w:left="720" w:hanging="683"/>
            </w:pPr>
            <w:r>
              <w:t>3.</w:t>
            </w:r>
            <w:r w:rsidR="00717494">
              <w:t>5</w:t>
            </w:r>
            <w:r>
              <w:t>.2</w:t>
            </w:r>
          </w:p>
          <w:p w14:paraId="13E99A9F" w14:textId="77777777" w:rsidR="0003752C" w:rsidRDefault="0003752C" w:rsidP="000E18CA">
            <w:pPr>
              <w:pStyle w:val="NoSpacing"/>
              <w:ind w:left="720" w:hanging="683"/>
            </w:pPr>
          </w:p>
          <w:p w14:paraId="66779D2E" w14:textId="77777777" w:rsidR="0003752C" w:rsidRDefault="0003752C" w:rsidP="000E18CA">
            <w:pPr>
              <w:pStyle w:val="NoSpacing"/>
              <w:ind w:left="720" w:hanging="683"/>
            </w:pPr>
          </w:p>
          <w:p w14:paraId="45B9D95E" w14:textId="77777777" w:rsidR="0003752C" w:rsidRDefault="0003752C" w:rsidP="000E18CA">
            <w:pPr>
              <w:pStyle w:val="NoSpacing"/>
              <w:ind w:left="720" w:hanging="683"/>
            </w:pPr>
          </w:p>
          <w:p w14:paraId="38F69DFF" w14:textId="607A25E2" w:rsidR="0003752C" w:rsidRPr="00A90AA3" w:rsidRDefault="0003752C" w:rsidP="0003752C">
            <w:pPr>
              <w:pStyle w:val="NoSpacing"/>
            </w:pPr>
          </w:p>
        </w:tc>
        <w:tc>
          <w:tcPr>
            <w:tcW w:w="8885" w:type="dxa"/>
          </w:tcPr>
          <w:p w14:paraId="02C91B5E" w14:textId="72C807E4" w:rsidR="002456AA" w:rsidRPr="00A67816" w:rsidRDefault="002456AA" w:rsidP="006C2604">
            <w:pPr>
              <w:jc w:val="both"/>
              <w:rPr>
                <w:rFonts w:ascii="Arial" w:hAnsi="Arial" w:cs="Arial"/>
                <w:szCs w:val="24"/>
              </w:rPr>
            </w:pPr>
            <w:r w:rsidRPr="00A67816">
              <w:rPr>
                <w:rFonts w:ascii="Arial" w:hAnsi="Arial" w:cs="Arial"/>
                <w:szCs w:val="24"/>
              </w:rPr>
              <w:t xml:space="preserve">The JCF met on </w:t>
            </w:r>
            <w:r w:rsidR="005E34CA">
              <w:rPr>
                <w:rFonts w:ascii="Arial" w:hAnsi="Arial" w:cs="Arial"/>
                <w:szCs w:val="24"/>
              </w:rPr>
              <w:t>8 September</w:t>
            </w:r>
            <w:r w:rsidR="001A2559">
              <w:rPr>
                <w:rFonts w:ascii="Arial" w:hAnsi="Arial" w:cs="Arial"/>
                <w:szCs w:val="24"/>
              </w:rPr>
              <w:t xml:space="preserve"> 2022</w:t>
            </w:r>
            <w:r w:rsidR="00C654E0" w:rsidRPr="00A67816">
              <w:rPr>
                <w:rFonts w:ascii="Arial" w:hAnsi="Arial" w:cs="Arial"/>
                <w:szCs w:val="24"/>
              </w:rPr>
              <w:t>. The following items were discussed:</w:t>
            </w:r>
          </w:p>
          <w:p w14:paraId="39A81987" w14:textId="77777777" w:rsidR="00C654E0" w:rsidRPr="00A67816" w:rsidRDefault="00C654E0" w:rsidP="006C2604">
            <w:pPr>
              <w:jc w:val="both"/>
              <w:rPr>
                <w:rFonts w:ascii="Arial" w:hAnsi="Arial" w:cs="Arial"/>
                <w:szCs w:val="24"/>
              </w:rPr>
            </w:pPr>
          </w:p>
          <w:p w14:paraId="1F614D7E" w14:textId="5EBC72B2" w:rsidR="005E34CA" w:rsidRDefault="005E34CA" w:rsidP="00794AE7">
            <w:pPr>
              <w:pStyle w:val="ListParagraph"/>
              <w:numPr>
                <w:ilvl w:val="0"/>
                <w:numId w:val="6"/>
              </w:numPr>
              <w:spacing w:line="240" w:lineRule="auto"/>
              <w:ind w:left="714" w:hanging="357"/>
              <w:jc w:val="both"/>
              <w:rPr>
                <w:rFonts w:ascii="Arial" w:hAnsi="Arial" w:cs="Arial"/>
                <w:sz w:val="24"/>
                <w:szCs w:val="24"/>
              </w:rPr>
            </w:pPr>
            <w:r>
              <w:rPr>
                <w:rFonts w:ascii="Arial" w:hAnsi="Arial" w:cs="Arial"/>
                <w:sz w:val="24"/>
                <w:szCs w:val="24"/>
              </w:rPr>
              <w:t>HLH Budget Position</w:t>
            </w:r>
          </w:p>
          <w:p w14:paraId="27B38D52" w14:textId="3B9A093D" w:rsidR="00794AE7" w:rsidRDefault="005E34CA" w:rsidP="00794AE7">
            <w:pPr>
              <w:pStyle w:val="ListParagraph"/>
              <w:numPr>
                <w:ilvl w:val="0"/>
                <w:numId w:val="6"/>
              </w:numPr>
              <w:spacing w:line="240" w:lineRule="auto"/>
              <w:ind w:left="714" w:hanging="357"/>
              <w:jc w:val="both"/>
              <w:rPr>
                <w:rFonts w:ascii="Arial" w:hAnsi="Arial" w:cs="Arial"/>
                <w:sz w:val="24"/>
                <w:szCs w:val="24"/>
              </w:rPr>
            </w:pPr>
            <w:r>
              <w:rPr>
                <w:rFonts w:ascii="Arial" w:hAnsi="Arial" w:cs="Arial"/>
                <w:sz w:val="24"/>
                <w:szCs w:val="24"/>
              </w:rPr>
              <w:t>SJC Pay Award</w:t>
            </w:r>
          </w:p>
          <w:p w14:paraId="68180CA9" w14:textId="44099959" w:rsidR="00D43B41" w:rsidRPr="00D43B41" w:rsidRDefault="005E34CA" w:rsidP="00D43B41">
            <w:pPr>
              <w:pStyle w:val="ListParagraph"/>
              <w:numPr>
                <w:ilvl w:val="0"/>
                <w:numId w:val="6"/>
              </w:numPr>
              <w:spacing w:line="240" w:lineRule="auto"/>
              <w:ind w:left="714" w:hanging="357"/>
              <w:jc w:val="both"/>
              <w:rPr>
                <w:rFonts w:ascii="Arial" w:hAnsi="Arial" w:cs="Arial"/>
                <w:sz w:val="24"/>
                <w:szCs w:val="24"/>
              </w:rPr>
            </w:pPr>
            <w:r>
              <w:rPr>
                <w:rFonts w:ascii="Arial" w:hAnsi="Arial" w:cs="Arial"/>
                <w:sz w:val="24"/>
                <w:szCs w:val="24"/>
              </w:rPr>
              <w:t>Weekend Enhancement Recognition Payment</w:t>
            </w:r>
          </w:p>
        </w:tc>
      </w:tr>
      <w:tr w:rsidR="005E34CA" w:rsidRPr="00A90AA3" w14:paraId="08A959E0" w14:textId="77777777" w:rsidTr="006F03D8">
        <w:trPr>
          <w:trHeight w:val="709"/>
        </w:trPr>
        <w:tc>
          <w:tcPr>
            <w:tcW w:w="851" w:type="dxa"/>
          </w:tcPr>
          <w:p w14:paraId="3B7DE2DC" w14:textId="466A77DF" w:rsidR="005E34CA" w:rsidRPr="00D43B41" w:rsidRDefault="005E34CA" w:rsidP="000E18CA">
            <w:pPr>
              <w:pStyle w:val="NoSpacing"/>
              <w:ind w:left="720" w:hanging="683"/>
              <w:rPr>
                <w:b/>
                <w:bCs/>
              </w:rPr>
            </w:pPr>
            <w:r w:rsidRPr="00D43B41">
              <w:rPr>
                <w:b/>
                <w:bCs/>
              </w:rPr>
              <w:t>4.</w:t>
            </w:r>
          </w:p>
          <w:p w14:paraId="0CD89A41" w14:textId="77777777" w:rsidR="003C7969" w:rsidRDefault="003C7969" w:rsidP="000E18CA">
            <w:pPr>
              <w:pStyle w:val="NoSpacing"/>
              <w:ind w:left="720" w:hanging="683"/>
            </w:pPr>
          </w:p>
          <w:p w14:paraId="3E38E44C" w14:textId="7D857AAD" w:rsidR="003C7969" w:rsidRDefault="003C7969" w:rsidP="000E18CA">
            <w:pPr>
              <w:pStyle w:val="NoSpacing"/>
              <w:ind w:left="720" w:hanging="683"/>
            </w:pPr>
            <w:r>
              <w:t>4.1</w:t>
            </w:r>
          </w:p>
          <w:p w14:paraId="04C048CB" w14:textId="5FB556A8" w:rsidR="006F03D8" w:rsidRDefault="006F03D8" w:rsidP="000E18CA">
            <w:pPr>
              <w:pStyle w:val="NoSpacing"/>
              <w:ind w:left="720" w:hanging="683"/>
            </w:pPr>
          </w:p>
          <w:p w14:paraId="4ACA4CBD" w14:textId="4DEEC31B" w:rsidR="006F03D8" w:rsidRDefault="006F03D8" w:rsidP="000E18CA">
            <w:pPr>
              <w:pStyle w:val="NoSpacing"/>
              <w:ind w:left="720" w:hanging="683"/>
            </w:pPr>
          </w:p>
          <w:p w14:paraId="5BBFB17B" w14:textId="6408B13F" w:rsidR="006F03D8" w:rsidRDefault="006F03D8" w:rsidP="000E18CA">
            <w:pPr>
              <w:pStyle w:val="NoSpacing"/>
              <w:ind w:left="720" w:hanging="683"/>
            </w:pPr>
          </w:p>
          <w:p w14:paraId="3C849780" w14:textId="45B4ECA1" w:rsidR="006F03D8" w:rsidRDefault="006F03D8" w:rsidP="000E18CA">
            <w:pPr>
              <w:pStyle w:val="NoSpacing"/>
              <w:ind w:left="720" w:hanging="683"/>
            </w:pPr>
          </w:p>
          <w:p w14:paraId="48E6C23E" w14:textId="57B691A0" w:rsidR="006F03D8" w:rsidRDefault="006F03D8" w:rsidP="000E18CA">
            <w:pPr>
              <w:pStyle w:val="NoSpacing"/>
              <w:ind w:left="720" w:hanging="683"/>
            </w:pPr>
          </w:p>
          <w:p w14:paraId="11FD7D72" w14:textId="44C23B7B" w:rsidR="006F03D8" w:rsidRDefault="006F03D8" w:rsidP="000E18CA">
            <w:pPr>
              <w:pStyle w:val="NoSpacing"/>
              <w:ind w:left="720" w:hanging="683"/>
            </w:pPr>
          </w:p>
          <w:p w14:paraId="6A70B8F2" w14:textId="0173FEE6" w:rsidR="006F03D8" w:rsidRDefault="006F03D8" w:rsidP="000E18CA">
            <w:pPr>
              <w:pStyle w:val="NoSpacing"/>
              <w:ind w:left="720" w:hanging="683"/>
            </w:pPr>
          </w:p>
          <w:p w14:paraId="5A066F02" w14:textId="43DD7512" w:rsidR="006F03D8" w:rsidRDefault="006F03D8" w:rsidP="000E18CA">
            <w:pPr>
              <w:pStyle w:val="NoSpacing"/>
              <w:ind w:left="720" w:hanging="683"/>
            </w:pPr>
          </w:p>
          <w:p w14:paraId="21E11493" w14:textId="52DF077E" w:rsidR="006F03D8" w:rsidRDefault="006F03D8" w:rsidP="000E18CA">
            <w:pPr>
              <w:pStyle w:val="NoSpacing"/>
              <w:ind w:left="720" w:hanging="683"/>
            </w:pPr>
          </w:p>
          <w:p w14:paraId="512F6089" w14:textId="219759F6" w:rsidR="006F03D8" w:rsidRDefault="006F03D8" w:rsidP="000E18CA">
            <w:pPr>
              <w:pStyle w:val="NoSpacing"/>
              <w:ind w:left="720" w:hanging="683"/>
            </w:pPr>
          </w:p>
          <w:p w14:paraId="46630550" w14:textId="5FCFAAD2" w:rsidR="006F03D8" w:rsidRDefault="006F03D8" w:rsidP="000E18CA">
            <w:pPr>
              <w:pStyle w:val="NoSpacing"/>
              <w:ind w:left="720" w:hanging="683"/>
            </w:pPr>
          </w:p>
          <w:p w14:paraId="3CD9358C" w14:textId="73E80DFA" w:rsidR="006F03D8" w:rsidRDefault="006F03D8" w:rsidP="000E18CA">
            <w:pPr>
              <w:pStyle w:val="NoSpacing"/>
              <w:ind w:left="720" w:hanging="683"/>
            </w:pPr>
          </w:p>
          <w:p w14:paraId="286D3306" w14:textId="004B22C2" w:rsidR="006F03D8" w:rsidRDefault="006F03D8" w:rsidP="000E18CA">
            <w:pPr>
              <w:pStyle w:val="NoSpacing"/>
              <w:ind w:left="720" w:hanging="683"/>
            </w:pPr>
          </w:p>
          <w:p w14:paraId="5D811B15" w14:textId="3CF8CDB8" w:rsidR="006F03D8" w:rsidRDefault="006F03D8" w:rsidP="000E18CA">
            <w:pPr>
              <w:pStyle w:val="NoSpacing"/>
              <w:ind w:left="720" w:hanging="683"/>
            </w:pPr>
          </w:p>
          <w:p w14:paraId="2FF8F2F2" w14:textId="7C8D055A" w:rsidR="006F03D8" w:rsidRDefault="006F03D8" w:rsidP="000E18CA">
            <w:pPr>
              <w:pStyle w:val="NoSpacing"/>
              <w:ind w:left="720" w:hanging="683"/>
            </w:pPr>
          </w:p>
          <w:p w14:paraId="49134CEC" w14:textId="047AE410" w:rsidR="006F03D8" w:rsidRDefault="006F03D8" w:rsidP="000E18CA">
            <w:pPr>
              <w:pStyle w:val="NoSpacing"/>
              <w:ind w:left="720" w:hanging="683"/>
            </w:pPr>
          </w:p>
          <w:p w14:paraId="798BE39F" w14:textId="06A8323E" w:rsidR="006F03D8" w:rsidRDefault="006F03D8" w:rsidP="000E18CA">
            <w:pPr>
              <w:pStyle w:val="NoSpacing"/>
              <w:ind w:left="720" w:hanging="683"/>
            </w:pPr>
          </w:p>
          <w:p w14:paraId="7D9C2227" w14:textId="69D723C2" w:rsidR="006F03D8" w:rsidRDefault="006F03D8" w:rsidP="000E18CA">
            <w:pPr>
              <w:pStyle w:val="NoSpacing"/>
              <w:ind w:left="720" w:hanging="683"/>
            </w:pPr>
          </w:p>
          <w:p w14:paraId="7D83B166" w14:textId="403993C9" w:rsidR="006F03D8" w:rsidRDefault="006F03D8" w:rsidP="000E18CA">
            <w:pPr>
              <w:pStyle w:val="NoSpacing"/>
              <w:ind w:left="720" w:hanging="683"/>
            </w:pPr>
          </w:p>
          <w:p w14:paraId="7BE75810" w14:textId="752A5A0A" w:rsidR="006F03D8" w:rsidRDefault="006F03D8" w:rsidP="000E18CA">
            <w:pPr>
              <w:pStyle w:val="NoSpacing"/>
              <w:ind w:left="720" w:hanging="683"/>
            </w:pPr>
          </w:p>
          <w:p w14:paraId="3AE6CC53" w14:textId="38156930" w:rsidR="003C7969" w:rsidRDefault="006F03D8" w:rsidP="006F03D8">
            <w:pPr>
              <w:pStyle w:val="NoSpacing"/>
              <w:ind w:left="720" w:hanging="683"/>
            </w:pPr>
            <w:r>
              <w:lastRenderedPageBreak/>
              <w:t>4.2</w:t>
            </w:r>
          </w:p>
        </w:tc>
        <w:tc>
          <w:tcPr>
            <w:tcW w:w="8885" w:type="dxa"/>
          </w:tcPr>
          <w:p w14:paraId="527CE463" w14:textId="66476105" w:rsidR="00B07720" w:rsidRPr="003C7969" w:rsidRDefault="00B07720" w:rsidP="00B07720">
            <w:pPr>
              <w:pStyle w:val="Default"/>
              <w:rPr>
                <w:b/>
                <w:bCs/>
              </w:rPr>
            </w:pPr>
            <w:r w:rsidRPr="003C7969">
              <w:rPr>
                <w:b/>
                <w:bCs/>
              </w:rPr>
              <w:lastRenderedPageBreak/>
              <w:t>S</w:t>
            </w:r>
            <w:r w:rsidR="003C7969" w:rsidRPr="003C7969">
              <w:rPr>
                <w:b/>
                <w:bCs/>
              </w:rPr>
              <w:t>JC</w:t>
            </w:r>
            <w:r w:rsidRPr="003C7969">
              <w:rPr>
                <w:b/>
                <w:bCs/>
              </w:rPr>
              <w:t xml:space="preserve"> Pay Award 2022/23</w:t>
            </w:r>
          </w:p>
          <w:p w14:paraId="1C529903" w14:textId="77777777" w:rsidR="00B07720" w:rsidRPr="003C7969" w:rsidRDefault="00B07720" w:rsidP="00B07720">
            <w:pPr>
              <w:pStyle w:val="Default"/>
              <w:ind w:left="360"/>
            </w:pPr>
          </w:p>
          <w:p w14:paraId="27C4C2E9" w14:textId="02ACA030" w:rsidR="00B07720" w:rsidRPr="003C7969" w:rsidRDefault="00B07720" w:rsidP="006F03D8">
            <w:pPr>
              <w:pStyle w:val="Default"/>
              <w:jc w:val="both"/>
            </w:pPr>
            <w:r w:rsidRPr="003C7969">
              <w:t xml:space="preserve">The 2022/23 pay offer has now been approved for non-teaching staff.  The revised offer has been balloted by the 3 unions (GMB, Unite &amp; Unison) and the majority of their membership </w:t>
            </w:r>
            <w:r w:rsidR="003C7969">
              <w:t xml:space="preserve">has </w:t>
            </w:r>
            <w:r w:rsidRPr="003C7969">
              <w:t>agree</w:t>
            </w:r>
            <w:r w:rsidR="006F03D8">
              <w:t>d</w:t>
            </w:r>
            <w:r w:rsidRPr="003C7969">
              <w:t xml:space="preserve"> the offer </w:t>
            </w:r>
            <w:r w:rsidR="003C7969">
              <w:t xml:space="preserve">detailed </w:t>
            </w:r>
            <w:r w:rsidRPr="003C7969">
              <w:t xml:space="preserve">below: </w:t>
            </w:r>
          </w:p>
          <w:p w14:paraId="42762EAD" w14:textId="77777777" w:rsidR="00B07720" w:rsidRPr="003C7969" w:rsidRDefault="00B07720" w:rsidP="006F03D8">
            <w:pPr>
              <w:pStyle w:val="Default"/>
              <w:ind w:left="360"/>
              <w:jc w:val="both"/>
            </w:pPr>
          </w:p>
          <w:p w14:paraId="4AE96802" w14:textId="77777777" w:rsidR="00B07720" w:rsidRPr="003C7969" w:rsidRDefault="00B07720" w:rsidP="006F03D8">
            <w:pPr>
              <w:pStyle w:val="Default"/>
              <w:numPr>
                <w:ilvl w:val="0"/>
                <w:numId w:val="38"/>
              </w:numPr>
              <w:ind w:left="316" w:hanging="316"/>
              <w:jc w:val="both"/>
              <w:rPr>
                <w:rFonts w:eastAsia="Times New Roman"/>
              </w:rPr>
            </w:pPr>
            <w:r w:rsidRPr="003C7969">
              <w:rPr>
                <w:rFonts w:eastAsia="Times New Roman"/>
              </w:rPr>
              <w:t>Covers the period from 1 April 2022 to 31 March 2023</w:t>
            </w:r>
          </w:p>
          <w:p w14:paraId="1B9B393E" w14:textId="77777777" w:rsidR="00B07720" w:rsidRPr="003C7969" w:rsidRDefault="00B07720" w:rsidP="006F03D8">
            <w:pPr>
              <w:pStyle w:val="Default"/>
              <w:numPr>
                <w:ilvl w:val="0"/>
                <w:numId w:val="38"/>
              </w:numPr>
              <w:ind w:left="316" w:hanging="316"/>
              <w:jc w:val="both"/>
              <w:rPr>
                <w:rFonts w:eastAsia="Times New Roman"/>
              </w:rPr>
            </w:pPr>
            <w:r w:rsidRPr="003C7969">
              <w:rPr>
                <w:rFonts w:eastAsia="Times New Roman"/>
              </w:rPr>
              <w:t>An increase to the Scottish Local Government Living Wage rate to £10.85 per hour</w:t>
            </w:r>
          </w:p>
          <w:p w14:paraId="7EBBEBA7" w14:textId="5E3ECB53" w:rsidR="00B07720" w:rsidRPr="00D43B41" w:rsidRDefault="00B07720" w:rsidP="006F03D8">
            <w:pPr>
              <w:pStyle w:val="Default"/>
              <w:numPr>
                <w:ilvl w:val="0"/>
                <w:numId w:val="38"/>
              </w:numPr>
              <w:ind w:left="316" w:hanging="316"/>
              <w:jc w:val="both"/>
              <w:rPr>
                <w:rFonts w:eastAsia="Times New Roman"/>
              </w:rPr>
            </w:pPr>
            <w:r w:rsidRPr="003C7969">
              <w:rPr>
                <w:rFonts w:eastAsia="Times New Roman"/>
              </w:rPr>
              <w:t>For those on the Scottish Local Government Living Wage and</w:t>
            </w:r>
            <w:r w:rsidR="00F514DE">
              <w:rPr>
                <w:rFonts w:eastAsia="Times New Roman"/>
              </w:rPr>
              <w:t xml:space="preserve"> earning £</w:t>
            </w:r>
            <w:r w:rsidR="00D43B41">
              <w:rPr>
                <w:rFonts w:eastAsia="Times New Roman"/>
              </w:rPr>
              <w:t>18,308</w:t>
            </w:r>
            <w:r w:rsidR="00F514DE">
              <w:rPr>
                <w:rFonts w:eastAsia="Times New Roman"/>
              </w:rPr>
              <w:t xml:space="preserve"> - £</w:t>
            </w:r>
            <w:r w:rsidR="00D43B41">
              <w:rPr>
                <w:rFonts w:eastAsia="Times New Roman"/>
              </w:rPr>
              <w:t>19,899</w:t>
            </w:r>
            <w:r w:rsidR="00672158">
              <w:rPr>
                <w:rFonts w:eastAsia="Times New Roman"/>
              </w:rPr>
              <w:t xml:space="preserve"> per hour</w:t>
            </w:r>
            <w:r w:rsidR="00D43B41">
              <w:rPr>
                <w:rFonts w:eastAsia="Times New Roman"/>
              </w:rPr>
              <w:t>,</w:t>
            </w:r>
            <w:r w:rsidRPr="003C7969">
              <w:t xml:space="preserve"> a £2,000 uplift </w:t>
            </w:r>
            <w:r w:rsidRPr="00D43B41">
              <w:t>(calculated on a nominal 36-hour full-time working week).</w:t>
            </w:r>
          </w:p>
          <w:p w14:paraId="2E4C3784" w14:textId="4DE5214D" w:rsidR="00B07720" w:rsidRDefault="00B07720" w:rsidP="006F03D8">
            <w:pPr>
              <w:pStyle w:val="Default"/>
              <w:numPr>
                <w:ilvl w:val="0"/>
                <w:numId w:val="38"/>
              </w:numPr>
              <w:ind w:left="316" w:hanging="316"/>
              <w:jc w:val="both"/>
              <w:rPr>
                <w:rFonts w:eastAsia="Times New Roman"/>
              </w:rPr>
            </w:pPr>
            <w:r w:rsidRPr="003C7969">
              <w:rPr>
                <w:rFonts w:eastAsia="Times New Roman"/>
              </w:rPr>
              <w:t>All</w:t>
            </w:r>
            <w:r w:rsidRPr="003C7969">
              <w:rPr>
                <w:rFonts w:eastAsia="Times New Roman"/>
                <w:strike/>
              </w:rPr>
              <w:t xml:space="preserve"> </w:t>
            </w:r>
            <w:r w:rsidRPr="003C7969">
              <w:rPr>
                <w:rFonts w:eastAsia="Times New Roman"/>
              </w:rPr>
              <w:t>remaining</w:t>
            </w:r>
            <w:r w:rsidR="00F514DE">
              <w:rPr>
                <w:rFonts w:eastAsia="Times New Roman"/>
              </w:rPr>
              <w:t xml:space="preserve"> staff earning above £</w:t>
            </w:r>
            <w:r w:rsidR="00D43B41">
              <w:rPr>
                <w:rFonts w:eastAsia="Times New Roman"/>
              </w:rPr>
              <w:t>19,899</w:t>
            </w:r>
            <w:r w:rsidRPr="003C7969">
              <w:rPr>
                <w:rFonts w:eastAsia="Times New Roman"/>
              </w:rPr>
              <w:t xml:space="preserve"> will have an undifferentiated 5% or a £1,925 uplift </w:t>
            </w:r>
            <w:r w:rsidRPr="00D43B41">
              <w:rPr>
                <w:rFonts w:eastAsia="Times New Roman"/>
              </w:rPr>
              <w:t>(calculated on a nominal 36-hour full-time working week)</w:t>
            </w:r>
            <w:r w:rsidRPr="003C7969">
              <w:rPr>
                <w:rFonts w:eastAsia="Times New Roman"/>
              </w:rPr>
              <w:t>, whichever is larger.</w:t>
            </w:r>
          </w:p>
          <w:p w14:paraId="59C76B34" w14:textId="584628B4" w:rsidR="00B07720" w:rsidRPr="00D43B41" w:rsidRDefault="00B07720" w:rsidP="006F03D8">
            <w:pPr>
              <w:pStyle w:val="Default"/>
              <w:numPr>
                <w:ilvl w:val="0"/>
                <w:numId w:val="38"/>
              </w:numPr>
              <w:ind w:left="316" w:hanging="316"/>
              <w:jc w:val="both"/>
              <w:rPr>
                <w:rFonts w:eastAsia="Times New Roman"/>
              </w:rPr>
            </w:pPr>
            <w:r w:rsidRPr="003C7969">
              <w:rPr>
                <w:rFonts w:eastAsia="Times New Roman"/>
              </w:rPr>
              <w:t>A cap on the uplift for those currently earning £60,000 or more at a £3</w:t>
            </w:r>
            <w:r w:rsidR="00F514DE">
              <w:rPr>
                <w:rFonts w:eastAsia="Times New Roman"/>
              </w:rPr>
              <w:t>,</w:t>
            </w:r>
            <w:r w:rsidRPr="003C7969">
              <w:rPr>
                <w:rFonts w:eastAsia="Times New Roman"/>
              </w:rPr>
              <w:t xml:space="preserve">000 uplift </w:t>
            </w:r>
            <w:r w:rsidRPr="00D43B41">
              <w:rPr>
                <w:rFonts w:eastAsia="Times New Roman"/>
              </w:rPr>
              <w:t xml:space="preserve">(based on a </w:t>
            </w:r>
            <w:r w:rsidRPr="00D43B41">
              <w:t>37-hour week).</w:t>
            </w:r>
          </w:p>
          <w:p w14:paraId="1E916068" w14:textId="3E9BF414" w:rsidR="00B07720" w:rsidRPr="003C7969" w:rsidRDefault="00E25EB2" w:rsidP="006F03D8">
            <w:pPr>
              <w:pStyle w:val="Default"/>
              <w:numPr>
                <w:ilvl w:val="0"/>
                <w:numId w:val="38"/>
              </w:numPr>
              <w:ind w:left="316" w:hanging="316"/>
              <w:jc w:val="both"/>
            </w:pPr>
            <w:r>
              <w:rPr>
                <w:rFonts w:eastAsia="Times New Roman"/>
              </w:rPr>
              <w:t>A</w:t>
            </w:r>
            <w:r w:rsidR="00B07720" w:rsidRPr="003C7969">
              <w:rPr>
                <w:rFonts w:eastAsia="Times New Roman"/>
              </w:rPr>
              <w:t xml:space="preserve">n uplift to the First Aid Allowance of 5%, effective from 1 April 2022. </w:t>
            </w:r>
          </w:p>
          <w:p w14:paraId="4A2C3A27" w14:textId="0B806AF5" w:rsidR="00B07720" w:rsidRPr="003C7969" w:rsidRDefault="00B07720" w:rsidP="006F03D8">
            <w:pPr>
              <w:pStyle w:val="Default"/>
              <w:numPr>
                <w:ilvl w:val="0"/>
                <w:numId w:val="38"/>
              </w:numPr>
              <w:ind w:left="316" w:hanging="316"/>
              <w:jc w:val="both"/>
              <w:rPr>
                <w:rFonts w:eastAsia="Times New Roman"/>
              </w:rPr>
            </w:pPr>
            <w:r w:rsidRPr="003C7969">
              <w:rPr>
                <w:rFonts w:eastAsia="Times New Roman"/>
              </w:rPr>
              <w:t xml:space="preserve">An additional recurring day of annual leave (pro-rated for part-time) to be added to the leave entitlement for all employees. </w:t>
            </w:r>
            <w:r w:rsidRPr="003C7969">
              <w:rPr>
                <w:rFonts w:eastAsia="Times New Roman"/>
                <w:color w:val="auto"/>
              </w:rPr>
              <w:t xml:space="preserve">For current </w:t>
            </w:r>
            <w:r w:rsidR="006F03D8">
              <w:rPr>
                <w:rFonts w:eastAsia="Times New Roman"/>
                <w:color w:val="auto"/>
              </w:rPr>
              <w:t>a</w:t>
            </w:r>
            <w:r w:rsidRPr="003C7969">
              <w:rPr>
                <w:rFonts w:eastAsia="Times New Roman"/>
                <w:color w:val="auto"/>
              </w:rPr>
              <w:t xml:space="preserve">nnual </w:t>
            </w:r>
            <w:r w:rsidR="006F03D8">
              <w:rPr>
                <w:rFonts w:eastAsia="Times New Roman"/>
                <w:color w:val="auto"/>
              </w:rPr>
              <w:t>l</w:t>
            </w:r>
            <w:r w:rsidRPr="003C7969">
              <w:rPr>
                <w:rFonts w:eastAsia="Times New Roman"/>
                <w:color w:val="auto"/>
              </w:rPr>
              <w:t xml:space="preserve">eave year </w:t>
            </w:r>
            <w:r w:rsidR="006F03D8">
              <w:rPr>
                <w:rFonts w:eastAsia="Times New Roman"/>
                <w:color w:val="auto"/>
              </w:rPr>
              <w:t>20</w:t>
            </w:r>
            <w:r w:rsidRPr="003C7969">
              <w:rPr>
                <w:rFonts w:eastAsia="Times New Roman"/>
                <w:color w:val="auto"/>
              </w:rPr>
              <w:t>22/23 this additional day should be used by 31 March 2023.</w:t>
            </w:r>
          </w:p>
          <w:p w14:paraId="1DBFCD7D" w14:textId="77777777" w:rsidR="00B07720" w:rsidRPr="003C7969" w:rsidRDefault="00B07720" w:rsidP="006F03D8">
            <w:pPr>
              <w:pStyle w:val="Default"/>
              <w:jc w:val="both"/>
              <w:rPr>
                <w:color w:val="auto"/>
              </w:rPr>
            </w:pPr>
          </w:p>
          <w:p w14:paraId="731B26F1" w14:textId="77777777" w:rsidR="00B0608D" w:rsidRDefault="00B0608D" w:rsidP="006F03D8">
            <w:pPr>
              <w:pStyle w:val="Default"/>
              <w:jc w:val="both"/>
            </w:pPr>
          </w:p>
          <w:p w14:paraId="623AF200" w14:textId="75B6EECF" w:rsidR="00B07720" w:rsidRPr="003C7969" w:rsidRDefault="00B0608D" w:rsidP="006F03D8">
            <w:pPr>
              <w:pStyle w:val="Default"/>
              <w:jc w:val="both"/>
              <w:rPr>
                <w:color w:val="auto"/>
              </w:rPr>
            </w:pPr>
            <w:r>
              <w:lastRenderedPageBreak/>
              <w:t xml:space="preserve">The backdated pay award was included in the November pay. </w:t>
            </w:r>
            <w:r w:rsidR="00B07720" w:rsidRPr="003C7969">
              <w:t xml:space="preserve">  </w:t>
            </w:r>
          </w:p>
          <w:p w14:paraId="43394F70" w14:textId="71DAD93D" w:rsidR="00B07720" w:rsidRPr="00E25EB2" w:rsidRDefault="00B07720" w:rsidP="00E25EB2">
            <w:pPr>
              <w:pStyle w:val="Default"/>
            </w:pPr>
            <w:r w:rsidRPr="003C7969">
              <w:t> </w:t>
            </w:r>
          </w:p>
        </w:tc>
      </w:tr>
      <w:tr w:rsidR="006F03D8" w:rsidRPr="00A90AA3" w14:paraId="1CB59BBF" w14:textId="77777777" w:rsidTr="001269D2">
        <w:trPr>
          <w:trHeight w:val="574"/>
        </w:trPr>
        <w:tc>
          <w:tcPr>
            <w:tcW w:w="851" w:type="dxa"/>
          </w:tcPr>
          <w:p w14:paraId="3CADA325" w14:textId="450430BE" w:rsidR="006F03D8" w:rsidRPr="00D43B41" w:rsidRDefault="006F03D8" w:rsidP="000E18CA">
            <w:pPr>
              <w:pStyle w:val="NoSpacing"/>
              <w:ind w:left="720" w:hanging="683"/>
              <w:rPr>
                <w:b/>
                <w:bCs/>
              </w:rPr>
            </w:pPr>
            <w:r>
              <w:rPr>
                <w:b/>
                <w:bCs/>
              </w:rPr>
              <w:lastRenderedPageBreak/>
              <w:t>5.</w:t>
            </w:r>
          </w:p>
        </w:tc>
        <w:tc>
          <w:tcPr>
            <w:tcW w:w="8885" w:type="dxa"/>
          </w:tcPr>
          <w:p w14:paraId="6C5890BD" w14:textId="222DF798" w:rsidR="006F03D8" w:rsidRPr="003C7969" w:rsidRDefault="006F03D8" w:rsidP="00B07720">
            <w:pPr>
              <w:pStyle w:val="Default"/>
              <w:rPr>
                <w:b/>
                <w:bCs/>
              </w:rPr>
            </w:pPr>
            <w:r>
              <w:rPr>
                <w:b/>
                <w:bCs/>
              </w:rPr>
              <w:t>Additional Coronation Bank Holiday</w:t>
            </w:r>
          </w:p>
        </w:tc>
      </w:tr>
      <w:tr w:rsidR="006F03D8" w:rsidRPr="00A90AA3" w14:paraId="01B59EE0" w14:textId="77777777" w:rsidTr="006F03D8">
        <w:trPr>
          <w:trHeight w:val="452"/>
        </w:trPr>
        <w:tc>
          <w:tcPr>
            <w:tcW w:w="851" w:type="dxa"/>
          </w:tcPr>
          <w:p w14:paraId="09A5CBD4" w14:textId="4AD47BE8" w:rsidR="006F03D8" w:rsidRPr="006F03D8" w:rsidRDefault="006F03D8" w:rsidP="000E18CA">
            <w:pPr>
              <w:pStyle w:val="NoSpacing"/>
              <w:ind w:left="720" w:hanging="683"/>
            </w:pPr>
            <w:r w:rsidRPr="006F03D8">
              <w:t>5.1</w:t>
            </w:r>
          </w:p>
        </w:tc>
        <w:tc>
          <w:tcPr>
            <w:tcW w:w="8885" w:type="dxa"/>
          </w:tcPr>
          <w:p w14:paraId="1C85D22B" w14:textId="11461333" w:rsidR="006F03D8" w:rsidRPr="00D43B41" w:rsidRDefault="006F03D8" w:rsidP="006F03D8">
            <w:pPr>
              <w:ind w:left="-77"/>
              <w:jc w:val="both"/>
              <w:rPr>
                <w:rFonts w:ascii="Arial" w:hAnsi="Arial" w:cs="Arial"/>
                <w:szCs w:val="24"/>
              </w:rPr>
            </w:pPr>
            <w:r w:rsidRPr="00D43B41">
              <w:rPr>
                <w:rFonts w:ascii="Arial" w:hAnsi="Arial" w:cs="Arial"/>
                <w:szCs w:val="24"/>
              </w:rPr>
              <w:t xml:space="preserve">Directors will be aware that </w:t>
            </w:r>
            <w:r>
              <w:rPr>
                <w:rFonts w:ascii="Arial" w:hAnsi="Arial" w:cs="Arial"/>
                <w:szCs w:val="24"/>
              </w:rPr>
              <w:t>t</w:t>
            </w:r>
            <w:r w:rsidRPr="00D43B41">
              <w:rPr>
                <w:rFonts w:ascii="Arial" w:hAnsi="Arial" w:cs="Arial"/>
                <w:szCs w:val="24"/>
              </w:rPr>
              <w:t xml:space="preserve">he Prime Minister has proclaimed an additional bank holiday to mark the Coronation of His </w:t>
            </w:r>
            <w:r>
              <w:rPr>
                <w:rFonts w:ascii="Arial" w:hAnsi="Arial" w:cs="Arial"/>
                <w:szCs w:val="24"/>
              </w:rPr>
              <w:t>M</w:t>
            </w:r>
            <w:r w:rsidRPr="00D43B41">
              <w:rPr>
                <w:rFonts w:ascii="Arial" w:hAnsi="Arial" w:cs="Arial"/>
                <w:szCs w:val="24"/>
              </w:rPr>
              <w:t xml:space="preserve">ajesty King Charles III next year. </w:t>
            </w:r>
          </w:p>
          <w:p w14:paraId="38892DFA" w14:textId="77777777" w:rsidR="006F03D8" w:rsidRPr="006F03D8" w:rsidRDefault="006F03D8" w:rsidP="00B07720">
            <w:pPr>
              <w:pStyle w:val="Default"/>
            </w:pPr>
          </w:p>
        </w:tc>
      </w:tr>
      <w:tr w:rsidR="006F03D8" w:rsidRPr="00A90AA3" w14:paraId="70BA048D" w14:textId="77777777" w:rsidTr="006F03D8">
        <w:trPr>
          <w:trHeight w:val="452"/>
        </w:trPr>
        <w:tc>
          <w:tcPr>
            <w:tcW w:w="851" w:type="dxa"/>
          </w:tcPr>
          <w:p w14:paraId="5993092C" w14:textId="51079227" w:rsidR="006F03D8" w:rsidRPr="006F03D8" w:rsidRDefault="006F03D8" w:rsidP="000E18CA">
            <w:pPr>
              <w:pStyle w:val="NoSpacing"/>
              <w:ind w:left="720" w:hanging="683"/>
            </w:pPr>
            <w:r>
              <w:t>5.2</w:t>
            </w:r>
          </w:p>
        </w:tc>
        <w:tc>
          <w:tcPr>
            <w:tcW w:w="8885" w:type="dxa"/>
          </w:tcPr>
          <w:p w14:paraId="01756F93" w14:textId="77777777" w:rsidR="006F03D8" w:rsidRPr="00D43B41" w:rsidRDefault="006F03D8" w:rsidP="006F03D8">
            <w:pPr>
              <w:ind w:left="-77"/>
              <w:jc w:val="both"/>
              <w:rPr>
                <w:rFonts w:ascii="Arial" w:hAnsi="Arial" w:cs="Arial"/>
                <w:szCs w:val="24"/>
              </w:rPr>
            </w:pPr>
            <w:r w:rsidRPr="00D43B41">
              <w:rPr>
                <w:rFonts w:ascii="Arial" w:hAnsi="Arial" w:cs="Arial"/>
                <w:szCs w:val="24"/>
              </w:rPr>
              <w:t>The bank holiday will fall on Monday 8 May 2023, following the Coronation on Saturday 6 May 2023. This is in addition to the May Day holiday held on 1 May 2023.</w:t>
            </w:r>
          </w:p>
          <w:p w14:paraId="78D3CF06" w14:textId="77777777" w:rsidR="006F03D8" w:rsidRPr="006F03D8" w:rsidRDefault="006F03D8" w:rsidP="00B07720">
            <w:pPr>
              <w:pStyle w:val="Default"/>
            </w:pPr>
          </w:p>
        </w:tc>
      </w:tr>
      <w:tr w:rsidR="006F03D8" w:rsidRPr="00A90AA3" w14:paraId="19EB7C5F" w14:textId="77777777" w:rsidTr="006F03D8">
        <w:trPr>
          <w:trHeight w:val="452"/>
        </w:trPr>
        <w:tc>
          <w:tcPr>
            <w:tcW w:w="851" w:type="dxa"/>
          </w:tcPr>
          <w:p w14:paraId="32A38DB5" w14:textId="0BC7D9FA" w:rsidR="006F03D8" w:rsidRPr="006F03D8" w:rsidRDefault="006F03D8" w:rsidP="000E18CA">
            <w:pPr>
              <w:pStyle w:val="NoSpacing"/>
              <w:ind w:left="720" w:hanging="683"/>
            </w:pPr>
            <w:r>
              <w:t>5.3</w:t>
            </w:r>
          </w:p>
        </w:tc>
        <w:tc>
          <w:tcPr>
            <w:tcW w:w="8885" w:type="dxa"/>
          </w:tcPr>
          <w:p w14:paraId="737AF945" w14:textId="14E03D85" w:rsidR="006F03D8" w:rsidRDefault="006F03D8" w:rsidP="006F03D8">
            <w:pPr>
              <w:ind w:left="-77"/>
              <w:jc w:val="both"/>
              <w:rPr>
                <w:rFonts w:ascii="Arial" w:hAnsi="Arial" w:cs="Arial"/>
                <w:szCs w:val="24"/>
              </w:rPr>
            </w:pPr>
            <w:r w:rsidRPr="00D43B41">
              <w:rPr>
                <w:rFonts w:ascii="Arial" w:hAnsi="Arial" w:cs="Arial"/>
                <w:szCs w:val="24"/>
              </w:rPr>
              <w:t xml:space="preserve">HLH generally follows the processes implemented by </w:t>
            </w:r>
            <w:r>
              <w:rPr>
                <w:rFonts w:ascii="Arial" w:hAnsi="Arial" w:cs="Arial"/>
                <w:szCs w:val="24"/>
              </w:rPr>
              <w:t>THC</w:t>
            </w:r>
            <w:r w:rsidRPr="00D43B41">
              <w:rPr>
                <w:rFonts w:ascii="Arial" w:hAnsi="Arial" w:cs="Arial"/>
                <w:szCs w:val="24"/>
              </w:rPr>
              <w:t xml:space="preserve">, primarily for ease of payroll administration. At this stage, it is understood that THC has not adopted a position for the additional </w:t>
            </w:r>
            <w:r w:rsidR="00B0608D">
              <w:rPr>
                <w:rFonts w:ascii="Arial" w:hAnsi="Arial" w:cs="Arial"/>
                <w:szCs w:val="24"/>
              </w:rPr>
              <w:t>8</w:t>
            </w:r>
            <w:r w:rsidRPr="00D43B41">
              <w:rPr>
                <w:rFonts w:ascii="Arial" w:hAnsi="Arial" w:cs="Arial"/>
                <w:szCs w:val="24"/>
              </w:rPr>
              <w:t xml:space="preserve"> May bank holiday – therefore it is proposed that HLH defer any decisions and report back with recommendations and cost implications at a future Board meeting.</w:t>
            </w:r>
            <w:r>
              <w:rPr>
                <w:rFonts w:ascii="Arial" w:hAnsi="Arial" w:cs="Arial"/>
                <w:szCs w:val="24"/>
              </w:rPr>
              <w:t xml:space="preserve">  </w:t>
            </w:r>
          </w:p>
          <w:p w14:paraId="478023D5" w14:textId="77777777" w:rsidR="006F03D8" w:rsidRPr="006F03D8" w:rsidRDefault="006F03D8" w:rsidP="00B07720">
            <w:pPr>
              <w:pStyle w:val="Default"/>
            </w:pPr>
          </w:p>
        </w:tc>
      </w:tr>
    </w:tbl>
    <w:tbl>
      <w:tblPr>
        <w:tblW w:w="9639" w:type="dxa"/>
        <w:tblLayout w:type="fixed"/>
        <w:tblLook w:val="0000" w:firstRow="0" w:lastRow="0" w:firstColumn="0" w:lastColumn="0" w:noHBand="0" w:noVBand="0"/>
      </w:tblPr>
      <w:tblGrid>
        <w:gridCol w:w="851"/>
        <w:gridCol w:w="8788"/>
      </w:tblGrid>
      <w:tr w:rsidR="00F54564" w:rsidRPr="00F811C1" w14:paraId="29FF0FAB" w14:textId="77777777" w:rsidTr="006F03D8">
        <w:trPr>
          <w:trHeight w:val="80"/>
        </w:trPr>
        <w:tc>
          <w:tcPr>
            <w:tcW w:w="851" w:type="dxa"/>
          </w:tcPr>
          <w:p w14:paraId="6921B83C" w14:textId="77777777" w:rsidR="00F54564" w:rsidRDefault="00F54564" w:rsidP="00E574DA">
            <w:pPr>
              <w:rPr>
                <w:rFonts w:ascii="Arial" w:hAnsi="Arial" w:cs="Arial"/>
                <w:b/>
                <w:bCs/>
                <w:szCs w:val="24"/>
              </w:rPr>
            </w:pPr>
            <w:r>
              <w:rPr>
                <w:rFonts w:ascii="Arial" w:hAnsi="Arial" w:cs="Arial"/>
                <w:b/>
                <w:bCs/>
                <w:szCs w:val="24"/>
              </w:rPr>
              <w:t>6.</w:t>
            </w:r>
          </w:p>
          <w:p w14:paraId="4DA5D254" w14:textId="77777777" w:rsidR="00F54564" w:rsidRDefault="00F54564" w:rsidP="00E574DA">
            <w:pPr>
              <w:rPr>
                <w:rFonts w:ascii="Arial" w:hAnsi="Arial" w:cs="Arial"/>
                <w:szCs w:val="24"/>
              </w:rPr>
            </w:pPr>
          </w:p>
        </w:tc>
        <w:tc>
          <w:tcPr>
            <w:tcW w:w="8788" w:type="dxa"/>
          </w:tcPr>
          <w:p w14:paraId="6D82B602" w14:textId="2632A06B" w:rsidR="00F54564" w:rsidRDefault="00F54564" w:rsidP="00E574DA">
            <w:pPr>
              <w:jc w:val="both"/>
              <w:outlineLvl w:val="1"/>
              <w:rPr>
                <w:rFonts w:ascii="Arial" w:hAnsi="Arial" w:cs="Arial"/>
                <w:b/>
                <w:bCs/>
                <w:szCs w:val="24"/>
                <w:lang w:val="en"/>
              </w:rPr>
            </w:pPr>
            <w:r w:rsidRPr="001B07EA">
              <w:rPr>
                <w:rFonts w:ascii="Arial" w:hAnsi="Arial" w:cs="Arial"/>
                <w:b/>
                <w:bCs/>
                <w:szCs w:val="24"/>
                <w:lang w:val="en"/>
              </w:rPr>
              <w:t>Gender Pay Gap 202</w:t>
            </w:r>
            <w:r>
              <w:rPr>
                <w:rFonts w:ascii="Arial" w:hAnsi="Arial" w:cs="Arial"/>
                <w:b/>
                <w:bCs/>
                <w:szCs w:val="24"/>
                <w:lang w:val="en"/>
              </w:rPr>
              <w:t>2</w:t>
            </w:r>
          </w:p>
          <w:p w14:paraId="4A8D4E3B" w14:textId="77777777" w:rsidR="00F54564" w:rsidRPr="00F811C1" w:rsidRDefault="00F54564" w:rsidP="00E574DA">
            <w:pPr>
              <w:spacing w:after="100" w:afterAutospacing="1"/>
              <w:jc w:val="both"/>
              <w:outlineLvl w:val="1"/>
              <w:rPr>
                <w:rFonts w:ascii="Arial" w:hAnsi="Arial" w:cs="Arial"/>
                <w:b/>
                <w:bCs/>
                <w:szCs w:val="24"/>
                <w:lang w:val="en"/>
              </w:rPr>
            </w:pPr>
          </w:p>
        </w:tc>
      </w:tr>
      <w:tr w:rsidR="00F54564" w14:paraId="0794A22D" w14:textId="77777777" w:rsidTr="006F03D8">
        <w:trPr>
          <w:trHeight w:val="80"/>
        </w:trPr>
        <w:tc>
          <w:tcPr>
            <w:tcW w:w="851" w:type="dxa"/>
          </w:tcPr>
          <w:p w14:paraId="3908CB9E" w14:textId="77777777" w:rsidR="00F54564" w:rsidRDefault="00F54564" w:rsidP="00E574DA">
            <w:pPr>
              <w:rPr>
                <w:rFonts w:ascii="Arial" w:hAnsi="Arial" w:cs="Arial"/>
                <w:szCs w:val="24"/>
              </w:rPr>
            </w:pPr>
            <w:r>
              <w:rPr>
                <w:rFonts w:ascii="Arial" w:hAnsi="Arial" w:cs="Arial"/>
                <w:szCs w:val="24"/>
              </w:rPr>
              <w:t>6.1</w:t>
            </w:r>
          </w:p>
        </w:tc>
        <w:tc>
          <w:tcPr>
            <w:tcW w:w="8788" w:type="dxa"/>
          </w:tcPr>
          <w:p w14:paraId="21784497" w14:textId="77777777" w:rsidR="00F54564" w:rsidRDefault="00F54564" w:rsidP="00E574DA">
            <w:pPr>
              <w:jc w:val="both"/>
              <w:outlineLvl w:val="1"/>
              <w:rPr>
                <w:rFonts w:ascii="Arial" w:hAnsi="Arial" w:cs="Arial"/>
                <w:szCs w:val="24"/>
                <w:lang w:val="en"/>
              </w:rPr>
            </w:pPr>
            <w:r w:rsidRPr="00FA4126">
              <w:rPr>
                <w:rFonts w:ascii="Arial" w:hAnsi="Arial" w:cs="Arial"/>
                <w:szCs w:val="24"/>
                <w:lang w:val="en"/>
              </w:rPr>
              <w:t xml:space="preserve">Under The Equality Act 2010 (Gender Pay Gap Information) Regulations 2017 it is a legal requirement for </w:t>
            </w:r>
            <w:r w:rsidRPr="00766194">
              <w:rPr>
                <w:rFonts w:ascii="Arial" w:hAnsi="Arial" w:cs="Arial"/>
                <w:szCs w:val="24"/>
                <w:lang w:val="en"/>
              </w:rPr>
              <w:t xml:space="preserve">any organisation </w:t>
            </w:r>
            <w:r>
              <w:rPr>
                <w:rFonts w:ascii="Arial" w:hAnsi="Arial" w:cs="Arial"/>
                <w:szCs w:val="24"/>
                <w:lang w:val="en"/>
              </w:rPr>
              <w:t>with</w:t>
            </w:r>
            <w:r w:rsidRPr="00766194">
              <w:rPr>
                <w:rFonts w:ascii="Arial" w:hAnsi="Arial" w:cs="Arial"/>
                <w:szCs w:val="24"/>
                <w:lang w:val="en"/>
              </w:rPr>
              <w:t xml:space="preserve"> 250 or more employees </w:t>
            </w:r>
            <w:r w:rsidRPr="00FA4126">
              <w:rPr>
                <w:rFonts w:ascii="Arial" w:hAnsi="Arial" w:cs="Arial"/>
                <w:szCs w:val="24"/>
                <w:lang w:val="en"/>
              </w:rPr>
              <w:t xml:space="preserve">to </w:t>
            </w:r>
            <w:r w:rsidRPr="00766194">
              <w:rPr>
                <w:rFonts w:ascii="Arial" w:hAnsi="Arial" w:cs="Arial"/>
                <w:szCs w:val="24"/>
                <w:lang w:val="en"/>
              </w:rPr>
              <w:t>publish and report specific figures about their gender pay gap</w:t>
            </w:r>
            <w:r>
              <w:rPr>
                <w:rFonts w:ascii="Arial" w:hAnsi="Arial" w:cs="Arial"/>
                <w:szCs w:val="24"/>
                <w:lang w:val="en"/>
              </w:rPr>
              <w:t>, by April each year</w:t>
            </w:r>
            <w:r w:rsidRPr="00766194">
              <w:rPr>
                <w:rFonts w:ascii="Arial" w:hAnsi="Arial" w:cs="Arial"/>
                <w:szCs w:val="24"/>
                <w:lang w:val="en"/>
              </w:rPr>
              <w:t>.</w:t>
            </w:r>
          </w:p>
          <w:p w14:paraId="1DEC26AE" w14:textId="77777777" w:rsidR="00F54564" w:rsidRDefault="00F54564" w:rsidP="00E574DA">
            <w:pPr>
              <w:jc w:val="both"/>
              <w:rPr>
                <w:rFonts w:ascii="Arial" w:hAnsi="Arial" w:cs="Arial"/>
              </w:rPr>
            </w:pPr>
          </w:p>
        </w:tc>
      </w:tr>
      <w:tr w:rsidR="00F54564" w14:paraId="2F8ED0AD" w14:textId="77777777" w:rsidTr="006F03D8">
        <w:trPr>
          <w:trHeight w:val="80"/>
        </w:trPr>
        <w:tc>
          <w:tcPr>
            <w:tcW w:w="851" w:type="dxa"/>
          </w:tcPr>
          <w:p w14:paraId="6C1E5E54" w14:textId="77777777" w:rsidR="00F54564" w:rsidRDefault="00F54564" w:rsidP="00E574DA">
            <w:pPr>
              <w:rPr>
                <w:rFonts w:ascii="Arial" w:hAnsi="Arial" w:cs="Arial"/>
                <w:szCs w:val="24"/>
              </w:rPr>
            </w:pPr>
            <w:r>
              <w:rPr>
                <w:rFonts w:ascii="Arial" w:hAnsi="Arial" w:cs="Arial"/>
                <w:szCs w:val="24"/>
              </w:rPr>
              <w:t>6.2</w:t>
            </w:r>
          </w:p>
        </w:tc>
        <w:tc>
          <w:tcPr>
            <w:tcW w:w="8788" w:type="dxa"/>
          </w:tcPr>
          <w:p w14:paraId="6415AF61" w14:textId="18A3181A" w:rsidR="00F54564" w:rsidRPr="000171D0" w:rsidRDefault="00F54564" w:rsidP="00E574DA">
            <w:pPr>
              <w:jc w:val="both"/>
              <w:rPr>
                <w:rFonts w:ascii="Arial" w:hAnsi="Arial" w:cs="Arial"/>
                <w:szCs w:val="24"/>
                <w:lang w:val="en"/>
              </w:rPr>
            </w:pPr>
            <w:r w:rsidRPr="00766194">
              <w:rPr>
                <w:rFonts w:ascii="Arial" w:hAnsi="Arial" w:cs="Arial"/>
                <w:szCs w:val="24"/>
                <w:lang w:val="en"/>
              </w:rPr>
              <w:t xml:space="preserve">The gender pay gap is the difference between the average earnings of men and women, expressed relative to men’s earnings. </w:t>
            </w:r>
            <w:r w:rsidR="000171D0">
              <w:rPr>
                <w:rFonts w:ascii="Arial" w:hAnsi="Arial" w:cs="Arial"/>
                <w:szCs w:val="24"/>
                <w:lang w:val="en"/>
              </w:rPr>
              <w:t xml:space="preserve">Directors are asked to note that the gender pay gap </w:t>
            </w:r>
            <w:r w:rsidR="000171D0">
              <w:rPr>
                <w:rFonts w:ascii="Arial" w:hAnsi="Arial" w:cs="Arial"/>
                <w:b/>
                <w:bCs/>
                <w:szCs w:val="24"/>
                <w:lang w:val="en"/>
              </w:rPr>
              <w:t>is not</w:t>
            </w:r>
            <w:r w:rsidR="000171D0">
              <w:rPr>
                <w:rFonts w:ascii="Arial" w:hAnsi="Arial" w:cs="Arial"/>
                <w:szCs w:val="24"/>
                <w:lang w:val="en"/>
              </w:rPr>
              <w:t xml:space="preserve"> the difference in salaries paid to male and female staff, and reminded that all HLH staff (regardless of gender) are paid on the same salary scales. </w:t>
            </w:r>
          </w:p>
          <w:p w14:paraId="2EF6079D" w14:textId="77777777" w:rsidR="00F54564" w:rsidRDefault="00F54564" w:rsidP="00E574DA">
            <w:pPr>
              <w:jc w:val="both"/>
              <w:rPr>
                <w:rFonts w:ascii="Arial" w:hAnsi="Arial" w:cs="Arial"/>
              </w:rPr>
            </w:pPr>
          </w:p>
        </w:tc>
      </w:tr>
      <w:tr w:rsidR="00F54564" w:rsidRPr="006346EB" w14:paraId="7AD89DA0" w14:textId="77777777" w:rsidTr="006F03D8">
        <w:trPr>
          <w:trHeight w:val="80"/>
        </w:trPr>
        <w:tc>
          <w:tcPr>
            <w:tcW w:w="851" w:type="dxa"/>
          </w:tcPr>
          <w:p w14:paraId="14E850FF" w14:textId="77777777" w:rsidR="00F54564" w:rsidRDefault="00F54564" w:rsidP="00E574DA">
            <w:pPr>
              <w:rPr>
                <w:rFonts w:ascii="Arial" w:hAnsi="Arial" w:cs="Arial"/>
                <w:szCs w:val="24"/>
              </w:rPr>
            </w:pPr>
            <w:r>
              <w:rPr>
                <w:rFonts w:ascii="Arial" w:hAnsi="Arial" w:cs="Arial"/>
                <w:szCs w:val="24"/>
              </w:rPr>
              <w:t>6.3</w:t>
            </w:r>
          </w:p>
        </w:tc>
        <w:tc>
          <w:tcPr>
            <w:tcW w:w="8788" w:type="dxa"/>
          </w:tcPr>
          <w:p w14:paraId="2F77F970" w14:textId="77777777" w:rsidR="00F54564" w:rsidRPr="00766194" w:rsidRDefault="00F54564" w:rsidP="00E574DA">
            <w:pPr>
              <w:jc w:val="both"/>
              <w:rPr>
                <w:rFonts w:ascii="Arial" w:hAnsi="Arial" w:cs="Arial"/>
                <w:szCs w:val="24"/>
                <w:lang w:val="en"/>
              </w:rPr>
            </w:pPr>
            <w:r w:rsidRPr="00766194">
              <w:rPr>
                <w:rFonts w:ascii="Arial" w:hAnsi="Arial" w:cs="Arial"/>
                <w:szCs w:val="24"/>
                <w:lang w:val="en"/>
              </w:rPr>
              <w:t xml:space="preserve">Employers must publish their </w:t>
            </w:r>
            <w:hyperlink r:id="rId8" w:history="1">
              <w:r w:rsidRPr="00FA4126">
                <w:rPr>
                  <w:rFonts w:ascii="Arial" w:hAnsi="Arial" w:cs="Arial"/>
                  <w:szCs w:val="24"/>
                  <w:lang w:val="en"/>
                </w:rPr>
                <w:t>gender pay gap data and a written statement</w:t>
              </w:r>
            </w:hyperlink>
            <w:r w:rsidRPr="00766194">
              <w:rPr>
                <w:rFonts w:ascii="Arial" w:hAnsi="Arial" w:cs="Arial"/>
                <w:szCs w:val="24"/>
                <w:lang w:val="en"/>
              </w:rPr>
              <w:t xml:space="preserve"> on their public-facing website</w:t>
            </w:r>
            <w:r>
              <w:rPr>
                <w:rFonts w:ascii="Arial" w:hAnsi="Arial" w:cs="Arial"/>
                <w:szCs w:val="24"/>
                <w:lang w:val="en"/>
              </w:rPr>
              <w:t xml:space="preserve"> and </w:t>
            </w:r>
            <w:r w:rsidRPr="00766194">
              <w:rPr>
                <w:rFonts w:ascii="Arial" w:hAnsi="Arial" w:cs="Arial"/>
                <w:szCs w:val="24"/>
                <w:lang w:val="en"/>
              </w:rPr>
              <w:t>report their data to government online</w:t>
            </w:r>
            <w:r>
              <w:rPr>
                <w:rFonts w:ascii="Arial" w:hAnsi="Arial" w:cs="Arial"/>
                <w:szCs w:val="24"/>
                <w:lang w:val="en"/>
              </w:rPr>
              <w:t>.</w:t>
            </w:r>
            <w:r w:rsidRPr="00766194">
              <w:rPr>
                <w:rFonts w:ascii="Arial" w:hAnsi="Arial" w:cs="Arial"/>
                <w:szCs w:val="24"/>
                <w:lang w:val="en"/>
              </w:rPr>
              <w:t xml:space="preserve"> </w:t>
            </w:r>
          </w:p>
          <w:p w14:paraId="28A91D5F" w14:textId="77777777" w:rsidR="00F54564" w:rsidRPr="006346EB" w:rsidRDefault="00F54564" w:rsidP="00E574DA">
            <w:pPr>
              <w:pStyle w:val="Heading2"/>
              <w:jc w:val="both"/>
              <w:rPr>
                <w:rFonts w:ascii="Arial" w:hAnsi="Arial" w:cs="Arial"/>
              </w:rPr>
            </w:pPr>
          </w:p>
        </w:tc>
      </w:tr>
      <w:tr w:rsidR="00F54564" w:rsidRPr="006346EB" w14:paraId="248F6381" w14:textId="77777777" w:rsidTr="006F03D8">
        <w:trPr>
          <w:trHeight w:val="80"/>
        </w:trPr>
        <w:tc>
          <w:tcPr>
            <w:tcW w:w="851" w:type="dxa"/>
          </w:tcPr>
          <w:p w14:paraId="6323F457" w14:textId="77777777" w:rsidR="00F54564" w:rsidRDefault="00F54564" w:rsidP="00E574DA">
            <w:pPr>
              <w:rPr>
                <w:rFonts w:ascii="Arial" w:hAnsi="Arial" w:cs="Arial"/>
                <w:szCs w:val="24"/>
              </w:rPr>
            </w:pPr>
            <w:r>
              <w:rPr>
                <w:rFonts w:ascii="Arial" w:hAnsi="Arial" w:cs="Arial"/>
                <w:szCs w:val="24"/>
              </w:rPr>
              <w:t>6.4</w:t>
            </w:r>
          </w:p>
        </w:tc>
        <w:tc>
          <w:tcPr>
            <w:tcW w:w="8788" w:type="dxa"/>
          </w:tcPr>
          <w:p w14:paraId="75619920" w14:textId="77777777" w:rsidR="00F54564" w:rsidRDefault="00F54564" w:rsidP="00E574DA">
            <w:pPr>
              <w:pStyle w:val="Heading2"/>
              <w:jc w:val="both"/>
              <w:rPr>
                <w:rFonts w:ascii="Arial" w:hAnsi="Arial" w:cs="Arial"/>
                <w:szCs w:val="24"/>
                <w:u w:val="none"/>
                <w:lang w:val="en"/>
              </w:rPr>
            </w:pPr>
            <w:r>
              <w:rPr>
                <w:rFonts w:ascii="Arial" w:hAnsi="Arial" w:cs="Arial"/>
                <w:szCs w:val="24"/>
                <w:u w:val="none"/>
                <w:lang w:val="en"/>
              </w:rPr>
              <w:t>The data required is:</w:t>
            </w:r>
          </w:p>
          <w:p w14:paraId="3C3C5391" w14:textId="77777777" w:rsidR="00F54564" w:rsidRPr="00E937CC" w:rsidRDefault="00F54564" w:rsidP="00E574DA">
            <w:pPr>
              <w:rPr>
                <w:lang w:val="en"/>
              </w:rPr>
            </w:pPr>
          </w:p>
          <w:p w14:paraId="715EADBA" w14:textId="77777777" w:rsidR="00F54564" w:rsidRPr="00FA4126" w:rsidRDefault="00F54564" w:rsidP="00F54564">
            <w:pPr>
              <w:numPr>
                <w:ilvl w:val="0"/>
                <w:numId w:val="33"/>
              </w:numPr>
              <w:jc w:val="both"/>
              <w:rPr>
                <w:rFonts w:ascii="Arial" w:hAnsi="Arial" w:cs="Arial"/>
                <w:szCs w:val="24"/>
                <w:lang w:val="en"/>
              </w:rPr>
            </w:pPr>
            <w:r w:rsidRPr="00FA4126">
              <w:rPr>
                <w:rFonts w:ascii="Arial" w:hAnsi="Arial" w:cs="Arial"/>
                <w:szCs w:val="24"/>
                <w:lang w:val="en"/>
              </w:rPr>
              <w:t xml:space="preserve">mean </w:t>
            </w:r>
            <w:r>
              <w:rPr>
                <w:rFonts w:ascii="Arial" w:hAnsi="Arial" w:cs="Arial"/>
                <w:szCs w:val="24"/>
                <w:lang w:val="en"/>
              </w:rPr>
              <w:t xml:space="preserve">(average) </w:t>
            </w:r>
            <w:r w:rsidRPr="00FA4126">
              <w:rPr>
                <w:rFonts w:ascii="Arial" w:hAnsi="Arial" w:cs="Arial"/>
                <w:szCs w:val="24"/>
                <w:lang w:val="en"/>
              </w:rPr>
              <w:t>gender pay gap in hourly pay</w:t>
            </w:r>
            <w:r>
              <w:rPr>
                <w:rFonts w:ascii="Arial" w:hAnsi="Arial" w:cs="Arial"/>
                <w:szCs w:val="24"/>
                <w:lang w:val="en"/>
              </w:rPr>
              <w:t>;</w:t>
            </w:r>
          </w:p>
          <w:p w14:paraId="583BA06B" w14:textId="77777777" w:rsidR="00F54564" w:rsidRPr="00FA4126" w:rsidRDefault="00F54564" w:rsidP="00F54564">
            <w:pPr>
              <w:numPr>
                <w:ilvl w:val="0"/>
                <w:numId w:val="33"/>
              </w:numPr>
              <w:jc w:val="both"/>
              <w:rPr>
                <w:rFonts w:ascii="Arial" w:hAnsi="Arial" w:cs="Arial"/>
                <w:szCs w:val="24"/>
                <w:lang w:val="en"/>
              </w:rPr>
            </w:pPr>
            <w:r w:rsidRPr="00FA4126">
              <w:rPr>
                <w:rFonts w:ascii="Arial" w:hAnsi="Arial" w:cs="Arial"/>
                <w:szCs w:val="24"/>
                <w:lang w:val="en"/>
              </w:rPr>
              <w:t>median</w:t>
            </w:r>
            <w:r>
              <w:rPr>
                <w:rFonts w:ascii="Arial" w:hAnsi="Arial" w:cs="Arial"/>
                <w:szCs w:val="24"/>
                <w:lang w:val="en"/>
              </w:rPr>
              <w:t xml:space="preserve"> (midpoint)</w:t>
            </w:r>
            <w:r w:rsidRPr="00FA4126">
              <w:rPr>
                <w:rFonts w:ascii="Arial" w:hAnsi="Arial" w:cs="Arial"/>
                <w:szCs w:val="24"/>
                <w:lang w:val="en"/>
              </w:rPr>
              <w:t xml:space="preserve"> gender pay gap in hourly pay</w:t>
            </w:r>
            <w:r>
              <w:rPr>
                <w:rFonts w:ascii="Arial" w:hAnsi="Arial" w:cs="Arial"/>
                <w:szCs w:val="24"/>
                <w:lang w:val="en"/>
              </w:rPr>
              <w:t>;</w:t>
            </w:r>
          </w:p>
          <w:p w14:paraId="02861FC9" w14:textId="77777777" w:rsidR="00F54564" w:rsidRPr="00FA4126" w:rsidRDefault="00F54564" w:rsidP="00F54564">
            <w:pPr>
              <w:numPr>
                <w:ilvl w:val="0"/>
                <w:numId w:val="33"/>
              </w:numPr>
              <w:jc w:val="both"/>
              <w:rPr>
                <w:rFonts w:ascii="Arial" w:hAnsi="Arial" w:cs="Arial"/>
                <w:szCs w:val="24"/>
                <w:lang w:val="en"/>
              </w:rPr>
            </w:pPr>
            <w:r w:rsidRPr="00FA4126">
              <w:rPr>
                <w:rFonts w:ascii="Arial" w:hAnsi="Arial" w:cs="Arial"/>
                <w:szCs w:val="24"/>
                <w:lang w:val="en"/>
              </w:rPr>
              <w:t>mean bonus gender pay gap</w:t>
            </w:r>
            <w:r>
              <w:rPr>
                <w:rFonts w:ascii="Arial" w:hAnsi="Arial" w:cs="Arial"/>
                <w:szCs w:val="24"/>
                <w:lang w:val="en"/>
              </w:rPr>
              <w:t>;</w:t>
            </w:r>
          </w:p>
          <w:p w14:paraId="6E7E1F9C" w14:textId="77777777" w:rsidR="00F54564" w:rsidRPr="00FA4126" w:rsidRDefault="00F54564" w:rsidP="00F54564">
            <w:pPr>
              <w:numPr>
                <w:ilvl w:val="0"/>
                <w:numId w:val="33"/>
              </w:numPr>
              <w:jc w:val="both"/>
              <w:rPr>
                <w:rFonts w:ascii="Arial" w:hAnsi="Arial" w:cs="Arial"/>
                <w:szCs w:val="24"/>
                <w:lang w:val="en"/>
              </w:rPr>
            </w:pPr>
            <w:r w:rsidRPr="00FA4126">
              <w:rPr>
                <w:rFonts w:ascii="Arial" w:hAnsi="Arial" w:cs="Arial"/>
                <w:szCs w:val="24"/>
                <w:lang w:val="en"/>
              </w:rPr>
              <w:t>median bonus gender pay gap</w:t>
            </w:r>
            <w:r>
              <w:rPr>
                <w:rFonts w:ascii="Arial" w:hAnsi="Arial" w:cs="Arial"/>
                <w:szCs w:val="24"/>
                <w:lang w:val="en"/>
              </w:rPr>
              <w:t>;</w:t>
            </w:r>
          </w:p>
          <w:p w14:paraId="778F8959" w14:textId="77777777" w:rsidR="00F54564" w:rsidRPr="006346EB" w:rsidRDefault="00F54564" w:rsidP="00F54564">
            <w:pPr>
              <w:numPr>
                <w:ilvl w:val="0"/>
                <w:numId w:val="33"/>
              </w:numPr>
              <w:jc w:val="both"/>
              <w:rPr>
                <w:rFonts w:ascii="Arial" w:hAnsi="Arial" w:cs="Arial"/>
                <w:szCs w:val="24"/>
                <w:lang w:val="en"/>
              </w:rPr>
            </w:pPr>
            <w:r w:rsidRPr="00FA4126">
              <w:rPr>
                <w:rFonts w:ascii="Arial" w:hAnsi="Arial" w:cs="Arial"/>
                <w:szCs w:val="24"/>
                <w:lang w:val="en"/>
              </w:rPr>
              <w:t xml:space="preserve">proportion of </w:t>
            </w:r>
            <w:r w:rsidRPr="006346EB">
              <w:rPr>
                <w:rFonts w:ascii="Arial" w:hAnsi="Arial" w:cs="Arial"/>
                <w:szCs w:val="24"/>
                <w:lang w:val="en"/>
              </w:rPr>
              <w:t>males and females receiving a bonus payment; and</w:t>
            </w:r>
          </w:p>
          <w:p w14:paraId="58951ED4" w14:textId="77777777" w:rsidR="00F54564" w:rsidRPr="006346EB" w:rsidRDefault="00F54564" w:rsidP="00F54564">
            <w:pPr>
              <w:pStyle w:val="ListParagraph"/>
              <w:numPr>
                <w:ilvl w:val="0"/>
                <w:numId w:val="33"/>
              </w:numPr>
              <w:spacing w:after="0"/>
              <w:jc w:val="both"/>
              <w:rPr>
                <w:rFonts w:ascii="Arial" w:hAnsi="Arial" w:cs="Arial"/>
                <w:szCs w:val="24"/>
              </w:rPr>
            </w:pPr>
            <w:r w:rsidRPr="006346EB">
              <w:rPr>
                <w:rFonts w:ascii="Arial" w:hAnsi="Arial" w:cs="Arial"/>
                <w:sz w:val="24"/>
                <w:szCs w:val="24"/>
                <w:lang w:val="en"/>
              </w:rPr>
              <w:t>proportion of males and females in each pay quartile</w:t>
            </w:r>
            <w:r>
              <w:rPr>
                <w:rFonts w:ascii="Arial" w:hAnsi="Arial" w:cs="Arial"/>
                <w:sz w:val="24"/>
                <w:szCs w:val="24"/>
                <w:lang w:val="en"/>
              </w:rPr>
              <w:t>.</w:t>
            </w:r>
          </w:p>
          <w:p w14:paraId="6BCCA2D3" w14:textId="77777777" w:rsidR="00F54564" w:rsidRPr="006346EB" w:rsidRDefault="00F54564" w:rsidP="00E574DA">
            <w:pPr>
              <w:pStyle w:val="ListParagraph"/>
              <w:spacing w:after="0"/>
              <w:ind w:left="1080"/>
              <w:jc w:val="both"/>
              <w:rPr>
                <w:rFonts w:ascii="Arial" w:hAnsi="Arial" w:cs="Arial"/>
                <w:szCs w:val="24"/>
              </w:rPr>
            </w:pPr>
          </w:p>
        </w:tc>
      </w:tr>
      <w:tr w:rsidR="00F54564" w:rsidRPr="006346EB" w14:paraId="697EF2BB" w14:textId="77777777" w:rsidTr="006F03D8">
        <w:trPr>
          <w:trHeight w:val="80"/>
        </w:trPr>
        <w:tc>
          <w:tcPr>
            <w:tcW w:w="851" w:type="dxa"/>
          </w:tcPr>
          <w:p w14:paraId="2BE9003D" w14:textId="77777777" w:rsidR="00F54564" w:rsidRDefault="00F54564" w:rsidP="00E574DA">
            <w:pPr>
              <w:rPr>
                <w:rFonts w:ascii="Arial" w:hAnsi="Arial" w:cs="Arial"/>
                <w:szCs w:val="24"/>
              </w:rPr>
            </w:pPr>
            <w:r>
              <w:rPr>
                <w:rFonts w:ascii="Arial" w:hAnsi="Arial" w:cs="Arial"/>
                <w:szCs w:val="24"/>
              </w:rPr>
              <w:t>6.5</w:t>
            </w:r>
          </w:p>
        </w:tc>
        <w:tc>
          <w:tcPr>
            <w:tcW w:w="8788" w:type="dxa"/>
          </w:tcPr>
          <w:p w14:paraId="24BAFCBA" w14:textId="48A8E314" w:rsidR="00F54564" w:rsidRDefault="00F54564" w:rsidP="00E574DA">
            <w:pPr>
              <w:pStyle w:val="Heading2"/>
              <w:jc w:val="both"/>
              <w:rPr>
                <w:rFonts w:ascii="Arial" w:hAnsi="Arial" w:cs="Arial"/>
                <w:szCs w:val="24"/>
                <w:u w:val="none"/>
                <w:lang w:val="en"/>
              </w:rPr>
            </w:pPr>
            <w:r>
              <w:rPr>
                <w:rFonts w:ascii="Arial" w:hAnsi="Arial" w:cs="Arial"/>
                <w:szCs w:val="24"/>
                <w:u w:val="none"/>
                <w:lang w:val="en"/>
              </w:rPr>
              <w:t xml:space="preserve">HLH’s detailed results are provided in the draft Gender Pay Gap Report at </w:t>
            </w:r>
            <w:r w:rsidRPr="006346EB">
              <w:rPr>
                <w:rFonts w:ascii="Arial" w:hAnsi="Arial" w:cs="Arial"/>
                <w:b/>
                <w:bCs/>
                <w:szCs w:val="24"/>
                <w:u w:val="none"/>
                <w:lang w:val="en"/>
              </w:rPr>
              <w:t xml:space="preserve">Appendix </w:t>
            </w:r>
            <w:r w:rsidR="00A52FE2">
              <w:rPr>
                <w:rFonts w:ascii="Arial" w:hAnsi="Arial" w:cs="Arial"/>
                <w:b/>
                <w:bCs/>
                <w:szCs w:val="24"/>
                <w:u w:val="none"/>
                <w:lang w:val="en"/>
              </w:rPr>
              <w:t>C</w:t>
            </w:r>
            <w:r w:rsidRPr="006346EB">
              <w:rPr>
                <w:rFonts w:ascii="Arial" w:hAnsi="Arial" w:cs="Arial"/>
                <w:b/>
                <w:bCs/>
                <w:szCs w:val="24"/>
                <w:u w:val="none"/>
                <w:lang w:val="en"/>
              </w:rPr>
              <w:t>.</w:t>
            </w:r>
          </w:p>
          <w:p w14:paraId="347E39DF" w14:textId="77777777" w:rsidR="00F54564" w:rsidRPr="006346EB" w:rsidRDefault="00F54564" w:rsidP="00E574DA">
            <w:pPr>
              <w:rPr>
                <w:lang w:val="en"/>
              </w:rPr>
            </w:pPr>
          </w:p>
        </w:tc>
      </w:tr>
      <w:tr w:rsidR="00F54564" w:rsidRPr="006346EB" w14:paraId="7A15139E" w14:textId="77777777" w:rsidTr="006F03D8">
        <w:trPr>
          <w:trHeight w:val="80"/>
        </w:trPr>
        <w:tc>
          <w:tcPr>
            <w:tcW w:w="851" w:type="dxa"/>
          </w:tcPr>
          <w:p w14:paraId="4632DE27" w14:textId="77777777" w:rsidR="00F54564" w:rsidRDefault="00F54564" w:rsidP="00E574DA">
            <w:pPr>
              <w:rPr>
                <w:rFonts w:ascii="Arial" w:hAnsi="Arial" w:cs="Arial"/>
                <w:szCs w:val="24"/>
              </w:rPr>
            </w:pPr>
            <w:r>
              <w:rPr>
                <w:rFonts w:ascii="Arial" w:hAnsi="Arial" w:cs="Arial"/>
                <w:szCs w:val="24"/>
              </w:rPr>
              <w:t>6.6</w:t>
            </w:r>
          </w:p>
        </w:tc>
        <w:tc>
          <w:tcPr>
            <w:tcW w:w="8788" w:type="dxa"/>
          </w:tcPr>
          <w:p w14:paraId="28815F6D" w14:textId="14026C11" w:rsidR="00F54564" w:rsidRDefault="00F54564" w:rsidP="00E574DA">
            <w:pPr>
              <w:pStyle w:val="Heading2"/>
              <w:jc w:val="both"/>
              <w:rPr>
                <w:rFonts w:ascii="Arial" w:hAnsi="Arial" w:cs="Arial"/>
                <w:szCs w:val="24"/>
                <w:u w:val="none"/>
                <w:lang w:val="en"/>
              </w:rPr>
            </w:pPr>
            <w:r>
              <w:rPr>
                <w:rFonts w:ascii="Arial" w:hAnsi="Arial" w:cs="Arial"/>
                <w:szCs w:val="24"/>
                <w:u w:val="none"/>
                <w:lang w:val="en"/>
              </w:rPr>
              <w:t>The table below provides a comparison of the Gender Pay Gap results from 2019/20, 2020/21 and 2021/22:</w:t>
            </w:r>
          </w:p>
          <w:p w14:paraId="3BF888C4" w14:textId="48A390B5" w:rsidR="006F03D8" w:rsidRDefault="006F03D8" w:rsidP="006F03D8">
            <w:pPr>
              <w:rPr>
                <w:lang w:val="en"/>
              </w:rPr>
            </w:pPr>
          </w:p>
          <w:p w14:paraId="0844AC9E" w14:textId="4D9ECF3D" w:rsidR="006F03D8" w:rsidRDefault="006F03D8" w:rsidP="006F03D8">
            <w:pPr>
              <w:rPr>
                <w:lang w:val="en"/>
              </w:rPr>
            </w:pPr>
          </w:p>
          <w:p w14:paraId="60812695" w14:textId="55B210A6" w:rsidR="006F03D8" w:rsidRDefault="006F03D8" w:rsidP="006F03D8">
            <w:pPr>
              <w:rPr>
                <w:lang w:val="en"/>
              </w:rPr>
            </w:pPr>
          </w:p>
          <w:p w14:paraId="2B358713" w14:textId="77777777" w:rsidR="006F03D8" w:rsidRPr="006F03D8" w:rsidRDefault="006F03D8" w:rsidP="006F03D8">
            <w:pPr>
              <w:rPr>
                <w:lang w:val="en"/>
              </w:rPr>
            </w:pPr>
          </w:p>
          <w:p w14:paraId="0636A999" w14:textId="77777777" w:rsidR="00F54564" w:rsidRPr="006346EB" w:rsidRDefault="00F54564" w:rsidP="00E574DA">
            <w:pPr>
              <w:rPr>
                <w:lang w:val="en"/>
              </w:rPr>
            </w:pPr>
          </w:p>
        </w:tc>
      </w:tr>
      <w:tr w:rsidR="00F54564" w:rsidRPr="00E37EB7" w14:paraId="7EAE6DEA" w14:textId="77777777" w:rsidTr="006F03D8">
        <w:trPr>
          <w:trHeight w:val="80"/>
        </w:trPr>
        <w:tc>
          <w:tcPr>
            <w:tcW w:w="851" w:type="dxa"/>
          </w:tcPr>
          <w:p w14:paraId="159E87B7" w14:textId="77777777" w:rsidR="00F54564" w:rsidRDefault="00F54564" w:rsidP="00E574DA">
            <w:pPr>
              <w:rPr>
                <w:rFonts w:ascii="Arial" w:hAnsi="Arial" w:cs="Arial"/>
                <w:szCs w:val="24"/>
              </w:rPr>
            </w:pPr>
          </w:p>
        </w:tc>
        <w:tc>
          <w:tcPr>
            <w:tcW w:w="8788" w:type="dxa"/>
          </w:tcPr>
          <w:tbl>
            <w:tblPr>
              <w:tblStyle w:val="TableGrid1"/>
              <w:tblW w:w="8251" w:type="dxa"/>
              <w:tblLayout w:type="fixed"/>
              <w:tblLook w:val="04A0" w:firstRow="1" w:lastRow="0" w:firstColumn="1" w:lastColumn="0" w:noHBand="0" w:noVBand="1"/>
            </w:tblPr>
            <w:tblGrid>
              <w:gridCol w:w="1151"/>
              <w:gridCol w:w="3508"/>
              <w:gridCol w:w="3592"/>
            </w:tblGrid>
            <w:tr w:rsidR="00F54564" w:rsidRPr="00E37EB7" w14:paraId="7416F2E6" w14:textId="77777777" w:rsidTr="00E574DA">
              <w:trPr>
                <w:trHeight w:val="514"/>
              </w:trPr>
              <w:tc>
                <w:tcPr>
                  <w:tcW w:w="1151" w:type="dxa"/>
                  <w:vMerge w:val="restart"/>
                  <w:tcBorders>
                    <w:top w:val="single" w:sz="4" w:space="0" w:color="auto"/>
                    <w:left w:val="single" w:sz="4" w:space="0" w:color="auto"/>
                    <w:right w:val="single" w:sz="4" w:space="0" w:color="auto"/>
                  </w:tcBorders>
                  <w:shd w:val="clear" w:color="auto" w:fill="BFBFBF" w:themeFill="background1" w:themeFillShade="BF"/>
                </w:tcPr>
                <w:p w14:paraId="7DC93FEF" w14:textId="77777777" w:rsidR="00F54564" w:rsidRPr="001269D2" w:rsidRDefault="00F54564" w:rsidP="00E574DA">
                  <w:pPr>
                    <w:autoSpaceDE w:val="0"/>
                    <w:autoSpaceDN w:val="0"/>
                    <w:adjustRightInd w:val="0"/>
                    <w:jc w:val="both"/>
                    <w:rPr>
                      <w:rFonts w:ascii="Arial" w:hAnsi="Arial" w:cs="Arial"/>
                      <w:b/>
                      <w:sz w:val="24"/>
                      <w:szCs w:val="24"/>
                    </w:rPr>
                  </w:pPr>
                </w:p>
              </w:tc>
              <w:tc>
                <w:tcPr>
                  <w:tcW w:w="7100" w:type="dxa"/>
                  <w:gridSpan w:val="2"/>
                  <w:tcBorders>
                    <w:top w:val="single" w:sz="4" w:space="0" w:color="auto"/>
                    <w:left w:val="single" w:sz="4" w:space="0" w:color="auto"/>
                    <w:right w:val="single" w:sz="4" w:space="0" w:color="auto"/>
                  </w:tcBorders>
                  <w:shd w:val="clear" w:color="auto" w:fill="BFBFBF" w:themeFill="background1" w:themeFillShade="BF"/>
                </w:tcPr>
                <w:p w14:paraId="104CF9C7" w14:textId="4FA9E0FE" w:rsidR="00F54564" w:rsidRPr="001269D2" w:rsidRDefault="00F54564" w:rsidP="001269D2">
                  <w:pPr>
                    <w:autoSpaceDE w:val="0"/>
                    <w:autoSpaceDN w:val="0"/>
                    <w:adjustRightInd w:val="0"/>
                    <w:jc w:val="both"/>
                    <w:rPr>
                      <w:rFonts w:ascii="Arial" w:hAnsi="Arial" w:cs="Arial"/>
                      <w:b/>
                      <w:sz w:val="24"/>
                      <w:szCs w:val="24"/>
                    </w:rPr>
                  </w:pPr>
                  <w:r w:rsidRPr="001269D2">
                    <w:rPr>
                      <w:rFonts w:ascii="Arial" w:hAnsi="Arial" w:cs="Arial"/>
                      <w:b/>
                      <w:sz w:val="24"/>
                      <w:szCs w:val="24"/>
                    </w:rPr>
                    <w:t>Difference between male and female</w:t>
                  </w:r>
                  <w:r w:rsidR="001269D2">
                    <w:rPr>
                      <w:rFonts w:ascii="Arial" w:hAnsi="Arial" w:cs="Arial"/>
                      <w:b/>
                      <w:sz w:val="24"/>
                      <w:szCs w:val="24"/>
                    </w:rPr>
                    <w:t xml:space="preserve"> </w:t>
                  </w:r>
                  <w:r w:rsidRPr="001269D2">
                    <w:rPr>
                      <w:rFonts w:ascii="Arial" w:hAnsi="Arial" w:cs="Arial"/>
                      <w:b/>
                      <w:sz w:val="24"/>
                      <w:szCs w:val="24"/>
                    </w:rPr>
                    <w:t>hourly fixed pay</w:t>
                  </w:r>
                </w:p>
              </w:tc>
            </w:tr>
            <w:tr w:rsidR="00F54564" w:rsidRPr="00E37EB7" w14:paraId="0F6A60AE" w14:textId="77777777" w:rsidTr="00E574DA">
              <w:trPr>
                <w:trHeight w:val="315"/>
              </w:trPr>
              <w:tc>
                <w:tcPr>
                  <w:tcW w:w="1151" w:type="dxa"/>
                  <w:vMerge/>
                  <w:tcBorders>
                    <w:left w:val="single" w:sz="4" w:space="0" w:color="auto"/>
                    <w:bottom w:val="single" w:sz="4" w:space="0" w:color="auto"/>
                    <w:right w:val="single" w:sz="4" w:space="0" w:color="auto"/>
                  </w:tcBorders>
                  <w:shd w:val="clear" w:color="auto" w:fill="BFBFBF" w:themeFill="background1" w:themeFillShade="BF"/>
                </w:tcPr>
                <w:p w14:paraId="2F7156D2" w14:textId="77777777" w:rsidR="00F54564" w:rsidRPr="001269D2" w:rsidRDefault="00F54564" w:rsidP="00E574DA">
                  <w:pPr>
                    <w:autoSpaceDE w:val="0"/>
                    <w:autoSpaceDN w:val="0"/>
                    <w:adjustRightInd w:val="0"/>
                    <w:jc w:val="both"/>
                    <w:rPr>
                      <w:rFonts w:ascii="Arial" w:hAnsi="Arial" w:cs="Arial"/>
                      <w:sz w:val="24"/>
                      <w:szCs w:val="24"/>
                    </w:rPr>
                  </w:pPr>
                </w:p>
              </w:tc>
              <w:tc>
                <w:tcPr>
                  <w:tcW w:w="3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1C741B" w14:textId="77777777" w:rsidR="00F54564" w:rsidRPr="001269D2" w:rsidRDefault="00F54564" w:rsidP="00E574DA">
                  <w:pPr>
                    <w:autoSpaceDE w:val="0"/>
                    <w:autoSpaceDN w:val="0"/>
                    <w:adjustRightInd w:val="0"/>
                    <w:jc w:val="both"/>
                    <w:rPr>
                      <w:rFonts w:ascii="Arial" w:hAnsi="Arial" w:cs="Arial"/>
                      <w:b/>
                      <w:sz w:val="24"/>
                      <w:szCs w:val="24"/>
                    </w:rPr>
                  </w:pPr>
                  <w:r w:rsidRPr="001269D2">
                    <w:rPr>
                      <w:rFonts w:ascii="Arial" w:hAnsi="Arial" w:cs="Arial"/>
                      <w:b/>
                      <w:sz w:val="24"/>
                      <w:szCs w:val="24"/>
                    </w:rPr>
                    <w:t>Mean (average) Pay Gap</w:t>
                  </w:r>
                </w:p>
              </w:tc>
              <w:tc>
                <w:tcPr>
                  <w:tcW w:w="35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9F0408" w14:textId="77777777" w:rsidR="00F54564" w:rsidRPr="001269D2" w:rsidRDefault="00F54564" w:rsidP="00E574DA">
                  <w:pPr>
                    <w:autoSpaceDE w:val="0"/>
                    <w:autoSpaceDN w:val="0"/>
                    <w:adjustRightInd w:val="0"/>
                    <w:jc w:val="both"/>
                    <w:rPr>
                      <w:rFonts w:ascii="Arial" w:hAnsi="Arial" w:cs="Arial"/>
                      <w:b/>
                      <w:sz w:val="24"/>
                      <w:szCs w:val="24"/>
                    </w:rPr>
                  </w:pPr>
                  <w:r w:rsidRPr="001269D2">
                    <w:rPr>
                      <w:rFonts w:ascii="Arial" w:hAnsi="Arial" w:cs="Arial"/>
                      <w:b/>
                      <w:sz w:val="24"/>
                      <w:szCs w:val="24"/>
                    </w:rPr>
                    <w:t>Median (midpoint) Pay Gap</w:t>
                  </w:r>
                </w:p>
              </w:tc>
            </w:tr>
            <w:tr w:rsidR="00F54564" w:rsidRPr="00E37EB7" w14:paraId="73C4CD7F" w14:textId="77777777" w:rsidTr="00E574DA">
              <w:trPr>
                <w:trHeight w:val="508"/>
              </w:trPr>
              <w:tc>
                <w:tcPr>
                  <w:tcW w:w="1151" w:type="dxa"/>
                  <w:tcBorders>
                    <w:top w:val="single" w:sz="4" w:space="0" w:color="auto"/>
                    <w:left w:val="single" w:sz="4" w:space="0" w:color="auto"/>
                    <w:bottom w:val="single" w:sz="4" w:space="0" w:color="auto"/>
                    <w:right w:val="single" w:sz="4" w:space="0" w:color="auto"/>
                  </w:tcBorders>
                </w:tcPr>
                <w:p w14:paraId="3DA4D7A2" w14:textId="77777777" w:rsidR="00F54564" w:rsidRPr="001269D2" w:rsidRDefault="00F54564" w:rsidP="00E574DA">
                  <w:pPr>
                    <w:autoSpaceDE w:val="0"/>
                    <w:autoSpaceDN w:val="0"/>
                    <w:adjustRightInd w:val="0"/>
                    <w:jc w:val="both"/>
                    <w:rPr>
                      <w:rFonts w:ascii="Arial" w:hAnsi="Arial" w:cs="Arial"/>
                      <w:b/>
                      <w:sz w:val="24"/>
                      <w:szCs w:val="24"/>
                    </w:rPr>
                  </w:pPr>
                  <w:r w:rsidRPr="001269D2">
                    <w:rPr>
                      <w:rFonts w:ascii="Arial" w:hAnsi="Arial" w:cs="Arial"/>
                      <w:b/>
                      <w:sz w:val="24"/>
                      <w:szCs w:val="24"/>
                    </w:rPr>
                    <w:t>2019/20</w:t>
                  </w:r>
                </w:p>
              </w:tc>
              <w:tc>
                <w:tcPr>
                  <w:tcW w:w="3508" w:type="dxa"/>
                  <w:tcBorders>
                    <w:top w:val="single" w:sz="4" w:space="0" w:color="auto"/>
                    <w:left w:val="single" w:sz="4" w:space="0" w:color="auto"/>
                    <w:bottom w:val="single" w:sz="4" w:space="0" w:color="auto"/>
                    <w:right w:val="single" w:sz="4" w:space="0" w:color="auto"/>
                  </w:tcBorders>
                </w:tcPr>
                <w:p w14:paraId="77F142E1" w14:textId="77777777" w:rsidR="00F54564" w:rsidRPr="001269D2" w:rsidRDefault="00F54564" w:rsidP="00E574DA">
                  <w:pPr>
                    <w:autoSpaceDE w:val="0"/>
                    <w:autoSpaceDN w:val="0"/>
                    <w:adjustRightInd w:val="0"/>
                    <w:jc w:val="both"/>
                    <w:rPr>
                      <w:rFonts w:ascii="Arial" w:hAnsi="Arial" w:cs="Arial"/>
                      <w:sz w:val="24"/>
                      <w:szCs w:val="24"/>
                    </w:rPr>
                  </w:pPr>
                  <w:r w:rsidRPr="001269D2">
                    <w:rPr>
                      <w:rFonts w:ascii="Arial" w:hAnsi="Arial" w:cs="Arial"/>
                      <w:sz w:val="24"/>
                      <w:szCs w:val="24"/>
                    </w:rPr>
                    <w:t>9.0%</w:t>
                  </w:r>
                </w:p>
              </w:tc>
              <w:tc>
                <w:tcPr>
                  <w:tcW w:w="3592" w:type="dxa"/>
                  <w:tcBorders>
                    <w:top w:val="single" w:sz="4" w:space="0" w:color="auto"/>
                    <w:left w:val="single" w:sz="4" w:space="0" w:color="auto"/>
                    <w:bottom w:val="single" w:sz="4" w:space="0" w:color="auto"/>
                    <w:right w:val="single" w:sz="4" w:space="0" w:color="auto"/>
                  </w:tcBorders>
                </w:tcPr>
                <w:p w14:paraId="7D9FBA8E" w14:textId="77777777" w:rsidR="00F54564" w:rsidRPr="001269D2" w:rsidRDefault="00F54564" w:rsidP="00E574DA">
                  <w:pPr>
                    <w:autoSpaceDE w:val="0"/>
                    <w:autoSpaceDN w:val="0"/>
                    <w:adjustRightInd w:val="0"/>
                    <w:jc w:val="both"/>
                    <w:rPr>
                      <w:rFonts w:ascii="Arial" w:hAnsi="Arial" w:cs="Arial"/>
                      <w:sz w:val="24"/>
                      <w:szCs w:val="24"/>
                    </w:rPr>
                  </w:pPr>
                  <w:r w:rsidRPr="001269D2">
                    <w:rPr>
                      <w:rFonts w:ascii="Arial" w:hAnsi="Arial" w:cs="Arial"/>
                      <w:sz w:val="24"/>
                      <w:szCs w:val="24"/>
                    </w:rPr>
                    <w:t>12.5%</w:t>
                  </w:r>
                </w:p>
              </w:tc>
            </w:tr>
            <w:tr w:rsidR="00F54564" w14:paraId="18732431" w14:textId="77777777" w:rsidTr="00E574DA">
              <w:trPr>
                <w:trHeight w:val="508"/>
              </w:trPr>
              <w:tc>
                <w:tcPr>
                  <w:tcW w:w="1151" w:type="dxa"/>
                  <w:tcBorders>
                    <w:top w:val="single" w:sz="4" w:space="0" w:color="auto"/>
                    <w:left w:val="single" w:sz="4" w:space="0" w:color="auto"/>
                    <w:bottom w:val="single" w:sz="4" w:space="0" w:color="auto"/>
                    <w:right w:val="single" w:sz="4" w:space="0" w:color="auto"/>
                  </w:tcBorders>
                </w:tcPr>
                <w:p w14:paraId="600C8156" w14:textId="77777777" w:rsidR="00F54564" w:rsidRPr="001269D2" w:rsidRDefault="00F54564" w:rsidP="00E574DA">
                  <w:pPr>
                    <w:autoSpaceDE w:val="0"/>
                    <w:autoSpaceDN w:val="0"/>
                    <w:adjustRightInd w:val="0"/>
                    <w:jc w:val="both"/>
                    <w:rPr>
                      <w:rFonts w:ascii="Arial" w:hAnsi="Arial" w:cs="Arial"/>
                      <w:b/>
                      <w:sz w:val="24"/>
                      <w:szCs w:val="24"/>
                    </w:rPr>
                  </w:pPr>
                  <w:r w:rsidRPr="001269D2">
                    <w:rPr>
                      <w:rFonts w:ascii="Arial" w:hAnsi="Arial" w:cs="Arial"/>
                      <w:b/>
                      <w:sz w:val="24"/>
                      <w:szCs w:val="24"/>
                    </w:rPr>
                    <w:t>2020/21</w:t>
                  </w:r>
                </w:p>
              </w:tc>
              <w:tc>
                <w:tcPr>
                  <w:tcW w:w="3508" w:type="dxa"/>
                  <w:tcBorders>
                    <w:top w:val="single" w:sz="4" w:space="0" w:color="auto"/>
                    <w:left w:val="single" w:sz="4" w:space="0" w:color="auto"/>
                    <w:bottom w:val="single" w:sz="4" w:space="0" w:color="auto"/>
                    <w:right w:val="single" w:sz="4" w:space="0" w:color="auto"/>
                  </w:tcBorders>
                </w:tcPr>
                <w:p w14:paraId="5ACAB85A" w14:textId="77777777" w:rsidR="00F54564" w:rsidRPr="001269D2" w:rsidRDefault="00F54564" w:rsidP="00E574DA">
                  <w:pPr>
                    <w:autoSpaceDE w:val="0"/>
                    <w:autoSpaceDN w:val="0"/>
                    <w:adjustRightInd w:val="0"/>
                    <w:jc w:val="both"/>
                    <w:rPr>
                      <w:rFonts w:ascii="Arial" w:hAnsi="Arial" w:cs="Arial"/>
                      <w:sz w:val="24"/>
                      <w:szCs w:val="24"/>
                    </w:rPr>
                  </w:pPr>
                  <w:r w:rsidRPr="001269D2">
                    <w:rPr>
                      <w:rFonts w:ascii="Arial" w:hAnsi="Arial" w:cs="Arial"/>
                      <w:sz w:val="24"/>
                      <w:szCs w:val="24"/>
                    </w:rPr>
                    <w:t>9.1%</w:t>
                  </w:r>
                </w:p>
              </w:tc>
              <w:tc>
                <w:tcPr>
                  <w:tcW w:w="3592" w:type="dxa"/>
                  <w:tcBorders>
                    <w:top w:val="single" w:sz="4" w:space="0" w:color="auto"/>
                    <w:left w:val="single" w:sz="4" w:space="0" w:color="auto"/>
                    <w:bottom w:val="single" w:sz="4" w:space="0" w:color="auto"/>
                    <w:right w:val="single" w:sz="4" w:space="0" w:color="auto"/>
                  </w:tcBorders>
                </w:tcPr>
                <w:p w14:paraId="2E0F350E" w14:textId="77777777" w:rsidR="00F54564" w:rsidRPr="001269D2" w:rsidRDefault="00F54564" w:rsidP="00E574DA">
                  <w:pPr>
                    <w:autoSpaceDE w:val="0"/>
                    <w:autoSpaceDN w:val="0"/>
                    <w:adjustRightInd w:val="0"/>
                    <w:jc w:val="both"/>
                    <w:rPr>
                      <w:rFonts w:ascii="Arial" w:hAnsi="Arial" w:cs="Arial"/>
                      <w:sz w:val="24"/>
                      <w:szCs w:val="24"/>
                    </w:rPr>
                  </w:pPr>
                  <w:r w:rsidRPr="001269D2">
                    <w:rPr>
                      <w:rFonts w:ascii="Arial" w:hAnsi="Arial" w:cs="Arial"/>
                      <w:sz w:val="24"/>
                      <w:szCs w:val="24"/>
                    </w:rPr>
                    <w:t>20.9%</w:t>
                  </w:r>
                </w:p>
              </w:tc>
            </w:tr>
            <w:tr w:rsidR="00F54564" w14:paraId="1793CF40" w14:textId="77777777" w:rsidTr="00E574DA">
              <w:trPr>
                <w:trHeight w:val="508"/>
              </w:trPr>
              <w:tc>
                <w:tcPr>
                  <w:tcW w:w="1151" w:type="dxa"/>
                  <w:tcBorders>
                    <w:top w:val="single" w:sz="4" w:space="0" w:color="auto"/>
                    <w:left w:val="single" w:sz="4" w:space="0" w:color="auto"/>
                    <w:bottom w:val="single" w:sz="4" w:space="0" w:color="auto"/>
                    <w:right w:val="single" w:sz="4" w:space="0" w:color="auto"/>
                  </w:tcBorders>
                </w:tcPr>
                <w:p w14:paraId="1D22926A" w14:textId="30F23A12" w:rsidR="00F54564" w:rsidRPr="001269D2" w:rsidRDefault="00F54564" w:rsidP="00E574DA">
                  <w:pPr>
                    <w:autoSpaceDE w:val="0"/>
                    <w:autoSpaceDN w:val="0"/>
                    <w:adjustRightInd w:val="0"/>
                    <w:jc w:val="both"/>
                    <w:rPr>
                      <w:rFonts w:ascii="Arial" w:hAnsi="Arial" w:cs="Arial"/>
                      <w:b/>
                      <w:sz w:val="24"/>
                      <w:szCs w:val="24"/>
                    </w:rPr>
                  </w:pPr>
                  <w:r w:rsidRPr="001269D2">
                    <w:rPr>
                      <w:rFonts w:ascii="Arial" w:hAnsi="Arial" w:cs="Arial"/>
                      <w:b/>
                      <w:sz w:val="24"/>
                      <w:szCs w:val="24"/>
                    </w:rPr>
                    <w:t>2021/22</w:t>
                  </w:r>
                </w:p>
              </w:tc>
              <w:tc>
                <w:tcPr>
                  <w:tcW w:w="3508" w:type="dxa"/>
                  <w:tcBorders>
                    <w:top w:val="single" w:sz="4" w:space="0" w:color="auto"/>
                    <w:left w:val="single" w:sz="4" w:space="0" w:color="auto"/>
                    <w:bottom w:val="single" w:sz="4" w:space="0" w:color="auto"/>
                    <w:right w:val="single" w:sz="4" w:space="0" w:color="auto"/>
                  </w:tcBorders>
                </w:tcPr>
                <w:p w14:paraId="5257BA5C" w14:textId="18C7678D" w:rsidR="00F54564" w:rsidRPr="001269D2" w:rsidRDefault="00F54564" w:rsidP="00E574DA">
                  <w:pPr>
                    <w:autoSpaceDE w:val="0"/>
                    <w:autoSpaceDN w:val="0"/>
                    <w:adjustRightInd w:val="0"/>
                    <w:jc w:val="both"/>
                    <w:rPr>
                      <w:rFonts w:ascii="Arial" w:hAnsi="Arial" w:cs="Arial"/>
                      <w:sz w:val="24"/>
                      <w:szCs w:val="24"/>
                    </w:rPr>
                  </w:pPr>
                  <w:r w:rsidRPr="001269D2">
                    <w:rPr>
                      <w:rFonts w:ascii="Arial" w:hAnsi="Arial" w:cs="Arial"/>
                      <w:sz w:val="24"/>
                      <w:szCs w:val="24"/>
                    </w:rPr>
                    <w:t>9.8%</w:t>
                  </w:r>
                </w:p>
              </w:tc>
              <w:tc>
                <w:tcPr>
                  <w:tcW w:w="3592" w:type="dxa"/>
                  <w:tcBorders>
                    <w:top w:val="single" w:sz="4" w:space="0" w:color="auto"/>
                    <w:left w:val="single" w:sz="4" w:space="0" w:color="auto"/>
                    <w:bottom w:val="single" w:sz="4" w:space="0" w:color="auto"/>
                    <w:right w:val="single" w:sz="4" w:space="0" w:color="auto"/>
                  </w:tcBorders>
                </w:tcPr>
                <w:p w14:paraId="0A952AB3" w14:textId="5518E2CD" w:rsidR="00F54564" w:rsidRPr="001269D2" w:rsidRDefault="00F54564" w:rsidP="00E574DA">
                  <w:pPr>
                    <w:autoSpaceDE w:val="0"/>
                    <w:autoSpaceDN w:val="0"/>
                    <w:adjustRightInd w:val="0"/>
                    <w:jc w:val="both"/>
                    <w:rPr>
                      <w:rFonts w:ascii="Arial" w:hAnsi="Arial" w:cs="Arial"/>
                      <w:sz w:val="24"/>
                      <w:szCs w:val="24"/>
                    </w:rPr>
                  </w:pPr>
                  <w:r w:rsidRPr="001269D2">
                    <w:rPr>
                      <w:rFonts w:ascii="Arial" w:hAnsi="Arial" w:cs="Arial"/>
                      <w:sz w:val="24"/>
                      <w:szCs w:val="24"/>
                    </w:rPr>
                    <w:t>15.7%</w:t>
                  </w:r>
                </w:p>
              </w:tc>
            </w:tr>
          </w:tbl>
          <w:p w14:paraId="144037EE" w14:textId="77777777" w:rsidR="00F54564" w:rsidRPr="00E37EB7" w:rsidRDefault="00F54564" w:rsidP="00E574DA">
            <w:pPr>
              <w:autoSpaceDE w:val="0"/>
              <w:autoSpaceDN w:val="0"/>
              <w:adjustRightInd w:val="0"/>
              <w:ind w:right="357"/>
              <w:jc w:val="both"/>
              <w:rPr>
                <w:rFonts w:ascii="Arial" w:hAnsi="Arial" w:cs="Arial"/>
                <w:szCs w:val="24"/>
              </w:rPr>
            </w:pPr>
          </w:p>
        </w:tc>
      </w:tr>
      <w:tr w:rsidR="00F54564" w:rsidRPr="000F5A2D" w14:paraId="53C091AB" w14:textId="77777777" w:rsidTr="006F03D8">
        <w:trPr>
          <w:trHeight w:val="80"/>
        </w:trPr>
        <w:tc>
          <w:tcPr>
            <w:tcW w:w="851" w:type="dxa"/>
          </w:tcPr>
          <w:p w14:paraId="04BB9CA7" w14:textId="77777777" w:rsidR="00F54564" w:rsidRDefault="00F54564" w:rsidP="00E574DA">
            <w:pPr>
              <w:rPr>
                <w:rFonts w:ascii="Arial" w:hAnsi="Arial" w:cs="Arial"/>
                <w:szCs w:val="24"/>
              </w:rPr>
            </w:pPr>
          </w:p>
          <w:p w14:paraId="2C7562D9" w14:textId="77777777" w:rsidR="00F54564" w:rsidRDefault="00F54564" w:rsidP="00E574DA">
            <w:pPr>
              <w:rPr>
                <w:rFonts w:ascii="Arial" w:hAnsi="Arial" w:cs="Arial"/>
                <w:szCs w:val="24"/>
              </w:rPr>
            </w:pPr>
            <w:r>
              <w:rPr>
                <w:rFonts w:ascii="Arial" w:hAnsi="Arial" w:cs="Arial"/>
                <w:szCs w:val="24"/>
              </w:rPr>
              <w:t>6.7</w:t>
            </w:r>
          </w:p>
        </w:tc>
        <w:tc>
          <w:tcPr>
            <w:tcW w:w="8788" w:type="dxa"/>
          </w:tcPr>
          <w:p w14:paraId="2E5DF0CE" w14:textId="77777777" w:rsidR="00F54564" w:rsidRDefault="00F54564" w:rsidP="00E574DA">
            <w:pPr>
              <w:autoSpaceDE w:val="0"/>
              <w:autoSpaceDN w:val="0"/>
              <w:adjustRightInd w:val="0"/>
              <w:jc w:val="both"/>
              <w:rPr>
                <w:rFonts w:ascii="Arial" w:hAnsi="Arial" w:cs="Arial"/>
                <w:bCs/>
                <w:szCs w:val="24"/>
              </w:rPr>
            </w:pPr>
          </w:p>
          <w:p w14:paraId="64EBDDBC" w14:textId="042D9D8B" w:rsidR="00F54564" w:rsidRPr="000F5A2D" w:rsidRDefault="00F54564" w:rsidP="00E574DA">
            <w:pPr>
              <w:autoSpaceDE w:val="0"/>
              <w:autoSpaceDN w:val="0"/>
              <w:adjustRightInd w:val="0"/>
              <w:jc w:val="both"/>
              <w:rPr>
                <w:rFonts w:ascii="Arial" w:hAnsi="Arial" w:cs="Arial"/>
                <w:bCs/>
                <w:szCs w:val="24"/>
              </w:rPr>
            </w:pPr>
            <w:r w:rsidRPr="000F5A2D">
              <w:rPr>
                <w:rFonts w:ascii="Arial" w:hAnsi="Arial" w:cs="Arial"/>
                <w:bCs/>
                <w:szCs w:val="24"/>
              </w:rPr>
              <w:t>There has been no significant change in the male to female ratio (1:2) over the past year and only a slight increase of 0.</w:t>
            </w:r>
            <w:r>
              <w:rPr>
                <w:rFonts w:ascii="Arial" w:hAnsi="Arial" w:cs="Arial"/>
                <w:bCs/>
                <w:szCs w:val="24"/>
              </w:rPr>
              <w:t>7</w:t>
            </w:r>
            <w:r w:rsidRPr="000F5A2D">
              <w:rPr>
                <w:rFonts w:ascii="Arial" w:hAnsi="Arial" w:cs="Arial"/>
                <w:bCs/>
                <w:szCs w:val="24"/>
              </w:rPr>
              <w:t>% to the mean pay gap.</w:t>
            </w:r>
          </w:p>
          <w:p w14:paraId="47A65967" w14:textId="77777777" w:rsidR="00F54564" w:rsidRPr="000F5A2D" w:rsidRDefault="00F54564" w:rsidP="00E574DA">
            <w:pPr>
              <w:autoSpaceDE w:val="0"/>
              <w:autoSpaceDN w:val="0"/>
              <w:adjustRightInd w:val="0"/>
              <w:jc w:val="both"/>
              <w:rPr>
                <w:rFonts w:ascii="Arial" w:hAnsi="Arial" w:cs="Arial"/>
                <w:bCs/>
                <w:szCs w:val="24"/>
              </w:rPr>
            </w:pPr>
          </w:p>
        </w:tc>
      </w:tr>
      <w:tr w:rsidR="00F54564" w:rsidRPr="000F5A2D" w14:paraId="3FF4BA97" w14:textId="77777777" w:rsidTr="006F03D8">
        <w:trPr>
          <w:trHeight w:val="80"/>
        </w:trPr>
        <w:tc>
          <w:tcPr>
            <w:tcW w:w="851" w:type="dxa"/>
          </w:tcPr>
          <w:p w14:paraId="1DA13161" w14:textId="77777777" w:rsidR="00F54564" w:rsidRDefault="00F54564" w:rsidP="00E574DA">
            <w:pPr>
              <w:rPr>
                <w:rFonts w:ascii="Arial" w:hAnsi="Arial" w:cs="Arial"/>
                <w:szCs w:val="24"/>
              </w:rPr>
            </w:pPr>
            <w:r>
              <w:rPr>
                <w:rFonts w:ascii="Arial" w:hAnsi="Arial" w:cs="Arial"/>
                <w:szCs w:val="24"/>
              </w:rPr>
              <w:t>6.8</w:t>
            </w:r>
          </w:p>
        </w:tc>
        <w:tc>
          <w:tcPr>
            <w:tcW w:w="8788" w:type="dxa"/>
          </w:tcPr>
          <w:p w14:paraId="52E540D3" w14:textId="6756C177" w:rsidR="00F54564" w:rsidRPr="000F5A2D" w:rsidRDefault="00F54564" w:rsidP="00F54564">
            <w:pPr>
              <w:autoSpaceDE w:val="0"/>
              <w:autoSpaceDN w:val="0"/>
              <w:adjustRightInd w:val="0"/>
              <w:jc w:val="both"/>
              <w:rPr>
                <w:rFonts w:ascii="Arial" w:hAnsi="Arial" w:cs="Arial"/>
                <w:bCs/>
                <w:szCs w:val="24"/>
              </w:rPr>
            </w:pPr>
            <w:r>
              <w:rPr>
                <w:rFonts w:ascii="Arial" w:hAnsi="Arial" w:cs="Arial"/>
                <w:bCs/>
                <w:szCs w:val="24"/>
              </w:rPr>
              <w:t xml:space="preserve">However, there has been a decrease in the median pay gap of 3.5% in 2021/22.  This is a result of the median hourly pay rate for females (£11.23) moving into the next pay grade and slightly closing the gap on the median hourly rate for males (£13.33). </w:t>
            </w:r>
          </w:p>
        </w:tc>
      </w:tr>
      <w:tr w:rsidR="005570E5" w:rsidRPr="000F5A2D" w14:paraId="06D653DC" w14:textId="77777777" w:rsidTr="006F03D8">
        <w:trPr>
          <w:trHeight w:val="80"/>
        </w:trPr>
        <w:tc>
          <w:tcPr>
            <w:tcW w:w="851" w:type="dxa"/>
          </w:tcPr>
          <w:p w14:paraId="5FFC1AEC" w14:textId="77777777" w:rsidR="005570E5" w:rsidRDefault="005570E5" w:rsidP="00E574DA">
            <w:pPr>
              <w:rPr>
                <w:rFonts w:ascii="Arial" w:hAnsi="Arial" w:cs="Arial"/>
                <w:szCs w:val="24"/>
              </w:rPr>
            </w:pPr>
          </w:p>
        </w:tc>
        <w:tc>
          <w:tcPr>
            <w:tcW w:w="8788" w:type="dxa"/>
          </w:tcPr>
          <w:p w14:paraId="65A1AF7E" w14:textId="7FCECA81" w:rsidR="005570E5" w:rsidRDefault="005570E5" w:rsidP="00F54564">
            <w:pPr>
              <w:autoSpaceDE w:val="0"/>
              <w:autoSpaceDN w:val="0"/>
              <w:adjustRightInd w:val="0"/>
              <w:jc w:val="both"/>
              <w:rPr>
                <w:rFonts w:ascii="Arial" w:hAnsi="Arial" w:cs="Arial"/>
                <w:bCs/>
                <w:szCs w:val="24"/>
              </w:rPr>
            </w:pPr>
          </w:p>
        </w:tc>
      </w:tr>
      <w:tr w:rsidR="005570E5" w:rsidRPr="000F5A2D" w14:paraId="2B2A53E1" w14:textId="77777777" w:rsidTr="006F03D8">
        <w:trPr>
          <w:trHeight w:val="80"/>
        </w:trPr>
        <w:tc>
          <w:tcPr>
            <w:tcW w:w="851" w:type="dxa"/>
          </w:tcPr>
          <w:p w14:paraId="08B6D431" w14:textId="18697C20" w:rsidR="005570E5" w:rsidRPr="00FD39F5" w:rsidRDefault="005570E5" w:rsidP="005570E5">
            <w:pPr>
              <w:rPr>
                <w:rFonts w:ascii="Arial" w:hAnsi="Arial" w:cs="Arial"/>
                <w:b/>
                <w:szCs w:val="24"/>
              </w:rPr>
            </w:pPr>
            <w:r>
              <w:rPr>
                <w:rFonts w:ascii="Arial" w:hAnsi="Arial" w:cs="Arial"/>
                <w:b/>
                <w:szCs w:val="24"/>
              </w:rPr>
              <w:t>7</w:t>
            </w:r>
            <w:r w:rsidRPr="00FD39F5">
              <w:rPr>
                <w:rFonts w:ascii="Arial" w:hAnsi="Arial" w:cs="Arial"/>
                <w:b/>
                <w:szCs w:val="24"/>
              </w:rPr>
              <w:t>.</w:t>
            </w:r>
          </w:p>
          <w:p w14:paraId="740C5ADB" w14:textId="77777777" w:rsidR="005570E5" w:rsidRDefault="005570E5" w:rsidP="005570E5">
            <w:pPr>
              <w:rPr>
                <w:rFonts w:ascii="Arial" w:hAnsi="Arial" w:cs="Arial"/>
                <w:szCs w:val="24"/>
              </w:rPr>
            </w:pPr>
          </w:p>
        </w:tc>
        <w:tc>
          <w:tcPr>
            <w:tcW w:w="8788" w:type="dxa"/>
          </w:tcPr>
          <w:p w14:paraId="68F706F5" w14:textId="77777777" w:rsidR="005570E5" w:rsidRPr="0017031E" w:rsidRDefault="005570E5" w:rsidP="005570E5">
            <w:pPr>
              <w:jc w:val="both"/>
              <w:rPr>
                <w:rFonts w:ascii="Arial" w:hAnsi="Arial" w:cs="Arial"/>
                <w:b/>
                <w:szCs w:val="24"/>
              </w:rPr>
            </w:pPr>
            <w:r w:rsidRPr="0017031E">
              <w:rPr>
                <w:rFonts w:ascii="Arial" w:hAnsi="Arial" w:cs="Arial"/>
                <w:b/>
                <w:szCs w:val="24"/>
              </w:rPr>
              <w:t>Policies update</w:t>
            </w:r>
          </w:p>
          <w:p w14:paraId="19068BB5" w14:textId="77777777" w:rsidR="005570E5" w:rsidRDefault="005570E5" w:rsidP="005570E5">
            <w:pPr>
              <w:autoSpaceDE w:val="0"/>
              <w:autoSpaceDN w:val="0"/>
              <w:adjustRightInd w:val="0"/>
              <w:jc w:val="both"/>
              <w:rPr>
                <w:rFonts w:ascii="Arial" w:hAnsi="Arial" w:cs="Arial"/>
                <w:bCs/>
                <w:szCs w:val="24"/>
              </w:rPr>
            </w:pPr>
          </w:p>
        </w:tc>
      </w:tr>
      <w:tr w:rsidR="005570E5" w:rsidRPr="00C22A7F" w14:paraId="7E383B1E" w14:textId="77777777" w:rsidTr="00C81418">
        <w:trPr>
          <w:trHeight w:val="80"/>
        </w:trPr>
        <w:tc>
          <w:tcPr>
            <w:tcW w:w="851" w:type="dxa"/>
          </w:tcPr>
          <w:p w14:paraId="645E397A" w14:textId="3EF1298B" w:rsidR="005570E5" w:rsidRPr="0064363A" w:rsidRDefault="005570E5" w:rsidP="005570E5">
            <w:pPr>
              <w:rPr>
                <w:rFonts w:ascii="Arial" w:hAnsi="Arial" w:cs="Arial"/>
                <w:bCs/>
                <w:szCs w:val="24"/>
              </w:rPr>
            </w:pPr>
            <w:r>
              <w:rPr>
                <w:rFonts w:ascii="Arial" w:hAnsi="Arial" w:cs="Arial"/>
                <w:bCs/>
                <w:szCs w:val="24"/>
              </w:rPr>
              <w:t>7</w:t>
            </w:r>
            <w:r w:rsidRPr="0064363A">
              <w:rPr>
                <w:rFonts w:ascii="Arial" w:hAnsi="Arial" w:cs="Arial"/>
                <w:bCs/>
                <w:szCs w:val="24"/>
              </w:rPr>
              <w:t>.1</w:t>
            </w:r>
          </w:p>
        </w:tc>
        <w:tc>
          <w:tcPr>
            <w:tcW w:w="8788" w:type="dxa"/>
          </w:tcPr>
          <w:p w14:paraId="2A9F5CEB" w14:textId="77777777" w:rsidR="005570E5" w:rsidRPr="00066820" w:rsidRDefault="005570E5" w:rsidP="005570E5">
            <w:pPr>
              <w:ind w:right="-103"/>
              <w:jc w:val="both"/>
              <w:rPr>
                <w:rFonts w:ascii="Arial" w:hAnsi="Arial" w:cs="Arial"/>
                <w:szCs w:val="24"/>
              </w:rPr>
            </w:pPr>
            <w:r w:rsidRPr="00066820">
              <w:rPr>
                <w:rFonts w:ascii="Arial" w:hAnsi="Arial" w:cs="Arial"/>
                <w:szCs w:val="24"/>
              </w:rPr>
              <w:t>The following policies have been considered in line with the review schedule:</w:t>
            </w:r>
          </w:p>
          <w:p w14:paraId="3EBC6442" w14:textId="77777777" w:rsidR="005570E5" w:rsidRPr="00066820" w:rsidRDefault="005570E5" w:rsidP="005570E5">
            <w:pPr>
              <w:jc w:val="both"/>
              <w:rPr>
                <w:rFonts w:ascii="Arial" w:hAnsi="Arial" w:cs="Arial"/>
                <w:szCs w:val="24"/>
              </w:rPr>
            </w:pPr>
          </w:p>
          <w:p w14:paraId="64D1E0B9" w14:textId="022D6F33" w:rsidR="005570E5" w:rsidRDefault="005570E5" w:rsidP="005570E5">
            <w:pPr>
              <w:pStyle w:val="ListParagraph"/>
              <w:numPr>
                <w:ilvl w:val="0"/>
                <w:numId w:val="41"/>
              </w:numPr>
              <w:spacing w:line="240" w:lineRule="auto"/>
              <w:ind w:left="352" w:hanging="352"/>
              <w:jc w:val="both"/>
              <w:rPr>
                <w:rFonts w:ascii="Arial" w:hAnsi="Arial" w:cs="Arial"/>
                <w:sz w:val="24"/>
                <w:szCs w:val="28"/>
              </w:rPr>
            </w:pPr>
            <w:r w:rsidRPr="00D255F5">
              <w:rPr>
                <w:rFonts w:ascii="Arial" w:hAnsi="Arial" w:cs="Arial"/>
                <w:b/>
                <w:bCs/>
                <w:sz w:val="24"/>
                <w:szCs w:val="28"/>
              </w:rPr>
              <w:t>Equal Opportunities Policy</w:t>
            </w:r>
            <w:r>
              <w:rPr>
                <w:rFonts w:ascii="Arial" w:hAnsi="Arial" w:cs="Arial"/>
                <w:sz w:val="24"/>
                <w:szCs w:val="28"/>
              </w:rPr>
              <w:t xml:space="preserve"> – reviewed with no changes required;</w:t>
            </w:r>
          </w:p>
          <w:p w14:paraId="2833D7BC" w14:textId="77777777" w:rsidR="005570E5" w:rsidRDefault="005570E5" w:rsidP="005570E5">
            <w:pPr>
              <w:pStyle w:val="ListParagraph"/>
              <w:numPr>
                <w:ilvl w:val="0"/>
                <w:numId w:val="41"/>
              </w:numPr>
              <w:spacing w:line="240" w:lineRule="auto"/>
              <w:ind w:left="352" w:hanging="352"/>
              <w:jc w:val="both"/>
              <w:rPr>
                <w:rFonts w:ascii="Arial" w:hAnsi="Arial" w:cs="Arial"/>
                <w:sz w:val="24"/>
                <w:szCs w:val="24"/>
              </w:rPr>
            </w:pPr>
            <w:r w:rsidRPr="00D43B41">
              <w:rPr>
                <w:rFonts w:ascii="Arial" w:hAnsi="Arial" w:cs="Arial"/>
                <w:b/>
                <w:bCs/>
                <w:sz w:val="24"/>
                <w:szCs w:val="24"/>
              </w:rPr>
              <w:t>Services Equality Policy</w:t>
            </w:r>
            <w:r w:rsidRPr="00D43B41">
              <w:rPr>
                <w:rFonts w:ascii="Arial" w:hAnsi="Arial" w:cs="Arial"/>
                <w:sz w:val="24"/>
                <w:szCs w:val="24"/>
              </w:rPr>
              <w:t xml:space="preserve"> – reviewed with no changes required.</w:t>
            </w:r>
          </w:p>
          <w:p w14:paraId="0DCFF6B5" w14:textId="2C17CD83" w:rsidR="00D43B41" w:rsidRPr="005570E5" w:rsidRDefault="00D43B41" w:rsidP="00D43B41">
            <w:pPr>
              <w:pStyle w:val="ListParagraph"/>
              <w:spacing w:line="240" w:lineRule="auto"/>
              <w:ind w:left="352"/>
              <w:jc w:val="both"/>
              <w:rPr>
                <w:rFonts w:ascii="Arial" w:hAnsi="Arial" w:cs="Arial"/>
                <w:sz w:val="24"/>
                <w:szCs w:val="24"/>
              </w:rPr>
            </w:pPr>
          </w:p>
        </w:tc>
      </w:tr>
      <w:tr w:rsidR="000171D0" w:rsidRPr="00C22A7F" w14:paraId="51329984" w14:textId="77777777" w:rsidTr="00C81418">
        <w:trPr>
          <w:trHeight w:val="80"/>
        </w:trPr>
        <w:tc>
          <w:tcPr>
            <w:tcW w:w="851" w:type="dxa"/>
          </w:tcPr>
          <w:p w14:paraId="077B03B5" w14:textId="313CB00D" w:rsidR="000171D0" w:rsidRPr="00DB4949" w:rsidRDefault="000171D0" w:rsidP="005570E5">
            <w:pPr>
              <w:rPr>
                <w:rFonts w:ascii="Arial" w:hAnsi="Arial" w:cs="Arial"/>
                <w:b/>
                <w:szCs w:val="24"/>
              </w:rPr>
            </w:pPr>
            <w:r>
              <w:rPr>
                <w:rFonts w:ascii="Arial" w:hAnsi="Arial" w:cs="Arial"/>
                <w:b/>
                <w:szCs w:val="24"/>
              </w:rPr>
              <w:t>8</w:t>
            </w:r>
          </w:p>
        </w:tc>
        <w:tc>
          <w:tcPr>
            <w:tcW w:w="8788" w:type="dxa"/>
          </w:tcPr>
          <w:p w14:paraId="25A52375" w14:textId="4F0D6D02" w:rsidR="000171D0" w:rsidRDefault="00175615" w:rsidP="005570E5">
            <w:pPr>
              <w:ind w:right="-103"/>
              <w:jc w:val="both"/>
              <w:rPr>
                <w:rFonts w:ascii="Arial" w:hAnsi="Arial" w:cs="Arial"/>
                <w:szCs w:val="24"/>
              </w:rPr>
            </w:pPr>
            <w:r>
              <w:rPr>
                <w:rFonts w:ascii="Arial" w:hAnsi="Arial" w:cs="Arial"/>
                <w:b/>
                <w:bCs/>
                <w:szCs w:val="24"/>
              </w:rPr>
              <w:t xml:space="preserve">Staff </w:t>
            </w:r>
            <w:r w:rsidR="00D43B41">
              <w:rPr>
                <w:rFonts w:ascii="Arial" w:hAnsi="Arial" w:cs="Arial"/>
                <w:b/>
                <w:bCs/>
                <w:szCs w:val="24"/>
              </w:rPr>
              <w:t>H</w:t>
            </w:r>
            <w:r>
              <w:rPr>
                <w:rFonts w:ascii="Arial" w:hAnsi="Arial" w:cs="Arial"/>
                <w:b/>
                <w:bCs/>
                <w:szCs w:val="24"/>
              </w:rPr>
              <w:t>ealth and</w:t>
            </w:r>
            <w:r w:rsidR="000171D0">
              <w:rPr>
                <w:rFonts w:ascii="Arial" w:hAnsi="Arial" w:cs="Arial"/>
                <w:b/>
                <w:bCs/>
                <w:szCs w:val="24"/>
              </w:rPr>
              <w:t xml:space="preserve"> </w:t>
            </w:r>
            <w:r w:rsidR="00D43B41">
              <w:rPr>
                <w:rFonts w:ascii="Arial" w:hAnsi="Arial" w:cs="Arial"/>
                <w:b/>
                <w:bCs/>
                <w:szCs w:val="24"/>
              </w:rPr>
              <w:t>W</w:t>
            </w:r>
            <w:r w:rsidR="000171D0">
              <w:rPr>
                <w:rFonts w:ascii="Arial" w:hAnsi="Arial" w:cs="Arial"/>
                <w:b/>
                <w:bCs/>
                <w:szCs w:val="24"/>
              </w:rPr>
              <w:t xml:space="preserve">ellbeing and </w:t>
            </w:r>
            <w:r w:rsidR="00D43B41">
              <w:rPr>
                <w:rFonts w:ascii="Arial" w:hAnsi="Arial" w:cs="Arial"/>
                <w:b/>
                <w:bCs/>
                <w:szCs w:val="24"/>
              </w:rPr>
              <w:t>S</w:t>
            </w:r>
            <w:r w:rsidR="007247DE">
              <w:rPr>
                <w:rFonts w:ascii="Arial" w:hAnsi="Arial" w:cs="Arial"/>
                <w:b/>
                <w:bCs/>
                <w:szCs w:val="24"/>
              </w:rPr>
              <w:t xml:space="preserve">taff </w:t>
            </w:r>
            <w:r w:rsidR="00D43B41">
              <w:rPr>
                <w:rFonts w:ascii="Arial" w:hAnsi="Arial" w:cs="Arial"/>
                <w:b/>
                <w:bCs/>
                <w:szCs w:val="24"/>
              </w:rPr>
              <w:t>W</w:t>
            </w:r>
            <w:r w:rsidR="000171D0">
              <w:rPr>
                <w:rFonts w:ascii="Arial" w:hAnsi="Arial" w:cs="Arial"/>
                <w:b/>
                <w:bCs/>
                <w:szCs w:val="24"/>
              </w:rPr>
              <w:t>elfare</w:t>
            </w:r>
            <w:r>
              <w:rPr>
                <w:rFonts w:ascii="Arial" w:hAnsi="Arial" w:cs="Arial"/>
                <w:b/>
                <w:bCs/>
                <w:szCs w:val="24"/>
              </w:rPr>
              <w:t xml:space="preserve"> </w:t>
            </w:r>
            <w:r w:rsidR="00D43B41">
              <w:rPr>
                <w:rFonts w:ascii="Arial" w:hAnsi="Arial" w:cs="Arial"/>
                <w:b/>
                <w:bCs/>
                <w:szCs w:val="24"/>
              </w:rPr>
              <w:t>M</w:t>
            </w:r>
            <w:r>
              <w:rPr>
                <w:rFonts w:ascii="Arial" w:hAnsi="Arial" w:cs="Arial"/>
                <w:b/>
                <w:bCs/>
                <w:szCs w:val="24"/>
              </w:rPr>
              <w:t>anagement</w:t>
            </w:r>
          </w:p>
          <w:p w14:paraId="1549F46C" w14:textId="4A2918B1" w:rsidR="000171D0" w:rsidRPr="000171D0" w:rsidRDefault="000171D0" w:rsidP="005570E5">
            <w:pPr>
              <w:ind w:right="-103"/>
              <w:jc w:val="both"/>
              <w:rPr>
                <w:rFonts w:ascii="Arial" w:hAnsi="Arial" w:cs="Arial"/>
                <w:szCs w:val="24"/>
              </w:rPr>
            </w:pPr>
          </w:p>
        </w:tc>
      </w:tr>
      <w:tr w:rsidR="000171D0" w:rsidRPr="00C22A7F" w14:paraId="35B73535" w14:textId="77777777" w:rsidTr="00C81418">
        <w:trPr>
          <w:trHeight w:val="80"/>
        </w:trPr>
        <w:tc>
          <w:tcPr>
            <w:tcW w:w="851" w:type="dxa"/>
          </w:tcPr>
          <w:p w14:paraId="14F222ED" w14:textId="33F39D46" w:rsidR="000171D0" w:rsidRPr="00DB4949" w:rsidRDefault="000171D0" w:rsidP="005570E5">
            <w:pPr>
              <w:rPr>
                <w:rFonts w:ascii="Arial" w:hAnsi="Arial" w:cs="Arial"/>
                <w:bCs/>
                <w:szCs w:val="24"/>
              </w:rPr>
            </w:pPr>
            <w:r>
              <w:rPr>
                <w:rFonts w:ascii="Arial" w:hAnsi="Arial" w:cs="Arial"/>
                <w:bCs/>
                <w:szCs w:val="24"/>
              </w:rPr>
              <w:t>8.1</w:t>
            </w:r>
          </w:p>
        </w:tc>
        <w:tc>
          <w:tcPr>
            <w:tcW w:w="8788" w:type="dxa"/>
          </w:tcPr>
          <w:p w14:paraId="1C8169BC" w14:textId="63367AEA" w:rsidR="000171D0" w:rsidRDefault="00C81418" w:rsidP="005570E5">
            <w:pPr>
              <w:ind w:right="-103"/>
              <w:jc w:val="both"/>
              <w:rPr>
                <w:rFonts w:ascii="Arial" w:hAnsi="Arial" w:cs="Arial"/>
                <w:szCs w:val="24"/>
              </w:rPr>
            </w:pPr>
            <w:r>
              <w:rPr>
                <w:rFonts w:ascii="Arial" w:hAnsi="Arial" w:cs="Arial"/>
                <w:szCs w:val="24"/>
              </w:rPr>
              <w:t>Directors</w:t>
            </w:r>
            <w:r w:rsidR="000171D0">
              <w:rPr>
                <w:rFonts w:ascii="Arial" w:hAnsi="Arial" w:cs="Arial"/>
                <w:szCs w:val="24"/>
              </w:rPr>
              <w:t xml:space="preserve"> are asked to note that following discussions with colleagues in Sport and Leisure, the responsibilities for what is internally described as ‘the proactive management of staff health and wellbeing’ will now fully rest under the responsibility of the Head of Health and Wellbeing</w:t>
            </w:r>
            <w:r w:rsidR="007247DE">
              <w:rPr>
                <w:rFonts w:ascii="Arial" w:hAnsi="Arial" w:cs="Arial"/>
                <w:szCs w:val="24"/>
              </w:rPr>
              <w:t xml:space="preserve"> and Health and Wellbeing </w:t>
            </w:r>
            <w:r>
              <w:rPr>
                <w:rFonts w:ascii="Arial" w:hAnsi="Arial" w:cs="Arial"/>
                <w:szCs w:val="24"/>
              </w:rPr>
              <w:t>t</w:t>
            </w:r>
            <w:r w:rsidR="007247DE">
              <w:rPr>
                <w:rFonts w:ascii="Arial" w:hAnsi="Arial" w:cs="Arial"/>
                <w:szCs w:val="24"/>
              </w:rPr>
              <w:t>eam</w:t>
            </w:r>
            <w:r w:rsidR="000171D0">
              <w:rPr>
                <w:rFonts w:ascii="Arial" w:hAnsi="Arial" w:cs="Arial"/>
                <w:szCs w:val="24"/>
              </w:rPr>
              <w:t xml:space="preserve">. </w:t>
            </w:r>
          </w:p>
          <w:p w14:paraId="283288CF" w14:textId="3C517850" w:rsidR="000171D0" w:rsidRPr="00DB4949" w:rsidRDefault="000171D0" w:rsidP="005570E5">
            <w:pPr>
              <w:ind w:right="-103"/>
              <w:jc w:val="both"/>
              <w:rPr>
                <w:rFonts w:ascii="Arial" w:hAnsi="Arial" w:cs="Arial"/>
                <w:szCs w:val="24"/>
              </w:rPr>
            </w:pPr>
            <w:r>
              <w:rPr>
                <w:rFonts w:ascii="Arial" w:hAnsi="Arial" w:cs="Arial"/>
                <w:szCs w:val="24"/>
              </w:rPr>
              <w:t xml:space="preserve"> </w:t>
            </w:r>
          </w:p>
        </w:tc>
      </w:tr>
      <w:tr w:rsidR="000171D0" w:rsidRPr="00C22A7F" w14:paraId="097E4F1F" w14:textId="77777777" w:rsidTr="00C81418">
        <w:trPr>
          <w:trHeight w:val="80"/>
        </w:trPr>
        <w:tc>
          <w:tcPr>
            <w:tcW w:w="851" w:type="dxa"/>
          </w:tcPr>
          <w:p w14:paraId="15FC9C19" w14:textId="74DED52D" w:rsidR="000171D0" w:rsidRDefault="000171D0" w:rsidP="005570E5">
            <w:pPr>
              <w:rPr>
                <w:rFonts w:ascii="Arial" w:hAnsi="Arial" w:cs="Arial"/>
                <w:bCs/>
                <w:szCs w:val="24"/>
              </w:rPr>
            </w:pPr>
            <w:r>
              <w:rPr>
                <w:rFonts w:ascii="Arial" w:hAnsi="Arial" w:cs="Arial"/>
                <w:bCs/>
                <w:szCs w:val="24"/>
              </w:rPr>
              <w:t>8.2</w:t>
            </w:r>
          </w:p>
        </w:tc>
        <w:tc>
          <w:tcPr>
            <w:tcW w:w="8788" w:type="dxa"/>
          </w:tcPr>
          <w:p w14:paraId="28D3209B" w14:textId="72EC6CE8" w:rsidR="000171D0" w:rsidRDefault="007247DE" w:rsidP="005570E5">
            <w:pPr>
              <w:ind w:right="-103"/>
              <w:jc w:val="both"/>
              <w:rPr>
                <w:rFonts w:ascii="Arial" w:hAnsi="Arial" w:cs="Arial"/>
                <w:szCs w:val="24"/>
              </w:rPr>
            </w:pPr>
            <w:r>
              <w:rPr>
                <w:rFonts w:ascii="Arial" w:hAnsi="Arial" w:cs="Arial"/>
                <w:szCs w:val="24"/>
              </w:rPr>
              <w:t>The wider ‘management of staff welfare</w:t>
            </w:r>
            <w:r w:rsidR="00175615">
              <w:rPr>
                <w:rFonts w:ascii="Arial" w:hAnsi="Arial" w:cs="Arial"/>
                <w:szCs w:val="24"/>
              </w:rPr>
              <w:t xml:space="preserve"> support</w:t>
            </w:r>
            <w:r>
              <w:rPr>
                <w:rFonts w:ascii="Arial" w:hAnsi="Arial" w:cs="Arial"/>
                <w:szCs w:val="24"/>
              </w:rPr>
              <w:t xml:space="preserve">’ (which could be described as </w:t>
            </w:r>
            <w:r w:rsidR="00175615">
              <w:rPr>
                <w:rFonts w:ascii="Arial" w:hAnsi="Arial" w:cs="Arial"/>
                <w:szCs w:val="24"/>
              </w:rPr>
              <w:t xml:space="preserve">much </w:t>
            </w:r>
            <w:r>
              <w:rPr>
                <w:rFonts w:ascii="Arial" w:hAnsi="Arial" w:cs="Arial"/>
                <w:szCs w:val="24"/>
              </w:rPr>
              <w:t>more ‘unplanned/unexpected</w:t>
            </w:r>
            <w:r w:rsidR="00175615">
              <w:rPr>
                <w:rFonts w:ascii="Arial" w:hAnsi="Arial" w:cs="Arial"/>
                <w:szCs w:val="24"/>
              </w:rPr>
              <w:t>/unpredicted</w:t>
            </w:r>
            <w:r>
              <w:rPr>
                <w:rFonts w:ascii="Arial" w:hAnsi="Arial" w:cs="Arial"/>
                <w:szCs w:val="24"/>
              </w:rPr>
              <w:t>’), having a greater caseload, will remain under the overall responsibility of the HR Manager and HR team.</w:t>
            </w:r>
          </w:p>
          <w:p w14:paraId="16FD2B99" w14:textId="6C7392C9" w:rsidR="007247DE" w:rsidRDefault="007247DE" w:rsidP="005570E5">
            <w:pPr>
              <w:ind w:right="-103"/>
              <w:jc w:val="both"/>
              <w:rPr>
                <w:rFonts w:ascii="Arial" w:hAnsi="Arial" w:cs="Arial"/>
                <w:szCs w:val="24"/>
              </w:rPr>
            </w:pPr>
          </w:p>
        </w:tc>
      </w:tr>
      <w:tr w:rsidR="007247DE" w:rsidRPr="00C22A7F" w14:paraId="32ECEC89" w14:textId="77777777" w:rsidTr="00C81418">
        <w:trPr>
          <w:trHeight w:val="80"/>
        </w:trPr>
        <w:tc>
          <w:tcPr>
            <w:tcW w:w="851" w:type="dxa"/>
          </w:tcPr>
          <w:p w14:paraId="45348A65" w14:textId="0FB58E86" w:rsidR="007247DE" w:rsidRDefault="007247DE" w:rsidP="005570E5">
            <w:pPr>
              <w:rPr>
                <w:rFonts w:ascii="Arial" w:hAnsi="Arial" w:cs="Arial"/>
                <w:bCs/>
                <w:szCs w:val="24"/>
              </w:rPr>
            </w:pPr>
            <w:r>
              <w:rPr>
                <w:rFonts w:ascii="Arial" w:hAnsi="Arial" w:cs="Arial"/>
                <w:bCs/>
                <w:szCs w:val="24"/>
              </w:rPr>
              <w:t>8.3</w:t>
            </w:r>
          </w:p>
        </w:tc>
        <w:tc>
          <w:tcPr>
            <w:tcW w:w="8788" w:type="dxa"/>
          </w:tcPr>
          <w:p w14:paraId="0BAE25CD" w14:textId="19ACB392" w:rsidR="007247DE" w:rsidRDefault="007247DE" w:rsidP="005570E5">
            <w:pPr>
              <w:ind w:right="-103"/>
              <w:jc w:val="both"/>
              <w:rPr>
                <w:rFonts w:ascii="Arial" w:hAnsi="Arial" w:cs="Arial"/>
                <w:szCs w:val="24"/>
              </w:rPr>
            </w:pPr>
            <w:r>
              <w:rPr>
                <w:rFonts w:ascii="Arial" w:hAnsi="Arial" w:cs="Arial"/>
                <w:szCs w:val="24"/>
              </w:rPr>
              <w:t>In theory, the hope is that by the proactive nature of any staff health and wellbeing initiatives, this will assist and support in mitigating the casework in the ongoing management of staff welfare matters across all services.</w:t>
            </w:r>
          </w:p>
        </w:tc>
      </w:tr>
    </w:tbl>
    <w:p w14:paraId="347840C8" w14:textId="77777777" w:rsidR="00377E9E" w:rsidRPr="00A90AA3" w:rsidRDefault="00377E9E"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88"/>
      </w:tblGrid>
      <w:tr w:rsidR="006D0D6A" w:rsidRPr="00A90AA3" w14:paraId="0567F364" w14:textId="77777777" w:rsidTr="00813F0D">
        <w:tc>
          <w:tcPr>
            <w:tcW w:w="851" w:type="dxa"/>
          </w:tcPr>
          <w:p w14:paraId="26E27BC8" w14:textId="040E5991" w:rsidR="006D0D6A" w:rsidRPr="00F80CF1" w:rsidRDefault="007247DE" w:rsidP="000E18CA">
            <w:pPr>
              <w:pStyle w:val="NoSpacing"/>
              <w:rPr>
                <w:b/>
                <w:bCs/>
              </w:rPr>
            </w:pPr>
            <w:bookmarkStart w:id="1" w:name="_Hlk97757709"/>
            <w:r>
              <w:rPr>
                <w:b/>
                <w:bCs/>
              </w:rPr>
              <w:t>9</w:t>
            </w:r>
            <w:r w:rsidR="00E55373" w:rsidRPr="00F80CF1">
              <w:rPr>
                <w:b/>
                <w:bCs/>
              </w:rPr>
              <w:t>.</w:t>
            </w:r>
          </w:p>
        </w:tc>
        <w:tc>
          <w:tcPr>
            <w:tcW w:w="8788" w:type="dxa"/>
          </w:tcPr>
          <w:p w14:paraId="59B3616D" w14:textId="0E1C2ED1" w:rsidR="006D0D6A" w:rsidRPr="00A90AA3" w:rsidRDefault="006D0D6A" w:rsidP="006C2604">
            <w:pPr>
              <w:pStyle w:val="NoSpacing"/>
              <w:rPr>
                <w:b/>
                <w:bCs/>
              </w:rPr>
            </w:pPr>
            <w:r w:rsidRPr="00A90AA3">
              <w:rPr>
                <w:b/>
                <w:bCs/>
              </w:rPr>
              <w:t>Implications</w:t>
            </w:r>
          </w:p>
          <w:p w14:paraId="51AD6E29" w14:textId="77777777" w:rsidR="006D0D6A" w:rsidRPr="00A90AA3" w:rsidRDefault="006D0D6A" w:rsidP="006C2604">
            <w:pPr>
              <w:pStyle w:val="NoSpacing"/>
              <w:rPr>
                <w:b/>
                <w:bCs/>
              </w:rPr>
            </w:pPr>
          </w:p>
        </w:tc>
      </w:tr>
      <w:tr w:rsidR="006D0D6A" w:rsidRPr="00A90AA3" w14:paraId="73FE3FB2" w14:textId="77777777" w:rsidTr="00813F0D">
        <w:tc>
          <w:tcPr>
            <w:tcW w:w="851" w:type="dxa"/>
          </w:tcPr>
          <w:p w14:paraId="7FF0E44B" w14:textId="358EBCEF" w:rsidR="006D0D6A" w:rsidRPr="00A90AA3" w:rsidRDefault="007247DE" w:rsidP="00E55373">
            <w:pPr>
              <w:pStyle w:val="NoSpacing"/>
              <w:ind w:left="792" w:hanging="755"/>
            </w:pPr>
            <w:r>
              <w:t>9</w:t>
            </w:r>
            <w:r w:rsidR="00E55373">
              <w:t>.1</w:t>
            </w:r>
          </w:p>
        </w:tc>
        <w:tc>
          <w:tcPr>
            <w:tcW w:w="8788" w:type="dxa"/>
          </w:tcPr>
          <w:p w14:paraId="39964946" w14:textId="77777777" w:rsidR="006D0D6A" w:rsidRDefault="006D0D6A" w:rsidP="00C95D32">
            <w:pPr>
              <w:jc w:val="both"/>
              <w:rPr>
                <w:rFonts w:ascii="Arial" w:hAnsi="Arial" w:cs="Arial"/>
                <w:szCs w:val="24"/>
              </w:rPr>
            </w:pPr>
            <w:r w:rsidRPr="00A90AA3">
              <w:rPr>
                <w:rFonts w:ascii="Arial" w:hAnsi="Arial" w:cs="Arial"/>
                <w:szCs w:val="24"/>
              </w:rPr>
              <w:t>Resource Implications –</w:t>
            </w:r>
            <w:r w:rsidR="00C95D32">
              <w:rPr>
                <w:rFonts w:ascii="Arial" w:hAnsi="Arial" w:cs="Arial"/>
                <w:szCs w:val="24"/>
              </w:rPr>
              <w:t xml:space="preserve"> there are no new resource implications arising from this report</w:t>
            </w:r>
          </w:p>
          <w:p w14:paraId="57730E73" w14:textId="6C7758CB" w:rsidR="00824844" w:rsidRPr="00A90AA3" w:rsidRDefault="00824844" w:rsidP="00C95D32">
            <w:pPr>
              <w:jc w:val="both"/>
              <w:rPr>
                <w:rFonts w:ascii="Arial" w:hAnsi="Arial" w:cs="Arial"/>
                <w:szCs w:val="24"/>
              </w:rPr>
            </w:pPr>
          </w:p>
        </w:tc>
      </w:tr>
      <w:tr w:rsidR="006D0D6A" w:rsidRPr="00A90AA3" w14:paraId="5C2E0047" w14:textId="77777777" w:rsidTr="00813F0D">
        <w:tc>
          <w:tcPr>
            <w:tcW w:w="851" w:type="dxa"/>
          </w:tcPr>
          <w:p w14:paraId="3882572D" w14:textId="3FF2EB93" w:rsidR="006D0D6A" w:rsidRPr="00A90AA3" w:rsidRDefault="007247DE" w:rsidP="00E55373">
            <w:pPr>
              <w:pStyle w:val="NoSpacing"/>
              <w:ind w:left="792" w:hanging="755"/>
            </w:pPr>
            <w:r>
              <w:t>9</w:t>
            </w:r>
            <w:r w:rsidR="00E55373">
              <w:t>.2</w:t>
            </w:r>
          </w:p>
        </w:tc>
        <w:tc>
          <w:tcPr>
            <w:tcW w:w="8788" w:type="dxa"/>
          </w:tcPr>
          <w:p w14:paraId="7D2CBC71" w14:textId="77777777" w:rsidR="006D0D6A" w:rsidRDefault="006D0D6A" w:rsidP="00264D4B">
            <w:pPr>
              <w:jc w:val="both"/>
              <w:rPr>
                <w:rFonts w:ascii="Arial" w:hAnsi="Arial" w:cs="Arial"/>
                <w:szCs w:val="24"/>
              </w:rPr>
            </w:pPr>
            <w:r w:rsidRPr="00A90AA3">
              <w:rPr>
                <w:rFonts w:ascii="Arial" w:hAnsi="Arial" w:cs="Arial"/>
                <w:szCs w:val="24"/>
              </w:rPr>
              <w:t xml:space="preserve">Legal Implications </w:t>
            </w:r>
            <w:r w:rsidR="00CE0B75">
              <w:rPr>
                <w:rFonts w:ascii="Arial" w:hAnsi="Arial" w:cs="Arial"/>
                <w:szCs w:val="24"/>
              </w:rPr>
              <w:t>–</w:t>
            </w:r>
            <w:r w:rsidR="00264D4B">
              <w:rPr>
                <w:rFonts w:ascii="Arial" w:hAnsi="Arial" w:cs="Arial"/>
                <w:szCs w:val="24"/>
              </w:rPr>
              <w:t xml:space="preserve"> there are no new legal implications arising from this report</w:t>
            </w:r>
          </w:p>
          <w:p w14:paraId="7B5738E1" w14:textId="1DE534F1" w:rsidR="00264D4B" w:rsidRPr="00A90AA3" w:rsidRDefault="00264D4B" w:rsidP="00264D4B">
            <w:pPr>
              <w:jc w:val="both"/>
              <w:rPr>
                <w:rFonts w:ascii="Arial" w:hAnsi="Arial" w:cs="Arial"/>
                <w:szCs w:val="24"/>
              </w:rPr>
            </w:pPr>
          </w:p>
        </w:tc>
      </w:tr>
      <w:tr w:rsidR="006D0D6A" w:rsidRPr="00A90AA3" w14:paraId="69CCE2DA" w14:textId="77777777" w:rsidTr="00813F0D">
        <w:tc>
          <w:tcPr>
            <w:tcW w:w="851" w:type="dxa"/>
          </w:tcPr>
          <w:p w14:paraId="7DEA9F26" w14:textId="65443C91" w:rsidR="006D0D6A" w:rsidRPr="00A90AA3" w:rsidRDefault="007247DE" w:rsidP="00E55373">
            <w:pPr>
              <w:pStyle w:val="NoSpacing"/>
              <w:ind w:left="792" w:hanging="755"/>
            </w:pPr>
            <w:r>
              <w:t>9</w:t>
            </w:r>
            <w:r w:rsidR="00E55373">
              <w:t>.3</w:t>
            </w:r>
          </w:p>
        </w:tc>
        <w:tc>
          <w:tcPr>
            <w:tcW w:w="8788" w:type="dxa"/>
          </w:tcPr>
          <w:p w14:paraId="0A4F4BE1" w14:textId="77777777" w:rsidR="006D0D6A" w:rsidRPr="00A90AA3" w:rsidRDefault="006D0D6A" w:rsidP="006C2604">
            <w:pPr>
              <w:jc w:val="both"/>
              <w:rPr>
                <w:rFonts w:ascii="Arial" w:hAnsi="Arial" w:cs="Arial"/>
                <w:szCs w:val="24"/>
              </w:rPr>
            </w:pPr>
            <w:r w:rsidRPr="00A90AA3">
              <w:rPr>
                <w:rFonts w:ascii="Arial" w:hAnsi="Arial" w:cs="Arial"/>
                <w:szCs w:val="24"/>
              </w:rPr>
              <w:t>Equality Implications – there are no new equality implications arising from this report.</w:t>
            </w:r>
          </w:p>
          <w:p w14:paraId="2CE8608E" w14:textId="25E2D698" w:rsidR="006D0D6A" w:rsidRPr="00A90AA3" w:rsidRDefault="006D0D6A" w:rsidP="006C2604">
            <w:pPr>
              <w:jc w:val="both"/>
              <w:rPr>
                <w:rFonts w:ascii="Arial" w:hAnsi="Arial" w:cs="Arial"/>
                <w:szCs w:val="24"/>
              </w:rPr>
            </w:pPr>
          </w:p>
        </w:tc>
      </w:tr>
      <w:tr w:rsidR="006D0D6A" w:rsidRPr="00A90AA3" w14:paraId="379511D8" w14:textId="77777777" w:rsidTr="00813F0D">
        <w:tc>
          <w:tcPr>
            <w:tcW w:w="851" w:type="dxa"/>
          </w:tcPr>
          <w:p w14:paraId="4D0A9AFC" w14:textId="05D48289" w:rsidR="006D0D6A" w:rsidRPr="00A90AA3" w:rsidRDefault="007247DE" w:rsidP="00E55373">
            <w:pPr>
              <w:pStyle w:val="NoSpacing"/>
              <w:ind w:left="792" w:hanging="755"/>
            </w:pPr>
            <w:r>
              <w:t>9</w:t>
            </w:r>
            <w:r w:rsidR="00E55373">
              <w:t>.4</w:t>
            </w:r>
          </w:p>
        </w:tc>
        <w:tc>
          <w:tcPr>
            <w:tcW w:w="8788" w:type="dxa"/>
          </w:tcPr>
          <w:p w14:paraId="0C180C77" w14:textId="77777777" w:rsidR="006D0D6A" w:rsidRDefault="006D0D6A" w:rsidP="006D0D6A">
            <w:pPr>
              <w:rPr>
                <w:rFonts w:ascii="Arial" w:hAnsi="Arial" w:cs="Arial"/>
                <w:szCs w:val="24"/>
              </w:rPr>
            </w:pPr>
            <w:r w:rsidRPr="00A90AA3">
              <w:rPr>
                <w:rFonts w:ascii="Arial" w:hAnsi="Arial" w:cs="Arial"/>
                <w:szCs w:val="24"/>
              </w:rPr>
              <w:t xml:space="preserve">Risk Implications – there are no new risk implications arising from this report. </w:t>
            </w:r>
          </w:p>
          <w:p w14:paraId="2AE8947C" w14:textId="5585E110" w:rsidR="00824844" w:rsidRPr="00A90AA3" w:rsidRDefault="00824844" w:rsidP="006D0D6A">
            <w:pPr>
              <w:rPr>
                <w:rFonts w:ascii="Arial" w:hAnsi="Arial" w:cs="Arial"/>
                <w:szCs w:val="24"/>
              </w:rPr>
            </w:pPr>
          </w:p>
        </w:tc>
      </w:tr>
      <w:bookmarkEnd w:id="1"/>
    </w:tbl>
    <w:p w14:paraId="3B82E045" w14:textId="0DE53754" w:rsidR="006D0D6A" w:rsidRDefault="006D0D6A" w:rsidP="002579EB">
      <w:pPr>
        <w:pStyle w:val="NoSpacing"/>
      </w:pPr>
    </w:p>
    <w:p w14:paraId="2D883841" w14:textId="77777777" w:rsidR="003C7969" w:rsidRPr="00A90AA3" w:rsidRDefault="003C7969" w:rsidP="002579EB">
      <w:pPr>
        <w:pStyle w:val="NoSpacing"/>
      </w:pPr>
    </w:p>
    <w:tbl>
      <w:tblPr>
        <w:tblStyle w:val="TableGrid"/>
        <w:tblW w:w="0" w:type="auto"/>
        <w:tblLook w:val="04A0" w:firstRow="1" w:lastRow="0" w:firstColumn="1" w:lastColumn="0" w:noHBand="0" w:noVBand="1"/>
      </w:tblPr>
      <w:tblGrid>
        <w:gridCol w:w="9736"/>
      </w:tblGrid>
      <w:tr w:rsidR="006D0D6A" w:rsidRPr="00A90AA3" w14:paraId="30BD85CD" w14:textId="77777777" w:rsidTr="006D0D6A">
        <w:tc>
          <w:tcPr>
            <w:tcW w:w="9736" w:type="dxa"/>
          </w:tcPr>
          <w:p w14:paraId="5B133731" w14:textId="40A4F8A4" w:rsidR="006D0D6A" w:rsidRPr="00A90AA3" w:rsidRDefault="006D0D6A" w:rsidP="002579EB">
            <w:pPr>
              <w:pStyle w:val="NoSpacing"/>
              <w:rPr>
                <w:b/>
                <w:bCs/>
              </w:rPr>
            </w:pPr>
            <w:r w:rsidRPr="00A90AA3">
              <w:rPr>
                <w:b/>
                <w:bCs/>
              </w:rPr>
              <w:t>Recommendation</w:t>
            </w:r>
          </w:p>
          <w:p w14:paraId="2E46C0A9" w14:textId="77777777" w:rsidR="006D0D6A" w:rsidRPr="00A90AA3" w:rsidRDefault="006D0D6A" w:rsidP="002579EB">
            <w:pPr>
              <w:pStyle w:val="NoSpacing"/>
            </w:pPr>
          </w:p>
          <w:p w14:paraId="75809F35" w14:textId="77777777" w:rsidR="00D43B41" w:rsidRDefault="00D43B41" w:rsidP="00D43B41">
            <w:pPr>
              <w:pStyle w:val="NoSpacing"/>
            </w:pPr>
            <w:r>
              <w:t>It is recommended Directors note and comment on:</w:t>
            </w:r>
          </w:p>
          <w:p w14:paraId="6268B547" w14:textId="77777777" w:rsidR="00D43B41" w:rsidRDefault="00D43B41" w:rsidP="00D43B41">
            <w:pPr>
              <w:pStyle w:val="NoSpacing"/>
            </w:pPr>
          </w:p>
          <w:p w14:paraId="65FF5CE7" w14:textId="77777777" w:rsidR="00D43B41" w:rsidRDefault="00D43B41" w:rsidP="00D43B41">
            <w:pPr>
              <w:pStyle w:val="NoSpacing"/>
              <w:numPr>
                <w:ilvl w:val="0"/>
                <w:numId w:val="42"/>
              </w:numPr>
              <w:jc w:val="both"/>
            </w:pPr>
            <w:r>
              <w:t>the standing HR matters for Q2, 2022/23;</w:t>
            </w:r>
          </w:p>
          <w:p w14:paraId="109BEA47" w14:textId="0614C6AD" w:rsidR="00D43B41" w:rsidRDefault="00D43B41" w:rsidP="00D43B41">
            <w:pPr>
              <w:pStyle w:val="NoSpacing"/>
              <w:numPr>
                <w:ilvl w:val="0"/>
                <w:numId w:val="42"/>
              </w:numPr>
              <w:jc w:val="both"/>
            </w:pPr>
            <w:r w:rsidRPr="00D60919">
              <w:t>the SJC Pay Award</w:t>
            </w:r>
            <w:r>
              <w:t>;</w:t>
            </w:r>
          </w:p>
          <w:p w14:paraId="48776FE6" w14:textId="66167BBD" w:rsidR="00D43B41" w:rsidRPr="00D60919" w:rsidRDefault="00D43B41" w:rsidP="00D43B41">
            <w:pPr>
              <w:pStyle w:val="NoSpacing"/>
              <w:numPr>
                <w:ilvl w:val="0"/>
                <w:numId w:val="42"/>
              </w:numPr>
              <w:jc w:val="both"/>
            </w:pPr>
            <w:r>
              <w:t>Additional Coronation Bank Holiday;</w:t>
            </w:r>
          </w:p>
          <w:p w14:paraId="1F1C4CC1" w14:textId="5C1141F2" w:rsidR="00D43B41" w:rsidRDefault="00D43B41" w:rsidP="00D43B41">
            <w:pPr>
              <w:pStyle w:val="ListParagraph"/>
              <w:numPr>
                <w:ilvl w:val="0"/>
                <w:numId w:val="42"/>
              </w:numPr>
              <w:spacing w:after="0" w:line="240" w:lineRule="auto"/>
              <w:contextualSpacing w:val="0"/>
              <w:jc w:val="both"/>
              <w:rPr>
                <w:rFonts w:ascii="Arial" w:hAnsi="Arial" w:cs="Arial"/>
                <w:sz w:val="24"/>
                <w:szCs w:val="24"/>
              </w:rPr>
            </w:pPr>
            <w:r w:rsidRPr="00CC4EFF">
              <w:rPr>
                <w:rFonts w:ascii="Arial" w:hAnsi="Arial" w:cs="Arial"/>
                <w:sz w:val="24"/>
                <w:szCs w:val="24"/>
              </w:rPr>
              <w:t xml:space="preserve">the draft Gender Pay Gap Report in </w:t>
            </w:r>
            <w:r w:rsidRPr="00CC4EFF">
              <w:rPr>
                <w:rFonts w:ascii="Arial" w:hAnsi="Arial" w:cs="Arial"/>
                <w:b/>
                <w:sz w:val="24"/>
                <w:szCs w:val="24"/>
              </w:rPr>
              <w:t xml:space="preserve">Appendix </w:t>
            </w:r>
            <w:r>
              <w:rPr>
                <w:rFonts w:ascii="Arial" w:hAnsi="Arial" w:cs="Arial"/>
                <w:b/>
                <w:sz w:val="24"/>
                <w:szCs w:val="24"/>
              </w:rPr>
              <w:t>C</w:t>
            </w:r>
            <w:r w:rsidRPr="00CC4EFF">
              <w:rPr>
                <w:rFonts w:ascii="Arial" w:hAnsi="Arial" w:cs="Arial"/>
                <w:b/>
                <w:sz w:val="24"/>
                <w:szCs w:val="24"/>
              </w:rPr>
              <w:t xml:space="preserve"> </w:t>
            </w:r>
            <w:r w:rsidRPr="00CC4EFF">
              <w:rPr>
                <w:rFonts w:ascii="Arial" w:hAnsi="Arial" w:cs="Arial"/>
                <w:sz w:val="24"/>
                <w:szCs w:val="24"/>
              </w:rPr>
              <w:t>and approve its submission to the UK Government and publication on the HLH website</w:t>
            </w:r>
            <w:r>
              <w:rPr>
                <w:rFonts w:ascii="Arial" w:hAnsi="Arial" w:cs="Arial"/>
                <w:sz w:val="24"/>
                <w:szCs w:val="24"/>
              </w:rPr>
              <w:t>; and</w:t>
            </w:r>
          </w:p>
          <w:p w14:paraId="5B4C5C2D" w14:textId="77777777" w:rsidR="007C65C4" w:rsidRDefault="00D43B41" w:rsidP="00D43B41">
            <w:pPr>
              <w:pStyle w:val="ListParagraph"/>
              <w:numPr>
                <w:ilvl w:val="0"/>
                <w:numId w:val="42"/>
              </w:numPr>
              <w:spacing w:after="0" w:line="240" w:lineRule="auto"/>
              <w:contextualSpacing w:val="0"/>
              <w:jc w:val="both"/>
              <w:rPr>
                <w:rFonts w:ascii="Arial" w:hAnsi="Arial" w:cs="Arial"/>
                <w:sz w:val="24"/>
                <w:szCs w:val="24"/>
              </w:rPr>
            </w:pPr>
            <w:r w:rsidRPr="00D43B41">
              <w:rPr>
                <w:rFonts w:ascii="Arial" w:hAnsi="Arial" w:cs="Arial"/>
                <w:sz w:val="24"/>
                <w:szCs w:val="24"/>
              </w:rPr>
              <w:t>the updated position for responsibilities around staff health and wellbeing, and staff welfare/support</w:t>
            </w:r>
            <w:r>
              <w:rPr>
                <w:rFonts w:ascii="Arial" w:hAnsi="Arial" w:cs="Arial"/>
                <w:sz w:val="24"/>
                <w:szCs w:val="24"/>
              </w:rPr>
              <w:t>.</w:t>
            </w:r>
          </w:p>
          <w:p w14:paraId="197B7829" w14:textId="50B217EA" w:rsidR="00D43B41" w:rsidRPr="00D43B41" w:rsidRDefault="00D43B41" w:rsidP="00D43B41">
            <w:pPr>
              <w:pStyle w:val="ListParagraph"/>
              <w:spacing w:after="0" w:line="240" w:lineRule="auto"/>
              <w:ind w:left="1080"/>
              <w:contextualSpacing w:val="0"/>
              <w:jc w:val="both"/>
              <w:rPr>
                <w:rFonts w:ascii="Arial" w:hAnsi="Arial" w:cs="Arial"/>
                <w:sz w:val="24"/>
                <w:szCs w:val="24"/>
              </w:rPr>
            </w:pPr>
          </w:p>
        </w:tc>
      </w:tr>
    </w:tbl>
    <w:p w14:paraId="5E74F40B" w14:textId="055210F1" w:rsidR="006D0D6A" w:rsidRPr="00A90AA3" w:rsidRDefault="006D0D6A" w:rsidP="002579EB">
      <w:pPr>
        <w:pStyle w:val="NoSpacing"/>
      </w:pPr>
    </w:p>
    <w:p w14:paraId="3860A2E7" w14:textId="6E5637FB" w:rsidR="00E53486" w:rsidRPr="00A90AA3" w:rsidRDefault="00E53486" w:rsidP="002579EB">
      <w:pPr>
        <w:pStyle w:val="NoSpacing"/>
      </w:pPr>
    </w:p>
    <w:p w14:paraId="612F12CE" w14:textId="77777777" w:rsidR="006066A0" w:rsidRPr="00A90AA3" w:rsidRDefault="006066A0" w:rsidP="006066A0">
      <w:pPr>
        <w:pStyle w:val="NoSpacing"/>
      </w:pPr>
      <w:r w:rsidRPr="00A90AA3">
        <w:t>Designation:</w:t>
      </w:r>
      <w:r w:rsidRPr="00A90AA3">
        <w:tab/>
        <w:t>Chief Executive</w:t>
      </w:r>
    </w:p>
    <w:p w14:paraId="65F146DE" w14:textId="77777777" w:rsidR="006066A0" w:rsidRPr="00A90AA3" w:rsidRDefault="006066A0" w:rsidP="006066A0">
      <w:pPr>
        <w:pStyle w:val="NoSpacing"/>
      </w:pPr>
    </w:p>
    <w:p w14:paraId="7438B146" w14:textId="1FE0B94E" w:rsidR="006066A0" w:rsidRDefault="006066A0" w:rsidP="006066A0">
      <w:pPr>
        <w:pStyle w:val="NoSpacing"/>
      </w:pPr>
      <w:r w:rsidRPr="00A90AA3">
        <w:t>Date:</w:t>
      </w:r>
      <w:r w:rsidRPr="00A90AA3">
        <w:tab/>
      </w:r>
      <w:r w:rsidR="000E18CA">
        <w:tab/>
      </w:r>
      <w:r w:rsidR="00C81418">
        <w:t>30 November 2022</w:t>
      </w:r>
    </w:p>
    <w:p w14:paraId="7E3D418F" w14:textId="0F090E01" w:rsidR="004757B4" w:rsidRDefault="004757B4" w:rsidP="006066A0">
      <w:pPr>
        <w:pStyle w:val="NoSpacing"/>
      </w:pPr>
    </w:p>
    <w:p w14:paraId="696AE400" w14:textId="75CD6A9F" w:rsidR="004757B4" w:rsidRDefault="004757B4" w:rsidP="006066A0">
      <w:pPr>
        <w:pStyle w:val="NoSpacing"/>
      </w:pPr>
      <w:r>
        <w:t>Authors:</w:t>
      </w:r>
      <w:r>
        <w:tab/>
      </w:r>
      <w:r w:rsidR="007247DE">
        <w:t>Morven MacLeod, HR Manager</w:t>
      </w:r>
    </w:p>
    <w:p w14:paraId="6D97B0C1" w14:textId="549AAC64" w:rsidR="004757B4" w:rsidRDefault="004757B4" w:rsidP="006066A0">
      <w:pPr>
        <w:pStyle w:val="NoSpacing"/>
      </w:pPr>
      <w:r>
        <w:tab/>
      </w:r>
      <w:r>
        <w:tab/>
      </w:r>
    </w:p>
    <w:p w14:paraId="379B27FF" w14:textId="565A3482" w:rsidR="000938E4" w:rsidRDefault="000938E4" w:rsidP="006066A0">
      <w:pPr>
        <w:pStyle w:val="NoSpacing"/>
      </w:pPr>
    </w:p>
    <w:p w14:paraId="5D9D3505" w14:textId="7307D9D4" w:rsidR="000938E4" w:rsidRDefault="000938E4">
      <w:pPr>
        <w:rPr>
          <w:rFonts w:ascii="Arial" w:eastAsiaTheme="minorHAnsi" w:hAnsi="Arial" w:cs="Arial"/>
          <w:szCs w:val="24"/>
          <w:lang w:eastAsia="en-US"/>
        </w:rPr>
      </w:pPr>
      <w:r>
        <w:br w:type="page"/>
      </w:r>
    </w:p>
    <w:p w14:paraId="5E1B618D" w14:textId="77777777" w:rsidR="004B7F43" w:rsidRPr="004B7F43" w:rsidRDefault="004B7F43" w:rsidP="00A84C65">
      <w:pPr>
        <w:pStyle w:val="NoSpacing"/>
        <w:jc w:val="right"/>
        <w:rPr>
          <w:b/>
          <w:bCs/>
        </w:rPr>
      </w:pPr>
      <w:r w:rsidRPr="004B7F43">
        <w:rPr>
          <w:b/>
          <w:bCs/>
        </w:rPr>
        <w:lastRenderedPageBreak/>
        <w:t>Appendix A</w:t>
      </w:r>
    </w:p>
    <w:p w14:paraId="5B7A5761" w14:textId="77777777" w:rsidR="004B7F43" w:rsidRPr="004B7F43" w:rsidRDefault="004B7F43" w:rsidP="004B7F43">
      <w:pPr>
        <w:pStyle w:val="NoSpacing"/>
      </w:pPr>
    </w:p>
    <w:p w14:paraId="7F77196C" w14:textId="05DEADAC" w:rsidR="004B7F43" w:rsidRPr="004B7F43" w:rsidRDefault="004B7F43" w:rsidP="004B7F43">
      <w:pPr>
        <w:pStyle w:val="NoSpacing"/>
        <w:rPr>
          <w:b/>
        </w:rPr>
      </w:pPr>
      <w:r w:rsidRPr="004B7F43">
        <w:rPr>
          <w:b/>
        </w:rPr>
        <w:t xml:space="preserve">CHANGES TO STAFFING ESTABLISHMENT IN </w:t>
      </w:r>
      <w:r w:rsidR="00B07720">
        <w:rPr>
          <w:b/>
        </w:rPr>
        <w:t>Q2</w:t>
      </w:r>
    </w:p>
    <w:p w14:paraId="584D0BDF" w14:textId="4C16CB91" w:rsidR="004B7F43" w:rsidRDefault="004B7F43" w:rsidP="004B7F43">
      <w:pPr>
        <w:pStyle w:val="NoSpacing"/>
        <w:rPr>
          <w:b/>
        </w:rPr>
      </w:pPr>
      <w:r w:rsidRPr="004B7F43">
        <w:rPr>
          <w:b/>
        </w:rPr>
        <w:t>(</w:t>
      </w:r>
      <w:r w:rsidR="00936F07">
        <w:rPr>
          <w:b/>
        </w:rPr>
        <w:t xml:space="preserve">July </w:t>
      </w:r>
      <w:r w:rsidR="009F421A">
        <w:rPr>
          <w:b/>
        </w:rPr>
        <w:t xml:space="preserve">– </w:t>
      </w:r>
      <w:r w:rsidR="00936F07">
        <w:rPr>
          <w:b/>
        </w:rPr>
        <w:t>September</w:t>
      </w:r>
      <w:r w:rsidR="009F421A">
        <w:rPr>
          <w:b/>
        </w:rPr>
        <w:t xml:space="preserve"> 2022</w:t>
      </w:r>
      <w:r w:rsidRPr="004B7F43">
        <w:rPr>
          <w:b/>
        </w:rPr>
        <w:t>)</w:t>
      </w:r>
    </w:p>
    <w:p w14:paraId="2F0D9D1D" w14:textId="38513C46" w:rsidR="009F421A" w:rsidRDefault="009F421A" w:rsidP="004B7F43">
      <w:pPr>
        <w:pStyle w:val="NoSpacing"/>
        <w:rPr>
          <w:b/>
        </w:rPr>
      </w:pPr>
    </w:p>
    <w:tbl>
      <w:tblPr>
        <w:tblStyle w:val="TableGrid"/>
        <w:tblW w:w="10491" w:type="dxa"/>
        <w:tblInd w:w="-431" w:type="dxa"/>
        <w:tblLook w:val="04A0" w:firstRow="1" w:lastRow="0" w:firstColumn="1" w:lastColumn="0" w:noHBand="0" w:noVBand="1"/>
      </w:tblPr>
      <w:tblGrid>
        <w:gridCol w:w="3261"/>
        <w:gridCol w:w="2835"/>
        <w:gridCol w:w="829"/>
        <w:gridCol w:w="3566"/>
      </w:tblGrid>
      <w:tr w:rsidR="00DF3993" w:rsidRPr="004B7F43" w14:paraId="2F3258F9" w14:textId="77777777" w:rsidTr="00DF3993">
        <w:trPr>
          <w:trHeight w:val="300"/>
        </w:trPr>
        <w:tc>
          <w:tcPr>
            <w:tcW w:w="3261" w:type="dxa"/>
            <w:noWrap/>
            <w:hideMark/>
          </w:tcPr>
          <w:p w14:paraId="0B330935" w14:textId="77777777" w:rsidR="009F421A" w:rsidRPr="004B7F43" w:rsidRDefault="009F421A" w:rsidP="00DB0CEF">
            <w:pPr>
              <w:pStyle w:val="NoSpacing"/>
              <w:jc w:val="center"/>
              <w:rPr>
                <w:b/>
                <w:bCs/>
              </w:rPr>
            </w:pPr>
            <w:r w:rsidRPr="004B7F43">
              <w:rPr>
                <w:b/>
                <w:bCs/>
              </w:rPr>
              <w:t>Post Title</w:t>
            </w:r>
          </w:p>
        </w:tc>
        <w:tc>
          <w:tcPr>
            <w:tcW w:w="2835" w:type="dxa"/>
            <w:noWrap/>
            <w:hideMark/>
          </w:tcPr>
          <w:p w14:paraId="3FF4FD36" w14:textId="77777777" w:rsidR="009F421A" w:rsidRPr="004B7F43" w:rsidRDefault="009F421A" w:rsidP="00DB0CEF">
            <w:pPr>
              <w:pStyle w:val="NoSpacing"/>
              <w:jc w:val="center"/>
              <w:rPr>
                <w:b/>
                <w:bCs/>
              </w:rPr>
            </w:pPr>
            <w:r w:rsidRPr="004B7F43">
              <w:rPr>
                <w:b/>
                <w:bCs/>
              </w:rPr>
              <w:t>Location</w:t>
            </w:r>
          </w:p>
        </w:tc>
        <w:tc>
          <w:tcPr>
            <w:tcW w:w="829" w:type="dxa"/>
            <w:noWrap/>
            <w:hideMark/>
          </w:tcPr>
          <w:p w14:paraId="34A2DAFB" w14:textId="77777777" w:rsidR="009F421A" w:rsidRPr="004B7F43" w:rsidRDefault="009F421A" w:rsidP="00DB0CEF">
            <w:pPr>
              <w:pStyle w:val="NoSpacing"/>
              <w:jc w:val="center"/>
              <w:rPr>
                <w:b/>
                <w:bCs/>
              </w:rPr>
            </w:pPr>
            <w:r w:rsidRPr="004B7F43">
              <w:rPr>
                <w:b/>
                <w:bCs/>
              </w:rPr>
              <w:t>FTE</w:t>
            </w:r>
          </w:p>
        </w:tc>
        <w:tc>
          <w:tcPr>
            <w:tcW w:w="3566" w:type="dxa"/>
            <w:noWrap/>
            <w:hideMark/>
          </w:tcPr>
          <w:p w14:paraId="66B7AB45" w14:textId="77777777" w:rsidR="009F421A" w:rsidRPr="004B7F43" w:rsidRDefault="009F421A" w:rsidP="00DF3993">
            <w:pPr>
              <w:pStyle w:val="NoSpacing"/>
              <w:ind w:right="1214"/>
              <w:jc w:val="center"/>
              <w:rPr>
                <w:b/>
                <w:bCs/>
              </w:rPr>
            </w:pPr>
            <w:r>
              <w:rPr>
                <w:b/>
                <w:bCs/>
              </w:rPr>
              <w:t>Additional comments</w:t>
            </w:r>
          </w:p>
        </w:tc>
      </w:tr>
      <w:tr w:rsidR="00DF3993" w:rsidRPr="00DF3993" w14:paraId="1C6E8FC0" w14:textId="77777777" w:rsidTr="00DF3993">
        <w:trPr>
          <w:trHeight w:val="300"/>
        </w:trPr>
        <w:tc>
          <w:tcPr>
            <w:tcW w:w="3261" w:type="dxa"/>
            <w:noWrap/>
            <w:hideMark/>
          </w:tcPr>
          <w:p w14:paraId="729D4014" w14:textId="09C9C1D7" w:rsidR="00DF3993" w:rsidRPr="00DF3993" w:rsidRDefault="00F86153" w:rsidP="00DF3993">
            <w:pPr>
              <w:rPr>
                <w:rFonts w:ascii="Arial" w:hAnsi="Arial" w:cs="Arial"/>
                <w:color w:val="000000"/>
                <w:szCs w:val="24"/>
              </w:rPr>
            </w:pPr>
            <w:bookmarkStart w:id="2" w:name="_Hlk119329294"/>
            <w:r>
              <w:rPr>
                <w:rFonts w:ascii="Arial" w:hAnsi="Arial" w:cs="Arial"/>
                <w:color w:val="000000"/>
                <w:szCs w:val="24"/>
              </w:rPr>
              <w:t>Youth Support Officer</w:t>
            </w:r>
          </w:p>
        </w:tc>
        <w:tc>
          <w:tcPr>
            <w:tcW w:w="2835" w:type="dxa"/>
            <w:noWrap/>
            <w:hideMark/>
          </w:tcPr>
          <w:p w14:paraId="15B025C5" w14:textId="16F3DDF9" w:rsidR="00DF3993" w:rsidRPr="00DF3993" w:rsidRDefault="00F86153" w:rsidP="00DF3993">
            <w:pPr>
              <w:rPr>
                <w:rFonts w:ascii="Arial" w:hAnsi="Arial" w:cs="Arial"/>
                <w:color w:val="000000"/>
                <w:szCs w:val="24"/>
              </w:rPr>
            </w:pPr>
            <w:r>
              <w:rPr>
                <w:rFonts w:ascii="Arial" w:hAnsi="Arial" w:cs="Arial"/>
                <w:color w:val="000000"/>
                <w:szCs w:val="24"/>
              </w:rPr>
              <w:t>Dornoch</w:t>
            </w:r>
          </w:p>
        </w:tc>
        <w:tc>
          <w:tcPr>
            <w:tcW w:w="829" w:type="dxa"/>
            <w:noWrap/>
            <w:hideMark/>
          </w:tcPr>
          <w:p w14:paraId="4840D82D" w14:textId="608F1B3C" w:rsidR="00DF3993" w:rsidRPr="00DF3993" w:rsidRDefault="00F86153" w:rsidP="00DF3993">
            <w:pPr>
              <w:jc w:val="center"/>
              <w:rPr>
                <w:rFonts w:ascii="Arial" w:hAnsi="Arial" w:cs="Arial"/>
                <w:color w:val="000000"/>
                <w:szCs w:val="24"/>
              </w:rPr>
            </w:pPr>
            <w:r>
              <w:rPr>
                <w:rFonts w:ascii="Arial" w:hAnsi="Arial" w:cs="Arial"/>
                <w:color w:val="000000"/>
                <w:szCs w:val="24"/>
              </w:rPr>
              <w:t>0.4</w:t>
            </w:r>
          </w:p>
        </w:tc>
        <w:tc>
          <w:tcPr>
            <w:tcW w:w="3566" w:type="dxa"/>
            <w:noWrap/>
            <w:hideMark/>
          </w:tcPr>
          <w:p w14:paraId="7AB21222" w14:textId="69DBA739" w:rsidR="00DF3993" w:rsidRPr="00DF3993" w:rsidRDefault="00775287" w:rsidP="003A5B8B">
            <w:pPr>
              <w:rPr>
                <w:rFonts w:ascii="Arial" w:hAnsi="Arial" w:cs="Arial"/>
                <w:color w:val="000000"/>
                <w:szCs w:val="24"/>
              </w:rPr>
            </w:pPr>
            <w:r>
              <w:rPr>
                <w:rFonts w:ascii="Arial" w:hAnsi="Arial" w:cs="Arial"/>
                <w:color w:val="000000"/>
                <w:szCs w:val="24"/>
              </w:rPr>
              <w:t>Temporary until 30.6.23</w:t>
            </w:r>
          </w:p>
        </w:tc>
      </w:tr>
      <w:tr w:rsidR="00E454C1" w:rsidRPr="00DF3993" w14:paraId="0B577829" w14:textId="77777777" w:rsidTr="00DF3993">
        <w:trPr>
          <w:trHeight w:val="300"/>
        </w:trPr>
        <w:tc>
          <w:tcPr>
            <w:tcW w:w="3261" w:type="dxa"/>
            <w:noWrap/>
          </w:tcPr>
          <w:p w14:paraId="21A09097" w14:textId="212A0BE7" w:rsidR="00E454C1" w:rsidRDefault="00E454C1" w:rsidP="00DF3993">
            <w:pPr>
              <w:rPr>
                <w:rFonts w:ascii="Arial" w:hAnsi="Arial" w:cs="Arial"/>
                <w:color w:val="000000"/>
                <w:szCs w:val="24"/>
              </w:rPr>
            </w:pPr>
            <w:r>
              <w:rPr>
                <w:rFonts w:ascii="Arial" w:hAnsi="Arial" w:cs="Arial"/>
                <w:color w:val="000000"/>
                <w:szCs w:val="24"/>
              </w:rPr>
              <w:t>Youth Support Officer</w:t>
            </w:r>
          </w:p>
        </w:tc>
        <w:tc>
          <w:tcPr>
            <w:tcW w:w="2835" w:type="dxa"/>
            <w:noWrap/>
          </w:tcPr>
          <w:p w14:paraId="27D7C766" w14:textId="3D20A0DA" w:rsidR="00E454C1" w:rsidRDefault="00E454C1" w:rsidP="00DF3993">
            <w:pPr>
              <w:rPr>
                <w:rFonts w:ascii="Arial" w:hAnsi="Arial" w:cs="Arial"/>
                <w:color w:val="000000"/>
                <w:szCs w:val="24"/>
              </w:rPr>
            </w:pPr>
            <w:r>
              <w:rPr>
                <w:rFonts w:ascii="Arial" w:hAnsi="Arial" w:cs="Arial"/>
                <w:color w:val="000000"/>
                <w:szCs w:val="24"/>
              </w:rPr>
              <w:t>Kinlochbervie</w:t>
            </w:r>
          </w:p>
        </w:tc>
        <w:tc>
          <w:tcPr>
            <w:tcW w:w="829" w:type="dxa"/>
            <w:noWrap/>
          </w:tcPr>
          <w:p w14:paraId="1C096607" w14:textId="1A5343AF" w:rsidR="00E454C1" w:rsidRDefault="00E454C1" w:rsidP="00DF3993">
            <w:pPr>
              <w:jc w:val="center"/>
              <w:rPr>
                <w:rFonts w:ascii="Arial" w:hAnsi="Arial" w:cs="Arial"/>
                <w:color w:val="000000"/>
                <w:szCs w:val="24"/>
              </w:rPr>
            </w:pPr>
            <w:r>
              <w:rPr>
                <w:rFonts w:ascii="Arial" w:hAnsi="Arial" w:cs="Arial"/>
                <w:color w:val="000000"/>
                <w:szCs w:val="24"/>
              </w:rPr>
              <w:t>0.4</w:t>
            </w:r>
          </w:p>
        </w:tc>
        <w:tc>
          <w:tcPr>
            <w:tcW w:w="3566" w:type="dxa"/>
            <w:noWrap/>
          </w:tcPr>
          <w:p w14:paraId="2F9BE972" w14:textId="69632729" w:rsidR="00E454C1" w:rsidRDefault="00E454C1" w:rsidP="003A5B8B">
            <w:pPr>
              <w:rPr>
                <w:rFonts w:ascii="Arial" w:hAnsi="Arial" w:cs="Arial"/>
                <w:color w:val="000000"/>
                <w:szCs w:val="24"/>
              </w:rPr>
            </w:pPr>
            <w:r>
              <w:rPr>
                <w:rFonts w:ascii="Arial" w:hAnsi="Arial" w:cs="Arial"/>
                <w:color w:val="000000"/>
                <w:szCs w:val="24"/>
              </w:rPr>
              <w:t>Temporary until 30.6.23</w:t>
            </w:r>
          </w:p>
        </w:tc>
      </w:tr>
      <w:bookmarkEnd w:id="2"/>
      <w:tr w:rsidR="00F86153" w:rsidRPr="00DF3993" w14:paraId="794D5C76" w14:textId="77777777" w:rsidTr="00DF3993">
        <w:trPr>
          <w:trHeight w:val="300"/>
        </w:trPr>
        <w:tc>
          <w:tcPr>
            <w:tcW w:w="3261" w:type="dxa"/>
            <w:noWrap/>
            <w:hideMark/>
          </w:tcPr>
          <w:p w14:paraId="459D31CF" w14:textId="386EE87E" w:rsidR="00F86153" w:rsidRPr="00DF3993" w:rsidRDefault="00F86153" w:rsidP="00F86153">
            <w:pPr>
              <w:rPr>
                <w:rFonts w:ascii="Arial" w:hAnsi="Arial" w:cs="Arial"/>
                <w:color w:val="000000"/>
                <w:szCs w:val="24"/>
              </w:rPr>
            </w:pPr>
            <w:r>
              <w:rPr>
                <w:rFonts w:ascii="Arial" w:hAnsi="Arial" w:cs="Arial"/>
                <w:color w:val="000000"/>
                <w:szCs w:val="24"/>
              </w:rPr>
              <w:t>Youth Support Officer</w:t>
            </w:r>
          </w:p>
        </w:tc>
        <w:tc>
          <w:tcPr>
            <w:tcW w:w="2835" w:type="dxa"/>
            <w:noWrap/>
            <w:hideMark/>
          </w:tcPr>
          <w:p w14:paraId="3A8CB57B" w14:textId="0171A561" w:rsidR="00F86153" w:rsidRPr="00DF3993" w:rsidRDefault="00F86153" w:rsidP="00F86153">
            <w:pPr>
              <w:rPr>
                <w:rFonts w:ascii="Arial" w:hAnsi="Arial" w:cs="Arial"/>
                <w:color w:val="000000"/>
                <w:szCs w:val="24"/>
              </w:rPr>
            </w:pPr>
            <w:r>
              <w:rPr>
                <w:rFonts w:ascii="Arial" w:hAnsi="Arial" w:cs="Arial"/>
                <w:color w:val="000000"/>
                <w:szCs w:val="24"/>
              </w:rPr>
              <w:t>Plockton</w:t>
            </w:r>
          </w:p>
        </w:tc>
        <w:tc>
          <w:tcPr>
            <w:tcW w:w="829" w:type="dxa"/>
            <w:noWrap/>
            <w:hideMark/>
          </w:tcPr>
          <w:p w14:paraId="3FCEC981" w14:textId="21460AA5" w:rsidR="00F86153" w:rsidRPr="00DF3993" w:rsidRDefault="00F86153" w:rsidP="00F86153">
            <w:pPr>
              <w:jc w:val="center"/>
              <w:rPr>
                <w:rFonts w:ascii="Arial" w:hAnsi="Arial" w:cs="Arial"/>
                <w:color w:val="000000"/>
                <w:szCs w:val="24"/>
              </w:rPr>
            </w:pPr>
            <w:r>
              <w:rPr>
                <w:rFonts w:ascii="Arial" w:hAnsi="Arial" w:cs="Arial"/>
                <w:color w:val="000000"/>
                <w:szCs w:val="24"/>
              </w:rPr>
              <w:t>0.5</w:t>
            </w:r>
          </w:p>
        </w:tc>
        <w:tc>
          <w:tcPr>
            <w:tcW w:w="3566" w:type="dxa"/>
            <w:noWrap/>
            <w:hideMark/>
          </w:tcPr>
          <w:p w14:paraId="7B154036" w14:textId="48CB9DCF" w:rsidR="00F86153" w:rsidRPr="00DF3993" w:rsidRDefault="00775287" w:rsidP="00F86153">
            <w:pPr>
              <w:rPr>
                <w:rFonts w:ascii="Arial" w:hAnsi="Arial" w:cs="Arial"/>
                <w:color w:val="000000"/>
                <w:szCs w:val="24"/>
              </w:rPr>
            </w:pPr>
            <w:r>
              <w:rPr>
                <w:rFonts w:ascii="Arial" w:hAnsi="Arial" w:cs="Arial"/>
                <w:color w:val="000000"/>
                <w:szCs w:val="24"/>
              </w:rPr>
              <w:t>Temporary to cover long term sickness</w:t>
            </w:r>
          </w:p>
        </w:tc>
      </w:tr>
      <w:tr w:rsidR="00F86153" w:rsidRPr="00DF3993" w14:paraId="401A2490" w14:textId="77777777" w:rsidTr="00DF3993">
        <w:trPr>
          <w:trHeight w:val="300"/>
        </w:trPr>
        <w:tc>
          <w:tcPr>
            <w:tcW w:w="3261" w:type="dxa"/>
            <w:noWrap/>
            <w:hideMark/>
          </w:tcPr>
          <w:p w14:paraId="02230FED" w14:textId="02C2FD16" w:rsidR="00F86153" w:rsidRPr="00DF3993" w:rsidRDefault="00F86153" w:rsidP="00F86153">
            <w:pPr>
              <w:rPr>
                <w:rFonts w:ascii="Arial" w:hAnsi="Arial" w:cs="Arial"/>
                <w:color w:val="000000"/>
                <w:szCs w:val="24"/>
              </w:rPr>
            </w:pPr>
            <w:r>
              <w:rPr>
                <w:rFonts w:ascii="Arial" w:hAnsi="Arial" w:cs="Arial"/>
                <w:color w:val="000000"/>
                <w:szCs w:val="24"/>
              </w:rPr>
              <w:t>Youth Support Officer</w:t>
            </w:r>
          </w:p>
        </w:tc>
        <w:tc>
          <w:tcPr>
            <w:tcW w:w="2835" w:type="dxa"/>
            <w:noWrap/>
            <w:hideMark/>
          </w:tcPr>
          <w:p w14:paraId="1626B90A" w14:textId="53CE4F08" w:rsidR="00F86153" w:rsidRPr="00DF3993" w:rsidRDefault="00F86153" w:rsidP="00F86153">
            <w:pPr>
              <w:rPr>
                <w:rFonts w:ascii="Arial" w:hAnsi="Arial" w:cs="Arial"/>
                <w:color w:val="000000"/>
                <w:szCs w:val="24"/>
              </w:rPr>
            </w:pPr>
            <w:r>
              <w:rPr>
                <w:rFonts w:ascii="Arial" w:hAnsi="Arial" w:cs="Arial"/>
                <w:color w:val="000000"/>
                <w:szCs w:val="24"/>
              </w:rPr>
              <w:t>Gairloch</w:t>
            </w:r>
          </w:p>
        </w:tc>
        <w:tc>
          <w:tcPr>
            <w:tcW w:w="829" w:type="dxa"/>
            <w:noWrap/>
            <w:hideMark/>
          </w:tcPr>
          <w:p w14:paraId="661A105B" w14:textId="22708AEC" w:rsidR="00F86153" w:rsidRPr="00DF3993" w:rsidRDefault="00F86153" w:rsidP="00F86153">
            <w:pPr>
              <w:jc w:val="center"/>
              <w:rPr>
                <w:rFonts w:ascii="Arial" w:hAnsi="Arial" w:cs="Arial"/>
                <w:color w:val="000000"/>
                <w:szCs w:val="24"/>
              </w:rPr>
            </w:pPr>
            <w:r>
              <w:rPr>
                <w:rFonts w:ascii="Arial" w:hAnsi="Arial" w:cs="Arial"/>
                <w:color w:val="000000"/>
                <w:szCs w:val="24"/>
              </w:rPr>
              <w:t>0.5</w:t>
            </w:r>
          </w:p>
        </w:tc>
        <w:tc>
          <w:tcPr>
            <w:tcW w:w="3566" w:type="dxa"/>
            <w:noWrap/>
            <w:hideMark/>
          </w:tcPr>
          <w:p w14:paraId="10F2725D" w14:textId="1C3889CA" w:rsidR="00F86153" w:rsidRPr="00DF3993" w:rsidRDefault="00775287" w:rsidP="00F86153">
            <w:pPr>
              <w:rPr>
                <w:rFonts w:ascii="Arial" w:hAnsi="Arial" w:cs="Arial"/>
                <w:color w:val="000000"/>
                <w:szCs w:val="24"/>
              </w:rPr>
            </w:pPr>
            <w:r>
              <w:rPr>
                <w:rFonts w:ascii="Arial" w:hAnsi="Arial" w:cs="Arial"/>
                <w:color w:val="000000"/>
                <w:szCs w:val="24"/>
              </w:rPr>
              <w:t>Temporary to cover long term sickness</w:t>
            </w:r>
          </w:p>
        </w:tc>
      </w:tr>
      <w:tr w:rsidR="00DF3993" w:rsidRPr="00DF3993" w14:paraId="71DCFE3E" w14:textId="77777777" w:rsidTr="00DF3993">
        <w:trPr>
          <w:trHeight w:val="300"/>
        </w:trPr>
        <w:tc>
          <w:tcPr>
            <w:tcW w:w="3261" w:type="dxa"/>
            <w:noWrap/>
            <w:hideMark/>
          </w:tcPr>
          <w:p w14:paraId="119B117B" w14:textId="4C23AC8D" w:rsidR="00DF3993" w:rsidRPr="00DF3993" w:rsidRDefault="00F86153" w:rsidP="00DF3993">
            <w:pPr>
              <w:rPr>
                <w:rFonts w:ascii="Arial" w:hAnsi="Arial" w:cs="Arial"/>
                <w:color w:val="000000"/>
                <w:szCs w:val="24"/>
              </w:rPr>
            </w:pPr>
            <w:r>
              <w:rPr>
                <w:rFonts w:ascii="Arial" w:hAnsi="Arial" w:cs="Arial"/>
                <w:color w:val="000000"/>
                <w:szCs w:val="24"/>
              </w:rPr>
              <w:t>Adult Learning Tutor (ESOL)</w:t>
            </w:r>
          </w:p>
        </w:tc>
        <w:tc>
          <w:tcPr>
            <w:tcW w:w="2835" w:type="dxa"/>
            <w:noWrap/>
            <w:hideMark/>
          </w:tcPr>
          <w:p w14:paraId="04FA44F9" w14:textId="1766471C" w:rsidR="00DF3993" w:rsidRPr="00DF3993" w:rsidRDefault="00F86153" w:rsidP="00DF3993">
            <w:pPr>
              <w:rPr>
                <w:rFonts w:ascii="Arial" w:hAnsi="Arial" w:cs="Arial"/>
                <w:color w:val="000000"/>
                <w:szCs w:val="24"/>
              </w:rPr>
            </w:pPr>
            <w:r>
              <w:rPr>
                <w:rFonts w:ascii="Arial" w:hAnsi="Arial" w:cs="Arial"/>
                <w:color w:val="000000"/>
                <w:szCs w:val="24"/>
              </w:rPr>
              <w:t>Nairn &amp; Ardersier</w:t>
            </w:r>
          </w:p>
        </w:tc>
        <w:tc>
          <w:tcPr>
            <w:tcW w:w="829" w:type="dxa"/>
            <w:noWrap/>
            <w:hideMark/>
          </w:tcPr>
          <w:p w14:paraId="32B603FD" w14:textId="61EED370" w:rsidR="00DF3993" w:rsidRPr="00DF3993" w:rsidRDefault="00F86153" w:rsidP="00DF3993">
            <w:pPr>
              <w:jc w:val="center"/>
              <w:rPr>
                <w:rFonts w:ascii="Arial" w:hAnsi="Arial" w:cs="Arial"/>
                <w:color w:val="000000"/>
                <w:szCs w:val="24"/>
              </w:rPr>
            </w:pPr>
            <w:r>
              <w:rPr>
                <w:rFonts w:ascii="Arial" w:hAnsi="Arial" w:cs="Arial"/>
                <w:color w:val="000000"/>
                <w:szCs w:val="24"/>
              </w:rPr>
              <w:t>0.11</w:t>
            </w:r>
          </w:p>
        </w:tc>
        <w:tc>
          <w:tcPr>
            <w:tcW w:w="3566" w:type="dxa"/>
            <w:noWrap/>
            <w:hideMark/>
          </w:tcPr>
          <w:p w14:paraId="0BC3CEB0" w14:textId="7FFFBAAB" w:rsidR="00DF3993" w:rsidRPr="00DF3993" w:rsidRDefault="00775287" w:rsidP="003A5B8B">
            <w:pPr>
              <w:rPr>
                <w:rFonts w:ascii="Arial" w:hAnsi="Arial" w:cs="Arial"/>
                <w:color w:val="000000"/>
                <w:szCs w:val="24"/>
              </w:rPr>
            </w:pPr>
            <w:r>
              <w:rPr>
                <w:rFonts w:ascii="Arial" w:hAnsi="Arial" w:cs="Arial"/>
                <w:color w:val="000000"/>
                <w:szCs w:val="24"/>
              </w:rPr>
              <w:t>Temporary until 30.3.23</w:t>
            </w:r>
          </w:p>
        </w:tc>
      </w:tr>
      <w:tr w:rsidR="00F86153" w:rsidRPr="00DF3993" w14:paraId="1351499A" w14:textId="77777777" w:rsidTr="00DF3993">
        <w:trPr>
          <w:trHeight w:val="300"/>
        </w:trPr>
        <w:tc>
          <w:tcPr>
            <w:tcW w:w="3261" w:type="dxa"/>
            <w:noWrap/>
            <w:hideMark/>
          </w:tcPr>
          <w:p w14:paraId="4D2810B4" w14:textId="0F9F6994" w:rsidR="00F86153" w:rsidRPr="00DF3993" w:rsidRDefault="00F86153" w:rsidP="00F86153">
            <w:pPr>
              <w:rPr>
                <w:rFonts w:ascii="Arial" w:hAnsi="Arial" w:cs="Arial"/>
                <w:color w:val="000000"/>
                <w:szCs w:val="24"/>
              </w:rPr>
            </w:pPr>
            <w:r>
              <w:rPr>
                <w:rFonts w:ascii="Arial" w:hAnsi="Arial" w:cs="Arial"/>
                <w:color w:val="000000"/>
                <w:szCs w:val="24"/>
              </w:rPr>
              <w:t>Adult Learning Tutor (ESOL)</w:t>
            </w:r>
          </w:p>
        </w:tc>
        <w:tc>
          <w:tcPr>
            <w:tcW w:w="2835" w:type="dxa"/>
            <w:noWrap/>
            <w:hideMark/>
          </w:tcPr>
          <w:p w14:paraId="1515B30B" w14:textId="341B6F57" w:rsidR="00F86153" w:rsidRPr="00DF3993" w:rsidRDefault="00F86153" w:rsidP="00F86153">
            <w:pPr>
              <w:rPr>
                <w:rFonts w:ascii="Arial" w:hAnsi="Arial" w:cs="Arial"/>
                <w:color w:val="000000"/>
                <w:szCs w:val="24"/>
              </w:rPr>
            </w:pPr>
            <w:r>
              <w:rPr>
                <w:rFonts w:ascii="Arial" w:hAnsi="Arial" w:cs="Arial"/>
                <w:color w:val="000000"/>
                <w:szCs w:val="24"/>
              </w:rPr>
              <w:t>Badenoch &amp; Strathspey</w:t>
            </w:r>
          </w:p>
        </w:tc>
        <w:tc>
          <w:tcPr>
            <w:tcW w:w="829" w:type="dxa"/>
            <w:noWrap/>
            <w:hideMark/>
          </w:tcPr>
          <w:p w14:paraId="0F1CD1BA" w14:textId="1BA550A9" w:rsidR="00F86153" w:rsidRPr="00DF3993" w:rsidRDefault="00F86153" w:rsidP="00F86153">
            <w:pPr>
              <w:jc w:val="center"/>
              <w:rPr>
                <w:rFonts w:ascii="Arial" w:hAnsi="Arial" w:cs="Arial"/>
                <w:color w:val="000000"/>
                <w:szCs w:val="24"/>
              </w:rPr>
            </w:pPr>
            <w:r>
              <w:rPr>
                <w:rFonts w:ascii="Arial" w:hAnsi="Arial" w:cs="Arial"/>
                <w:color w:val="000000"/>
                <w:szCs w:val="24"/>
              </w:rPr>
              <w:t>0.11</w:t>
            </w:r>
          </w:p>
        </w:tc>
        <w:tc>
          <w:tcPr>
            <w:tcW w:w="3566" w:type="dxa"/>
            <w:noWrap/>
            <w:hideMark/>
          </w:tcPr>
          <w:p w14:paraId="5FA68BE2" w14:textId="01A28FE4" w:rsidR="00F86153" w:rsidRPr="00DF3993" w:rsidRDefault="00775287" w:rsidP="00F86153">
            <w:pPr>
              <w:rPr>
                <w:rFonts w:ascii="Arial" w:hAnsi="Arial" w:cs="Arial"/>
                <w:color w:val="000000"/>
                <w:szCs w:val="24"/>
              </w:rPr>
            </w:pPr>
            <w:r>
              <w:rPr>
                <w:rFonts w:ascii="Arial" w:hAnsi="Arial" w:cs="Arial"/>
                <w:color w:val="000000"/>
                <w:szCs w:val="24"/>
              </w:rPr>
              <w:t>Temporary until 30.3.23</w:t>
            </w:r>
          </w:p>
        </w:tc>
      </w:tr>
      <w:tr w:rsidR="00F86153" w:rsidRPr="00DF3993" w14:paraId="429D8D35" w14:textId="77777777" w:rsidTr="00DF3993">
        <w:trPr>
          <w:trHeight w:val="300"/>
        </w:trPr>
        <w:tc>
          <w:tcPr>
            <w:tcW w:w="3261" w:type="dxa"/>
            <w:noWrap/>
            <w:hideMark/>
          </w:tcPr>
          <w:p w14:paraId="6B749BDF" w14:textId="71A209C3" w:rsidR="00F86153" w:rsidRPr="00DF3993" w:rsidRDefault="00F86153" w:rsidP="00F86153">
            <w:pPr>
              <w:rPr>
                <w:rFonts w:ascii="Arial" w:hAnsi="Arial" w:cs="Arial"/>
                <w:color w:val="000000"/>
                <w:szCs w:val="24"/>
              </w:rPr>
            </w:pPr>
            <w:r>
              <w:rPr>
                <w:rFonts w:ascii="Arial" w:hAnsi="Arial" w:cs="Arial"/>
                <w:color w:val="000000"/>
                <w:szCs w:val="24"/>
              </w:rPr>
              <w:t>Adult Learning Tutor (ESOL)</w:t>
            </w:r>
          </w:p>
        </w:tc>
        <w:tc>
          <w:tcPr>
            <w:tcW w:w="2835" w:type="dxa"/>
            <w:noWrap/>
            <w:hideMark/>
          </w:tcPr>
          <w:p w14:paraId="738C98CB" w14:textId="17195B89" w:rsidR="00F86153" w:rsidRPr="00DF3993" w:rsidRDefault="00F86153" w:rsidP="00F86153">
            <w:pPr>
              <w:rPr>
                <w:rFonts w:ascii="Arial" w:hAnsi="Arial" w:cs="Arial"/>
                <w:color w:val="000000"/>
                <w:szCs w:val="24"/>
              </w:rPr>
            </w:pPr>
            <w:r>
              <w:rPr>
                <w:rFonts w:ascii="Arial" w:hAnsi="Arial" w:cs="Arial"/>
                <w:color w:val="000000"/>
                <w:szCs w:val="24"/>
              </w:rPr>
              <w:t>Inverness</w:t>
            </w:r>
          </w:p>
        </w:tc>
        <w:tc>
          <w:tcPr>
            <w:tcW w:w="829" w:type="dxa"/>
            <w:noWrap/>
            <w:hideMark/>
          </w:tcPr>
          <w:p w14:paraId="04E2D9FF" w14:textId="7BC6681A" w:rsidR="00F86153" w:rsidRPr="00DF3993" w:rsidRDefault="00775287" w:rsidP="00F86153">
            <w:pPr>
              <w:jc w:val="center"/>
              <w:rPr>
                <w:rFonts w:ascii="Arial" w:hAnsi="Arial" w:cs="Arial"/>
                <w:color w:val="000000"/>
                <w:szCs w:val="24"/>
              </w:rPr>
            </w:pPr>
            <w:r>
              <w:rPr>
                <w:rFonts w:ascii="Arial" w:hAnsi="Arial" w:cs="Arial"/>
                <w:color w:val="000000"/>
                <w:szCs w:val="24"/>
              </w:rPr>
              <w:t>0.57</w:t>
            </w:r>
          </w:p>
        </w:tc>
        <w:tc>
          <w:tcPr>
            <w:tcW w:w="3566" w:type="dxa"/>
            <w:noWrap/>
            <w:hideMark/>
          </w:tcPr>
          <w:p w14:paraId="0DD1BF1E" w14:textId="5476C337" w:rsidR="00F86153" w:rsidRPr="00DF3993" w:rsidRDefault="00775287" w:rsidP="00F86153">
            <w:pPr>
              <w:rPr>
                <w:rFonts w:ascii="Arial" w:hAnsi="Arial" w:cs="Arial"/>
                <w:color w:val="000000"/>
                <w:szCs w:val="24"/>
              </w:rPr>
            </w:pPr>
            <w:r>
              <w:rPr>
                <w:rFonts w:ascii="Arial" w:hAnsi="Arial" w:cs="Arial"/>
                <w:color w:val="000000"/>
                <w:szCs w:val="24"/>
              </w:rPr>
              <w:t>Temporary until 30.3.23</w:t>
            </w:r>
          </w:p>
        </w:tc>
      </w:tr>
      <w:tr w:rsidR="00795410" w:rsidRPr="00DF3993" w14:paraId="64D933AB" w14:textId="77777777" w:rsidTr="00DF3993">
        <w:trPr>
          <w:trHeight w:val="300"/>
        </w:trPr>
        <w:tc>
          <w:tcPr>
            <w:tcW w:w="3261" w:type="dxa"/>
            <w:noWrap/>
            <w:hideMark/>
          </w:tcPr>
          <w:p w14:paraId="597B9F2A" w14:textId="747F13AF" w:rsidR="00795410" w:rsidRPr="00DF3993" w:rsidRDefault="00775287" w:rsidP="00795410">
            <w:pPr>
              <w:rPr>
                <w:rFonts w:ascii="Arial" w:hAnsi="Arial" w:cs="Arial"/>
                <w:color w:val="000000"/>
                <w:szCs w:val="24"/>
              </w:rPr>
            </w:pPr>
            <w:r>
              <w:rPr>
                <w:rFonts w:ascii="Arial" w:hAnsi="Arial" w:cs="Arial"/>
                <w:color w:val="000000"/>
                <w:szCs w:val="24"/>
              </w:rPr>
              <w:t>Adult Learning Tutor</w:t>
            </w:r>
            <w:r w:rsidR="00795410">
              <w:rPr>
                <w:rFonts w:ascii="Arial" w:hAnsi="Arial" w:cs="Arial"/>
                <w:color w:val="000000"/>
                <w:szCs w:val="24"/>
              </w:rPr>
              <w:t xml:space="preserve"> </w:t>
            </w:r>
          </w:p>
        </w:tc>
        <w:tc>
          <w:tcPr>
            <w:tcW w:w="2835" w:type="dxa"/>
            <w:noWrap/>
            <w:hideMark/>
          </w:tcPr>
          <w:p w14:paraId="7696005F" w14:textId="1D287E1B" w:rsidR="00795410" w:rsidRPr="00DF3993" w:rsidRDefault="00775287" w:rsidP="00795410">
            <w:pPr>
              <w:rPr>
                <w:rFonts w:ascii="Arial" w:hAnsi="Arial" w:cs="Arial"/>
                <w:color w:val="000000"/>
                <w:szCs w:val="24"/>
              </w:rPr>
            </w:pPr>
            <w:r>
              <w:rPr>
                <w:rFonts w:ascii="Arial" w:hAnsi="Arial" w:cs="Arial"/>
                <w:color w:val="000000"/>
                <w:szCs w:val="24"/>
              </w:rPr>
              <w:t>Dingwall</w:t>
            </w:r>
          </w:p>
        </w:tc>
        <w:tc>
          <w:tcPr>
            <w:tcW w:w="829" w:type="dxa"/>
            <w:noWrap/>
            <w:hideMark/>
          </w:tcPr>
          <w:p w14:paraId="68D92150" w14:textId="5FD3AD0E" w:rsidR="00795410" w:rsidRPr="00DF3993" w:rsidRDefault="0078241B" w:rsidP="00795410">
            <w:pPr>
              <w:jc w:val="center"/>
              <w:rPr>
                <w:rFonts w:ascii="Arial" w:hAnsi="Arial" w:cs="Arial"/>
                <w:color w:val="000000"/>
                <w:szCs w:val="24"/>
              </w:rPr>
            </w:pPr>
            <w:r>
              <w:rPr>
                <w:rFonts w:ascii="Arial" w:hAnsi="Arial" w:cs="Arial"/>
                <w:color w:val="000000"/>
                <w:szCs w:val="24"/>
              </w:rPr>
              <w:t>-</w:t>
            </w:r>
            <w:r w:rsidR="00775287">
              <w:rPr>
                <w:rFonts w:ascii="Arial" w:hAnsi="Arial" w:cs="Arial"/>
                <w:color w:val="000000"/>
                <w:szCs w:val="24"/>
              </w:rPr>
              <w:t>0.06</w:t>
            </w:r>
          </w:p>
        </w:tc>
        <w:tc>
          <w:tcPr>
            <w:tcW w:w="3566" w:type="dxa"/>
            <w:noWrap/>
            <w:hideMark/>
          </w:tcPr>
          <w:p w14:paraId="6CDFE821" w14:textId="477AB1CA" w:rsidR="00795410" w:rsidRPr="00DF3993" w:rsidRDefault="00E454C1" w:rsidP="00795410">
            <w:pPr>
              <w:rPr>
                <w:rFonts w:ascii="Arial" w:hAnsi="Arial" w:cs="Arial"/>
                <w:color w:val="000000"/>
                <w:szCs w:val="24"/>
              </w:rPr>
            </w:pPr>
            <w:r>
              <w:rPr>
                <w:rFonts w:ascii="Arial" w:hAnsi="Arial" w:cs="Arial"/>
                <w:color w:val="000000"/>
                <w:szCs w:val="24"/>
              </w:rPr>
              <w:t>Delete post</w:t>
            </w:r>
          </w:p>
        </w:tc>
      </w:tr>
      <w:tr w:rsidR="00795410" w:rsidRPr="00DF3993" w14:paraId="3CCC6581" w14:textId="77777777" w:rsidTr="00775287">
        <w:trPr>
          <w:trHeight w:val="906"/>
        </w:trPr>
        <w:tc>
          <w:tcPr>
            <w:tcW w:w="3261" w:type="dxa"/>
            <w:noWrap/>
          </w:tcPr>
          <w:p w14:paraId="49FA6DDC" w14:textId="04B111E8" w:rsidR="00795410" w:rsidRPr="00DF3993" w:rsidRDefault="00E454C1" w:rsidP="00795410">
            <w:pPr>
              <w:rPr>
                <w:rFonts w:ascii="Arial" w:hAnsi="Arial" w:cs="Arial"/>
                <w:color w:val="000000"/>
                <w:szCs w:val="24"/>
              </w:rPr>
            </w:pPr>
            <w:r>
              <w:rPr>
                <w:rFonts w:ascii="Arial" w:hAnsi="Arial" w:cs="Arial"/>
                <w:color w:val="000000"/>
                <w:szCs w:val="24"/>
              </w:rPr>
              <w:t>Employability Tutor Coach (Youth)</w:t>
            </w:r>
          </w:p>
        </w:tc>
        <w:tc>
          <w:tcPr>
            <w:tcW w:w="2835" w:type="dxa"/>
            <w:noWrap/>
          </w:tcPr>
          <w:p w14:paraId="27556511" w14:textId="633B22AE" w:rsidR="00795410" w:rsidRPr="00DF3993" w:rsidRDefault="00E454C1" w:rsidP="00795410">
            <w:pPr>
              <w:rPr>
                <w:rFonts w:ascii="Arial" w:hAnsi="Arial" w:cs="Arial"/>
                <w:color w:val="000000"/>
                <w:szCs w:val="24"/>
              </w:rPr>
            </w:pPr>
            <w:r>
              <w:rPr>
                <w:rFonts w:ascii="Arial" w:hAnsi="Arial" w:cs="Arial"/>
                <w:color w:val="000000"/>
                <w:szCs w:val="24"/>
              </w:rPr>
              <w:t>Dingwall</w:t>
            </w:r>
          </w:p>
        </w:tc>
        <w:tc>
          <w:tcPr>
            <w:tcW w:w="829" w:type="dxa"/>
            <w:noWrap/>
          </w:tcPr>
          <w:p w14:paraId="2524FCDB" w14:textId="4E908D28" w:rsidR="00795410" w:rsidRPr="00DF3993" w:rsidRDefault="00E454C1" w:rsidP="00795410">
            <w:pPr>
              <w:jc w:val="center"/>
              <w:rPr>
                <w:rFonts w:ascii="Arial" w:hAnsi="Arial" w:cs="Arial"/>
                <w:color w:val="000000"/>
                <w:szCs w:val="24"/>
              </w:rPr>
            </w:pPr>
            <w:r>
              <w:rPr>
                <w:rFonts w:ascii="Arial" w:hAnsi="Arial" w:cs="Arial"/>
                <w:color w:val="000000"/>
                <w:szCs w:val="24"/>
              </w:rPr>
              <w:t>-0.5</w:t>
            </w:r>
          </w:p>
        </w:tc>
        <w:tc>
          <w:tcPr>
            <w:tcW w:w="3566" w:type="dxa"/>
            <w:noWrap/>
          </w:tcPr>
          <w:p w14:paraId="17052E42" w14:textId="19E5DEFA" w:rsidR="00795410" w:rsidRPr="00DF3993" w:rsidRDefault="00E454C1" w:rsidP="00795410">
            <w:pPr>
              <w:rPr>
                <w:rFonts w:ascii="Arial" w:hAnsi="Arial" w:cs="Arial"/>
                <w:color w:val="000000"/>
                <w:szCs w:val="24"/>
              </w:rPr>
            </w:pPr>
            <w:r>
              <w:rPr>
                <w:rFonts w:ascii="Arial" w:hAnsi="Arial" w:cs="Arial"/>
                <w:color w:val="000000"/>
                <w:szCs w:val="24"/>
              </w:rPr>
              <w:t>Delete post</w:t>
            </w:r>
          </w:p>
        </w:tc>
      </w:tr>
      <w:tr w:rsidR="00795410" w:rsidRPr="009F421A" w14:paraId="4003BF23" w14:textId="77777777" w:rsidTr="00E454C1">
        <w:trPr>
          <w:trHeight w:val="300"/>
        </w:trPr>
        <w:tc>
          <w:tcPr>
            <w:tcW w:w="3261" w:type="dxa"/>
            <w:noWrap/>
          </w:tcPr>
          <w:p w14:paraId="2503A683" w14:textId="45A91C46" w:rsidR="00795410" w:rsidRPr="00DF3993" w:rsidRDefault="00E454C1" w:rsidP="00795410">
            <w:pPr>
              <w:pStyle w:val="NoSpacing"/>
              <w:rPr>
                <w:bCs/>
              </w:rPr>
            </w:pPr>
            <w:r>
              <w:rPr>
                <w:bCs/>
              </w:rPr>
              <w:t>Achievement Tutor (Adult &amp; Youth)</w:t>
            </w:r>
          </w:p>
        </w:tc>
        <w:tc>
          <w:tcPr>
            <w:tcW w:w="2835" w:type="dxa"/>
            <w:noWrap/>
          </w:tcPr>
          <w:p w14:paraId="1817BF51" w14:textId="14BCA7F2" w:rsidR="00795410" w:rsidRPr="00DF3993" w:rsidRDefault="00E454C1" w:rsidP="00795410">
            <w:pPr>
              <w:pStyle w:val="NoSpacing"/>
              <w:rPr>
                <w:bCs/>
              </w:rPr>
            </w:pPr>
            <w:r>
              <w:rPr>
                <w:bCs/>
              </w:rPr>
              <w:t>Dingwall</w:t>
            </w:r>
          </w:p>
        </w:tc>
        <w:tc>
          <w:tcPr>
            <w:tcW w:w="829" w:type="dxa"/>
            <w:noWrap/>
          </w:tcPr>
          <w:p w14:paraId="13B970B1" w14:textId="0DE08DA3" w:rsidR="00795410" w:rsidRPr="00DF3993" w:rsidRDefault="00E454C1" w:rsidP="00795410">
            <w:pPr>
              <w:pStyle w:val="NoSpacing"/>
              <w:rPr>
                <w:bCs/>
              </w:rPr>
            </w:pPr>
            <w:r>
              <w:rPr>
                <w:bCs/>
              </w:rPr>
              <w:t>0.5</w:t>
            </w:r>
          </w:p>
        </w:tc>
        <w:tc>
          <w:tcPr>
            <w:tcW w:w="3566" w:type="dxa"/>
            <w:noWrap/>
          </w:tcPr>
          <w:p w14:paraId="4C24EF78" w14:textId="1A842381" w:rsidR="00795410" w:rsidRPr="00DF3993" w:rsidRDefault="00795410" w:rsidP="00795410">
            <w:pPr>
              <w:pStyle w:val="NoSpacing"/>
              <w:rPr>
                <w:bCs/>
              </w:rPr>
            </w:pPr>
          </w:p>
        </w:tc>
      </w:tr>
      <w:tr w:rsidR="00795410" w:rsidRPr="009F421A" w14:paraId="54157EEC" w14:textId="77777777" w:rsidTr="00E454C1">
        <w:trPr>
          <w:trHeight w:val="300"/>
        </w:trPr>
        <w:tc>
          <w:tcPr>
            <w:tcW w:w="3261" w:type="dxa"/>
            <w:noWrap/>
          </w:tcPr>
          <w:p w14:paraId="273613E6" w14:textId="4A27694E" w:rsidR="00795410" w:rsidRPr="00DF3993" w:rsidRDefault="00E454C1" w:rsidP="00795410">
            <w:pPr>
              <w:pStyle w:val="NoSpacing"/>
              <w:rPr>
                <w:bCs/>
              </w:rPr>
            </w:pPr>
            <w:r>
              <w:rPr>
                <w:bCs/>
              </w:rPr>
              <w:t>Marketing Officer</w:t>
            </w:r>
          </w:p>
        </w:tc>
        <w:tc>
          <w:tcPr>
            <w:tcW w:w="2835" w:type="dxa"/>
            <w:noWrap/>
          </w:tcPr>
          <w:p w14:paraId="60A62B34" w14:textId="00BC2AA6" w:rsidR="00795410" w:rsidRPr="00DF3993" w:rsidRDefault="00E454C1" w:rsidP="00795410">
            <w:pPr>
              <w:pStyle w:val="NoSpacing"/>
              <w:rPr>
                <w:bCs/>
              </w:rPr>
            </w:pPr>
            <w:r>
              <w:rPr>
                <w:bCs/>
              </w:rPr>
              <w:t>Inverness</w:t>
            </w:r>
          </w:p>
        </w:tc>
        <w:tc>
          <w:tcPr>
            <w:tcW w:w="829" w:type="dxa"/>
            <w:noWrap/>
          </w:tcPr>
          <w:p w14:paraId="1144EB37" w14:textId="44C5948B" w:rsidR="00795410" w:rsidRPr="00DF3993" w:rsidRDefault="00E454C1" w:rsidP="00795410">
            <w:pPr>
              <w:pStyle w:val="NoSpacing"/>
              <w:rPr>
                <w:bCs/>
              </w:rPr>
            </w:pPr>
            <w:r>
              <w:rPr>
                <w:bCs/>
              </w:rPr>
              <w:t>0.4</w:t>
            </w:r>
          </w:p>
        </w:tc>
        <w:tc>
          <w:tcPr>
            <w:tcW w:w="3566" w:type="dxa"/>
            <w:noWrap/>
          </w:tcPr>
          <w:p w14:paraId="1C0056FA" w14:textId="31E1556F" w:rsidR="00795410" w:rsidRPr="00DF3993" w:rsidRDefault="00E454C1" w:rsidP="00795410">
            <w:pPr>
              <w:pStyle w:val="NoSpacing"/>
              <w:rPr>
                <w:bCs/>
              </w:rPr>
            </w:pPr>
            <w:r>
              <w:rPr>
                <w:bCs/>
              </w:rPr>
              <w:t>Temporary until 31.3.24</w:t>
            </w:r>
          </w:p>
        </w:tc>
      </w:tr>
      <w:tr w:rsidR="00E454C1" w:rsidRPr="009F421A" w14:paraId="37B243F0" w14:textId="77777777" w:rsidTr="00E454C1">
        <w:trPr>
          <w:trHeight w:val="300"/>
        </w:trPr>
        <w:tc>
          <w:tcPr>
            <w:tcW w:w="3261" w:type="dxa"/>
            <w:noWrap/>
          </w:tcPr>
          <w:p w14:paraId="35B9A73F" w14:textId="143E12FA" w:rsidR="00E454C1" w:rsidRDefault="00E454C1" w:rsidP="00795410">
            <w:pPr>
              <w:pStyle w:val="NoSpacing"/>
              <w:rPr>
                <w:bCs/>
              </w:rPr>
            </w:pPr>
            <w:r>
              <w:rPr>
                <w:bCs/>
              </w:rPr>
              <w:t>Leisure Manager</w:t>
            </w:r>
          </w:p>
        </w:tc>
        <w:tc>
          <w:tcPr>
            <w:tcW w:w="2835" w:type="dxa"/>
            <w:noWrap/>
          </w:tcPr>
          <w:p w14:paraId="2E51E851" w14:textId="1E3D5F63" w:rsidR="00E454C1" w:rsidRDefault="00E454C1" w:rsidP="00795410">
            <w:pPr>
              <w:pStyle w:val="NoSpacing"/>
              <w:rPr>
                <w:bCs/>
              </w:rPr>
            </w:pPr>
            <w:r>
              <w:rPr>
                <w:bCs/>
              </w:rPr>
              <w:t>Gairloch</w:t>
            </w:r>
          </w:p>
        </w:tc>
        <w:tc>
          <w:tcPr>
            <w:tcW w:w="829" w:type="dxa"/>
            <w:noWrap/>
          </w:tcPr>
          <w:p w14:paraId="174A2965" w14:textId="20D5C6B0" w:rsidR="00E454C1" w:rsidRDefault="00E454C1" w:rsidP="00795410">
            <w:pPr>
              <w:pStyle w:val="NoSpacing"/>
              <w:rPr>
                <w:bCs/>
              </w:rPr>
            </w:pPr>
            <w:r>
              <w:rPr>
                <w:bCs/>
              </w:rPr>
              <w:t>0.2</w:t>
            </w:r>
          </w:p>
        </w:tc>
        <w:tc>
          <w:tcPr>
            <w:tcW w:w="3566" w:type="dxa"/>
            <w:noWrap/>
          </w:tcPr>
          <w:p w14:paraId="1322C37D" w14:textId="5B56ECC5" w:rsidR="00E454C1" w:rsidRDefault="00E454C1" w:rsidP="00795410">
            <w:pPr>
              <w:pStyle w:val="NoSpacing"/>
              <w:rPr>
                <w:bCs/>
              </w:rPr>
            </w:pPr>
            <w:r>
              <w:rPr>
                <w:bCs/>
              </w:rPr>
              <w:t>Temporary increase in hours until 31.3.23</w:t>
            </w:r>
          </w:p>
        </w:tc>
      </w:tr>
      <w:tr w:rsidR="00DF3993" w:rsidRPr="009F421A" w14:paraId="69828E73" w14:textId="77777777" w:rsidTr="00DF3993">
        <w:trPr>
          <w:trHeight w:val="300"/>
        </w:trPr>
        <w:tc>
          <w:tcPr>
            <w:tcW w:w="3261" w:type="dxa"/>
            <w:noWrap/>
          </w:tcPr>
          <w:p w14:paraId="15554921" w14:textId="77777777" w:rsidR="00DF3993" w:rsidRPr="00DF3993" w:rsidRDefault="00DF3993" w:rsidP="009F421A">
            <w:pPr>
              <w:pStyle w:val="NoSpacing"/>
              <w:rPr>
                <w:bCs/>
              </w:rPr>
            </w:pPr>
          </w:p>
        </w:tc>
        <w:tc>
          <w:tcPr>
            <w:tcW w:w="2835" w:type="dxa"/>
            <w:noWrap/>
          </w:tcPr>
          <w:p w14:paraId="03E338B4" w14:textId="77777777" w:rsidR="00DF3993" w:rsidRPr="00DF3993" w:rsidRDefault="00DF3993" w:rsidP="009F421A">
            <w:pPr>
              <w:pStyle w:val="NoSpacing"/>
              <w:rPr>
                <w:bCs/>
              </w:rPr>
            </w:pPr>
          </w:p>
        </w:tc>
        <w:tc>
          <w:tcPr>
            <w:tcW w:w="829" w:type="dxa"/>
            <w:noWrap/>
          </w:tcPr>
          <w:p w14:paraId="3F031055" w14:textId="355B9BF2" w:rsidR="00DF3993" w:rsidRPr="003A5B8B" w:rsidRDefault="00E454C1" w:rsidP="009F421A">
            <w:pPr>
              <w:pStyle w:val="NoSpacing"/>
              <w:rPr>
                <w:b/>
              </w:rPr>
            </w:pPr>
            <w:r>
              <w:rPr>
                <w:b/>
              </w:rPr>
              <w:t>+3.23</w:t>
            </w:r>
          </w:p>
        </w:tc>
        <w:tc>
          <w:tcPr>
            <w:tcW w:w="3566" w:type="dxa"/>
            <w:noWrap/>
          </w:tcPr>
          <w:p w14:paraId="73965688" w14:textId="77777777" w:rsidR="00DF3993" w:rsidRPr="00DF3993" w:rsidRDefault="00DF3993" w:rsidP="009F421A">
            <w:pPr>
              <w:pStyle w:val="NoSpacing"/>
              <w:rPr>
                <w:bCs/>
              </w:rPr>
            </w:pPr>
          </w:p>
        </w:tc>
      </w:tr>
    </w:tbl>
    <w:p w14:paraId="1FCB87BC" w14:textId="306588A6" w:rsidR="004B7F43" w:rsidRPr="004B7F43" w:rsidRDefault="002E7BD0" w:rsidP="007C65C4">
      <w:pPr>
        <w:pStyle w:val="NoSpacing"/>
        <w:jc w:val="right"/>
        <w:rPr>
          <w:sz w:val="20"/>
          <w:szCs w:val="20"/>
        </w:rPr>
      </w:pPr>
      <w:r w:rsidRPr="0089793E">
        <w:rPr>
          <w:sz w:val="20"/>
          <w:szCs w:val="20"/>
        </w:rPr>
        <w:t>Table 1</w:t>
      </w:r>
    </w:p>
    <w:p w14:paraId="0F3C9221" w14:textId="77777777" w:rsidR="000938E4" w:rsidRPr="00A90AA3" w:rsidRDefault="000938E4" w:rsidP="006066A0">
      <w:pPr>
        <w:pStyle w:val="NoSpacing"/>
      </w:pPr>
    </w:p>
    <w:p w14:paraId="7CAE7DA2" w14:textId="5D6291EB" w:rsidR="00FF0A61" w:rsidRDefault="00FF0A61">
      <w:pPr>
        <w:rPr>
          <w:rFonts w:ascii="Arial" w:eastAsiaTheme="minorHAnsi" w:hAnsi="Arial" w:cs="Arial"/>
          <w:szCs w:val="24"/>
          <w:lang w:eastAsia="en-US"/>
        </w:rPr>
      </w:pPr>
      <w:r>
        <w:br w:type="page"/>
      </w:r>
    </w:p>
    <w:p w14:paraId="2984CB79" w14:textId="330305A0" w:rsidR="00E53486" w:rsidRPr="002F5657" w:rsidRDefault="002F5657" w:rsidP="002F5657">
      <w:pPr>
        <w:pStyle w:val="NoSpacing"/>
        <w:jc w:val="right"/>
        <w:rPr>
          <w:b/>
          <w:bCs/>
        </w:rPr>
      </w:pPr>
      <w:r>
        <w:rPr>
          <w:b/>
          <w:bCs/>
        </w:rPr>
        <w:lastRenderedPageBreak/>
        <w:t>Appendix B</w:t>
      </w:r>
    </w:p>
    <w:p w14:paraId="5F5FE118" w14:textId="7C4B407D" w:rsidR="002F5657" w:rsidRDefault="002F5657" w:rsidP="002579EB">
      <w:pPr>
        <w:pStyle w:val="NoSpacing"/>
      </w:pPr>
    </w:p>
    <w:p w14:paraId="6DF5F564" w14:textId="1855B0F8" w:rsidR="002F5657" w:rsidRDefault="002F5657" w:rsidP="002579EB">
      <w:pPr>
        <w:pStyle w:val="NoSpacing"/>
      </w:pPr>
      <w:r>
        <w:rPr>
          <w:b/>
          <w:bCs/>
        </w:rPr>
        <w:t>Attendance Management Tables</w:t>
      </w:r>
    </w:p>
    <w:p w14:paraId="2A72CE18" w14:textId="11594ACF" w:rsidR="002F5657" w:rsidRDefault="002F5657"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7A7B37" w:rsidRPr="00792FAC" w14:paraId="090286D8"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CA96131"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SHORT-TERM ABSENCE RATES</w:t>
            </w:r>
          </w:p>
        </w:tc>
      </w:tr>
      <w:tr w:rsidR="007A7B37" w:rsidRPr="00792FAC" w14:paraId="12F6C6B7"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0FBD1A1" w14:textId="77777777" w:rsidR="007A7B37" w:rsidRPr="00792FAC" w:rsidRDefault="007A7B37" w:rsidP="006C2604">
            <w:pPr>
              <w:spacing w:line="276" w:lineRule="auto"/>
              <w:jc w:val="center"/>
              <w:rPr>
                <w:rFonts w:ascii="Arial" w:eastAsia="Calibri" w:hAnsi="Arial" w:cs="Arial"/>
                <w:b/>
                <w:bCs/>
                <w:szCs w:val="24"/>
              </w:rPr>
            </w:pPr>
          </w:p>
          <w:p w14:paraId="17A5DA11" w14:textId="77777777" w:rsidR="007A7B37" w:rsidRPr="00792FAC" w:rsidRDefault="007A7B37"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0AB8A14" w14:textId="77777777" w:rsidR="007A7B37" w:rsidRPr="00792FAC" w:rsidRDefault="007A7B37" w:rsidP="006C2604">
            <w:pPr>
              <w:spacing w:line="276" w:lineRule="auto"/>
              <w:jc w:val="center"/>
              <w:rPr>
                <w:rFonts w:ascii="Arial" w:eastAsia="Calibri" w:hAnsi="Arial" w:cs="Arial"/>
                <w:b/>
                <w:bCs/>
                <w:szCs w:val="24"/>
              </w:rPr>
            </w:pPr>
          </w:p>
          <w:p w14:paraId="5FDCFB2E"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1</w:t>
            </w:r>
          </w:p>
          <w:p w14:paraId="3B9CEC5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(Apr–Jun)</w:t>
            </w:r>
          </w:p>
          <w:p w14:paraId="0E240DF8"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8388B55" w14:textId="77777777" w:rsidR="007A7B37" w:rsidRPr="00792FAC" w:rsidRDefault="007A7B37" w:rsidP="006C2604">
            <w:pPr>
              <w:spacing w:line="276" w:lineRule="auto"/>
              <w:jc w:val="center"/>
              <w:rPr>
                <w:rFonts w:ascii="Arial" w:eastAsia="Calibri" w:hAnsi="Arial" w:cs="Arial"/>
                <w:b/>
                <w:bCs/>
                <w:szCs w:val="24"/>
              </w:rPr>
            </w:pPr>
          </w:p>
          <w:p w14:paraId="4C46041C"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2</w:t>
            </w:r>
          </w:p>
          <w:p w14:paraId="351883E8"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(Jul–Sep)</w:t>
            </w:r>
          </w:p>
          <w:p w14:paraId="08893E0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41DC88C" w14:textId="77777777" w:rsidR="007A7B37" w:rsidRPr="00792FAC" w:rsidRDefault="007A7B37" w:rsidP="006C2604">
            <w:pPr>
              <w:spacing w:line="276" w:lineRule="auto"/>
              <w:jc w:val="center"/>
              <w:rPr>
                <w:rFonts w:ascii="Arial" w:eastAsia="Calibri" w:hAnsi="Arial" w:cs="Arial"/>
                <w:b/>
                <w:bCs/>
                <w:szCs w:val="24"/>
              </w:rPr>
            </w:pPr>
          </w:p>
          <w:p w14:paraId="55A35E34"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3</w:t>
            </w:r>
          </w:p>
          <w:p w14:paraId="7761C555"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(Oct–Dec)</w:t>
            </w:r>
          </w:p>
          <w:p w14:paraId="7CDC42E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90000B9" w14:textId="77777777" w:rsidR="007A7B37" w:rsidRPr="00792FAC" w:rsidRDefault="007A7B37" w:rsidP="006C2604">
            <w:pPr>
              <w:spacing w:line="276" w:lineRule="auto"/>
              <w:jc w:val="center"/>
              <w:rPr>
                <w:rFonts w:ascii="Arial" w:eastAsia="Calibri" w:hAnsi="Arial" w:cs="Arial"/>
                <w:b/>
                <w:bCs/>
                <w:szCs w:val="24"/>
              </w:rPr>
            </w:pPr>
          </w:p>
          <w:p w14:paraId="00287A79"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4</w:t>
            </w:r>
          </w:p>
          <w:p w14:paraId="2BEF2F74"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(Jan–Mar)</w:t>
            </w:r>
          </w:p>
          <w:p w14:paraId="11FC312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r>
      <w:tr w:rsidR="007A7B37" w:rsidRPr="00792FAC" w14:paraId="48277433"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5F3A621"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392105"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0.01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B49F45"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0.15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4F0DD4"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0.42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D27034"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0.11</w:t>
            </w:r>
          </w:p>
        </w:tc>
      </w:tr>
      <w:tr w:rsidR="007A7B37" w:rsidRPr="00792FAC" w14:paraId="6C1AC249"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CA1A55D"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51BCA6"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0.66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EFA4E"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0.66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55F8C" w14:textId="77777777" w:rsidR="007A7B37" w:rsidRPr="00792FAC" w:rsidRDefault="007A7B37" w:rsidP="006C2604">
            <w:pPr>
              <w:spacing w:line="276" w:lineRule="auto"/>
              <w:jc w:val="center"/>
              <w:rPr>
                <w:rFonts w:ascii="Arial" w:eastAsia="Calibri" w:hAnsi="Arial" w:cs="Arial"/>
                <w:szCs w:val="24"/>
              </w:rPr>
            </w:pPr>
            <w:r w:rsidRPr="00792FAC">
              <w:rPr>
                <w:rFonts w:ascii="Arial" w:eastAsia="Calibri" w:hAnsi="Arial" w:cs="Arial"/>
                <w:szCs w:val="24"/>
              </w:rPr>
              <w:t>1.13</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7F5633" w14:textId="07062F13" w:rsidR="007A7B37" w:rsidRPr="00792FAC" w:rsidRDefault="0099059A" w:rsidP="006C2604">
            <w:pPr>
              <w:spacing w:line="276" w:lineRule="auto"/>
              <w:jc w:val="center"/>
              <w:rPr>
                <w:rFonts w:ascii="Arial" w:eastAsia="Calibri" w:hAnsi="Arial" w:cs="Arial"/>
                <w:szCs w:val="24"/>
              </w:rPr>
            </w:pPr>
            <w:r>
              <w:rPr>
                <w:rFonts w:ascii="Arial" w:eastAsia="Calibri" w:hAnsi="Arial" w:cs="Arial"/>
                <w:szCs w:val="24"/>
              </w:rPr>
              <w:t>1.62</w:t>
            </w:r>
          </w:p>
        </w:tc>
      </w:tr>
      <w:tr w:rsidR="006B118A" w:rsidRPr="00792FAC" w14:paraId="495A572D"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A44A0F8" w14:textId="6AEC3C7C" w:rsidR="006B118A" w:rsidRPr="00792FAC"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E01493" w14:textId="4F846E5A" w:rsidR="006B118A" w:rsidRPr="00792FAC" w:rsidRDefault="00CE0B75" w:rsidP="006C2604">
            <w:pPr>
              <w:spacing w:line="276" w:lineRule="auto"/>
              <w:jc w:val="center"/>
              <w:rPr>
                <w:rFonts w:ascii="Arial" w:eastAsia="Calibri" w:hAnsi="Arial" w:cs="Arial"/>
                <w:szCs w:val="24"/>
              </w:rPr>
            </w:pPr>
            <w:r>
              <w:rPr>
                <w:rFonts w:ascii="Arial" w:eastAsia="Calibri" w:hAnsi="Arial" w:cs="Arial"/>
                <w:szCs w:val="24"/>
              </w:rPr>
              <w:t>2.07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821403" w14:textId="086560EC" w:rsidR="006B118A" w:rsidRPr="00792FAC" w:rsidRDefault="00A63E2A" w:rsidP="006C2604">
            <w:pPr>
              <w:spacing w:line="276" w:lineRule="auto"/>
              <w:jc w:val="center"/>
              <w:rPr>
                <w:rFonts w:ascii="Arial" w:eastAsia="Calibri" w:hAnsi="Arial" w:cs="Arial"/>
                <w:szCs w:val="24"/>
              </w:rPr>
            </w:pPr>
            <w:r>
              <w:rPr>
                <w:rFonts w:ascii="Arial" w:eastAsia="Calibri" w:hAnsi="Arial" w:cs="Arial"/>
                <w:szCs w:val="24"/>
              </w:rPr>
              <w:t>1.63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466AF1" w14:textId="55069555" w:rsidR="006B118A" w:rsidRPr="00792FAC" w:rsidRDefault="00D54E5F" w:rsidP="006C2604">
            <w:pPr>
              <w:spacing w:line="276" w:lineRule="auto"/>
              <w:jc w:val="center"/>
              <w:rPr>
                <w:rFonts w:ascii="Arial" w:eastAsia="Calibri" w:hAnsi="Arial" w:cs="Arial"/>
                <w:szCs w:val="24"/>
              </w:rPr>
            </w:pPr>
            <w:r>
              <w:rPr>
                <w:rFonts w:ascii="Arial" w:eastAsia="Calibri" w:hAnsi="Arial" w:cs="Arial"/>
                <w:szCs w:val="24"/>
              </w:rPr>
              <w:t>-</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816DB3" w14:textId="789BD2D7" w:rsidR="006B118A" w:rsidRDefault="00D54E5F" w:rsidP="006C2604">
            <w:pPr>
              <w:spacing w:line="276" w:lineRule="auto"/>
              <w:jc w:val="center"/>
              <w:rPr>
                <w:rFonts w:ascii="Arial" w:eastAsia="Calibri" w:hAnsi="Arial" w:cs="Arial"/>
                <w:szCs w:val="24"/>
              </w:rPr>
            </w:pPr>
            <w:r>
              <w:rPr>
                <w:rFonts w:ascii="Arial" w:eastAsia="Calibri" w:hAnsi="Arial" w:cs="Arial"/>
                <w:szCs w:val="24"/>
              </w:rPr>
              <w:t>-</w:t>
            </w:r>
          </w:p>
        </w:tc>
      </w:tr>
    </w:tbl>
    <w:p w14:paraId="2997A3BE" w14:textId="736C3B72" w:rsidR="002F5657" w:rsidRPr="002E7BD0" w:rsidRDefault="002E7BD0" w:rsidP="002E7BD0">
      <w:pPr>
        <w:pStyle w:val="NoSpacing"/>
        <w:jc w:val="right"/>
        <w:rPr>
          <w:sz w:val="20"/>
          <w:szCs w:val="20"/>
        </w:rPr>
      </w:pPr>
      <w:r w:rsidRPr="002E7BD0">
        <w:rPr>
          <w:sz w:val="20"/>
          <w:szCs w:val="20"/>
        </w:rPr>
        <w:t>Table 2</w:t>
      </w:r>
    </w:p>
    <w:p w14:paraId="1A317B07" w14:textId="77777777" w:rsidR="002E7BD0" w:rsidRDefault="002E7BD0" w:rsidP="002E7BD0">
      <w:pPr>
        <w:pStyle w:val="NoSpacing"/>
        <w:jc w:val="right"/>
      </w:pPr>
    </w:p>
    <w:p w14:paraId="5BC645DB" w14:textId="6072CD1B" w:rsidR="007A7B37" w:rsidRDefault="007A7B37"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56302B" w:rsidRPr="009C1F2A" w14:paraId="4362F69C"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D1896EE"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LONG-TERM ABSENCE RATES</w:t>
            </w:r>
          </w:p>
        </w:tc>
      </w:tr>
      <w:tr w:rsidR="0056302B" w:rsidRPr="009C1F2A" w14:paraId="6E6777E9"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69BA9D2" w14:textId="77777777" w:rsidR="0056302B" w:rsidRDefault="0056302B" w:rsidP="006C2604">
            <w:pPr>
              <w:spacing w:line="276" w:lineRule="auto"/>
              <w:jc w:val="center"/>
              <w:rPr>
                <w:rFonts w:ascii="Arial" w:eastAsia="Calibri" w:hAnsi="Arial" w:cs="Arial"/>
                <w:b/>
                <w:bCs/>
                <w:szCs w:val="24"/>
              </w:rPr>
            </w:pPr>
          </w:p>
          <w:p w14:paraId="5CCEAD63" w14:textId="77777777" w:rsidR="0056302B" w:rsidRPr="009C1F2A" w:rsidRDefault="0056302B"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FDE8F78" w14:textId="77777777" w:rsidR="0056302B" w:rsidRPr="009C1F2A" w:rsidRDefault="0056302B" w:rsidP="006C2604">
            <w:pPr>
              <w:spacing w:line="276" w:lineRule="auto"/>
              <w:jc w:val="center"/>
              <w:rPr>
                <w:rFonts w:ascii="Arial" w:eastAsia="Calibri" w:hAnsi="Arial" w:cs="Arial"/>
                <w:b/>
                <w:bCs/>
                <w:szCs w:val="24"/>
              </w:rPr>
            </w:pPr>
          </w:p>
          <w:p w14:paraId="1832ED00"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74BADCF5"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p w14:paraId="3FBB998A"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AFE2AC3" w14:textId="77777777" w:rsidR="0056302B" w:rsidRPr="009C1F2A" w:rsidRDefault="0056302B" w:rsidP="006C2604">
            <w:pPr>
              <w:spacing w:line="276" w:lineRule="auto"/>
              <w:jc w:val="center"/>
              <w:rPr>
                <w:rFonts w:ascii="Arial" w:eastAsia="Calibri" w:hAnsi="Arial" w:cs="Arial"/>
                <w:b/>
                <w:bCs/>
                <w:szCs w:val="24"/>
              </w:rPr>
            </w:pPr>
          </w:p>
          <w:p w14:paraId="23BB3656"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60203D42"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p w14:paraId="4FDAF9C6"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EACF0E1" w14:textId="77777777" w:rsidR="0056302B" w:rsidRPr="009C1F2A" w:rsidRDefault="0056302B" w:rsidP="006C2604">
            <w:pPr>
              <w:spacing w:line="276" w:lineRule="auto"/>
              <w:jc w:val="center"/>
              <w:rPr>
                <w:rFonts w:ascii="Arial" w:eastAsia="Calibri" w:hAnsi="Arial" w:cs="Arial"/>
                <w:b/>
                <w:bCs/>
                <w:szCs w:val="24"/>
              </w:rPr>
            </w:pPr>
          </w:p>
          <w:p w14:paraId="6BA1BA4F"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367548FC"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p w14:paraId="4C7DAEC2"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CA61FB2" w14:textId="77777777" w:rsidR="0056302B" w:rsidRPr="009C1F2A" w:rsidRDefault="0056302B" w:rsidP="006C2604">
            <w:pPr>
              <w:spacing w:line="276" w:lineRule="auto"/>
              <w:jc w:val="center"/>
              <w:rPr>
                <w:rFonts w:ascii="Arial" w:eastAsia="Calibri" w:hAnsi="Arial" w:cs="Arial"/>
                <w:b/>
                <w:bCs/>
                <w:szCs w:val="24"/>
              </w:rPr>
            </w:pPr>
          </w:p>
          <w:p w14:paraId="5C1AB39F"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0769D14D"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p w14:paraId="018F3817"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r>
      <w:tr w:rsidR="0056302B" w14:paraId="03D73F4D"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0BD66075"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3F0D4B"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0.05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EDD735"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0.78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65C162"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2.22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B877C3"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1.13</w:t>
            </w:r>
          </w:p>
        </w:tc>
      </w:tr>
      <w:tr w:rsidR="0056302B" w14:paraId="6FB586BF"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3A40DB7"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F0DC7"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1.93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08581"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2.88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E633B" w14:textId="77777777" w:rsidR="0056302B" w:rsidRDefault="0056302B" w:rsidP="006C2604">
            <w:pPr>
              <w:spacing w:line="276" w:lineRule="auto"/>
              <w:jc w:val="center"/>
              <w:rPr>
                <w:rFonts w:ascii="Arial" w:eastAsia="Calibri" w:hAnsi="Arial" w:cs="Arial"/>
                <w:szCs w:val="24"/>
              </w:rPr>
            </w:pPr>
            <w:r>
              <w:rPr>
                <w:rFonts w:ascii="Arial" w:eastAsia="Calibri" w:hAnsi="Arial" w:cs="Arial"/>
                <w:szCs w:val="24"/>
              </w:rPr>
              <w:t>2.96</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319F35" w14:textId="2CBB0E70" w:rsidR="0056302B" w:rsidRDefault="0099059A" w:rsidP="006C2604">
            <w:pPr>
              <w:spacing w:line="276" w:lineRule="auto"/>
              <w:jc w:val="center"/>
              <w:rPr>
                <w:rFonts w:ascii="Arial" w:eastAsia="Calibri" w:hAnsi="Arial" w:cs="Arial"/>
                <w:szCs w:val="24"/>
              </w:rPr>
            </w:pPr>
            <w:r>
              <w:rPr>
                <w:rFonts w:ascii="Arial" w:eastAsia="Calibri" w:hAnsi="Arial" w:cs="Arial"/>
                <w:szCs w:val="24"/>
              </w:rPr>
              <w:t>2.51</w:t>
            </w:r>
          </w:p>
        </w:tc>
      </w:tr>
      <w:tr w:rsidR="00CE0B75" w14:paraId="26C1E948"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568D4D6" w14:textId="0826CB58" w:rsidR="00CE0B75"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9E432" w14:textId="1E43C99E" w:rsidR="00CE0B75" w:rsidRDefault="00CE0B75" w:rsidP="006C2604">
            <w:pPr>
              <w:spacing w:line="276" w:lineRule="auto"/>
              <w:jc w:val="center"/>
              <w:rPr>
                <w:rFonts w:ascii="Arial" w:eastAsia="Calibri" w:hAnsi="Arial" w:cs="Arial"/>
                <w:szCs w:val="24"/>
              </w:rPr>
            </w:pPr>
            <w:r>
              <w:rPr>
                <w:rFonts w:ascii="Arial" w:eastAsia="Calibri" w:hAnsi="Arial" w:cs="Arial"/>
                <w:szCs w:val="24"/>
              </w:rPr>
              <w:t>3.76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417ED" w14:textId="6C16879C" w:rsidR="00CE0B75" w:rsidRDefault="00A63E2A" w:rsidP="006C2604">
            <w:pPr>
              <w:spacing w:line="276" w:lineRule="auto"/>
              <w:jc w:val="center"/>
              <w:rPr>
                <w:rFonts w:ascii="Arial" w:eastAsia="Calibri" w:hAnsi="Arial" w:cs="Arial"/>
                <w:szCs w:val="24"/>
              </w:rPr>
            </w:pPr>
            <w:r>
              <w:rPr>
                <w:rFonts w:ascii="Arial" w:eastAsia="Calibri" w:hAnsi="Arial" w:cs="Arial"/>
                <w:szCs w:val="24"/>
              </w:rPr>
              <w:t>3.52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696B2" w14:textId="189460C4" w:rsidR="00CE0B75" w:rsidRDefault="00D54E5F" w:rsidP="006C2604">
            <w:pPr>
              <w:spacing w:line="276" w:lineRule="auto"/>
              <w:jc w:val="center"/>
              <w:rPr>
                <w:rFonts w:ascii="Arial" w:eastAsia="Calibri" w:hAnsi="Arial" w:cs="Arial"/>
                <w:szCs w:val="24"/>
              </w:rPr>
            </w:pPr>
            <w:r>
              <w:rPr>
                <w:rFonts w:ascii="Arial" w:eastAsia="Calibri" w:hAnsi="Arial" w:cs="Arial"/>
                <w:szCs w:val="24"/>
              </w:rPr>
              <w:t>-</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8FFBF6" w14:textId="0F50FB99" w:rsidR="00CE0B75" w:rsidRDefault="00D54E5F" w:rsidP="006C2604">
            <w:pPr>
              <w:spacing w:line="276" w:lineRule="auto"/>
              <w:jc w:val="center"/>
              <w:rPr>
                <w:rFonts w:ascii="Arial" w:eastAsia="Calibri" w:hAnsi="Arial" w:cs="Arial"/>
                <w:szCs w:val="24"/>
              </w:rPr>
            </w:pPr>
            <w:r>
              <w:rPr>
                <w:rFonts w:ascii="Arial" w:eastAsia="Calibri" w:hAnsi="Arial" w:cs="Arial"/>
                <w:szCs w:val="24"/>
              </w:rPr>
              <w:t>-</w:t>
            </w:r>
          </w:p>
        </w:tc>
      </w:tr>
    </w:tbl>
    <w:p w14:paraId="2F3369E3" w14:textId="196BC868" w:rsidR="007A7B37" w:rsidRPr="002E7BD0" w:rsidRDefault="002E7BD0" w:rsidP="002E7BD0">
      <w:pPr>
        <w:pStyle w:val="NoSpacing"/>
        <w:jc w:val="right"/>
        <w:rPr>
          <w:sz w:val="20"/>
          <w:szCs w:val="20"/>
        </w:rPr>
      </w:pPr>
      <w:r w:rsidRPr="002E7BD0">
        <w:rPr>
          <w:sz w:val="20"/>
          <w:szCs w:val="20"/>
        </w:rPr>
        <w:t>Table 3</w:t>
      </w:r>
    </w:p>
    <w:p w14:paraId="56F40F14" w14:textId="77777777" w:rsidR="002E7BD0" w:rsidRDefault="002E7BD0" w:rsidP="002E7BD0">
      <w:pPr>
        <w:pStyle w:val="NoSpacing"/>
        <w:jc w:val="right"/>
      </w:pPr>
    </w:p>
    <w:p w14:paraId="5A3C4C6E" w14:textId="564D0E32" w:rsidR="0056302B" w:rsidRDefault="0056302B"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E4510B" w:rsidRPr="00792FAC" w14:paraId="73EC086F"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2DEAEFD"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AVERAGE SICKNESS ABSENCE DAYS PER EMPLOYEE</w:t>
            </w:r>
          </w:p>
        </w:tc>
      </w:tr>
      <w:tr w:rsidR="00E4510B" w:rsidRPr="00792FAC" w14:paraId="6E527E11"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10C7313" w14:textId="77777777" w:rsidR="00E4510B" w:rsidRPr="00792FAC" w:rsidRDefault="00E4510B"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5A77759" w14:textId="77777777" w:rsidR="00E4510B" w:rsidRPr="00792FAC" w:rsidRDefault="00E4510B" w:rsidP="006C2604">
            <w:pPr>
              <w:spacing w:line="276" w:lineRule="auto"/>
              <w:jc w:val="center"/>
              <w:rPr>
                <w:rFonts w:ascii="Arial" w:eastAsia="Calibri" w:hAnsi="Arial" w:cs="Arial"/>
                <w:b/>
                <w:bCs/>
                <w:szCs w:val="24"/>
              </w:rPr>
            </w:pPr>
          </w:p>
          <w:p w14:paraId="549A43D5"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1</w:t>
            </w:r>
          </w:p>
          <w:p w14:paraId="3D292C8E"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(Apr–Jun)</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F9F05D2" w14:textId="77777777" w:rsidR="00E4510B" w:rsidRPr="00792FAC" w:rsidRDefault="00E4510B" w:rsidP="006C2604">
            <w:pPr>
              <w:spacing w:line="276" w:lineRule="auto"/>
              <w:jc w:val="center"/>
              <w:rPr>
                <w:rFonts w:ascii="Arial" w:eastAsia="Calibri" w:hAnsi="Arial" w:cs="Arial"/>
                <w:b/>
                <w:bCs/>
                <w:szCs w:val="24"/>
              </w:rPr>
            </w:pPr>
          </w:p>
          <w:p w14:paraId="42AF3902"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2</w:t>
            </w:r>
          </w:p>
          <w:p w14:paraId="572AD4F9"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(Jul–Sep)</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13926BB" w14:textId="77777777" w:rsidR="00E4510B" w:rsidRPr="00792FAC" w:rsidRDefault="00E4510B" w:rsidP="006C2604">
            <w:pPr>
              <w:spacing w:line="276" w:lineRule="auto"/>
              <w:jc w:val="center"/>
              <w:rPr>
                <w:rFonts w:ascii="Arial" w:eastAsia="Calibri" w:hAnsi="Arial" w:cs="Arial"/>
                <w:b/>
                <w:bCs/>
                <w:szCs w:val="24"/>
              </w:rPr>
            </w:pPr>
          </w:p>
          <w:p w14:paraId="288F9858"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3</w:t>
            </w:r>
          </w:p>
          <w:p w14:paraId="27D43B97"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(Oct–Dec)</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3FEDE9C" w14:textId="77777777" w:rsidR="00E4510B" w:rsidRPr="00792FAC" w:rsidRDefault="00E4510B" w:rsidP="006C2604">
            <w:pPr>
              <w:spacing w:line="276" w:lineRule="auto"/>
              <w:jc w:val="center"/>
              <w:rPr>
                <w:rFonts w:ascii="Arial" w:eastAsia="Calibri" w:hAnsi="Arial" w:cs="Arial"/>
                <w:b/>
                <w:bCs/>
                <w:szCs w:val="24"/>
              </w:rPr>
            </w:pPr>
          </w:p>
          <w:p w14:paraId="33AEB67A"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4</w:t>
            </w:r>
          </w:p>
          <w:p w14:paraId="509B3BD0"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(Jan–Mar)</w:t>
            </w:r>
          </w:p>
        </w:tc>
      </w:tr>
      <w:tr w:rsidR="00E4510B" w:rsidRPr="00792FAC" w14:paraId="0D5911CE"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DBB3468"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D658B7"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2.82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1643B7"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2.34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309827"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1.74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49CD62"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1.81</w:t>
            </w:r>
          </w:p>
        </w:tc>
      </w:tr>
      <w:tr w:rsidR="00E4510B" w:rsidRPr="00792FAC" w14:paraId="2BD2F4F2"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D0CC036"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36B02E"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0.04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11C961"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0.64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673A99"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1.64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FC770"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0.78</w:t>
            </w:r>
          </w:p>
        </w:tc>
      </w:tr>
      <w:tr w:rsidR="00E4510B" w:rsidRPr="00792FAC" w14:paraId="56D9A3C3"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70BB8E9"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2021/22</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1AA0B"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1.63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55B4F"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2.33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CD484" w14:textId="77777777" w:rsidR="00E4510B" w:rsidRPr="00792FAC" w:rsidRDefault="00E4510B" w:rsidP="006C2604">
            <w:pPr>
              <w:spacing w:line="276" w:lineRule="auto"/>
              <w:jc w:val="center"/>
              <w:rPr>
                <w:rFonts w:ascii="Arial" w:eastAsia="Calibri" w:hAnsi="Arial" w:cs="Arial"/>
                <w:szCs w:val="24"/>
              </w:rPr>
            </w:pPr>
            <w:r w:rsidRPr="00792FAC">
              <w:rPr>
                <w:rFonts w:ascii="Arial" w:eastAsia="Calibri" w:hAnsi="Arial" w:cs="Arial"/>
                <w:szCs w:val="24"/>
              </w:rPr>
              <w:t>2.70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61BE99" w14:textId="50085B46" w:rsidR="00E4510B" w:rsidRPr="00792FAC" w:rsidRDefault="008D6311" w:rsidP="006C2604">
            <w:pPr>
              <w:spacing w:line="276" w:lineRule="auto"/>
              <w:jc w:val="center"/>
              <w:rPr>
                <w:rFonts w:ascii="Arial" w:eastAsia="Calibri" w:hAnsi="Arial" w:cs="Arial"/>
                <w:szCs w:val="24"/>
              </w:rPr>
            </w:pPr>
            <w:r>
              <w:rPr>
                <w:rFonts w:ascii="Arial" w:eastAsia="Calibri" w:hAnsi="Arial" w:cs="Arial"/>
                <w:szCs w:val="24"/>
              </w:rPr>
              <w:t>2.</w:t>
            </w:r>
            <w:r w:rsidR="00505074">
              <w:rPr>
                <w:rFonts w:ascii="Arial" w:eastAsia="Calibri" w:hAnsi="Arial" w:cs="Arial"/>
                <w:szCs w:val="24"/>
              </w:rPr>
              <w:t>73</w:t>
            </w:r>
          </w:p>
        </w:tc>
      </w:tr>
      <w:tr w:rsidR="00CE0B75" w:rsidRPr="00792FAC" w14:paraId="6ACB229E"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9E05381" w14:textId="06EB02E4" w:rsidR="00CE0B75" w:rsidRPr="00792FAC" w:rsidRDefault="00CE0B75" w:rsidP="006C2604">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F053AF" w14:textId="17C7356B" w:rsidR="00CE0B75" w:rsidRPr="00792FAC" w:rsidRDefault="00CE0B75" w:rsidP="006C2604">
            <w:pPr>
              <w:spacing w:line="276" w:lineRule="auto"/>
              <w:jc w:val="center"/>
              <w:rPr>
                <w:rFonts w:ascii="Arial" w:eastAsia="Calibri" w:hAnsi="Arial" w:cs="Arial"/>
                <w:szCs w:val="24"/>
              </w:rPr>
            </w:pPr>
            <w:r>
              <w:rPr>
                <w:rFonts w:ascii="Arial" w:eastAsia="Calibri" w:hAnsi="Arial" w:cs="Arial"/>
                <w:szCs w:val="24"/>
              </w:rPr>
              <w:t>3.61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C71DF0" w14:textId="35EE1D1A" w:rsidR="00CE0B75" w:rsidRPr="00792FAC" w:rsidRDefault="00A63E2A" w:rsidP="006C2604">
            <w:pPr>
              <w:spacing w:line="276" w:lineRule="auto"/>
              <w:jc w:val="center"/>
              <w:rPr>
                <w:rFonts w:ascii="Arial" w:eastAsia="Calibri" w:hAnsi="Arial" w:cs="Arial"/>
                <w:szCs w:val="24"/>
              </w:rPr>
            </w:pPr>
            <w:r>
              <w:rPr>
                <w:rFonts w:ascii="Arial" w:eastAsia="Calibri" w:hAnsi="Arial" w:cs="Arial"/>
                <w:szCs w:val="24"/>
              </w:rPr>
              <w:t>3.40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D47754" w14:textId="581AC67B" w:rsidR="00CE0B75" w:rsidRPr="00792FAC" w:rsidRDefault="00D54E5F" w:rsidP="006C2604">
            <w:pPr>
              <w:spacing w:line="276" w:lineRule="auto"/>
              <w:jc w:val="center"/>
              <w:rPr>
                <w:rFonts w:ascii="Arial" w:eastAsia="Calibri" w:hAnsi="Arial" w:cs="Arial"/>
                <w:szCs w:val="24"/>
              </w:rPr>
            </w:pPr>
            <w:r>
              <w:rPr>
                <w:rFonts w:ascii="Arial" w:eastAsia="Calibri" w:hAnsi="Arial" w:cs="Arial"/>
                <w:szCs w:val="24"/>
              </w:rPr>
              <w:t>-</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27DA6" w14:textId="163D3121" w:rsidR="00CE0B75" w:rsidRDefault="00D54E5F" w:rsidP="006C2604">
            <w:pPr>
              <w:spacing w:line="276" w:lineRule="auto"/>
              <w:jc w:val="center"/>
              <w:rPr>
                <w:rFonts w:ascii="Arial" w:eastAsia="Calibri" w:hAnsi="Arial" w:cs="Arial"/>
                <w:szCs w:val="24"/>
              </w:rPr>
            </w:pPr>
            <w:r>
              <w:rPr>
                <w:rFonts w:ascii="Arial" w:eastAsia="Calibri" w:hAnsi="Arial" w:cs="Arial"/>
                <w:szCs w:val="24"/>
              </w:rPr>
              <w:t>-</w:t>
            </w:r>
          </w:p>
        </w:tc>
      </w:tr>
    </w:tbl>
    <w:p w14:paraId="65268621" w14:textId="2EFEEC90" w:rsidR="0056302B" w:rsidRDefault="002E7BD0" w:rsidP="002E7BD0">
      <w:pPr>
        <w:pStyle w:val="NoSpacing"/>
        <w:jc w:val="right"/>
        <w:rPr>
          <w:sz w:val="20"/>
          <w:szCs w:val="20"/>
        </w:rPr>
      </w:pPr>
      <w:r w:rsidRPr="002E7BD0">
        <w:rPr>
          <w:sz w:val="20"/>
          <w:szCs w:val="20"/>
        </w:rPr>
        <w:t>Table 4</w:t>
      </w:r>
    </w:p>
    <w:p w14:paraId="04C61074" w14:textId="3D71F833" w:rsidR="00B55C17" w:rsidRDefault="00B55C17" w:rsidP="002E7BD0">
      <w:pPr>
        <w:pStyle w:val="NoSpacing"/>
        <w:jc w:val="right"/>
        <w:rPr>
          <w:sz w:val="20"/>
          <w:szCs w:val="20"/>
        </w:rPr>
      </w:pPr>
    </w:p>
    <w:p w14:paraId="584B8FFF" w14:textId="65E010D0" w:rsidR="00B55C17" w:rsidRDefault="00B55C17" w:rsidP="002E7BD0">
      <w:pPr>
        <w:pStyle w:val="NoSpacing"/>
        <w:jc w:val="right"/>
        <w:rPr>
          <w:sz w:val="20"/>
          <w:szCs w:val="20"/>
        </w:rPr>
      </w:pPr>
    </w:p>
    <w:p w14:paraId="5FF1D9F8" w14:textId="5C43FA33" w:rsidR="00B55C17" w:rsidRDefault="00B55C17" w:rsidP="002E7BD0">
      <w:pPr>
        <w:pStyle w:val="NoSpacing"/>
        <w:jc w:val="right"/>
        <w:rPr>
          <w:sz w:val="20"/>
          <w:szCs w:val="20"/>
        </w:rPr>
      </w:pPr>
    </w:p>
    <w:p w14:paraId="36E26114" w14:textId="25B2FAFC" w:rsidR="00B55C17" w:rsidRDefault="00B55C17" w:rsidP="002E7BD0">
      <w:pPr>
        <w:pStyle w:val="NoSpacing"/>
        <w:jc w:val="right"/>
        <w:rPr>
          <w:sz w:val="20"/>
          <w:szCs w:val="20"/>
        </w:rPr>
      </w:pPr>
    </w:p>
    <w:p w14:paraId="5E534A4B" w14:textId="3C561AA7" w:rsidR="00B55C17" w:rsidRDefault="00B55C17" w:rsidP="002E7BD0">
      <w:pPr>
        <w:pStyle w:val="NoSpacing"/>
        <w:jc w:val="right"/>
        <w:rPr>
          <w:sz w:val="20"/>
          <w:szCs w:val="20"/>
        </w:rPr>
      </w:pPr>
    </w:p>
    <w:p w14:paraId="4E4958BA" w14:textId="6EDDAC29" w:rsidR="00B55C17" w:rsidRDefault="00B55C17" w:rsidP="002E7BD0">
      <w:pPr>
        <w:pStyle w:val="NoSpacing"/>
        <w:jc w:val="right"/>
        <w:rPr>
          <w:sz w:val="20"/>
          <w:szCs w:val="20"/>
        </w:rPr>
      </w:pPr>
    </w:p>
    <w:p w14:paraId="4922A3DE" w14:textId="50F568F8" w:rsidR="00B55C17" w:rsidRDefault="00B55C17" w:rsidP="002E7BD0">
      <w:pPr>
        <w:pStyle w:val="NoSpacing"/>
        <w:jc w:val="right"/>
        <w:rPr>
          <w:sz w:val="20"/>
          <w:szCs w:val="20"/>
        </w:rPr>
      </w:pPr>
    </w:p>
    <w:p w14:paraId="71C8CC74" w14:textId="3F588097" w:rsidR="00B55C17" w:rsidRDefault="00B55C17" w:rsidP="002E7BD0">
      <w:pPr>
        <w:pStyle w:val="NoSpacing"/>
        <w:jc w:val="right"/>
        <w:rPr>
          <w:sz w:val="20"/>
          <w:szCs w:val="20"/>
        </w:rPr>
      </w:pPr>
    </w:p>
    <w:p w14:paraId="414A03D6" w14:textId="4F82008F" w:rsidR="00B55C17" w:rsidRDefault="00B55C17" w:rsidP="002E7BD0">
      <w:pPr>
        <w:pStyle w:val="NoSpacing"/>
        <w:jc w:val="right"/>
        <w:rPr>
          <w:sz w:val="20"/>
          <w:szCs w:val="20"/>
        </w:rPr>
      </w:pPr>
    </w:p>
    <w:p w14:paraId="495C434B" w14:textId="738E69D0" w:rsidR="00B55C17" w:rsidRDefault="00B55C17" w:rsidP="002E7BD0">
      <w:pPr>
        <w:pStyle w:val="NoSpacing"/>
        <w:jc w:val="right"/>
        <w:rPr>
          <w:sz w:val="20"/>
          <w:szCs w:val="20"/>
        </w:rPr>
      </w:pPr>
    </w:p>
    <w:p w14:paraId="397E3B09" w14:textId="3AABA674" w:rsidR="00B55C17" w:rsidRDefault="00B55C17" w:rsidP="002E7BD0">
      <w:pPr>
        <w:pStyle w:val="NoSpacing"/>
        <w:jc w:val="right"/>
        <w:rPr>
          <w:sz w:val="20"/>
          <w:szCs w:val="20"/>
        </w:rPr>
      </w:pPr>
    </w:p>
    <w:p w14:paraId="661D9657" w14:textId="181D7E85" w:rsidR="00B55C17" w:rsidRDefault="00B55C17" w:rsidP="002E7BD0">
      <w:pPr>
        <w:pStyle w:val="NoSpacing"/>
        <w:jc w:val="right"/>
        <w:rPr>
          <w:sz w:val="20"/>
          <w:szCs w:val="20"/>
        </w:rPr>
      </w:pPr>
    </w:p>
    <w:p w14:paraId="3E8B71E8" w14:textId="069DB6F6" w:rsidR="00B55C17" w:rsidRDefault="00B55C17" w:rsidP="002E7BD0">
      <w:pPr>
        <w:pStyle w:val="NoSpacing"/>
        <w:jc w:val="right"/>
        <w:rPr>
          <w:sz w:val="20"/>
          <w:szCs w:val="20"/>
        </w:rPr>
      </w:pPr>
    </w:p>
    <w:p w14:paraId="6B80C17F" w14:textId="458C25F0" w:rsidR="00B55C17" w:rsidRDefault="00B55C17" w:rsidP="002E7BD0">
      <w:pPr>
        <w:pStyle w:val="NoSpacing"/>
        <w:jc w:val="right"/>
        <w:rPr>
          <w:sz w:val="20"/>
          <w:szCs w:val="20"/>
        </w:rPr>
      </w:pPr>
    </w:p>
    <w:p w14:paraId="2C984B52" w14:textId="698E482D" w:rsidR="00B55C17" w:rsidRDefault="00B55C17" w:rsidP="002E7BD0">
      <w:pPr>
        <w:pStyle w:val="NoSpacing"/>
        <w:jc w:val="right"/>
        <w:rPr>
          <w:sz w:val="20"/>
          <w:szCs w:val="20"/>
        </w:rPr>
      </w:pPr>
    </w:p>
    <w:p w14:paraId="1273D9D1" w14:textId="58139670" w:rsidR="00B55C17" w:rsidRDefault="00B55C17" w:rsidP="002E7BD0">
      <w:pPr>
        <w:pStyle w:val="NoSpacing"/>
        <w:jc w:val="right"/>
        <w:rPr>
          <w:sz w:val="20"/>
          <w:szCs w:val="20"/>
        </w:rPr>
      </w:pPr>
    </w:p>
    <w:p w14:paraId="027F2999" w14:textId="5EFBB0DC" w:rsidR="00B07720" w:rsidRDefault="00B07720" w:rsidP="002E7BD0">
      <w:pPr>
        <w:pStyle w:val="NoSpacing"/>
        <w:jc w:val="right"/>
        <w:rPr>
          <w:sz w:val="20"/>
          <w:szCs w:val="20"/>
        </w:rPr>
      </w:pPr>
    </w:p>
    <w:p w14:paraId="78BCC8BA" w14:textId="06E75E2F" w:rsidR="00B07720" w:rsidRDefault="00B07720" w:rsidP="002E7BD0">
      <w:pPr>
        <w:pStyle w:val="NoSpacing"/>
        <w:jc w:val="right"/>
        <w:rPr>
          <w:b/>
          <w:bCs/>
        </w:rPr>
      </w:pPr>
      <w:r w:rsidRPr="00B07720">
        <w:rPr>
          <w:b/>
          <w:bCs/>
        </w:rPr>
        <w:lastRenderedPageBreak/>
        <w:t>A</w:t>
      </w:r>
      <w:r>
        <w:rPr>
          <w:b/>
          <w:bCs/>
        </w:rPr>
        <w:t>ppendix</w:t>
      </w:r>
      <w:r w:rsidRPr="00B07720">
        <w:rPr>
          <w:b/>
          <w:bCs/>
        </w:rPr>
        <w:t xml:space="preserve"> C</w:t>
      </w:r>
    </w:p>
    <w:p w14:paraId="44B7F50B" w14:textId="77777777" w:rsidR="00B07720" w:rsidRPr="00B07720" w:rsidRDefault="00B07720" w:rsidP="002E7BD0">
      <w:pPr>
        <w:pStyle w:val="NoSpacing"/>
        <w:jc w:val="right"/>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B07720" w:rsidRPr="00575C9C" w14:paraId="6B06117D" w14:textId="77777777" w:rsidTr="00E574DA">
        <w:trPr>
          <w:trHeight w:val="1550"/>
        </w:trPr>
        <w:tc>
          <w:tcPr>
            <w:tcW w:w="3261" w:type="dxa"/>
            <w:shd w:val="clear" w:color="auto" w:fill="auto"/>
          </w:tcPr>
          <w:p w14:paraId="7481A755" w14:textId="77777777" w:rsidR="00B07720" w:rsidRPr="00575C9C" w:rsidRDefault="00B07720" w:rsidP="00E574DA">
            <w:pPr>
              <w:rPr>
                <w:rFonts w:ascii="Arial" w:hAnsi="Arial" w:cs="Arial"/>
                <w:b/>
                <w:color w:val="000000"/>
                <w:sz w:val="36"/>
                <w:szCs w:val="36"/>
              </w:rPr>
            </w:pPr>
            <w:bookmarkStart w:id="3" w:name="_Hlk46423811"/>
            <w:r>
              <w:rPr>
                <w:rFonts w:ascii="Arial" w:hAnsi="Arial" w:cs="Arial"/>
                <w:b/>
                <w:noProof/>
                <w:color w:val="000000"/>
                <w:sz w:val="36"/>
                <w:szCs w:val="36"/>
              </w:rPr>
              <w:drawing>
                <wp:inline distT="0" distB="0" distL="0" distR="0" wp14:anchorId="43C020CE" wp14:editId="3CB75408">
                  <wp:extent cx="179832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914400"/>
                          </a:xfrm>
                          <a:prstGeom prst="rect">
                            <a:avLst/>
                          </a:prstGeom>
                          <a:noFill/>
                          <a:ln>
                            <a:noFill/>
                          </a:ln>
                        </pic:spPr>
                      </pic:pic>
                    </a:graphicData>
                  </a:graphic>
                </wp:inline>
              </w:drawing>
            </w:r>
          </w:p>
        </w:tc>
        <w:tc>
          <w:tcPr>
            <w:tcW w:w="5811" w:type="dxa"/>
            <w:shd w:val="clear" w:color="auto" w:fill="auto"/>
          </w:tcPr>
          <w:p w14:paraId="2CFD5A39" w14:textId="77777777" w:rsidR="00B07720" w:rsidRPr="00575C9C" w:rsidRDefault="00B07720" w:rsidP="00E574DA">
            <w:pPr>
              <w:rPr>
                <w:rFonts w:ascii="Calibri" w:hAnsi="Calibri" w:cs="Calibri"/>
                <w:b/>
                <w:i/>
                <w:color w:val="000000"/>
                <w:sz w:val="10"/>
                <w:szCs w:val="10"/>
              </w:rPr>
            </w:pPr>
          </w:p>
          <w:p w14:paraId="0E7AF761" w14:textId="77777777" w:rsidR="00B07720" w:rsidRPr="00575C9C" w:rsidRDefault="00B07720" w:rsidP="00E574DA">
            <w:pPr>
              <w:rPr>
                <w:rFonts w:ascii="Calibri" w:hAnsi="Calibri" w:cs="Arial"/>
                <w:b/>
                <w:i/>
                <w:color w:val="000000"/>
                <w:sz w:val="48"/>
                <w:szCs w:val="48"/>
              </w:rPr>
            </w:pPr>
            <w:r>
              <w:rPr>
                <w:rFonts w:ascii="Calibri" w:hAnsi="Calibri" w:cs="Arial"/>
                <w:b/>
                <w:i/>
                <w:color w:val="000000"/>
                <w:sz w:val="48"/>
                <w:szCs w:val="48"/>
              </w:rPr>
              <w:t>Gender Pay Gap Report 2022</w:t>
            </w:r>
          </w:p>
          <w:p w14:paraId="1E710055" w14:textId="77777777" w:rsidR="00B07720" w:rsidRPr="00575C9C" w:rsidRDefault="00B07720" w:rsidP="00E574DA">
            <w:pPr>
              <w:rPr>
                <w:rFonts w:ascii="Arial" w:hAnsi="Arial" w:cs="Arial"/>
                <w:b/>
                <w:color w:val="000000"/>
                <w:sz w:val="28"/>
                <w:szCs w:val="28"/>
              </w:rPr>
            </w:pPr>
          </w:p>
          <w:p w14:paraId="70268A47" w14:textId="77777777" w:rsidR="00B07720" w:rsidRDefault="00B07720" w:rsidP="00E574DA">
            <w:pPr>
              <w:rPr>
                <w:rFonts w:ascii="Arial" w:hAnsi="Arial" w:cs="Arial"/>
                <w:b/>
                <w:color w:val="000000"/>
                <w:sz w:val="20"/>
              </w:rPr>
            </w:pPr>
          </w:p>
          <w:p w14:paraId="1193B7FD" w14:textId="77777777" w:rsidR="00B07720" w:rsidRPr="00EF347E" w:rsidRDefault="00B07720" w:rsidP="00E574DA">
            <w:pPr>
              <w:rPr>
                <w:rFonts w:ascii="Arial" w:hAnsi="Arial" w:cs="Arial"/>
                <w:color w:val="000000"/>
                <w:szCs w:val="24"/>
              </w:rPr>
            </w:pPr>
          </w:p>
        </w:tc>
      </w:tr>
    </w:tbl>
    <w:p w14:paraId="62D9EB88" w14:textId="77777777" w:rsidR="00B07720" w:rsidRDefault="00B07720" w:rsidP="00B07720">
      <w:pPr>
        <w:rPr>
          <w:rFonts w:ascii="Arial" w:hAnsi="Arial" w:cs="Arial"/>
          <w:b/>
          <w:sz w:val="28"/>
          <w:szCs w:val="28"/>
        </w:rPr>
      </w:pPr>
    </w:p>
    <w:p w14:paraId="5D2DBBD0" w14:textId="77777777" w:rsidR="00B07720" w:rsidRPr="003E19DD" w:rsidRDefault="00B07720" w:rsidP="00C81418">
      <w:pPr>
        <w:spacing w:after="200"/>
        <w:rPr>
          <w:rFonts w:ascii="Arial" w:eastAsiaTheme="minorHAnsi" w:hAnsi="Arial" w:cs="Arial"/>
          <w:b/>
          <w:szCs w:val="24"/>
        </w:rPr>
      </w:pPr>
      <w:bookmarkStart w:id="4" w:name="_Hlk89079407"/>
      <w:r w:rsidRPr="003E19DD">
        <w:rPr>
          <w:rFonts w:ascii="Arial" w:eastAsiaTheme="minorHAnsi" w:hAnsi="Arial" w:cs="Arial"/>
          <w:szCs w:val="24"/>
        </w:rPr>
        <w:t>High Life Highland is a charity registered in Scotland, formed on the 1st October 2011 by The Highland Council to develop and promote opportunities in culture, learning, sport, leisure, health and wellbeing across 1</w:t>
      </w:r>
      <w:r>
        <w:rPr>
          <w:rFonts w:ascii="Arial" w:eastAsiaTheme="minorHAnsi" w:hAnsi="Arial" w:cs="Arial"/>
          <w:szCs w:val="24"/>
        </w:rPr>
        <w:t>2</w:t>
      </w:r>
      <w:r w:rsidRPr="003E19DD">
        <w:rPr>
          <w:rFonts w:ascii="Arial" w:eastAsiaTheme="minorHAnsi" w:hAnsi="Arial" w:cs="Arial"/>
          <w:szCs w:val="24"/>
        </w:rPr>
        <w:t xml:space="preserve"> services throughout the whole of the Highlands, for both residents and visitors.</w:t>
      </w:r>
    </w:p>
    <w:p w14:paraId="3E8AFA9F" w14:textId="77777777" w:rsidR="00B07720" w:rsidRPr="003E19DD" w:rsidRDefault="00B07720" w:rsidP="00C81418">
      <w:pPr>
        <w:rPr>
          <w:rFonts w:ascii="Arial" w:eastAsiaTheme="minorHAnsi" w:hAnsi="Arial" w:cs="Arial"/>
          <w:szCs w:val="24"/>
        </w:rPr>
      </w:pPr>
      <w:r w:rsidRPr="003E19DD">
        <w:rPr>
          <w:rFonts w:ascii="Arial" w:eastAsiaTheme="minorHAnsi" w:hAnsi="Arial" w:cs="Arial"/>
          <w:szCs w:val="24"/>
        </w:rPr>
        <w:t>The Gender Pay Gap data supplied is correct for all employees in post with High Life Highland on 31 March 20</w:t>
      </w:r>
      <w:r>
        <w:rPr>
          <w:rFonts w:ascii="Arial" w:eastAsiaTheme="minorHAnsi" w:hAnsi="Arial" w:cs="Arial"/>
          <w:szCs w:val="24"/>
        </w:rPr>
        <w:t>21</w:t>
      </w:r>
      <w:r w:rsidRPr="003E19DD">
        <w:rPr>
          <w:rFonts w:ascii="Arial" w:eastAsiaTheme="minorHAnsi" w:hAnsi="Arial" w:cs="Arial"/>
          <w:szCs w:val="24"/>
        </w:rPr>
        <w:t xml:space="preserve">. </w:t>
      </w:r>
    </w:p>
    <w:p w14:paraId="74BD7A5A" w14:textId="77777777" w:rsidR="00B07720" w:rsidRPr="003E19DD" w:rsidRDefault="00B07720" w:rsidP="00C81418">
      <w:pPr>
        <w:rPr>
          <w:rFonts w:ascii="Arial" w:eastAsiaTheme="minorHAnsi" w:hAnsi="Arial" w:cs="Arial"/>
          <w:szCs w:val="24"/>
        </w:rPr>
      </w:pPr>
    </w:p>
    <w:p w14:paraId="240BD1AC" w14:textId="77777777" w:rsidR="00B07720" w:rsidRPr="003E19DD" w:rsidRDefault="00B07720" w:rsidP="00C81418">
      <w:pPr>
        <w:rPr>
          <w:rFonts w:ascii="Arial" w:eastAsiaTheme="minorHAnsi" w:hAnsi="Arial" w:cs="Arial"/>
          <w:szCs w:val="24"/>
        </w:rPr>
      </w:pPr>
      <w:r w:rsidRPr="003E19DD">
        <w:rPr>
          <w:rFonts w:ascii="Arial" w:eastAsiaTheme="minorHAnsi" w:hAnsi="Arial" w:cs="Arial"/>
          <w:szCs w:val="24"/>
        </w:rPr>
        <w:t xml:space="preserve">On that date there were </w:t>
      </w:r>
      <w:r>
        <w:rPr>
          <w:rFonts w:ascii="Arial" w:eastAsiaTheme="minorHAnsi" w:hAnsi="Arial" w:cs="Arial"/>
          <w:szCs w:val="24"/>
        </w:rPr>
        <w:t>887</w:t>
      </w:r>
      <w:r w:rsidRPr="003E19DD">
        <w:rPr>
          <w:rFonts w:ascii="Arial" w:eastAsiaTheme="minorHAnsi" w:hAnsi="Arial" w:cs="Arial"/>
          <w:szCs w:val="24"/>
        </w:rPr>
        <w:t xml:space="preserve"> relevant and full-pay relevant employees, </w:t>
      </w:r>
      <w:r>
        <w:rPr>
          <w:rFonts w:ascii="Arial" w:eastAsiaTheme="minorHAnsi" w:hAnsi="Arial" w:cs="Arial"/>
          <w:szCs w:val="24"/>
        </w:rPr>
        <w:t>310</w:t>
      </w:r>
      <w:r w:rsidRPr="003E19DD">
        <w:rPr>
          <w:rFonts w:ascii="Arial" w:eastAsiaTheme="minorHAnsi" w:hAnsi="Arial" w:cs="Arial"/>
          <w:szCs w:val="24"/>
        </w:rPr>
        <w:t xml:space="preserve"> (3</w:t>
      </w:r>
      <w:r>
        <w:rPr>
          <w:rFonts w:ascii="Arial" w:eastAsiaTheme="minorHAnsi" w:hAnsi="Arial" w:cs="Arial"/>
          <w:szCs w:val="24"/>
        </w:rPr>
        <w:t>5</w:t>
      </w:r>
      <w:r w:rsidRPr="003E19DD">
        <w:rPr>
          <w:rFonts w:ascii="Arial" w:eastAsiaTheme="minorHAnsi" w:hAnsi="Arial" w:cs="Arial"/>
          <w:szCs w:val="24"/>
        </w:rPr>
        <w:t xml:space="preserve">%) males and </w:t>
      </w:r>
      <w:r>
        <w:rPr>
          <w:rFonts w:ascii="Arial" w:eastAsiaTheme="minorHAnsi" w:hAnsi="Arial" w:cs="Arial"/>
          <w:szCs w:val="24"/>
        </w:rPr>
        <w:t>577</w:t>
      </w:r>
      <w:r w:rsidRPr="003E19DD">
        <w:rPr>
          <w:rFonts w:ascii="Arial" w:eastAsiaTheme="minorHAnsi" w:hAnsi="Arial" w:cs="Arial"/>
          <w:szCs w:val="24"/>
        </w:rPr>
        <w:t xml:space="preserve"> females (</w:t>
      </w:r>
      <w:r>
        <w:rPr>
          <w:rFonts w:ascii="Arial" w:eastAsiaTheme="minorHAnsi" w:hAnsi="Arial" w:cs="Arial"/>
          <w:szCs w:val="24"/>
        </w:rPr>
        <w:t>65</w:t>
      </w:r>
      <w:r w:rsidRPr="003E19DD">
        <w:rPr>
          <w:rFonts w:ascii="Arial" w:eastAsiaTheme="minorHAnsi" w:hAnsi="Arial" w:cs="Arial"/>
          <w:szCs w:val="24"/>
        </w:rPr>
        <w:t xml:space="preserve">%). </w:t>
      </w:r>
    </w:p>
    <w:p w14:paraId="74777A70" w14:textId="77777777" w:rsidR="00B07720" w:rsidRPr="003E19DD" w:rsidRDefault="00B07720" w:rsidP="00C81418">
      <w:pPr>
        <w:rPr>
          <w:rFonts w:ascii="Arial" w:eastAsiaTheme="minorHAnsi" w:hAnsi="Arial" w:cs="Arial"/>
          <w:szCs w:val="24"/>
        </w:rPr>
      </w:pPr>
    </w:p>
    <w:p w14:paraId="26A11B6B" w14:textId="77777777" w:rsidR="00B07720" w:rsidRPr="003E19DD" w:rsidRDefault="00B07720" w:rsidP="00C81418">
      <w:pPr>
        <w:rPr>
          <w:rFonts w:ascii="Arial" w:eastAsiaTheme="minorHAnsi" w:hAnsi="Arial" w:cs="Arial"/>
          <w:szCs w:val="24"/>
        </w:rPr>
      </w:pPr>
      <w:r w:rsidRPr="003E19DD">
        <w:rPr>
          <w:rFonts w:ascii="Arial" w:hAnsi="Arial" w:cs="Arial"/>
          <w:color w:val="000000"/>
          <w:szCs w:val="24"/>
        </w:rPr>
        <w:t>The figures set out below have been calculated using the standard calculations used in the Equality Act 2010 (Gender Pay Gap Information) Regulations 2017.</w:t>
      </w:r>
    </w:p>
    <w:p w14:paraId="0DA58DBF" w14:textId="77777777" w:rsidR="00B07720" w:rsidRPr="003E19DD" w:rsidRDefault="00B07720" w:rsidP="00B07720">
      <w:pPr>
        <w:spacing w:line="276" w:lineRule="auto"/>
        <w:rPr>
          <w:rFonts w:ascii="Arial" w:eastAsiaTheme="minorHAnsi" w:hAnsi="Arial" w:cs="Arial"/>
          <w:b/>
          <w:szCs w:val="24"/>
        </w:rPr>
      </w:pPr>
    </w:p>
    <w:p w14:paraId="233BA2DE" w14:textId="77777777" w:rsidR="00B07720" w:rsidRPr="003E19DD" w:rsidRDefault="00B07720" w:rsidP="00B07720">
      <w:pPr>
        <w:spacing w:line="276" w:lineRule="auto"/>
        <w:rPr>
          <w:rFonts w:ascii="Arial" w:eastAsiaTheme="minorHAnsi" w:hAnsi="Arial" w:cs="Arial"/>
          <w:b/>
          <w:szCs w:val="24"/>
        </w:rPr>
      </w:pPr>
      <w:r w:rsidRPr="003E19DD">
        <w:rPr>
          <w:rFonts w:ascii="Arial" w:eastAsiaTheme="minorHAnsi" w:hAnsi="Arial" w:cs="Arial"/>
          <w:b/>
          <w:szCs w:val="24"/>
        </w:rPr>
        <w:t>Pay and Bonus Gap</w:t>
      </w:r>
    </w:p>
    <w:p w14:paraId="41E3E741" w14:textId="77777777" w:rsidR="00B07720" w:rsidRPr="003E19DD" w:rsidRDefault="00B07720" w:rsidP="00B07720">
      <w:pPr>
        <w:spacing w:line="276" w:lineRule="auto"/>
        <w:rPr>
          <w:rFonts w:ascii="Arial" w:eastAsiaTheme="minorHAnsi" w:hAnsi="Arial" w:cs="Arial"/>
          <w:b/>
          <w:szCs w:val="24"/>
        </w:rPr>
      </w:pPr>
    </w:p>
    <w:tbl>
      <w:tblPr>
        <w:tblStyle w:val="TableGrid11"/>
        <w:tblW w:w="9776" w:type="dxa"/>
        <w:tblLook w:val="04A0" w:firstRow="1" w:lastRow="0" w:firstColumn="1" w:lastColumn="0" w:noHBand="0" w:noVBand="1"/>
      </w:tblPr>
      <w:tblGrid>
        <w:gridCol w:w="3080"/>
        <w:gridCol w:w="3081"/>
        <w:gridCol w:w="3615"/>
      </w:tblGrid>
      <w:tr w:rsidR="00B07720" w:rsidRPr="003E19DD" w14:paraId="2346CD2B" w14:textId="77777777" w:rsidTr="00C81418">
        <w:tc>
          <w:tcPr>
            <w:tcW w:w="9776" w:type="dxa"/>
            <w:gridSpan w:val="3"/>
          </w:tcPr>
          <w:p w14:paraId="5F2B82D3" w14:textId="77777777" w:rsidR="00B07720" w:rsidRPr="003E19DD" w:rsidRDefault="00B07720" w:rsidP="00E574DA">
            <w:pPr>
              <w:spacing w:line="276" w:lineRule="auto"/>
              <w:jc w:val="center"/>
              <w:rPr>
                <w:rFonts w:ascii="Arial" w:hAnsi="Arial" w:cs="Arial"/>
                <w:szCs w:val="24"/>
              </w:rPr>
            </w:pPr>
            <w:r w:rsidRPr="003E19DD">
              <w:rPr>
                <w:rFonts w:ascii="Arial" w:hAnsi="Arial" w:cs="Arial"/>
                <w:szCs w:val="24"/>
              </w:rPr>
              <w:t>Difference between male and female</w:t>
            </w:r>
          </w:p>
        </w:tc>
      </w:tr>
      <w:tr w:rsidR="00B07720" w:rsidRPr="003E19DD" w14:paraId="754B18CC" w14:textId="77777777" w:rsidTr="00C81418">
        <w:tc>
          <w:tcPr>
            <w:tcW w:w="3080" w:type="dxa"/>
          </w:tcPr>
          <w:p w14:paraId="6E39AF67" w14:textId="77777777" w:rsidR="00B07720" w:rsidRPr="003E19DD" w:rsidRDefault="00B07720" w:rsidP="00E574DA">
            <w:pPr>
              <w:spacing w:line="276" w:lineRule="auto"/>
              <w:rPr>
                <w:rFonts w:ascii="Arial" w:hAnsi="Arial" w:cs="Arial"/>
                <w:szCs w:val="24"/>
              </w:rPr>
            </w:pPr>
          </w:p>
        </w:tc>
        <w:tc>
          <w:tcPr>
            <w:tcW w:w="3081" w:type="dxa"/>
          </w:tcPr>
          <w:p w14:paraId="360AF8E1" w14:textId="77777777" w:rsidR="00B07720" w:rsidRPr="003E19DD" w:rsidRDefault="00B07720" w:rsidP="00E574DA">
            <w:pPr>
              <w:spacing w:line="276" w:lineRule="auto"/>
              <w:rPr>
                <w:rFonts w:ascii="Arial" w:hAnsi="Arial" w:cs="Arial"/>
                <w:szCs w:val="24"/>
              </w:rPr>
            </w:pPr>
            <w:r w:rsidRPr="003E19DD">
              <w:rPr>
                <w:rFonts w:ascii="Arial" w:hAnsi="Arial" w:cs="Arial"/>
                <w:szCs w:val="24"/>
              </w:rPr>
              <w:t>Mean</w:t>
            </w:r>
          </w:p>
        </w:tc>
        <w:tc>
          <w:tcPr>
            <w:tcW w:w="3615" w:type="dxa"/>
          </w:tcPr>
          <w:p w14:paraId="5DFAB052" w14:textId="77777777" w:rsidR="00B07720" w:rsidRPr="003E19DD" w:rsidRDefault="00B07720" w:rsidP="00E574DA">
            <w:pPr>
              <w:spacing w:line="276" w:lineRule="auto"/>
              <w:rPr>
                <w:rFonts w:ascii="Arial" w:hAnsi="Arial" w:cs="Arial"/>
                <w:szCs w:val="24"/>
              </w:rPr>
            </w:pPr>
            <w:r w:rsidRPr="003E19DD">
              <w:rPr>
                <w:rFonts w:ascii="Arial" w:hAnsi="Arial" w:cs="Arial"/>
                <w:szCs w:val="24"/>
              </w:rPr>
              <w:t>Median</w:t>
            </w:r>
          </w:p>
        </w:tc>
      </w:tr>
      <w:tr w:rsidR="00B07720" w:rsidRPr="003E19DD" w14:paraId="2BC5927E" w14:textId="77777777" w:rsidTr="00C81418">
        <w:tc>
          <w:tcPr>
            <w:tcW w:w="3080" w:type="dxa"/>
          </w:tcPr>
          <w:p w14:paraId="5D03303C" w14:textId="77777777" w:rsidR="00B07720" w:rsidRPr="003E19DD" w:rsidRDefault="00B07720" w:rsidP="00E574DA">
            <w:pPr>
              <w:spacing w:line="276" w:lineRule="auto"/>
              <w:rPr>
                <w:rFonts w:ascii="Arial" w:hAnsi="Arial" w:cs="Arial"/>
                <w:szCs w:val="24"/>
              </w:rPr>
            </w:pPr>
            <w:r w:rsidRPr="003E19DD">
              <w:rPr>
                <w:rFonts w:ascii="Arial" w:hAnsi="Arial" w:cs="Arial"/>
                <w:szCs w:val="24"/>
              </w:rPr>
              <w:t>Hourly fixed pay</w:t>
            </w:r>
          </w:p>
        </w:tc>
        <w:tc>
          <w:tcPr>
            <w:tcW w:w="3081" w:type="dxa"/>
          </w:tcPr>
          <w:p w14:paraId="5E5E5DD0" w14:textId="77777777" w:rsidR="00B07720" w:rsidRPr="003E19DD" w:rsidRDefault="00B07720" w:rsidP="00E574DA">
            <w:pPr>
              <w:spacing w:line="276" w:lineRule="auto"/>
              <w:rPr>
                <w:rFonts w:ascii="Arial" w:hAnsi="Arial" w:cs="Arial"/>
                <w:szCs w:val="24"/>
              </w:rPr>
            </w:pPr>
            <w:r>
              <w:rPr>
                <w:rFonts w:ascii="Arial" w:hAnsi="Arial" w:cs="Arial"/>
                <w:szCs w:val="24"/>
              </w:rPr>
              <w:t>9.8%</w:t>
            </w:r>
          </w:p>
        </w:tc>
        <w:tc>
          <w:tcPr>
            <w:tcW w:w="3615" w:type="dxa"/>
          </w:tcPr>
          <w:p w14:paraId="6541E39B" w14:textId="77777777" w:rsidR="00B07720" w:rsidRPr="003E19DD" w:rsidRDefault="00B07720" w:rsidP="00E574DA">
            <w:pPr>
              <w:spacing w:line="276" w:lineRule="auto"/>
              <w:rPr>
                <w:rFonts w:ascii="Arial" w:hAnsi="Arial" w:cs="Arial"/>
                <w:szCs w:val="24"/>
              </w:rPr>
            </w:pPr>
            <w:r>
              <w:rPr>
                <w:rFonts w:ascii="Arial" w:hAnsi="Arial" w:cs="Arial"/>
                <w:szCs w:val="24"/>
              </w:rPr>
              <w:t>15.7</w:t>
            </w:r>
            <w:r w:rsidRPr="003E19DD">
              <w:rPr>
                <w:rFonts w:ascii="Arial" w:hAnsi="Arial" w:cs="Arial"/>
                <w:szCs w:val="24"/>
              </w:rPr>
              <w:t>%</w:t>
            </w:r>
          </w:p>
        </w:tc>
      </w:tr>
      <w:tr w:rsidR="00B07720" w:rsidRPr="003E19DD" w14:paraId="68E9A4E1" w14:textId="77777777" w:rsidTr="00C81418">
        <w:tc>
          <w:tcPr>
            <w:tcW w:w="3080" w:type="dxa"/>
          </w:tcPr>
          <w:p w14:paraId="5591B5CD" w14:textId="77777777" w:rsidR="00B07720" w:rsidRPr="003E19DD" w:rsidRDefault="00B07720" w:rsidP="00E574DA">
            <w:pPr>
              <w:spacing w:line="276" w:lineRule="auto"/>
              <w:rPr>
                <w:rFonts w:ascii="Arial" w:hAnsi="Arial" w:cs="Arial"/>
                <w:szCs w:val="24"/>
              </w:rPr>
            </w:pPr>
            <w:r w:rsidRPr="003E19DD">
              <w:rPr>
                <w:rFonts w:ascii="Arial" w:hAnsi="Arial" w:cs="Arial"/>
                <w:szCs w:val="24"/>
              </w:rPr>
              <w:t>Bonus paid</w:t>
            </w:r>
          </w:p>
        </w:tc>
        <w:tc>
          <w:tcPr>
            <w:tcW w:w="3081" w:type="dxa"/>
          </w:tcPr>
          <w:p w14:paraId="51F864FE" w14:textId="77777777" w:rsidR="00B07720" w:rsidRPr="003E19DD" w:rsidRDefault="00B07720" w:rsidP="00E574DA">
            <w:pPr>
              <w:spacing w:line="276" w:lineRule="auto"/>
              <w:rPr>
                <w:rFonts w:ascii="Arial" w:hAnsi="Arial" w:cs="Arial"/>
                <w:szCs w:val="24"/>
              </w:rPr>
            </w:pPr>
            <w:r w:rsidRPr="003E19DD">
              <w:rPr>
                <w:rFonts w:ascii="Arial" w:hAnsi="Arial" w:cs="Arial"/>
                <w:szCs w:val="24"/>
              </w:rPr>
              <w:t>0%</w:t>
            </w:r>
          </w:p>
        </w:tc>
        <w:tc>
          <w:tcPr>
            <w:tcW w:w="3615" w:type="dxa"/>
          </w:tcPr>
          <w:p w14:paraId="41475737" w14:textId="77777777" w:rsidR="00B07720" w:rsidRPr="003E19DD" w:rsidRDefault="00B07720" w:rsidP="00E574DA">
            <w:pPr>
              <w:spacing w:line="276" w:lineRule="auto"/>
              <w:rPr>
                <w:rFonts w:ascii="Arial" w:hAnsi="Arial" w:cs="Arial"/>
                <w:szCs w:val="24"/>
              </w:rPr>
            </w:pPr>
            <w:r w:rsidRPr="003E19DD">
              <w:rPr>
                <w:rFonts w:ascii="Arial" w:hAnsi="Arial" w:cs="Arial"/>
                <w:szCs w:val="24"/>
              </w:rPr>
              <w:t>0%</w:t>
            </w:r>
          </w:p>
        </w:tc>
      </w:tr>
    </w:tbl>
    <w:p w14:paraId="66674C03" w14:textId="77777777" w:rsidR="00B07720" w:rsidRPr="00C81418" w:rsidRDefault="00B07720" w:rsidP="00C81418">
      <w:pPr>
        <w:pStyle w:val="ListParagraph"/>
        <w:numPr>
          <w:ilvl w:val="0"/>
          <w:numId w:val="35"/>
        </w:numPr>
        <w:spacing w:before="192" w:after="192" w:line="240" w:lineRule="auto"/>
        <w:ind w:left="567" w:hanging="567"/>
        <w:contextualSpacing w:val="0"/>
        <w:jc w:val="both"/>
        <w:rPr>
          <w:rFonts w:ascii="Arial" w:hAnsi="Arial" w:cs="Arial"/>
          <w:sz w:val="24"/>
          <w:szCs w:val="24"/>
          <w:lang w:val="en" w:eastAsia="en-GB"/>
        </w:rPr>
      </w:pPr>
      <w:r w:rsidRPr="00C81418">
        <w:rPr>
          <w:rFonts w:ascii="Arial" w:hAnsi="Arial" w:cs="Arial"/>
          <w:sz w:val="24"/>
          <w:szCs w:val="24"/>
          <w:lang w:val="en" w:eastAsia="en-GB"/>
        </w:rPr>
        <w:t xml:space="preserve">The table above shows High Life Highland’s mean and median gender pay gap based on hourly rates of pay.  </w:t>
      </w:r>
    </w:p>
    <w:p w14:paraId="23DC0E18" w14:textId="77777777" w:rsidR="00B07720" w:rsidRPr="00C81418" w:rsidRDefault="00B07720" w:rsidP="00C81418">
      <w:pPr>
        <w:pStyle w:val="ListParagraph"/>
        <w:numPr>
          <w:ilvl w:val="0"/>
          <w:numId w:val="35"/>
        </w:numPr>
        <w:spacing w:before="192" w:after="192" w:line="240" w:lineRule="auto"/>
        <w:ind w:left="567" w:hanging="567"/>
        <w:contextualSpacing w:val="0"/>
        <w:jc w:val="both"/>
        <w:rPr>
          <w:rFonts w:ascii="Arial" w:hAnsi="Arial" w:cs="Arial"/>
          <w:sz w:val="24"/>
          <w:szCs w:val="24"/>
          <w:lang w:val="en" w:eastAsia="en-GB"/>
        </w:rPr>
      </w:pPr>
      <w:r w:rsidRPr="00C81418">
        <w:rPr>
          <w:rFonts w:ascii="Arial" w:hAnsi="Arial" w:cs="Arial"/>
          <w:sz w:val="24"/>
          <w:szCs w:val="24"/>
          <w:lang w:val="en" w:eastAsia="en-GB"/>
        </w:rPr>
        <w:t>There were no bonuses paid to any staff in the year up to 31 March 2022.</w:t>
      </w:r>
    </w:p>
    <w:p w14:paraId="4C1583FD" w14:textId="77777777" w:rsidR="00B07720" w:rsidRPr="00C81418" w:rsidRDefault="00B07720" w:rsidP="00C81418">
      <w:pPr>
        <w:pStyle w:val="ListParagraph"/>
        <w:numPr>
          <w:ilvl w:val="0"/>
          <w:numId w:val="35"/>
        </w:numPr>
        <w:spacing w:before="192" w:after="192" w:line="240" w:lineRule="auto"/>
        <w:ind w:left="567" w:hanging="567"/>
        <w:contextualSpacing w:val="0"/>
        <w:jc w:val="both"/>
        <w:rPr>
          <w:rFonts w:ascii="Arial" w:hAnsi="Arial" w:cs="Arial"/>
          <w:sz w:val="24"/>
          <w:szCs w:val="24"/>
          <w:vertAlign w:val="superscript"/>
          <w:lang w:val="en" w:eastAsia="en-GB"/>
        </w:rPr>
      </w:pPr>
      <w:r w:rsidRPr="00C81418">
        <w:rPr>
          <w:rFonts w:ascii="Arial" w:hAnsi="Arial" w:cs="Arial"/>
          <w:sz w:val="24"/>
          <w:szCs w:val="24"/>
          <w:lang w:eastAsia="en-GB"/>
        </w:rPr>
        <w:t>Of the 10492 employers reporting in 2021/22 the mean gender pay gap for all employees was 13.5% and the median gender pay gap 12.2%</w:t>
      </w:r>
      <w:r w:rsidRPr="00C81418">
        <w:rPr>
          <w:rFonts w:ascii="Arial" w:hAnsi="Arial" w:cs="Arial"/>
          <w:sz w:val="24"/>
          <w:szCs w:val="24"/>
          <w:vertAlign w:val="superscript"/>
          <w:lang w:eastAsia="en-GB"/>
        </w:rPr>
        <w:t>1</w:t>
      </w:r>
    </w:p>
    <w:p w14:paraId="70754F82" w14:textId="77777777" w:rsidR="00B07720" w:rsidRPr="00C81418" w:rsidRDefault="00B07720" w:rsidP="00C81418">
      <w:pPr>
        <w:pStyle w:val="ListParagraph"/>
        <w:numPr>
          <w:ilvl w:val="0"/>
          <w:numId w:val="35"/>
        </w:numPr>
        <w:spacing w:before="192" w:after="192" w:line="240" w:lineRule="auto"/>
        <w:ind w:left="567" w:hanging="567"/>
        <w:contextualSpacing w:val="0"/>
        <w:jc w:val="both"/>
        <w:rPr>
          <w:rFonts w:ascii="Arial" w:hAnsi="Arial" w:cs="Arial"/>
          <w:sz w:val="24"/>
          <w:szCs w:val="24"/>
          <w:lang w:val="en" w:eastAsia="en-GB"/>
        </w:rPr>
      </w:pPr>
      <w:r w:rsidRPr="00C81418">
        <w:rPr>
          <w:rFonts w:ascii="Arial" w:hAnsi="Arial" w:cs="Arial"/>
          <w:sz w:val="24"/>
          <w:szCs w:val="24"/>
          <w:lang w:val="en" w:eastAsia="en-GB"/>
        </w:rPr>
        <w:t xml:space="preserve">High Life Highland’s mean pay gap of 9.1% is less than the national average by 3.7%. </w:t>
      </w:r>
    </w:p>
    <w:p w14:paraId="5F781CD2" w14:textId="77777777" w:rsidR="00B07720" w:rsidRPr="00C81418" w:rsidRDefault="00B07720" w:rsidP="00C81418">
      <w:pPr>
        <w:pStyle w:val="ListParagraph"/>
        <w:numPr>
          <w:ilvl w:val="0"/>
          <w:numId w:val="35"/>
        </w:numPr>
        <w:spacing w:before="192" w:after="192" w:line="240" w:lineRule="auto"/>
        <w:ind w:left="567" w:hanging="567"/>
        <w:contextualSpacing w:val="0"/>
        <w:jc w:val="both"/>
        <w:rPr>
          <w:rFonts w:ascii="Arial" w:hAnsi="Arial" w:cs="Arial"/>
          <w:sz w:val="24"/>
          <w:szCs w:val="24"/>
          <w:lang w:val="en" w:eastAsia="en-GB"/>
        </w:rPr>
      </w:pPr>
      <w:r w:rsidRPr="00C81418">
        <w:rPr>
          <w:rFonts w:ascii="Arial" w:hAnsi="Arial" w:cs="Arial"/>
          <w:sz w:val="24"/>
          <w:szCs w:val="24"/>
          <w:lang w:val="en" w:eastAsia="en-GB"/>
        </w:rPr>
        <w:t>With a 15.7% median pay gap, High Life Highland is 3.5% above the national average for 2021/22.</w:t>
      </w:r>
    </w:p>
    <w:p w14:paraId="1DF68207" w14:textId="77777777" w:rsidR="00B07720" w:rsidRPr="003E19DD" w:rsidRDefault="00B07720" w:rsidP="00B07720">
      <w:pPr>
        <w:spacing w:before="192" w:after="192" w:line="276" w:lineRule="auto"/>
        <w:rPr>
          <w:rFonts w:ascii="Arial" w:hAnsi="Arial" w:cs="Arial"/>
          <w:sz w:val="22"/>
          <w:szCs w:val="24"/>
          <w:lang w:val="en"/>
        </w:rPr>
      </w:pPr>
      <w:r w:rsidRPr="00B46C27">
        <w:rPr>
          <w:rFonts w:ascii="Arial" w:hAnsi="Arial" w:cs="Arial"/>
          <w:sz w:val="20"/>
          <w:vertAlign w:val="superscript"/>
          <w:lang w:val="en"/>
        </w:rPr>
        <w:t xml:space="preserve">1 </w:t>
      </w:r>
      <w:hyperlink r:id="rId10" w:history="1">
        <w:r w:rsidRPr="00B46C27">
          <w:rPr>
            <w:rFonts w:ascii="Arial" w:hAnsi="Arial" w:cs="Arial"/>
            <w:color w:val="0000FF"/>
            <w:sz w:val="18"/>
            <w:szCs w:val="18"/>
            <w:u w:val="single"/>
            <w:lang w:val="en"/>
          </w:rPr>
          <w:t>https://gender-pay-gap.service.gov.uk</w:t>
        </w:r>
      </w:hyperlink>
      <w:r w:rsidRPr="00B46C27">
        <w:rPr>
          <w:rFonts w:ascii="Arial" w:hAnsi="Arial" w:cs="Arial"/>
          <w:sz w:val="18"/>
          <w:szCs w:val="18"/>
          <w:lang w:val="en"/>
        </w:rPr>
        <w:t xml:space="preserve">  Employers with 250 or more employees who have published their figures comparing men and women’s average pay across the organisation.</w:t>
      </w:r>
    </w:p>
    <w:p w14:paraId="05178672" w14:textId="77777777" w:rsidR="00C81418" w:rsidRDefault="00C81418" w:rsidP="00B07720">
      <w:pPr>
        <w:shd w:val="clear" w:color="auto" w:fill="FFFFFF"/>
        <w:spacing w:before="100" w:beforeAutospacing="1" w:after="180" w:line="276" w:lineRule="auto"/>
        <w:rPr>
          <w:rFonts w:ascii="Arial" w:hAnsi="Arial" w:cs="Arial"/>
          <w:b/>
          <w:szCs w:val="24"/>
        </w:rPr>
      </w:pPr>
    </w:p>
    <w:p w14:paraId="38E5D130" w14:textId="77777777" w:rsidR="00C81418" w:rsidRDefault="00C81418" w:rsidP="00B07720">
      <w:pPr>
        <w:shd w:val="clear" w:color="auto" w:fill="FFFFFF"/>
        <w:spacing w:before="100" w:beforeAutospacing="1" w:after="180" w:line="276" w:lineRule="auto"/>
        <w:rPr>
          <w:rFonts w:ascii="Arial" w:hAnsi="Arial" w:cs="Arial"/>
          <w:b/>
          <w:szCs w:val="24"/>
        </w:rPr>
      </w:pPr>
    </w:p>
    <w:p w14:paraId="333AFC65" w14:textId="77777777" w:rsidR="00C81418" w:rsidRDefault="00C81418" w:rsidP="00B07720">
      <w:pPr>
        <w:shd w:val="clear" w:color="auto" w:fill="FFFFFF"/>
        <w:spacing w:before="100" w:beforeAutospacing="1" w:after="180" w:line="276" w:lineRule="auto"/>
        <w:rPr>
          <w:rFonts w:ascii="Arial" w:hAnsi="Arial" w:cs="Arial"/>
          <w:b/>
          <w:szCs w:val="24"/>
        </w:rPr>
      </w:pPr>
    </w:p>
    <w:p w14:paraId="7D687418" w14:textId="6397022A" w:rsidR="00B07720" w:rsidRPr="003E19DD" w:rsidRDefault="00B07720" w:rsidP="00B07720">
      <w:pPr>
        <w:shd w:val="clear" w:color="auto" w:fill="FFFFFF"/>
        <w:spacing w:before="100" w:beforeAutospacing="1" w:after="180" w:line="276" w:lineRule="auto"/>
        <w:rPr>
          <w:rFonts w:ascii="Arial" w:hAnsi="Arial" w:cs="Arial"/>
          <w:b/>
          <w:szCs w:val="24"/>
        </w:rPr>
      </w:pPr>
      <w:r w:rsidRPr="003E19DD">
        <w:rPr>
          <w:rFonts w:ascii="Arial" w:hAnsi="Arial" w:cs="Arial"/>
          <w:b/>
          <w:szCs w:val="24"/>
        </w:rPr>
        <w:lastRenderedPageBreak/>
        <w:t>Pay Quartiles by Gender</w:t>
      </w:r>
    </w:p>
    <w:tbl>
      <w:tblPr>
        <w:tblW w:w="0" w:type="auto"/>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firstRow="1" w:lastRow="0" w:firstColumn="1" w:lastColumn="0" w:noHBand="0" w:noVBand="1"/>
      </w:tblPr>
      <w:tblGrid>
        <w:gridCol w:w="1267"/>
        <w:gridCol w:w="1028"/>
        <w:gridCol w:w="1321"/>
        <w:gridCol w:w="6114"/>
      </w:tblGrid>
      <w:tr w:rsidR="00B07720" w:rsidRPr="003E19DD" w14:paraId="78C3D530" w14:textId="77777777" w:rsidTr="00C81418">
        <w:trPr>
          <w:trHeight w:val="227"/>
          <w:tblHeader/>
        </w:trPr>
        <w:tc>
          <w:tcPr>
            <w:tcW w:w="0" w:type="auto"/>
            <w:tcBorders>
              <w:right w:val="single" w:sz="6" w:space="0" w:color="ABABAB"/>
            </w:tcBorders>
            <w:tcMar>
              <w:top w:w="180" w:type="dxa"/>
              <w:left w:w="180" w:type="dxa"/>
              <w:bottom w:w="180" w:type="dxa"/>
              <w:right w:w="180" w:type="dxa"/>
            </w:tcMar>
            <w:vAlign w:val="center"/>
            <w:hideMark/>
          </w:tcPr>
          <w:p w14:paraId="2B3AC4CA" w14:textId="77777777" w:rsidR="00B07720" w:rsidRPr="003E19DD" w:rsidRDefault="00B07720" w:rsidP="00C81418">
            <w:pPr>
              <w:rPr>
                <w:rFonts w:ascii="Arial" w:eastAsiaTheme="minorHAnsi" w:hAnsi="Arial" w:cs="Arial"/>
                <w:b/>
                <w:bCs/>
                <w:szCs w:val="24"/>
              </w:rPr>
            </w:pPr>
            <w:r w:rsidRPr="003E19DD">
              <w:rPr>
                <w:rFonts w:ascii="Arial" w:eastAsiaTheme="minorHAnsi" w:hAnsi="Arial" w:cs="Arial"/>
                <w:b/>
                <w:bCs/>
                <w:szCs w:val="24"/>
              </w:rPr>
              <w:t>Quartile</w:t>
            </w:r>
          </w:p>
        </w:tc>
        <w:tc>
          <w:tcPr>
            <w:tcW w:w="0" w:type="auto"/>
            <w:tcBorders>
              <w:right w:val="single" w:sz="6" w:space="0" w:color="ABABAB"/>
            </w:tcBorders>
            <w:tcMar>
              <w:top w:w="180" w:type="dxa"/>
              <w:left w:w="180" w:type="dxa"/>
              <w:bottom w:w="180" w:type="dxa"/>
              <w:right w:w="180" w:type="dxa"/>
            </w:tcMar>
            <w:vAlign w:val="center"/>
            <w:hideMark/>
          </w:tcPr>
          <w:p w14:paraId="089C4DD5" w14:textId="77777777" w:rsidR="00B07720" w:rsidRPr="003E19DD" w:rsidRDefault="00B07720" w:rsidP="00C81418">
            <w:pPr>
              <w:rPr>
                <w:rFonts w:ascii="Arial" w:eastAsiaTheme="minorHAnsi" w:hAnsi="Arial" w:cs="Arial"/>
                <w:b/>
                <w:bCs/>
                <w:szCs w:val="24"/>
              </w:rPr>
            </w:pPr>
            <w:r w:rsidRPr="003E19DD">
              <w:rPr>
                <w:rFonts w:ascii="Arial" w:eastAsiaTheme="minorHAnsi" w:hAnsi="Arial" w:cs="Arial"/>
                <w:b/>
                <w:bCs/>
                <w:szCs w:val="24"/>
              </w:rPr>
              <w:t>Males</w:t>
            </w:r>
          </w:p>
        </w:tc>
        <w:tc>
          <w:tcPr>
            <w:tcW w:w="0" w:type="auto"/>
            <w:tcBorders>
              <w:right w:val="single" w:sz="6" w:space="0" w:color="ABABAB"/>
            </w:tcBorders>
            <w:tcMar>
              <w:top w:w="180" w:type="dxa"/>
              <w:left w:w="180" w:type="dxa"/>
              <w:bottom w:w="180" w:type="dxa"/>
              <w:right w:w="180" w:type="dxa"/>
            </w:tcMar>
            <w:vAlign w:val="center"/>
            <w:hideMark/>
          </w:tcPr>
          <w:p w14:paraId="6F628CB0" w14:textId="77777777" w:rsidR="00B07720" w:rsidRPr="003E19DD" w:rsidRDefault="00B07720" w:rsidP="00C81418">
            <w:pPr>
              <w:rPr>
                <w:rFonts w:ascii="Arial" w:eastAsiaTheme="minorHAnsi" w:hAnsi="Arial" w:cs="Arial"/>
                <w:b/>
                <w:bCs/>
                <w:szCs w:val="24"/>
              </w:rPr>
            </w:pPr>
            <w:r w:rsidRPr="003E19DD">
              <w:rPr>
                <w:rFonts w:ascii="Arial" w:eastAsiaTheme="minorHAnsi" w:hAnsi="Arial" w:cs="Arial"/>
                <w:b/>
                <w:bCs/>
                <w:szCs w:val="24"/>
              </w:rPr>
              <w:t>Females</w:t>
            </w:r>
          </w:p>
        </w:tc>
        <w:tc>
          <w:tcPr>
            <w:tcW w:w="0" w:type="auto"/>
            <w:tcBorders>
              <w:right w:val="single" w:sz="6" w:space="0" w:color="ABABAB"/>
            </w:tcBorders>
            <w:tcMar>
              <w:top w:w="180" w:type="dxa"/>
              <w:left w:w="180" w:type="dxa"/>
              <w:bottom w:w="180" w:type="dxa"/>
              <w:right w:w="180" w:type="dxa"/>
            </w:tcMar>
            <w:vAlign w:val="center"/>
            <w:hideMark/>
          </w:tcPr>
          <w:p w14:paraId="32BC3180" w14:textId="77777777" w:rsidR="00B07720" w:rsidRPr="003E19DD" w:rsidRDefault="00B07720" w:rsidP="00C81418">
            <w:pPr>
              <w:rPr>
                <w:rFonts w:ascii="Arial" w:eastAsiaTheme="minorHAnsi" w:hAnsi="Arial" w:cs="Arial"/>
                <w:b/>
                <w:bCs/>
                <w:szCs w:val="24"/>
              </w:rPr>
            </w:pPr>
            <w:r w:rsidRPr="003E19DD">
              <w:rPr>
                <w:rFonts w:ascii="Arial" w:eastAsiaTheme="minorHAnsi" w:hAnsi="Arial" w:cs="Arial"/>
                <w:b/>
                <w:bCs/>
                <w:szCs w:val="24"/>
              </w:rPr>
              <w:t>Description</w:t>
            </w:r>
          </w:p>
        </w:tc>
      </w:tr>
      <w:tr w:rsidR="00B07720" w:rsidRPr="003E19DD" w14:paraId="02A9D4BD" w14:textId="77777777" w:rsidTr="00C81418">
        <w:trPr>
          <w:trHeight w:val="227"/>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BD67C8A" w14:textId="77777777" w:rsidR="00B07720" w:rsidRPr="003E19DD" w:rsidRDefault="00B07720" w:rsidP="00C81418">
            <w:pPr>
              <w:rPr>
                <w:rFonts w:ascii="Arial" w:eastAsiaTheme="minorHAnsi" w:hAnsi="Arial" w:cs="Arial"/>
                <w:szCs w:val="24"/>
              </w:rPr>
            </w:pPr>
            <w:r w:rsidRPr="003E19DD">
              <w:rPr>
                <w:rFonts w:ascii="Arial" w:eastAsiaTheme="minorHAnsi" w:hAnsi="Arial" w:cs="Arial"/>
                <w:szCs w:val="24"/>
              </w:rPr>
              <w:t>1</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E747567" w14:textId="77777777" w:rsidR="00B07720" w:rsidRPr="003E19DD" w:rsidRDefault="00B07720" w:rsidP="00C81418">
            <w:pPr>
              <w:rPr>
                <w:rFonts w:ascii="Arial" w:eastAsiaTheme="minorHAnsi" w:hAnsi="Arial" w:cs="Arial"/>
                <w:szCs w:val="24"/>
              </w:rPr>
            </w:pPr>
            <w:r>
              <w:rPr>
                <w:rFonts w:ascii="Arial" w:eastAsiaTheme="minorHAnsi" w:hAnsi="Arial" w:cs="Arial"/>
                <w:szCs w:val="24"/>
              </w:rPr>
              <w:t>31</w:t>
            </w:r>
            <w:r w:rsidRPr="003E19DD">
              <w:rPr>
                <w:rFonts w:ascii="Arial" w:eastAsiaTheme="minorHAnsi" w:hAnsi="Arial" w:cs="Arial"/>
                <w:szCs w:val="24"/>
              </w:rPr>
              <w: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C8BDE6" w14:textId="77777777" w:rsidR="00B07720" w:rsidRPr="003E19DD" w:rsidRDefault="00B07720" w:rsidP="00C81418">
            <w:pPr>
              <w:rPr>
                <w:rFonts w:ascii="Arial" w:eastAsiaTheme="minorHAnsi" w:hAnsi="Arial" w:cs="Arial"/>
                <w:szCs w:val="24"/>
              </w:rPr>
            </w:pPr>
            <w:r>
              <w:rPr>
                <w:rFonts w:ascii="Arial" w:eastAsiaTheme="minorHAnsi" w:hAnsi="Arial" w:cs="Arial"/>
                <w:szCs w:val="24"/>
              </w:rPr>
              <w:t>69</w:t>
            </w:r>
            <w:r w:rsidRPr="003E19DD">
              <w:rPr>
                <w:rFonts w:ascii="Arial" w:eastAsiaTheme="minorHAnsi" w:hAnsi="Arial" w:cs="Arial"/>
                <w:szCs w:val="24"/>
              </w:rPr>
              <w: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429CCFC" w14:textId="7C030439" w:rsidR="00B07720" w:rsidRPr="003E19DD" w:rsidRDefault="00B07720" w:rsidP="00C81418">
            <w:pPr>
              <w:jc w:val="both"/>
              <w:rPr>
                <w:rFonts w:ascii="Arial" w:eastAsiaTheme="minorHAnsi" w:hAnsi="Arial" w:cs="Arial"/>
                <w:szCs w:val="24"/>
              </w:rPr>
            </w:pPr>
            <w:r w:rsidRPr="003E19DD">
              <w:rPr>
                <w:rFonts w:ascii="Arial" w:eastAsiaTheme="minorHAnsi" w:hAnsi="Arial" w:cs="Arial"/>
                <w:szCs w:val="24"/>
              </w:rPr>
              <w:t xml:space="preserve">Includes all </w:t>
            </w:r>
            <w:r w:rsidR="00C81418">
              <w:rPr>
                <w:rFonts w:ascii="Arial" w:eastAsiaTheme="minorHAnsi" w:hAnsi="Arial" w:cs="Arial"/>
                <w:szCs w:val="24"/>
              </w:rPr>
              <w:t>HLH</w:t>
            </w:r>
            <w:r w:rsidRPr="003E19DD">
              <w:rPr>
                <w:rFonts w:ascii="Arial" w:eastAsiaTheme="minorHAnsi" w:hAnsi="Arial" w:cs="Arial"/>
                <w:szCs w:val="24"/>
              </w:rPr>
              <w:t xml:space="preserve"> employees whose standard hourly rate places them in the 1</w:t>
            </w:r>
            <w:r w:rsidRPr="003E19DD">
              <w:rPr>
                <w:rFonts w:ascii="Arial" w:eastAsiaTheme="minorHAnsi" w:hAnsi="Arial" w:cs="Arial"/>
                <w:szCs w:val="24"/>
                <w:vertAlign w:val="superscript"/>
              </w:rPr>
              <w:t>st</w:t>
            </w:r>
            <w:r w:rsidRPr="003E19DD">
              <w:rPr>
                <w:rFonts w:ascii="Arial" w:eastAsiaTheme="minorHAnsi" w:hAnsi="Arial" w:cs="Arial"/>
                <w:szCs w:val="24"/>
              </w:rPr>
              <w:t xml:space="preserve"> and lowest pay quartile.</w:t>
            </w:r>
          </w:p>
        </w:tc>
      </w:tr>
      <w:tr w:rsidR="00B07720" w:rsidRPr="003E19DD" w14:paraId="1529AAF2" w14:textId="77777777" w:rsidTr="00C81418">
        <w:trPr>
          <w:trHeight w:val="227"/>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8530D6F" w14:textId="77777777" w:rsidR="00B07720" w:rsidRPr="003E19DD" w:rsidRDefault="00B07720" w:rsidP="00C81418">
            <w:pPr>
              <w:rPr>
                <w:rFonts w:ascii="Arial" w:eastAsiaTheme="minorHAnsi" w:hAnsi="Arial" w:cs="Arial"/>
                <w:szCs w:val="24"/>
              </w:rPr>
            </w:pPr>
            <w:r w:rsidRPr="003E19DD">
              <w:rPr>
                <w:rFonts w:ascii="Arial" w:eastAsiaTheme="minorHAnsi" w:hAnsi="Arial" w:cs="Arial"/>
                <w:szCs w:val="24"/>
              </w:rPr>
              <w:t>2</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5372CB3" w14:textId="77777777" w:rsidR="00B07720" w:rsidRPr="003E19DD" w:rsidRDefault="00B07720" w:rsidP="00C81418">
            <w:pPr>
              <w:rPr>
                <w:rFonts w:ascii="Arial" w:eastAsiaTheme="minorHAnsi" w:hAnsi="Arial" w:cs="Arial"/>
                <w:szCs w:val="24"/>
              </w:rPr>
            </w:pPr>
            <w:r>
              <w:rPr>
                <w:rFonts w:ascii="Arial" w:eastAsiaTheme="minorHAnsi" w:hAnsi="Arial" w:cs="Arial"/>
                <w:szCs w:val="24"/>
              </w:rPr>
              <w:t>30</w:t>
            </w:r>
            <w:r w:rsidRPr="003E19DD">
              <w:rPr>
                <w:rFonts w:ascii="Arial" w:eastAsiaTheme="minorHAnsi" w:hAnsi="Arial" w:cs="Arial"/>
                <w:szCs w:val="24"/>
              </w:rPr>
              <w: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0BAA38C" w14:textId="77777777" w:rsidR="00B07720" w:rsidRPr="003E19DD" w:rsidRDefault="00B07720" w:rsidP="00C81418">
            <w:pPr>
              <w:rPr>
                <w:rFonts w:ascii="Arial" w:eastAsiaTheme="minorHAnsi" w:hAnsi="Arial" w:cs="Arial"/>
                <w:szCs w:val="24"/>
              </w:rPr>
            </w:pPr>
            <w:r>
              <w:rPr>
                <w:rFonts w:ascii="Arial" w:eastAsiaTheme="minorHAnsi" w:hAnsi="Arial" w:cs="Arial"/>
                <w:szCs w:val="24"/>
              </w:rPr>
              <w:t>70</w:t>
            </w:r>
            <w:r w:rsidRPr="003E19DD">
              <w:rPr>
                <w:rFonts w:ascii="Arial" w:eastAsiaTheme="minorHAnsi" w:hAnsi="Arial" w:cs="Arial"/>
                <w:szCs w:val="24"/>
              </w:rPr>
              <w: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3210781" w14:textId="3C4BF42C" w:rsidR="00B07720" w:rsidRPr="003E19DD" w:rsidRDefault="00B07720" w:rsidP="00C81418">
            <w:pPr>
              <w:jc w:val="both"/>
              <w:rPr>
                <w:rFonts w:ascii="Arial" w:eastAsiaTheme="minorHAnsi" w:hAnsi="Arial" w:cs="Arial"/>
                <w:szCs w:val="24"/>
              </w:rPr>
            </w:pPr>
            <w:r w:rsidRPr="003E19DD">
              <w:rPr>
                <w:rFonts w:ascii="Arial" w:eastAsiaTheme="minorHAnsi" w:hAnsi="Arial" w:cs="Arial"/>
                <w:szCs w:val="24"/>
              </w:rPr>
              <w:t xml:space="preserve">Includes all </w:t>
            </w:r>
            <w:r w:rsidR="00C81418">
              <w:rPr>
                <w:rFonts w:ascii="Arial" w:eastAsiaTheme="minorHAnsi" w:hAnsi="Arial" w:cs="Arial"/>
                <w:szCs w:val="24"/>
              </w:rPr>
              <w:t>HLH</w:t>
            </w:r>
            <w:r w:rsidRPr="003E19DD">
              <w:rPr>
                <w:rFonts w:ascii="Arial" w:eastAsiaTheme="minorHAnsi" w:hAnsi="Arial" w:cs="Arial"/>
                <w:szCs w:val="24"/>
              </w:rPr>
              <w:t xml:space="preserve"> employees whose standard hourly rate places them below the median pay in the 2</w:t>
            </w:r>
            <w:r w:rsidRPr="003E19DD">
              <w:rPr>
                <w:rFonts w:ascii="Arial" w:eastAsiaTheme="minorHAnsi" w:hAnsi="Arial" w:cs="Arial"/>
                <w:szCs w:val="24"/>
                <w:vertAlign w:val="superscript"/>
              </w:rPr>
              <w:t>nd</w:t>
            </w:r>
            <w:r w:rsidRPr="003E19DD">
              <w:rPr>
                <w:rFonts w:ascii="Arial" w:eastAsiaTheme="minorHAnsi" w:hAnsi="Arial" w:cs="Arial"/>
                <w:szCs w:val="24"/>
              </w:rPr>
              <w:t xml:space="preserve"> pay quartile. </w:t>
            </w:r>
          </w:p>
        </w:tc>
      </w:tr>
      <w:tr w:rsidR="00B07720" w:rsidRPr="003E19DD" w14:paraId="4F0673F2" w14:textId="77777777" w:rsidTr="00C81418">
        <w:trPr>
          <w:trHeight w:val="227"/>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8FB989" w14:textId="77777777" w:rsidR="00B07720" w:rsidRPr="003E19DD" w:rsidRDefault="00B07720" w:rsidP="00C81418">
            <w:pPr>
              <w:rPr>
                <w:rFonts w:ascii="Arial" w:eastAsiaTheme="minorHAnsi" w:hAnsi="Arial" w:cs="Arial"/>
                <w:szCs w:val="24"/>
              </w:rPr>
            </w:pPr>
            <w:r w:rsidRPr="003E19DD">
              <w:rPr>
                <w:rFonts w:ascii="Arial" w:eastAsiaTheme="minorHAnsi" w:hAnsi="Arial" w:cs="Arial"/>
                <w:szCs w:val="24"/>
              </w:rPr>
              <w:t>3</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6CDC2BD" w14:textId="77777777" w:rsidR="00B07720" w:rsidRPr="003E19DD" w:rsidRDefault="00B07720" w:rsidP="00C81418">
            <w:pPr>
              <w:rPr>
                <w:rFonts w:ascii="Arial" w:eastAsiaTheme="minorHAnsi" w:hAnsi="Arial" w:cs="Arial"/>
                <w:szCs w:val="24"/>
              </w:rPr>
            </w:pPr>
            <w:r>
              <w:rPr>
                <w:rFonts w:ascii="Arial" w:eastAsiaTheme="minorHAnsi" w:hAnsi="Arial" w:cs="Arial"/>
                <w:szCs w:val="24"/>
              </w:rPr>
              <w:t>35</w:t>
            </w:r>
            <w:r w:rsidRPr="003E19DD">
              <w:rPr>
                <w:rFonts w:ascii="Arial" w:eastAsiaTheme="minorHAnsi" w:hAnsi="Arial" w:cs="Arial"/>
                <w:szCs w:val="24"/>
              </w:rPr>
              <w: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EB4C42C" w14:textId="77777777" w:rsidR="00B07720" w:rsidRPr="003E19DD" w:rsidRDefault="00B07720" w:rsidP="00C81418">
            <w:pPr>
              <w:rPr>
                <w:rFonts w:ascii="Arial" w:eastAsiaTheme="minorHAnsi" w:hAnsi="Arial" w:cs="Arial"/>
                <w:szCs w:val="24"/>
              </w:rPr>
            </w:pPr>
            <w:r>
              <w:rPr>
                <w:rFonts w:ascii="Arial" w:eastAsiaTheme="minorHAnsi" w:hAnsi="Arial" w:cs="Arial"/>
                <w:szCs w:val="24"/>
              </w:rPr>
              <w:t>65</w:t>
            </w:r>
            <w:r w:rsidRPr="003E19DD">
              <w:rPr>
                <w:rFonts w:ascii="Arial" w:eastAsiaTheme="minorHAnsi" w:hAnsi="Arial" w:cs="Arial"/>
                <w:szCs w:val="24"/>
              </w:rPr>
              <w: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7D69B0A" w14:textId="2A6C8B36" w:rsidR="00B07720" w:rsidRPr="003E19DD" w:rsidRDefault="00B07720" w:rsidP="00C81418">
            <w:pPr>
              <w:jc w:val="both"/>
              <w:rPr>
                <w:rFonts w:ascii="Arial" w:eastAsiaTheme="minorHAnsi" w:hAnsi="Arial" w:cs="Arial"/>
                <w:szCs w:val="24"/>
              </w:rPr>
            </w:pPr>
            <w:r w:rsidRPr="003E19DD">
              <w:rPr>
                <w:rFonts w:ascii="Arial" w:eastAsiaTheme="minorHAnsi" w:hAnsi="Arial" w:cs="Arial"/>
                <w:szCs w:val="24"/>
              </w:rPr>
              <w:t xml:space="preserve">Includes all </w:t>
            </w:r>
            <w:r w:rsidR="00C81418">
              <w:rPr>
                <w:rFonts w:ascii="Arial" w:eastAsiaTheme="minorHAnsi" w:hAnsi="Arial" w:cs="Arial"/>
                <w:szCs w:val="24"/>
              </w:rPr>
              <w:t>HLH</w:t>
            </w:r>
            <w:r w:rsidRPr="003E19DD">
              <w:rPr>
                <w:rFonts w:ascii="Arial" w:eastAsiaTheme="minorHAnsi" w:hAnsi="Arial" w:cs="Arial"/>
                <w:szCs w:val="24"/>
              </w:rPr>
              <w:t xml:space="preserve"> employees whose standard hourly rate places them above the median pay in the 3</w:t>
            </w:r>
            <w:r w:rsidRPr="003E19DD">
              <w:rPr>
                <w:rFonts w:ascii="Arial" w:eastAsiaTheme="minorHAnsi" w:hAnsi="Arial" w:cs="Arial"/>
                <w:szCs w:val="24"/>
                <w:vertAlign w:val="superscript"/>
              </w:rPr>
              <w:t>rd</w:t>
            </w:r>
            <w:r w:rsidRPr="003E19DD">
              <w:rPr>
                <w:rFonts w:ascii="Arial" w:eastAsiaTheme="minorHAnsi" w:hAnsi="Arial" w:cs="Arial"/>
                <w:szCs w:val="24"/>
              </w:rPr>
              <w:t xml:space="preserve"> pay quartile.</w:t>
            </w:r>
          </w:p>
        </w:tc>
      </w:tr>
      <w:tr w:rsidR="00B07720" w:rsidRPr="003E19DD" w14:paraId="6577939B" w14:textId="77777777" w:rsidTr="00C81418">
        <w:trPr>
          <w:trHeight w:val="227"/>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59AF649" w14:textId="77777777" w:rsidR="00B07720" w:rsidRPr="003E19DD" w:rsidRDefault="00B07720" w:rsidP="00C81418">
            <w:pPr>
              <w:rPr>
                <w:rFonts w:ascii="Arial" w:eastAsiaTheme="minorHAnsi" w:hAnsi="Arial" w:cs="Arial"/>
                <w:szCs w:val="24"/>
              </w:rPr>
            </w:pPr>
            <w:r w:rsidRPr="003E19DD">
              <w:rPr>
                <w:rFonts w:ascii="Arial" w:eastAsiaTheme="minorHAnsi" w:hAnsi="Arial" w:cs="Arial"/>
                <w:szCs w:val="24"/>
              </w:rPr>
              <w:t>4</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4E73385" w14:textId="77777777" w:rsidR="00B07720" w:rsidRPr="003E19DD" w:rsidRDefault="00B07720" w:rsidP="00C81418">
            <w:pPr>
              <w:rPr>
                <w:rFonts w:ascii="Arial" w:eastAsiaTheme="minorHAnsi" w:hAnsi="Arial" w:cs="Arial"/>
                <w:szCs w:val="24"/>
              </w:rPr>
            </w:pPr>
            <w:r>
              <w:rPr>
                <w:rFonts w:ascii="Arial" w:eastAsiaTheme="minorHAnsi" w:hAnsi="Arial" w:cs="Arial"/>
                <w:szCs w:val="24"/>
              </w:rPr>
              <w:t>44</w:t>
            </w:r>
            <w:r w:rsidRPr="003E19DD">
              <w:rPr>
                <w:rFonts w:ascii="Arial" w:eastAsiaTheme="minorHAnsi" w:hAnsi="Arial" w:cs="Arial"/>
                <w:szCs w:val="24"/>
              </w:rPr>
              <w: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B06FD4" w14:textId="77777777" w:rsidR="00B07720" w:rsidRPr="003E19DD" w:rsidRDefault="00B07720" w:rsidP="00C81418">
            <w:pPr>
              <w:rPr>
                <w:rFonts w:ascii="Arial" w:eastAsiaTheme="minorHAnsi" w:hAnsi="Arial" w:cs="Arial"/>
                <w:szCs w:val="24"/>
              </w:rPr>
            </w:pPr>
            <w:r>
              <w:rPr>
                <w:rFonts w:ascii="Arial" w:eastAsiaTheme="minorHAnsi" w:hAnsi="Arial" w:cs="Arial"/>
                <w:szCs w:val="24"/>
              </w:rPr>
              <w:t>56</w:t>
            </w:r>
            <w:r w:rsidRPr="003E19DD">
              <w:rPr>
                <w:rFonts w:ascii="Arial" w:eastAsiaTheme="minorHAnsi" w:hAnsi="Arial" w:cs="Arial"/>
                <w:szCs w:val="24"/>
              </w:rPr>
              <w: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FBECAD1" w14:textId="61C56E24" w:rsidR="00B07720" w:rsidRPr="003E19DD" w:rsidRDefault="00B07720" w:rsidP="00C81418">
            <w:pPr>
              <w:jc w:val="both"/>
              <w:rPr>
                <w:rFonts w:ascii="Arial" w:eastAsiaTheme="minorHAnsi" w:hAnsi="Arial" w:cs="Arial"/>
                <w:szCs w:val="24"/>
              </w:rPr>
            </w:pPr>
            <w:r w:rsidRPr="003E19DD">
              <w:rPr>
                <w:rFonts w:ascii="Arial" w:eastAsiaTheme="minorHAnsi" w:hAnsi="Arial" w:cs="Arial"/>
                <w:szCs w:val="24"/>
              </w:rPr>
              <w:t xml:space="preserve">Includes all </w:t>
            </w:r>
            <w:r w:rsidR="00C81418">
              <w:rPr>
                <w:rFonts w:ascii="Arial" w:eastAsiaTheme="minorHAnsi" w:hAnsi="Arial" w:cs="Arial"/>
                <w:szCs w:val="24"/>
              </w:rPr>
              <w:t>HLH</w:t>
            </w:r>
            <w:r w:rsidRPr="003E19DD">
              <w:rPr>
                <w:rFonts w:ascii="Arial" w:eastAsiaTheme="minorHAnsi" w:hAnsi="Arial" w:cs="Arial"/>
                <w:szCs w:val="24"/>
              </w:rPr>
              <w:t xml:space="preserve"> employees whose standard hourly rate places them in the 4</w:t>
            </w:r>
            <w:r w:rsidRPr="003E19DD">
              <w:rPr>
                <w:rFonts w:ascii="Arial" w:eastAsiaTheme="minorHAnsi" w:hAnsi="Arial" w:cs="Arial"/>
                <w:szCs w:val="24"/>
                <w:vertAlign w:val="superscript"/>
              </w:rPr>
              <w:t>th</w:t>
            </w:r>
            <w:r w:rsidRPr="003E19DD">
              <w:rPr>
                <w:rFonts w:ascii="Arial" w:eastAsiaTheme="minorHAnsi" w:hAnsi="Arial" w:cs="Arial"/>
                <w:szCs w:val="24"/>
              </w:rPr>
              <w:t xml:space="preserve"> and therefore highest pay quartile.</w:t>
            </w:r>
          </w:p>
        </w:tc>
      </w:tr>
    </w:tbl>
    <w:p w14:paraId="266C1B04" w14:textId="77777777" w:rsidR="00B07720" w:rsidRPr="003E19DD" w:rsidRDefault="00B07720" w:rsidP="00C81418">
      <w:pPr>
        <w:numPr>
          <w:ilvl w:val="0"/>
          <w:numId w:val="34"/>
        </w:numPr>
        <w:spacing w:before="192" w:after="192" w:line="276" w:lineRule="auto"/>
        <w:ind w:left="426" w:hanging="426"/>
        <w:jc w:val="both"/>
        <w:rPr>
          <w:rFonts w:ascii="Arial" w:hAnsi="Arial" w:cs="Arial"/>
          <w:szCs w:val="24"/>
          <w:lang w:val="en"/>
        </w:rPr>
      </w:pPr>
      <w:r w:rsidRPr="003E19DD">
        <w:rPr>
          <w:rFonts w:ascii="Arial" w:hAnsi="Arial" w:cs="Arial"/>
          <w:szCs w:val="24"/>
          <w:lang w:val="en"/>
        </w:rPr>
        <w:t>The table above sets out the gender distribution at High Life Highland across four equally sized quartiles, each containing as follows Q1</w:t>
      </w:r>
      <w:r>
        <w:rPr>
          <w:rFonts w:ascii="Arial" w:hAnsi="Arial" w:cs="Arial"/>
          <w:szCs w:val="24"/>
          <w:lang w:val="en"/>
        </w:rPr>
        <w:t>, Q2 and Q3</w:t>
      </w:r>
      <w:r w:rsidRPr="003E19DD">
        <w:rPr>
          <w:rFonts w:ascii="Arial" w:hAnsi="Arial" w:cs="Arial"/>
          <w:szCs w:val="24"/>
          <w:lang w:val="en"/>
        </w:rPr>
        <w:t xml:space="preserve"> 2</w:t>
      </w:r>
      <w:r>
        <w:rPr>
          <w:rFonts w:ascii="Arial" w:hAnsi="Arial" w:cs="Arial"/>
          <w:szCs w:val="24"/>
          <w:lang w:val="en"/>
        </w:rPr>
        <w:t>22</w:t>
      </w:r>
      <w:r w:rsidRPr="003E19DD">
        <w:rPr>
          <w:rFonts w:ascii="Arial" w:hAnsi="Arial" w:cs="Arial"/>
          <w:szCs w:val="24"/>
          <w:lang w:val="en"/>
        </w:rPr>
        <w:t xml:space="preserve"> employees; Q</w:t>
      </w:r>
      <w:r>
        <w:rPr>
          <w:rFonts w:ascii="Arial" w:hAnsi="Arial" w:cs="Arial"/>
          <w:szCs w:val="24"/>
          <w:lang w:val="en"/>
        </w:rPr>
        <w:t>4</w:t>
      </w:r>
      <w:r w:rsidRPr="003E19DD">
        <w:rPr>
          <w:rFonts w:ascii="Arial" w:hAnsi="Arial" w:cs="Arial"/>
          <w:szCs w:val="24"/>
          <w:lang w:val="en"/>
        </w:rPr>
        <w:t xml:space="preserve"> 2</w:t>
      </w:r>
      <w:r>
        <w:rPr>
          <w:rFonts w:ascii="Arial" w:hAnsi="Arial" w:cs="Arial"/>
          <w:szCs w:val="24"/>
          <w:lang w:val="en"/>
        </w:rPr>
        <w:t>21</w:t>
      </w:r>
      <w:r w:rsidRPr="003E19DD">
        <w:rPr>
          <w:rFonts w:ascii="Arial" w:hAnsi="Arial" w:cs="Arial"/>
          <w:szCs w:val="24"/>
          <w:lang w:val="en"/>
        </w:rPr>
        <w:t xml:space="preserve"> employees.</w:t>
      </w:r>
    </w:p>
    <w:p w14:paraId="1C553D46" w14:textId="77777777" w:rsidR="00B07720" w:rsidRPr="000B2E5E" w:rsidRDefault="00B07720" w:rsidP="00C81418">
      <w:pPr>
        <w:numPr>
          <w:ilvl w:val="0"/>
          <w:numId w:val="34"/>
        </w:numPr>
        <w:spacing w:before="192" w:after="192" w:line="276" w:lineRule="auto"/>
        <w:ind w:left="426" w:hanging="426"/>
        <w:jc w:val="both"/>
        <w:rPr>
          <w:rFonts w:ascii="Arial" w:eastAsiaTheme="minorHAnsi" w:hAnsi="Arial" w:cs="Arial"/>
          <w:szCs w:val="24"/>
        </w:rPr>
      </w:pPr>
      <w:r>
        <w:rPr>
          <w:rFonts w:ascii="Arial" w:hAnsi="Arial" w:cs="Arial"/>
          <w:szCs w:val="24"/>
          <w:lang w:val="en"/>
        </w:rPr>
        <w:t xml:space="preserve">High Life Highland has an </w:t>
      </w:r>
      <w:r w:rsidRPr="000B2E5E">
        <w:rPr>
          <w:rFonts w:ascii="Arial" w:hAnsi="Arial" w:cs="Arial"/>
          <w:szCs w:val="24"/>
          <w:lang w:val="en"/>
        </w:rPr>
        <w:t>overall gender split of 3</w:t>
      </w:r>
      <w:r>
        <w:rPr>
          <w:rFonts w:ascii="Arial" w:hAnsi="Arial" w:cs="Arial"/>
          <w:szCs w:val="24"/>
          <w:lang w:val="en"/>
        </w:rPr>
        <w:t>5</w:t>
      </w:r>
      <w:r w:rsidRPr="000B2E5E">
        <w:rPr>
          <w:rFonts w:ascii="Arial" w:hAnsi="Arial" w:cs="Arial"/>
          <w:szCs w:val="24"/>
          <w:lang w:val="en"/>
        </w:rPr>
        <w:t>% male to 6</w:t>
      </w:r>
      <w:r>
        <w:rPr>
          <w:rFonts w:ascii="Arial" w:hAnsi="Arial" w:cs="Arial"/>
          <w:szCs w:val="24"/>
          <w:lang w:val="en"/>
        </w:rPr>
        <w:t>5</w:t>
      </w:r>
      <w:r w:rsidRPr="000B2E5E">
        <w:rPr>
          <w:rFonts w:ascii="Arial" w:hAnsi="Arial" w:cs="Arial"/>
          <w:szCs w:val="24"/>
          <w:lang w:val="en"/>
        </w:rPr>
        <w:t>% female</w:t>
      </w:r>
      <w:r>
        <w:rPr>
          <w:rFonts w:ascii="Arial" w:hAnsi="Arial" w:cs="Arial"/>
          <w:szCs w:val="24"/>
          <w:lang w:val="en"/>
        </w:rPr>
        <w:t>.</w:t>
      </w:r>
      <w:r w:rsidRPr="000B2E5E">
        <w:rPr>
          <w:rFonts w:ascii="Arial" w:hAnsi="Arial" w:cs="Arial"/>
          <w:szCs w:val="24"/>
          <w:lang w:val="en"/>
        </w:rPr>
        <w:t xml:space="preserve"> Quartile</w:t>
      </w:r>
      <w:r>
        <w:rPr>
          <w:rFonts w:ascii="Arial" w:hAnsi="Arial" w:cs="Arial"/>
          <w:szCs w:val="24"/>
          <w:lang w:val="en"/>
        </w:rPr>
        <w:t>s 1 &amp;</w:t>
      </w:r>
      <w:r w:rsidRPr="000B2E5E">
        <w:rPr>
          <w:rFonts w:ascii="Arial" w:hAnsi="Arial" w:cs="Arial"/>
          <w:szCs w:val="24"/>
          <w:lang w:val="en"/>
        </w:rPr>
        <w:t xml:space="preserve"> </w:t>
      </w:r>
      <w:r>
        <w:rPr>
          <w:rFonts w:ascii="Arial" w:hAnsi="Arial" w:cs="Arial"/>
          <w:szCs w:val="24"/>
          <w:lang w:val="en"/>
        </w:rPr>
        <w:t>2</w:t>
      </w:r>
      <w:r w:rsidRPr="000B2E5E">
        <w:rPr>
          <w:rFonts w:ascii="Arial" w:hAnsi="Arial" w:cs="Arial"/>
          <w:szCs w:val="24"/>
          <w:lang w:val="en"/>
        </w:rPr>
        <w:t xml:space="preserve"> shows the greatest disparity in gender distribution</w:t>
      </w:r>
      <w:r>
        <w:rPr>
          <w:rFonts w:ascii="Arial" w:hAnsi="Arial" w:cs="Arial"/>
          <w:szCs w:val="24"/>
          <w:lang w:val="en"/>
        </w:rPr>
        <w:t xml:space="preserve"> with a higher percentage of females employed in the lowest pay quartiles. </w:t>
      </w:r>
      <w:r w:rsidRPr="000B2E5E">
        <w:rPr>
          <w:rFonts w:ascii="Arial" w:hAnsi="Arial" w:cs="Arial"/>
          <w:szCs w:val="24"/>
          <w:lang w:val="en"/>
        </w:rPr>
        <w:t xml:space="preserve"> </w:t>
      </w:r>
    </w:p>
    <w:p w14:paraId="0D1C7196" w14:textId="77777777" w:rsidR="00B07720" w:rsidRPr="003E19DD" w:rsidRDefault="00B07720" w:rsidP="00C81418">
      <w:pPr>
        <w:jc w:val="both"/>
        <w:rPr>
          <w:rFonts w:ascii="Arial" w:eastAsiaTheme="minorHAnsi" w:hAnsi="Arial" w:cs="Arial"/>
          <w:szCs w:val="24"/>
        </w:rPr>
      </w:pPr>
      <w:r w:rsidRPr="003E19DD">
        <w:rPr>
          <w:rFonts w:ascii="Arial" w:eastAsiaTheme="minorHAnsi" w:hAnsi="Arial" w:cs="Arial"/>
          <w:szCs w:val="24"/>
        </w:rPr>
        <w:t xml:space="preserve">High Life Highland is committed to the promotion of equality of opportunity in its employment practices.  It </w:t>
      </w:r>
      <w:r w:rsidRPr="003E19DD">
        <w:rPr>
          <w:rFonts w:ascii="Arial" w:eastAsiaTheme="minorHAnsi" w:hAnsi="Arial" w:cs="Arial"/>
          <w:color w:val="000000"/>
          <w:szCs w:val="24"/>
        </w:rPr>
        <w:t>is committed to offering roles on flexible working patterns, with a range of options such as part-time working, alternative working hours, home working and shared parental leave.</w:t>
      </w:r>
    </w:p>
    <w:p w14:paraId="173E4217" w14:textId="77777777" w:rsidR="00B07720" w:rsidRPr="003E19DD" w:rsidRDefault="00B07720" w:rsidP="00C81418">
      <w:pPr>
        <w:jc w:val="both"/>
        <w:rPr>
          <w:rFonts w:ascii="Arial" w:eastAsiaTheme="minorHAnsi" w:hAnsi="Arial" w:cs="Arial"/>
          <w:szCs w:val="24"/>
        </w:rPr>
      </w:pPr>
    </w:p>
    <w:p w14:paraId="4A7A217B" w14:textId="77777777" w:rsidR="00B07720" w:rsidRPr="003E19DD" w:rsidRDefault="00B07720" w:rsidP="00C81418">
      <w:pPr>
        <w:jc w:val="both"/>
        <w:rPr>
          <w:rFonts w:ascii="Arial" w:eastAsiaTheme="minorHAnsi" w:hAnsi="Arial" w:cs="Arial"/>
          <w:szCs w:val="24"/>
        </w:rPr>
      </w:pPr>
      <w:r w:rsidRPr="003E19DD">
        <w:rPr>
          <w:rFonts w:ascii="Arial" w:eastAsiaTheme="minorHAnsi" w:hAnsi="Arial" w:cs="Arial"/>
          <w:szCs w:val="24"/>
        </w:rPr>
        <w:t xml:space="preserve">The Charity’s Equal Opportunities policy states that it intends that no job applicant or employee shall receive less favourable treatment because of sex, marital or family status, age, ethnic origin, disability, race, colour, nationality, religion, belief, sexual orientation, gender reassignment or any other non job related factor.  </w:t>
      </w:r>
    </w:p>
    <w:p w14:paraId="4A633D35" w14:textId="77777777" w:rsidR="00B07720" w:rsidRPr="003E19DD" w:rsidRDefault="00B07720" w:rsidP="00C81418">
      <w:pPr>
        <w:jc w:val="both"/>
        <w:rPr>
          <w:rFonts w:ascii="Arial" w:eastAsiaTheme="minorHAnsi" w:hAnsi="Arial" w:cs="Arial"/>
          <w:szCs w:val="24"/>
        </w:rPr>
      </w:pPr>
    </w:p>
    <w:p w14:paraId="5C2FE5B5" w14:textId="77777777" w:rsidR="00B07720" w:rsidRPr="003E19DD" w:rsidRDefault="00B07720" w:rsidP="00C81418">
      <w:pPr>
        <w:jc w:val="both"/>
        <w:rPr>
          <w:rFonts w:ascii="Arial" w:eastAsiaTheme="minorHAnsi" w:hAnsi="Arial" w:cs="Arial"/>
          <w:szCs w:val="24"/>
          <w:lang w:val="en"/>
        </w:rPr>
      </w:pPr>
      <w:r w:rsidRPr="003E19DD">
        <w:rPr>
          <w:rFonts w:ascii="Arial" w:eastAsiaTheme="minorHAnsi" w:hAnsi="Arial" w:cs="Arial"/>
          <w:szCs w:val="24"/>
        </w:rPr>
        <w:t xml:space="preserve">High Life Highland is also confident that males and females are paid the same rate </w:t>
      </w:r>
      <w:r w:rsidRPr="003E19DD">
        <w:rPr>
          <w:rFonts w:ascii="Arial" w:eastAsiaTheme="minorHAnsi" w:hAnsi="Arial" w:cs="Arial"/>
          <w:szCs w:val="24"/>
          <w:lang w:val="en"/>
        </w:rPr>
        <w:t xml:space="preserve">for the job regardless of gender (or any other difference).  Employees are remunerated according to set pay scales and terms and conditions which are negotiated nationally, through The Highland Council, by the Scottish Joint Council for Local Government Employees. </w:t>
      </w:r>
    </w:p>
    <w:p w14:paraId="348C2739" w14:textId="77777777" w:rsidR="00B07720" w:rsidRPr="003E19DD" w:rsidRDefault="00B07720" w:rsidP="00C81418">
      <w:pPr>
        <w:shd w:val="clear" w:color="auto" w:fill="FFFFFF"/>
        <w:spacing w:before="100" w:beforeAutospacing="1" w:after="180"/>
        <w:jc w:val="both"/>
        <w:rPr>
          <w:rFonts w:ascii="Arial" w:hAnsi="Arial" w:cs="Arial"/>
          <w:szCs w:val="24"/>
        </w:rPr>
      </w:pPr>
      <w:r w:rsidRPr="003E19DD">
        <w:rPr>
          <w:rFonts w:ascii="Arial" w:hAnsi="Arial" w:cs="Arial"/>
          <w:szCs w:val="24"/>
        </w:rPr>
        <w:t>High Life Highland</w:t>
      </w:r>
      <w:r>
        <w:rPr>
          <w:rFonts w:ascii="Arial" w:hAnsi="Arial" w:cs="Arial"/>
          <w:szCs w:val="24"/>
        </w:rPr>
        <w:t xml:space="preserve"> remains</w:t>
      </w:r>
      <w:r w:rsidRPr="003E19DD">
        <w:rPr>
          <w:rFonts w:ascii="Arial" w:hAnsi="Arial" w:cs="Arial"/>
          <w:szCs w:val="24"/>
        </w:rPr>
        <w:t xml:space="preserve"> committed to monitoring and reducing the gap wherever possible, whilst also recognising that it has no direct control over the gender of applicants for particular job types or an individual’s career choices. </w:t>
      </w:r>
    </w:p>
    <w:p w14:paraId="7FC980B5" w14:textId="77777777" w:rsidR="00B07720" w:rsidRPr="003E19DD" w:rsidRDefault="00B07720" w:rsidP="00C81418">
      <w:pPr>
        <w:shd w:val="clear" w:color="auto" w:fill="FFFFFF"/>
        <w:spacing w:before="100" w:beforeAutospacing="1" w:after="180"/>
        <w:rPr>
          <w:rFonts w:ascii="Arial" w:hAnsi="Arial" w:cs="Arial"/>
          <w:szCs w:val="24"/>
        </w:rPr>
      </w:pPr>
      <w:r w:rsidRPr="003E19DD">
        <w:rPr>
          <w:rFonts w:ascii="Arial" w:hAnsi="Arial" w:cs="Arial"/>
          <w:szCs w:val="24"/>
        </w:rPr>
        <w:t>I confirm the data reported is accurate.</w:t>
      </w:r>
    </w:p>
    <w:p w14:paraId="050EB773" w14:textId="77777777" w:rsidR="00B07720" w:rsidRPr="003E19DD" w:rsidRDefault="00B07720" w:rsidP="00C81418">
      <w:pPr>
        <w:shd w:val="clear" w:color="auto" w:fill="FFFFFF"/>
        <w:rPr>
          <w:rFonts w:ascii="Arial" w:hAnsi="Arial" w:cs="Arial"/>
          <w:szCs w:val="24"/>
        </w:rPr>
      </w:pPr>
      <w:r>
        <w:rPr>
          <w:rFonts w:ascii="Arial" w:hAnsi="Arial" w:cs="Arial"/>
          <w:szCs w:val="24"/>
        </w:rPr>
        <w:t>Steve Walsh</w:t>
      </w:r>
    </w:p>
    <w:p w14:paraId="6D7B592A" w14:textId="5693196A" w:rsidR="00B55C17" w:rsidRPr="00C81418" w:rsidRDefault="00B07720" w:rsidP="00C81418">
      <w:pPr>
        <w:shd w:val="clear" w:color="auto" w:fill="FFFFFF"/>
        <w:rPr>
          <w:rFonts w:ascii="Arial" w:hAnsi="Arial" w:cs="Arial"/>
          <w:szCs w:val="24"/>
        </w:rPr>
      </w:pPr>
      <w:r w:rsidRPr="003E19DD">
        <w:rPr>
          <w:rFonts w:ascii="Arial" w:hAnsi="Arial" w:cs="Arial"/>
          <w:szCs w:val="24"/>
        </w:rPr>
        <w:t>Chief Executive</w:t>
      </w:r>
      <w:bookmarkEnd w:id="3"/>
      <w:bookmarkEnd w:id="4"/>
    </w:p>
    <w:sectPr w:rsidR="00B55C17" w:rsidRPr="00C81418" w:rsidSect="00A703A5">
      <w:headerReference w:type="default" r:id="rId11"/>
      <w:pgSz w:w="11906" w:h="16838"/>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C5B0" w14:textId="77777777" w:rsidR="00890E32" w:rsidRDefault="00890E32" w:rsidP="00890E32">
      <w:r>
        <w:separator/>
      </w:r>
    </w:p>
  </w:endnote>
  <w:endnote w:type="continuationSeparator" w:id="0">
    <w:p w14:paraId="0295DDC9" w14:textId="77777777" w:rsidR="00890E32" w:rsidRDefault="00890E32" w:rsidP="0089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1CFC" w14:textId="77777777" w:rsidR="00890E32" w:rsidRDefault="00890E32" w:rsidP="00890E32">
      <w:r>
        <w:separator/>
      </w:r>
    </w:p>
  </w:footnote>
  <w:footnote w:type="continuationSeparator" w:id="0">
    <w:p w14:paraId="600FEBEF" w14:textId="77777777" w:rsidR="00890E32" w:rsidRDefault="00890E32" w:rsidP="00890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7635" w14:textId="3D5BF3CC" w:rsidR="00890E32" w:rsidRDefault="00890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7E2A61C"/>
    <w:lvl w:ilvl="0">
      <w:start w:val="1"/>
      <w:numFmt w:val="decimal"/>
      <w:pStyle w:val="ListNumber"/>
      <w:lvlText w:val="%1."/>
      <w:lvlJc w:val="left"/>
      <w:pPr>
        <w:tabs>
          <w:tab w:val="num" w:pos="360"/>
        </w:tabs>
        <w:ind w:left="360" w:hanging="360"/>
      </w:pPr>
    </w:lvl>
  </w:abstractNum>
  <w:abstractNum w:abstractNumId="1" w15:restartNumberingAfterBreak="0">
    <w:nsid w:val="007E0869"/>
    <w:multiLevelType w:val="hybridMultilevel"/>
    <w:tmpl w:val="9498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D69C9"/>
    <w:multiLevelType w:val="hybridMultilevel"/>
    <w:tmpl w:val="1B66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640BA"/>
    <w:multiLevelType w:val="hybridMultilevel"/>
    <w:tmpl w:val="988230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2833C0"/>
    <w:multiLevelType w:val="hybridMultilevel"/>
    <w:tmpl w:val="F9A60810"/>
    <w:lvl w:ilvl="0" w:tplc="A4E8D1C2">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2E4866"/>
    <w:multiLevelType w:val="hybridMultilevel"/>
    <w:tmpl w:val="8478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E0B93"/>
    <w:multiLevelType w:val="hybridMultilevel"/>
    <w:tmpl w:val="53567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794A7D"/>
    <w:multiLevelType w:val="hybridMultilevel"/>
    <w:tmpl w:val="97867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4B09B0"/>
    <w:multiLevelType w:val="hybridMultilevel"/>
    <w:tmpl w:val="6D18B296"/>
    <w:lvl w:ilvl="0" w:tplc="B33CB9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CE6FAA"/>
    <w:multiLevelType w:val="hybridMultilevel"/>
    <w:tmpl w:val="988230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BB673D"/>
    <w:multiLevelType w:val="multilevel"/>
    <w:tmpl w:val="ACA83BA2"/>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Calibri" w:eastAsia="Times New Roman" w:hAnsi="Calibri" w:cs="Calibri"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EA245A0"/>
    <w:multiLevelType w:val="hybridMultilevel"/>
    <w:tmpl w:val="4A8437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8052FC"/>
    <w:multiLevelType w:val="hybridMultilevel"/>
    <w:tmpl w:val="28E09038"/>
    <w:lvl w:ilvl="0" w:tplc="15E2FD1E">
      <w:start w:val="1"/>
      <w:numFmt w:val="bullet"/>
      <w:lvlText w:val=""/>
      <w:lvlJc w:val="left"/>
      <w:pPr>
        <w:ind w:left="1080" w:hanging="360"/>
      </w:pPr>
      <w:rPr>
        <w:rFonts w:ascii="Symbol" w:hAnsi="Symbol" w:hint="default"/>
        <w:sz w:val="22"/>
        <w:szCs w:val="22"/>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3C7605"/>
    <w:multiLevelType w:val="hybridMultilevel"/>
    <w:tmpl w:val="BE8215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F184E"/>
    <w:multiLevelType w:val="hybridMultilevel"/>
    <w:tmpl w:val="49A6C1FE"/>
    <w:lvl w:ilvl="0" w:tplc="0809000F">
      <w:start w:val="1"/>
      <w:numFmt w:val="decimal"/>
      <w:lvlText w:val="%1."/>
      <w:lvlJc w:val="left"/>
      <w:pPr>
        <w:ind w:left="1473" w:hanging="360"/>
      </w:p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15" w15:restartNumberingAfterBreak="0">
    <w:nsid w:val="37A201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646CDB"/>
    <w:multiLevelType w:val="hybridMultilevel"/>
    <w:tmpl w:val="6C6A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62912"/>
    <w:multiLevelType w:val="hybridMultilevel"/>
    <w:tmpl w:val="B140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84A06"/>
    <w:multiLevelType w:val="hybridMultilevel"/>
    <w:tmpl w:val="0C78C0B0"/>
    <w:lvl w:ilvl="0" w:tplc="665AE6F4">
      <w:numFmt w:val="bullet"/>
      <w:lvlText w:val="-"/>
      <w:lvlJc w:val="left"/>
      <w:pPr>
        <w:ind w:left="1178" w:hanging="360"/>
      </w:pPr>
      <w:rPr>
        <w:rFonts w:ascii="Arial" w:eastAsiaTheme="minorHAnsi" w:hAnsi="Arial" w:cs="Arial"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9" w15:restartNumberingAfterBreak="0">
    <w:nsid w:val="3D1D51F0"/>
    <w:multiLevelType w:val="hybridMultilevel"/>
    <w:tmpl w:val="494C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697C78"/>
    <w:multiLevelType w:val="hybridMultilevel"/>
    <w:tmpl w:val="8DC0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85335"/>
    <w:multiLevelType w:val="hybridMultilevel"/>
    <w:tmpl w:val="99AE0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E1226C"/>
    <w:multiLevelType w:val="hybridMultilevel"/>
    <w:tmpl w:val="92843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4F63C8"/>
    <w:multiLevelType w:val="hybridMultilevel"/>
    <w:tmpl w:val="B522570E"/>
    <w:lvl w:ilvl="0" w:tplc="665AE6F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5B25C4"/>
    <w:multiLevelType w:val="hybridMultilevel"/>
    <w:tmpl w:val="23A25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03AF5"/>
    <w:multiLevelType w:val="hybridMultilevel"/>
    <w:tmpl w:val="AD10C826"/>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816E14"/>
    <w:multiLevelType w:val="hybridMultilevel"/>
    <w:tmpl w:val="8D1C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FF7C55"/>
    <w:multiLevelType w:val="hybridMultilevel"/>
    <w:tmpl w:val="2F40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151D61"/>
    <w:multiLevelType w:val="hybridMultilevel"/>
    <w:tmpl w:val="794CE08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9" w15:restartNumberingAfterBreak="0">
    <w:nsid w:val="5C4455FF"/>
    <w:multiLevelType w:val="hybridMultilevel"/>
    <w:tmpl w:val="67E08EA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ED739A6"/>
    <w:multiLevelType w:val="hybridMultilevel"/>
    <w:tmpl w:val="4A8437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3F22AF"/>
    <w:multiLevelType w:val="hybridMultilevel"/>
    <w:tmpl w:val="409C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C26840"/>
    <w:multiLevelType w:val="hybridMultilevel"/>
    <w:tmpl w:val="E85A4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2FA54E2"/>
    <w:multiLevelType w:val="multilevel"/>
    <w:tmpl w:val="26A617EC"/>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4" w15:restartNumberingAfterBreak="0">
    <w:nsid w:val="65ED04D8"/>
    <w:multiLevelType w:val="multilevel"/>
    <w:tmpl w:val="96CC91C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718A1C0A"/>
    <w:multiLevelType w:val="hybridMultilevel"/>
    <w:tmpl w:val="988230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570822"/>
    <w:multiLevelType w:val="hybridMultilevel"/>
    <w:tmpl w:val="4058B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8" w15:restartNumberingAfterBreak="0">
    <w:nsid w:val="783F5CDF"/>
    <w:multiLevelType w:val="hybridMultilevel"/>
    <w:tmpl w:val="67E08EA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87275B1"/>
    <w:multiLevelType w:val="hybridMultilevel"/>
    <w:tmpl w:val="B506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9A4731"/>
    <w:multiLevelType w:val="hybridMultilevel"/>
    <w:tmpl w:val="07023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FA64E38"/>
    <w:multiLevelType w:val="multilevel"/>
    <w:tmpl w:val="ED04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7"/>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3"/>
  </w:num>
  <w:num w:numId="6">
    <w:abstractNumId w:val="26"/>
  </w:num>
  <w:num w:numId="7">
    <w:abstractNumId w:val="21"/>
  </w:num>
  <w:num w:numId="8">
    <w:abstractNumId w:val="1"/>
  </w:num>
  <w:num w:numId="9">
    <w:abstractNumId w:val="30"/>
  </w:num>
  <w:num w:numId="10">
    <w:abstractNumId w:val="3"/>
  </w:num>
  <w:num w:numId="11">
    <w:abstractNumId w:val="35"/>
  </w:num>
  <w:num w:numId="12">
    <w:abstractNumId w:val="36"/>
  </w:num>
  <w:num w:numId="13">
    <w:abstractNumId w:val="5"/>
  </w:num>
  <w:num w:numId="14">
    <w:abstractNumId w:val="7"/>
  </w:num>
  <w:num w:numId="15">
    <w:abstractNumId w:val="28"/>
  </w:num>
  <w:num w:numId="16">
    <w:abstractNumId w:val="14"/>
  </w:num>
  <w:num w:numId="17">
    <w:abstractNumId w:val="6"/>
  </w:num>
  <w:num w:numId="18">
    <w:abstractNumId w:val="41"/>
  </w:num>
  <w:num w:numId="19">
    <w:abstractNumId w:val="9"/>
  </w:num>
  <w:num w:numId="20">
    <w:abstractNumId w:val="11"/>
  </w:num>
  <w:num w:numId="21">
    <w:abstractNumId w:val="16"/>
  </w:num>
  <w:num w:numId="22">
    <w:abstractNumId w:val="22"/>
  </w:num>
  <w:num w:numId="23">
    <w:abstractNumId w:val="24"/>
  </w:num>
  <w:num w:numId="24">
    <w:abstractNumId w:val="18"/>
  </w:num>
  <w:num w:numId="25">
    <w:abstractNumId w:val="32"/>
  </w:num>
  <w:num w:numId="26">
    <w:abstractNumId w:val="8"/>
  </w:num>
  <w:num w:numId="27">
    <w:abstractNumId w:val="20"/>
  </w:num>
  <w:num w:numId="28">
    <w:abstractNumId w:val="31"/>
  </w:num>
  <w:num w:numId="29">
    <w:abstractNumId w:val="27"/>
  </w:num>
  <w:num w:numId="30">
    <w:abstractNumId w:val="17"/>
  </w:num>
  <w:num w:numId="31">
    <w:abstractNumId w:val="4"/>
  </w:num>
  <w:num w:numId="32">
    <w:abstractNumId w:val="2"/>
  </w:num>
  <w:num w:numId="33">
    <w:abstractNumId w:val="38"/>
  </w:num>
  <w:num w:numId="34">
    <w:abstractNumId w:val="39"/>
  </w:num>
  <w:num w:numId="35">
    <w:abstractNumId w:val="12"/>
  </w:num>
  <w:num w:numId="36">
    <w:abstractNumId w:val="25"/>
  </w:num>
  <w:num w:numId="37">
    <w:abstractNumId w:val="0"/>
    <w:lvlOverride w:ilvl="0">
      <w:startOverride w:val="1"/>
    </w:lvlOverride>
  </w:num>
  <w:num w:numId="38">
    <w:abstractNumId w:val="40"/>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EB"/>
    <w:rsid w:val="00005ECF"/>
    <w:rsid w:val="00006750"/>
    <w:rsid w:val="000171D0"/>
    <w:rsid w:val="00022FC7"/>
    <w:rsid w:val="00025285"/>
    <w:rsid w:val="0003752C"/>
    <w:rsid w:val="00044C06"/>
    <w:rsid w:val="000465E7"/>
    <w:rsid w:val="000565A6"/>
    <w:rsid w:val="0008384A"/>
    <w:rsid w:val="000845E9"/>
    <w:rsid w:val="000938E4"/>
    <w:rsid w:val="00096B74"/>
    <w:rsid w:val="000B1166"/>
    <w:rsid w:val="000B339E"/>
    <w:rsid w:val="000B3CD9"/>
    <w:rsid w:val="000C5004"/>
    <w:rsid w:val="000D39C2"/>
    <w:rsid w:val="000D5DE0"/>
    <w:rsid w:val="000D721D"/>
    <w:rsid w:val="000E18CA"/>
    <w:rsid w:val="000E6B5F"/>
    <w:rsid w:val="000E7F04"/>
    <w:rsid w:val="000F0479"/>
    <w:rsid w:val="000F140A"/>
    <w:rsid w:val="000F4756"/>
    <w:rsid w:val="001007D1"/>
    <w:rsid w:val="001018A7"/>
    <w:rsid w:val="001115E3"/>
    <w:rsid w:val="00112AA5"/>
    <w:rsid w:val="00117E64"/>
    <w:rsid w:val="001269D2"/>
    <w:rsid w:val="00127194"/>
    <w:rsid w:val="00130A7A"/>
    <w:rsid w:val="001328A9"/>
    <w:rsid w:val="00132BFC"/>
    <w:rsid w:val="00134DE0"/>
    <w:rsid w:val="0014665F"/>
    <w:rsid w:val="00153138"/>
    <w:rsid w:val="0015693A"/>
    <w:rsid w:val="00173FFB"/>
    <w:rsid w:val="00175615"/>
    <w:rsid w:val="00181B1C"/>
    <w:rsid w:val="001868D7"/>
    <w:rsid w:val="00191642"/>
    <w:rsid w:val="00193FE5"/>
    <w:rsid w:val="001A2559"/>
    <w:rsid w:val="001A7E3C"/>
    <w:rsid w:val="001B2C23"/>
    <w:rsid w:val="001D488A"/>
    <w:rsid w:val="001F42CF"/>
    <w:rsid w:val="00205711"/>
    <w:rsid w:val="002144D9"/>
    <w:rsid w:val="002456AA"/>
    <w:rsid w:val="00254613"/>
    <w:rsid w:val="002579EB"/>
    <w:rsid w:val="00264D4B"/>
    <w:rsid w:val="00272C6F"/>
    <w:rsid w:val="002762E1"/>
    <w:rsid w:val="00283441"/>
    <w:rsid w:val="00285EEC"/>
    <w:rsid w:val="002A7712"/>
    <w:rsid w:val="002A7849"/>
    <w:rsid w:val="002B6DFC"/>
    <w:rsid w:val="002C653A"/>
    <w:rsid w:val="002D1047"/>
    <w:rsid w:val="002D27D0"/>
    <w:rsid w:val="002D3A47"/>
    <w:rsid w:val="002E7BD0"/>
    <w:rsid w:val="002F06C9"/>
    <w:rsid w:val="002F3C93"/>
    <w:rsid w:val="002F4AFC"/>
    <w:rsid w:val="002F5657"/>
    <w:rsid w:val="002F7E38"/>
    <w:rsid w:val="003037E5"/>
    <w:rsid w:val="00322420"/>
    <w:rsid w:val="003307AB"/>
    <w:rsid w:val="00334457"/>
    <w:rsid w:val="00336862"/>
    <w:rsid w:val="00347C19"/>
    <w:rsid w:val="003525C5"/>
    <w:rsid w:val="003702A9"/>
    <w:rsid w:val="00372468"/>
    <w:rsid w:val="003729B7"/>
    <w:rsid w:val="00373F17"/>
    <w:rsid w:val="00375106"/>
    <w:rsid w:val="00377E9E"/>
    <w:rsid w:val="00380DFE"/>
    <w:rsid w:val="0038233B"/>
    <w:rsid w:val="00394EBE"/>
    <w:rsid w:val="003A1E31"/>
    <w:rsid w:val="003A43C1"/>
    <w:rsid w:val="003A5B8B"/>
    <w:rsid w:val="003B3442"/>
    <w:rsid w:val="003B5E6A"/>
    <w:rsid w:val="003B693D"/>
    <w:rsid w:val="003C26E9"/>
    <w:rsid w:val="003C7969"/>
    <w:rsid w:val="003F4B89"/>
    <w:rsid w:val="003F7779"/>
    <w:rsid w:val="00405ABA"/>
    <w:rsid w:val="00410832"/>
    <w:rsid w:val="00411514"/>
    <w:rsid w:val="0042659A"/>
    <w:rsid w:val="00427E12"/>
    <w:rsid w:val="00442568"/>
    <w:rsid w:val="00442F00"/>
    <w:rsid w:val="004445E0"/>
    <w:rsid w:val="004477D8"/>
    <w:rsid w:val="004535E3"/>
    <w:rsid w:val="00453E3F"/>
    <w:rsid w:val="00457D63"/>
    <w:rsid w:val="0046660F"/>
    <w:rsid w:val="004757B4"/>
    <w:rsid w:val="00476E83"/>
    <w:rsid w:val="004871C4"/>
    <w:rsid w:val="00491C76"/>
    <w:rsid w:val="004949A0"/>
    <w:rsid w:val="004A1367"/>
    <w:rsid w:val="004A651A"/>
    <w:rsid w:val="004B0DA4"/>
    <w:rsid w:val="004B55E6"/>
    <w:rsid w:val="004B7F43"/>
    <w:rsid w:val="004C0156"/>
    <w:rsid w:val="004C428E"/>
    <w:rsid w:val="004C4DCB"/>
    <w:rsid w:val="004D05D2"/>
    <w:rsid w:val="004E1B47"/>
    <w:rsid w:val="004E4360"/>
    <w:rsid w:val="004F73A1"/>
    <w:rsid w:val="00501A21"/>
    <w:rsid w:val="0050262C"/>
    <w:rsid w:val="00505074"/>
    <w:rsid w:val="00510055"/>
    <w:rsid w:val="00510BD4"/>
    <w:rsid w:val="00511CF7"/>
    <w:rsid w:val="00512279"/>
    <w:rsid w:val="00513F2A"/>
    <w:rsid w:val="00516AFE"/>
    <w:rsid w:val="00535529"/>
    <w:rsid w:val="005430ED"/>
    <w:rsid w:val="00544CB5"/>
    <w:rsid w:val="00547C9E"/>
    <w:rsid w:val="00550B6F"/>
    <w:rsid w:val="00555F9F"/>
    <w:rsid w:val="005570E5"/>
    <w:rsid w:val="00557B38"/>
    <w:rsid w:val="00560ED8"/>
    <w:rsid w:val="0056302B"/>
    <w:rsid w:val="0056354F"/>
    <w:rsid w:val="00564C21"/>
    <w:rsid w:val="005702C2"/>
    <w:rsid w:val="00575599"/>
    <w:rsid w:val="00590975"/>
    <w:rsid w:val="00591FB0"/>
    <w:rsid w:val="0059575D"/>
    <w:rsid w:val="005A0125"/>
    <w:rsid w:val="005A5188"/>
    <w:rsid w:val="005A6313"/>
    <w:rsid w:val="005C1B4A"/>
    <w:rsid w:val="005C7961"/>
    <w:rsid w:val="005D341E"/>
    <w:rsid w:val="005D635E"/>
    <w:rsid w:val="005E34CA"/>
    <w:rsid w:val="005F468A"/>
    <w:rsid w:val="00602197"/>
    <w:rsid w:val="006066A0"/>
    <w:rsid w:val="006151A2"/>
    <w:rsid w:val="00616ACA"/>
    <w:rsid w:val="00623F45"/>
    <w:rsid w:val="00633802"/>
    <w:rsid w:val="00642419"/>
    <w:rsid w:val="00644777"/>
    <w:rsid w:val="00650EE5"/>
    <w:rsid w:val="006549BB"/>
    <w:rsid w:val="006566FB"/>
    <w:rsid w:val="00656E3B"/>
    <w:rsid w:val="00667289"/>
    <w:rsid w:val="00671739"/>
    <w:rsid w:val="00672158"/>
    <w:rsid w:val="00683A34"/>
    <w:rsid w:val="00687B2E"/>
    <w:rsid w:val="0069472D"/>
    <w:rsid w:val="00694D00"/>
    <w:rsid w:val="006A13E0"/>
    <w:rsid w:val="006B118A"/>
    <w:rsid w:val="006B1EA8"/>
    <w:rsid w:val="006C2604"/>
    <w:rsid w:val="006D0D6A"/>
    <w:rsid w:val="006D2F92"/>
    <w:rsid w:val="006D77E9"/>
    <w:rsid w:val="006E01CB"/>
    <w:rsid w:val="006E4820"/>
    <w:rsid w:val="006E4CB1"/>
    <w:rsid w:val="006E6ED7"/>
    <w:rsid w:val="006F03D8"/>
    <w:rsid w:val="00706DE7"/>
    <w:rsid w:val="0071340A"/>
    <w:rsid w:val="00713A86"/>
    <w:rsid w:val="00717494"/>
    <w:rsid w:val="007247DE"/>
    <w:rsid w:val="00727863"/>
    <w:rsid w:val="007361EA"/>
    <w:rsid w:val="007369D1"/>
    <w:rsid w:val="0074043C"/>
    <w:rsid w:val="0074489B"/>
    <w:rsid w:val="00746937"/>
    <w:rsid w:val="00760EE3"/>
    <w:rsid w:val="00770027"/>
    <w:rsid w:val="00775287"/>
    <w:rsid w:val="0078241B"/>
    <w:rsid w:val="00782766"/>
    <w:rsid w:val="00783889"/>
    <w:rsid w:val="007902AF"/>
    <w:rsid w:val="00791E52"/>
    <w:rsid w:val="00791E6B"/>
    <w:rsid w:val="00794AE7"/>
    <w:rsid w:val="00794E6A"/>
    <w:rsid w:val="00795410"/>
    <w:rsid w:val="00795E1E"/>
    <w:rsid w:val="00796E99"/>
    <w:rsid w:val="007A1C8A"/>
    <w:rsid w:val="007A7B37"/>
    <w:rsid w:val="007B4229"/>
    <w:rsid w:val="007C38F5"/>
    <w:rsid w:val="007C3ECB"/>
    <w:rsid w:val="007C65C4"/>
    <w:rsid w:val="007D5F47"/>
    <w:rsid w:val="007F1D8A"/>
    <w:rsid w:val="007F5A5A"/>
    <w:rsid w:val="007F6312"/>
    <w:rsid w:val="00800392"/>
    <w:rsid w:val="00807049"/>
    <w:rsid w:val="00813F0D"/>
    <w:rsid w:val="00824844"/>
    <w:rsid w:val="00831645"/>
    <w:rsid w:val="008502E0"/>
    <w:rsid w:val="0086279D"/>
    <w:rsid w:val="00867241"/>
    <w:rsid w:val="0087608A"/>
    <w:rsid w:val="00885726"/>
    <w:rsid w:val="00890E32"/>
    <w:rsid w:val="00891252"/>
    <w:rsid w:val="0089793E"/>
    <w:rsid w:val="008C34CF"/>
    <w:rsid w:val="008C5CBC"/>
    <w:rsid w:val="008D49B9"/>
    <w:rsid w:val="008D5A97"/>
    <w:rsid w:val="008D6311"/>
    <w:rsid w:val="008D7F86"/>
    <w:rsid w:val="008E2388"/>
    <w:rsid w:val="008F690D"/>
    <w:rsid w:val="008F6C17"/>
    <w:rsid w:val="00904090"/>
    <w:rsid w:val="009100A8"/>
    <w:rsid w:val="00915A55"/>
    <w:rsid w:val="00920D2A"/>
    <w:rsid w:val="00936F07"/>
    <w:rsid w:val="00946663"/>
    <w:rsid w:val="00965624"/>
    <w:rsid w:val="0097188D"/>
    <w:rsid w:val="00972BE8"/>
    <w:rsid w:val="0097363F"/>
    <w:rsid w:val="00975ADA"/>
    <w:rsid w:val="009765A8"/>
    <w:rsid w:val="00983788"/>
    <w:rsid w:val="0099059A"/>
    <w:rsid w:val="009A3584"/>
    <w:rsid w:val="009B2B8F"/>
    <w:rsid w:val="009B43DD"/>
    <w:rsid w:val="009B4AC1"/>
    <w:rsid w:val="009D68C0"/>
    <w:rsid w:val="009E02FD"/>
    <w:rsid w:val="009E2F9F"/>
    <w:rsid w:val="009E5217"/>
    <w:rsid w:val="009E6C0C"/>
    <w:rsid w:val="009F421A"/>
    <w:rsid w:val="00A03EED"/>
    <w:rsid w:val="00A213FE"/>
    <w:rsid w:val="00A27CC6"/>
    <w:rsid w:val="00A30E32"/>
    <w:rsid w:val="00A3480A"/>
    <w:rsid w:val="00A5234A"/>
    <w:rsid w:val="00A52FE2"/>
    <w:rsid w:val="00A54A90"/>
    <w:rsid w:val="00A5580F"/>
    <w:rsid w:val="00A56BB9"/>
    <w:rsid w:val="00A63E2A"/>
    <w:rsid w:val="00A6400D"/>
    <w:rsid w:val="00A67816"/>
    <w:rsid w:val="00A703A5"/>
    <w:rsid w:val="00A802AB"/>
    <w:rsid w:val="00A80F57"/>
    <w:rsid w:val="00A81B12"/>
    <w:rsid w:val="00A84B1C"/>
    <w:rsid w:val="00A84C65"/>
    <w:rsid w:val="00A90AA3"/>
    <w:rsid w:val="00A95142"/>
    <w:rsid w:val="00AA2E40"/>
    <w:rsid w:val="00AA7491"/>
    <w:rsid w:val="00AB41A0"/>
    <w:rsid w:val="00AC525F"/>
    <w:rsid w:val="00AC5D26"/>
    <w:rsid w:val="00AD2C69"/>
    <w:rsid w:val="00AE2366"/>
    <w:rsid w:val="00AE3C3C"/>
    <w:rsid w:val="00AE58DA"/>
    <w:rsid w:val="00AE6A25"/>
    <w:rsid w:val="00AF42BB"/>
    <w:rsid w:val="00AF61F9"/>
    <w:rsid w:val="00B0608D"/>
    <w:rsid w:val="00B07274"/>
    <w:rsid w:val="00B07720"/>
    <w:rsid w:val="00B10582"/>
    <w:rsid w:val="00B26FF4"/>
    <w:rsid w:val="00B55C17"/>
    <w:rsid w:val="00B57E9E"/>
    <w:rsid w:val="00B62969"/>
    <w:rsid w:val="00B73684"/>
    <w:rsid w:val="00B80080"/>
    <w:rsid w:val="00B94FCD"/>
    <w:rsid w:val="00BA6AC8"/>
    <w:rsid w:val="00BB09CC"/>
    <w:rsid w:val="00BB3744"/>
    <w:rsid w:val="00BC5E66"/>
    <w:rsid w:val="00BD3298"/>
    <w:rsid w:val="00BE38E5"/>
    <w:rsid w:val="00C028E2"/>
    <w:rsid w:val="00C038D2"/>
    <w:rsid w:val="00C16CC8"/>
    <w:rsid w:val="00C2095D"/>
    <w:rsid w:val="00C229FF"/>
    <w:rsid w:val="00C35CF2"/>
    <w:rsid w:val="00C647DC"/>
    <w:rsid w:val="00C654E0"/>
    <w:rsid w:val="00C712B7"/>
    <w:rsid w:val="00C81418"/>
    <w:rsid w:val="00C81E36"/>
    <w:rsid w:val="00C87506"/>
    <w:rsid w:val="00C922FE"/>
    <w:rsid w:val="00C95D32"/>
    <w:rsid w:val="00CA466D"/>
    <w:rsid w:val="00CE0B75"/>
    <w:rsid w:val="00CE449C"/>
    <w:rsid w:val="00CE6F65"/>
    <w:rsid w:val="00CF1FE9"/>
    <w:rsid w:val="00CF32A7"/>
    <w:rsid w:val="00D05FB8"/>
    <w:rsid w:val="00D11D04"/>
    <w:rsid w:val="00D43B41"/>
    <w:rsid w:val="00D44F23"/>
    <w:rsid w:val="00D47262"/>
    <w:rsid w:val="00D54E5F"/>
    <w:rsid w:val="00D60919"/>
    <w:rsid w:val="00D60C65"/>
    <w:rsid w:val="00D64B7A"/>
    <w:rsid w:val="00D727FB"/>
    <w:rsid w:val="00D72FF6"/>
    <w:rsid w:val="00D766DD"/>
    <w:rsid w:val="00D85E3C"/>
    <w:rsid w:val="00DA32B8"/>
    <w:rsid w:val="00DA3DEC"/>
    <w:rsid w:val="00DA7A98"/>
    <w:rsid w:val="00DB4266"/>
    <w:rsid w:val="00DB4949"/>
    <w:rsid w:val="00DB4F5B"/>
    <w:rsid w:val="00DB65C2"/>
    <w:rsid w:val="00DD6C23"/>
    <w:rsid w:val="00DE1174"/>
    <w:rsid w:val="00DE5498"/>
    <w:rsid w:val="00DF00B6"/>
    <w:rsid w:val="00DF07E7"/>
    <w:rsid w:val="00DF3993"/>
    <w:rsid w:val="00DF3ED7"/>
    <w:rsid w:val="00E05D4D"/>
    <w:rsid w:val="00E25EB2"/>
    <w:rsid w:val="00E42EAC"/>
    <w:rsid w:val="00E4510B"/>
    <w:rsid w:val="00E454C1"/>
    <w:rsid w:val="00E461C2"/>
    <w:rsid w:val="00E53486"/>
    <w:rsid w:val="00E5383A"/>
    <w:rsid w:val="00E55373"/>
    <w:rsid w:val="00E55A03"/>
    <w:rsid w:val="00E6244C"/>
    <w:rsid w:val="00E672E0"/>
    <w:rsid w:val="00E72386"/>
    <w:rsid w:val="00E724A3"/>
    <w:rsid w:val="00E72A3A"/>
    <w:rsid w:val="00E74F9E"/>
    <w:rsid w:val="00E8478C"/>
    <w:rsid w:val="00E97A89"/>
    <w:rsid w:val="00EA73DB"/>
    <w:rsid w:val="00EB2B61"/>
    <w:rsid w:val="00EB433D"/>
    <w:rsid w:val="00EE3EB9"/>
    <w:rsid w:val="00EF4209"/>
    <w:rsid w:val="00EF68F7"/>
    <w:rsid w:val="00F040EC"/>
    <w:rsid w:val="00F110B2"/>
    <w:rsid w:val="00F157DD"/>
    <w:rsid w:val="00F34945"/>
    <w:rsid w:val="00F36416"/>
    <w:rsid w:val="00F410E6"/>
    <w:rsid w:val="00F45AB5"/>
    <w:rsid w:val="00F514DE"/>
    <w:rsid w:val="00F54564"/>
    <w:rsid w:val="00F662ED"/>
    <w:rsid w:val="00F735AA"/>
    <w:rsid w:val="00F80CF1"/>
    <w:rsid w:val="00F815BD"/>
    <w:rsid w:val="00F86153"/>
    <w:rsid w:val="00F932EC"/>
    <w:rsid w:val="00F95C33"/>
    <w:rsid w:val="00FA2B10"/>
    <w:rsid w:val="00FA736E"/>
    <w:rsid w:val="00FA7997"/>
    <w:rsid w:val="00FB0020"/>
    <w:rsid w:val="00FB3196"/>
    <w:rsid w:val="00FB3600"/>
    <w:rsid w:val="00FC3820"/>
    <w:rsid w:val="00FC54E4"/>
    <w:rsid w:val="00FD2BCE"/>
    <w:rsid w:val="00FF0A61"/>
    <w:rsid w:val="00FF274E"/>
    <w:rsid w:val="00FF48F6"/>
    <w:rsid w:val="00FF6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D538"/>
  <w15:chartTrackingRefBased/>
  <w15:docId w15:val="{38BF0FE6-23CE-4039-8E13-2ACA6D34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6A"/>
    <w:rPr>
      <w:rFonts w:ascii="Times New Roman" w:eastAsia="Times New Roman" w:hAnsi="Times New Roman" w:cs="Times New Roman"/>
      <w:szCs w:val="20"/>
      <w:lang w:eastAsia="en-GB"/>
    </w:rPr>
  </w:style>
  <w:style w:type="paragraph" w:styleId="Heading2">
    <w:name w:val="heading 2"/>
    <w:basedOn w:val="Normal"/>
    <w:next w:val="Normal"/>
    <w:link w:val="Heading2Char"/>
    <w:qFormat/>
    <w:rsid w:val="00F54564"/>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750"/>
  </w:style>
  <w:style w:type="table" w:styleId="TableGrid">
    <w:name w:val="Table Grid"/>
    <w:basedOn w:val="TableNormal"/>
    <w:uiPriority w:val="39"/>
    <w:rsid w:val="0025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D6A"/>
    <w:pPr>
      <w:spacing w:after="200" w:line="276"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3525C5"/>
    <w:rPr>
      <w:sz w:val="16"/>
      <w:szCs w:val="16"/>
    </w:rPr>
  </w:style>
  <w:style w:type="paragraph" w:styleId="CommentText">
    <w:name w:val="annotation text"/>
    <w:basedOn w:val="Normal"/>
    <w:link w:val="CommentTextChar"/>
    <w:uiPriority w:val="99"/>
    <w:semiHidden/>
    <w:unhideWhenUsed/>
    <w:rsid w:val="003525C5"/>
    <w:rPr>
      <w:sz w:val="20"/>
    </w:rPr>
  </w:style>
  <w:style w:type="character" w:customStyle="1" w:styleId="CommentTextChar">
    <w:name w:val="Comment Text Char"/>
    <w:basedOn w:val="DefaultParagraphFont"/>
    <w:link w:val="CommentText"/>
    <w:uiPriority w:val="99"/>
    <w:semiHidden/>
    <w:rsid w:val="003525C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5C5"/>
    <w:rPr>
      <w:b/>
      <w:bCs/>
    </w:rPr>
  </w:style>
  <w:style w:type="character" w:customStyle="1" w:styleId="CommentSubjectChar">
    <w:name w:val="Comment Subject Char"/>
    <w:basedOn w:val="CommentTextChar"/>
    <w:link w:val="CommentSubject"/>
    <w:uiPriority w:val="99"/>
    <w:semiHidden/>
    <w:rsid w:val="003525C5"/>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890E32"/>
    <w:pPr>
      <w:tabs>
        <w:tab w:val="center" w:pos="4513"/>
        <w:tab w:val="right" w:pos="9026"/>
      </w:tabs>
    </w:pPr>
  </w:style>
  <w:style w:type="character" w:customStyle="1" w:styleId="HeaderChar">
    <w:name w:val="Header Char"/>
    <w:basedOn w:val="DefaultParagraphFont"/>
    <w:link w:val="Header"/>
    <w:uiPriority w:val="99"/>
    <w:rsid w:val="00890E32"/>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890E32"/>
    <w:pPr>
      <w:tabs>
        <w:tab w:val="center" w:pos="4513"/>
        <w:tab w:val="right" w:pos="9026"/>
      </w:tabs>
    </w:pPr>
  </w:style>
  <w:style w:type="character" w:customStyle="1" w:styleId="FooterChar">
    <w:name w:val="Footer Char"/>
    <w:basedOn w:val="DefaultParagraphFont"/>
    <w:link w:val="Footer"/>
    <w:uiPriority w:val="99"/>
    <w:rsid w:val="00890E32"/>
    <w:rPr>
      <w:rFonts w:ascii="Times New Roman" w:eastAsia="Times New Roman" w:hAnsi="Times New Roman" w:cs="Times New Roman"/>
      <w:szCs w:val="20"/>
      <w:lang w:eastAsia="en-GB"/>
    </w:rPr>
  </w:style>
  <w:style w:type="paragraph" w:styleId="FootnoteText">
    <w:name w:val="footnote text"/>
    <w:basedOn w:val="Normal"/>
    <w:link w:val="FootnoteTextChar"/>
    <w:uiPriority w:val="99"/>
    <w:semiHidden/>
    <w:unhideWhenUsed/>
    <w:rsid w:val="005A0125"/>
    <w:rPr>
      <w:sz w:val="20"/>
    </w:rPr>
  </w:style>
  <w:style w:type="character" w:customStyle="1" w:styleId="FootnoteTextChar">
    <w:name w:val="Footnote Text Char"/>
    <w:basedOn w:val="DefaultParagraphFont"/>
    <w:link w:val="FootnoteText"/>
    <w:uiPriority w:val="99"/>
    <w:semiHidden/>
    <w:rsid w:val="005A012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A0125"/>
    <w:rPr>
      <w:vertAlign w:val="superscript"/>
    </w:rPr>
  </w:style>
  <w:style w:type="character" w:customStyle="1" w:styleId="Heading2Char">
    <w:name w:val="Heading 2 Char"/>
    <w:basedOn w:val="DefaultParagraphFont"/>
    <w:link w:val="Heading2"/>
    <w:rsid w:val="00F54564"/>
    <w:rPr>
      <w:rFonts w:ascii="Times New Roman" w:eastAsia="Times New Roman" w:hAnsi="Times New Roman" w:cs="Times New Roman"/>
      <w:szCs w:val="20"/>
      <w:u w:val="single"/>
      <w:lang w:eastAsia="en-GB"/>
    </w:rPr>
  </w:style>
  <w:style w:type="table" w:customStyle="1" w:styleId="TableGrid1">
    <w:name w:val="Table Grid1"/>
    <w:basedOn w:val="TableNormal"/>
    <w:next w:val="TableGrid"/>
    <w:uiPriority w:val="59"/>
    <w:rsid w:val="00F5456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77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B07720"/>
    <w:pPr>
      <w:numPr>
        <w:numId w:val="37"/>
      </w:numPr>
      <w:spacing w:after="120"/>
    </w:pPr>
    <w:rPr>
      <w:rFonts w:ascii="Arial" w:eastAsiaTheme="minorHAnsi" w:hAnsi="Arial" w:cs="Arial"/>
      <w:sz w:val="23"/>
      <w:szCs w:val="23"/>
      <w:lang w:eastAsia="en-US"/>
    </w:rPr>
  </w:style>
  <w:style w:type="paragraph" w:customStyle="1" w:styleId="Default">
    <w:name w:val="Default"/>
    <w:basedOn w:val="Normal"/>
    <w:rsid w:val="00B07720"/>
    <w:pPr>
      <w:autoSpaceDE w:val="0"/>
      <w:autoSpaceDN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337">
      <w:bodyDiv w:val="1"/>
      <w:marLeft w:val="0"/>
      <w:marRight w:val="0"/>
      <w:marTop w:val="0"/>
      <w:marBottom w:val="0"/>
      <w:divBdr>
        <w:top w:val="none" w:sz="0" w:space="0" w:color="auto"/>
        <w:left w:val="none" w:sz="0" w:space="0" w:color="auto"/>
        <w:bottom w:val="none" w:sz="0" w:space="0" w:color="auto"/>
        <w:right w:val="none" w:sz="0" w:space="0" w:color="auto"/>
      </w:divBdr>
    </w:div>
    <w:div w:id="178862495">
      <w:bodyDiv w:val="1"/>
      <w:marLeft w:val="0"/>
      <w:marRight w:val="0"/>
      <w:marTop w:val="0"/>
      <w:marBottom w:val="0"/>
      <w:divBdr>
        <w:top w:val="none" w:sz="0" w:space="0" w:color="auto"/>
        <w:left w:val="none" w:sz="0" w:space="0" w:color="auto"/>
        <w:bottom w:val="none" w:sz="0" w:space="0" w:color="auto"/>
        <w:right w:val="none" w:sz="0" w:space="0" w:color="auto"/>
      </w:divBdr>
    </w:div>
    <w:div w:id="230234244">
      <w:bodyDiv w:val="1"/>
      <w:marLeft w:val="0"/>
      <w:marRight w:val="0"/>
      <w:marTop w:val="0"/>
      <w:marBottom w:val="0"/>
      <w:divBdr>
        <w:top w:val="none" w:sz="0" w:space="0" w:color="auto"/>
        <w:left w:val="none" w:sz="0" w:space="0" w:color="auto"/>
        <w:bottom w:val="none" w:sz="0" w:space="0" w:color="auto"/>
        <w:right w:val="none" w:sz="0" w:space="0" w:color="auto"/>
      </w:divBdr>
    </w:div>
    <w:div w:id="447049894">
      <w:bodyDiv w:val="1"/>
      <w:marLeft w:val="0"/>
      <w:marRight w:val="0"/>
      <w:marTop w:val="0"/>
      <w:marBottom w:val="0"/>
      <w:divBdr>
        <w:top w:val="none" w:sz="0" w:space="0" w:color="auto"/>
        <w:left w:val="none" w:sz="0" w:space="0" w:color="auto"/>
        <w:bottom w:val="none" w:sz="0" w:space="0" w:color="auto"/>
        <w:right w:val="none" w:sz="0" w:space="0" w:color="auto"/>
      </w:divBdr>
    </w:div>
    <w:div w:id="767971926">
      <w:bodyDiv w:val="1"/>
      <w:marLeft w:val="0"/>
      <w:marRight w:val="0"/>
      <w:marTop w:val="0"/>
      <w:marBottom w:val="0"/>
      <w:divBdr>
        <w:top w:val="none" w:sz="0" w:space="0" w:color="auto"/>
        <w:left w:val="none" w:sz="0" w:space="0" w:color="auto"/>
        <w:bottom w:val="none" w:sz="0" w:space="0" w:color="auto"/>
        <w:right w:val="none" w:sz="0" w:space="0" w:color="auto"/>
      </w:divBdr>
    </w:div>
    <w:div w:id="938291879">
      <w:bodyDiv w:val="1"/>
      <w:marLeft w:val="0"/>
      <w:marRight w:val="0"/>
      <w:marTop w:val="0"/>
      <w:marBottom w:val="0"/>
      <w:divBdr>
        <w:top w:val="none" w:sz="0" w:space="0" w:color="auto"/>
        <w:left w:val="none" w:sz="0" w:space="0" w:color="auto"/>
        <w:bottom w:val="none" w:sz="0" w:space="0" w:color="auto"/>
        <w:right w:val="none" w:sz="0" w:space="0" w:color="auto"/>
      </w:divBdr>
    </w:div>
    <w:div w:id="1375039497">
      <w:bodyDiv w:val="1"/>
      <w:marLeft w:val="0"/>
      <w:marRight w:val="0"/>
      <w:marTop w:val="0"/>
      <w:marBottom w:val="0"/>
      <w:divBdr>
        <w:top w:val="none" w:sz="0" w:space="0" w:color="auto"/>
        <w:left w:val="none" w:sz="0" w:space="0" w:color="auto"/>
        <w:bottom w:val="none" w:sz="0" w:space="0" w:color="auto"/>
        <w:right w:val="none" w:sz="0" w:space="0" w:color="auto"/>
      </w:divBdr>
    </w:div>
    <w:div w:id="1380713049">
      <w:bodyDiv w:val="1"/>
      <w:marLeft w:val="0"/>
      <w:marRight w:val="0"/>
      <w:marTop w:val="0"/>
      <w:marBottom w:val="0"/>
      <w:divBdr>
        <w:top w:val="none" w:sz="0" w:space="0" w:color="auto"/>
        <w:left w:val="none" w:sz="0" w:space="0" w:color="auto"/>
        <w:bottom w:val="none" w:sz="0" w:space="0" w:color="auto"/>
        <w:right w:val="none" w:sz="0" w:space="0" w:color="auto"/>
      </w:divBdr>
    </w:div>
    <w:div w:id="1530798152">
      <w:bodyDiv w:val="1"/>
      <w:marLeft w:val="0"/>
      <w:marRight w:val="0"/>
      <w:marTop w:val="0"/>
      <w:marBottom w:val="0"/>
      <w:divBdr>
        <w:top w:val="none" w:sz="0" w:space="0" w:color="auto"/>
        <w:left w:val="none" w:sz="0" w:space="0" w:color="auto"/>
        <w:bottom w:val="none" w:sz="0" w:space="0" w:color="auto"/>
        <w:right w:val="none" w:sz="0" w:space="0" w:color="auto"/>
      </w:divBdr>
    </w:div>
    <w:div w:id="1799102497">
      <w:bodyDiv w:val="1"/>
      <w:marLeft w:val="0"/>
      <w:marRight w:val="0"/>
      <w:marTop w:val="0"/>
      <w:marBottom w:val="0"/>
      <w:divBdr>
        <w:top w:val="none" w:sz="0" w:space="0" w:color="auto"/>
        <w:left w:val="none" w:sz="0" w:space="0" w:color="auto"/>
        <w:bottom w:val="none" w:sz="0" w:space="0" w:color="auto"/>
        <w:right w:val="none" w:sz="0" w:space="0" w:color="auto"/>
      </w:divBdr>
    </w:div>
    <w:div w:id="212383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gender-pay-gap-reporting-what-employers-must-publis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ender-pay-gap.service.gov.uk"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97998-023C-4168-BB87-D4C37665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10</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Martin (HLH Director of Corporate Services)</dc:creator>
  <cp:keywords/>
  <dc:description/>
  <cp:lastModifiedBy>Jackie MacKenzie (HLH Corporate Services)</cp:lastModifiedBy>
  <cp:revision>16</cp:revision>
  <dcterms:created xsi:type="dcterms:W3CDTF">2022-11-14T12:23:00Z</dcterms:created>
  <dcterms:modified xsi:type="dcterms:W3CDTF">2022-12-05T12:51:00Z</dcterms:modified>
</cp:coreProperties>
</file>