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003C26E9">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305ED26C" w:rsidR="002579EB" w:rsidRPr="00A90AA3" w:rsidRDefault="00544CB5" w:rsidP="002579EB">
            <w:pPr>
              <w:pStyle w:val="NoSpacing"/>
              <w:rPr>
                <w:b/>
                <w:bCs/>
              </w:rPr>
            </w:pPr>
            <w:r>
              <w:rPr>
                <w:b/>
                <w:bCs/>
              </w:rPr>
              <w:t xml:space="preserve">14 </w:t>
            </w:r>
            <w:r w:rsidR="00F50517">
              <w:rPr>
                <w:b/>
                <w:bCs/>
              </w:rPr>
              <w:t>March 2023</w:t>
            </w:r>
          </w:p>
        </w:tc>
        <w:tc>
          <w:tcPr>
            <w:tcW w:w="3499" w:type="dxa"/>
          </w:tcPr>
          <w:p w14:paraId="70D98E9B" w14:textId="5FB03C25" w:rsidR="00FB3196" w:rsidRDefault="002579EB" w:rsidP="00FB3196">
            <w:pPr>
              <w:pStyle w:val="NoSpacing"/>
            </w:pPr>
            <w:r w:rsidRPr="00A90AA3">
              <w:t>AGENDA ITEM</w:t>
            </w:r>
            <w:r w:rsidR="008C5CBC">
              <w:t xml:space="preserve"> </w:t>
            </w:r>
            <w:r w:rsidR="004602DD">
              <w:t>9</w:t>
            </w:r>
          </w:p>
          <w:p w14:paraId="4EE94809" w14:textId="3E22FF7D" w:rsidR="002579EB" w:rsidRPr="00A90AA3" w:rsidRDefault="002579EB" w:rsidP="00FB3196">
            <w:pPr>
              <w:pStyle w:val="NoSpacing"/>
            </w:pPr>
            <w:r w:rsidRPr="00A90AA3">
              <w:t>REPORT No HLH/</w:t>
            </w:r>
            <w:r w:rsidR="003C26E9">
              <w:t xml:space="preserve"> </w:t>
            </w:r>
            <w:r w:rsidR="004602DD">
              <w:t>3</w:t>
            </w:r>
            <w:r w:rsidR="003C26E9">
              <w:t xml:space="preserve"> </w:t>
            </w:r>
            <w:r w:rsidRPr="00A90AA3">
              <w:t>/2</w:t>
            </w:r>
            <w:r w:rsidR="008A2AF0">
              <w:t>3</w:t>
            </w:r>
          </w:p>
        </w:tc>
      </w:tr>
    </w:tbl>
    <w:p w14:paraId="4EC5F4EF" w14:textId="7AD1BEA5" w:rsidR="006C2604" w:rsidRPr="00A90AA3" w:rsidRDefault="006C2604"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7E1C703C" w:rsidR="002579EB" w:rsidRPr="00A90AA3" w:rsidRDefault="00DB17AC" w:rsidP="006D0D6A">
            <w:pPr>
              <w:pStyle w:val="NoSpacing"/>
              <w:rPr>
                <w:b/>
                <w:bCs/>
              </w:rPr>
            </w:pPr>
            <w:r>
              <w:rPr>
                <w:b/>
                <w:bCs/>
              </w:rPr>
              <w:t>SERVICE DELIVERY CONTRACT REVIEW</w:t>
            </w:r>
            <w:r w:rsidR="00394EBE">
              <w:rPr>
                <w:b/>
                <w:bCs/>
              </w:rPr>
              <w:t xml:space="preserve"> – Report by Chief Executive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1C86A83A" w:rsidR="006D0D6A" w:rsidRPr="00A90AA3" w:rsidRDefault="00676532"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248E3174" w14:textId="22A247A2" w:rsidR="003228CB" w:rsidRPr="00F34AD4" w:rsidRDefault="006E6ED7" w:rsidP="003228CB">
            <w:pPr>
              <w:pStyle w:val="Heading2"/>
              <w:jc w:val="both"/>
              <w:rPr>
                <w:rFonts w:ascii="Arial" w:hAnsi="Arial" w:cs="Arial"/>
                <w:b/>
                <w:szCs w:val="24"/>
                <w:u w:val="none"/>
              </w:rPr>
            </w:pPr>
            <w:r w:rsidRPr="0006108E">
              <w:rPr>
                <w:rFonts w:ascii="Arial" w:hAnsi="Arial" w:cs="Arial"/>
              </w:rPr>
              <w:t xml:space="preserve">The purpose of this report is to update </w:t>
            </w:r>
            <w:r w:rsidR="00F50517" w:rsidRPr="0006108E">
              <w:rPr>
                <w:rFonts w:ascii="Arial" w:hAnsi="Arial" w:cs="Arial"/>
              </w:rPr>
              <w:t xml:space="preserve">Board Members </w:t>
            </w:r>
            <w:r w:rsidR="00005ECF" w:rsidRPr="0006108E">
              <w:rPr>
                <w:rFonts w:ascii="Arial" w:hAnsi="Arial" w:cs="Arial"/>
              </w:rPr>
              <w:t xml:space="preserve">on </w:t>
            </w:r>
            <w:r w:rsidR="00F50517" w:rsidRPr="0006108E">
              <w:rPr>
                <w:rFonts w:ascii="Arial" w:hAnsi="Arial" w:cs="Arial"/>
              </w:rPr>
              <w:t xml:space="preserve">the </w:t>
            </w:r>
            <w:r w:rsidR="00DB17AC" w:rsidRPr="0006108E">
              <w:rPr>
                <w:rFonts w:ascii="Arial" w:hAnsi="Arial" w:cs="Arial"/>
              </w:rPr>
              <w:t>Service Delivery Contract review</w:t>
            </w:r>
          </w:p>
          <w:p w14:paraId="7E0BF711" w14:textId="77777777" w:rsidR="003228CB" w:rsidRPr="00F34AD4" w:rsidRDefault="003228CB" w:rsidP="003228CB">
            <w:pPr>
              <w:jc w:val="both"/>
              <w:rPr>
                <w:rFonts w:ascii="Arial" w:hAnsi="Arial" w:cs="Arial"/>
              </w:rPr>
            </w:pPr>
          </w:p>
          <w:p w14:paraId="2C1255C4" w14:textId="0E7CE3E1" w:rsidR="003228CB" w:rsidRPr="00F34AD4" w:rsidRDefault="003228CB" w:rsidP="003228CB">
            <w:pPr>
              <w:jc w:val="both"/>
              <w:rPr>
                <w:rFonts w:ascii="Arial" w:hAnsi="Arial" w:cs="Arial"/>
              </w:rPr>
            </w:pPr>
            <w:r w:rsidRPr="00F34AD4">
              <w:rPr>
                <w:rFonts w:ascii="Arial" w:hAnsi="Arial" w:cs="Arial"/>
              </w:rPr>
              <w:t xml:space="preserve">This report sets out the </w:t>
            </w:r>
            <w:r w:rsidR="001E3463" w:rsidRPr="00F34AD4">
              <w:rPr>
                <w:rFonts w:ascii="Arial" w:hAnsi="Arial" w:cs="Arial"/>
              </w:rPr>
              <w:t xml:space="preserve">current status in respect of a review of the Service Delivery Contract with the Highland Council and asks the </w:t>
            </w:r>
            <w:r w:rsidR="008A2AF0">
              <w:rPr>
                <w:rFonts w:ascii="Arial" w:hAnsi="Arial" w:cs="Arial"/>
              </w:rPr>
              <w:t>B</w:t>
            </w:r>
            <w:r w:rsidR="001E3463" w:rsidRPr="00F34AD4">
              <w:rPr>
                <w:rFonts w:ascii="Arial" w:hAnsi="Arial" w:cs="Arial"/>
              </w:rPr>
              <w:t>oard to note:</w:t>
            </w:r>
          </w:p>
          <w:p w14:paraId="6B5F8A7B" w14:textId="77777777" w:rsidR="001E3463" w:rsidRPr="00F34AD4" w:rsidRDefault="001E3463" w:rsidP="003228CB">
            <w:pPr>
              <w:jc w:val="both"/>
              <w:rPr>
                <w:rFonts w:ascii="Arial" w:hAnsi="Arial" w:cs="Arial"/>
              </w:rPr>
            </w:pPr>
          </w:p>
          <w:p w14:paraId="56710D27" w14:textId="683EDA6B" w:rsidR="003228CB" w:rsidRPr="00F34AD4" w:rsidRDefault="008A2AF0" w:rsidP="00972D1B">
            <w:pPr>
              <w:numPr>
                <w:ilvl w:val="0"/>
                <w:numId w:val="7"/>
              </w:numPr>
              <w:jc w:val="both"/>
              <w:rPr>
                <w:rFonts w:ascii="Arial" w:hAnsi="Arial" w:cs="Arial"/>
              </w:rPr>
            </w:pPr>
            <w:r>
              <w:rPr>
                <w:rFonts w:ascii="Arial" w:hAnsi="Arial" w:cs="Arial"/>
              </w:rPr>
              <w:t>t</w:t>
            </w:r>
            <w:r w:rsidR="000B641D" w:rsidRPr="00F34AD4">
              <w:rPr>
                <w:rFonts w:ascii="Arial" w:hAnsi="Arial" w:cs="Arial"/>
              </w:rPr>
              <w:t xml:space="preserve">he ongoing </w:t>
            </w:r>
            <w:r w:rsidR="00676532" w:rsidRPr="00F34AD4">
              <w:rPr>
                <w:rFonts w:ascii="Arial" w:hAnsi="Arial" w:cs="Arial"/>
              </w:rPr>
              <w:t xml:space="preserve">financial </w:t>
            </w:r>
            <w:r w:rsidR="000B641D" w:rsidRPr="00F34AD4">
              <w:rPr>
                <w:rFonts w:ascii="Arial" w:hAnsi="Arial" w:cs="Arial"/>
              </w:rPr>
              <w:t xml:space="preserve">pressures facing the </w:t>
            </w:r>
            <w:proofErr w:type="gramStart"/>
            <w:r w:rsidR="000B641D" w:rsidRPr="00F34AD4">
              <w:rPr>
                <w:rFonts w:ascii="Arial" w:hAnsi="Arial" w:cs="Arial"/>
              </w:rPr>
              <w:t>Charity</w:t>
            </w:r>
            <w:r w:rsidR="003228CB" w:rsidRPr="00F34AD4">
              <w:rPr>
                <w:rFonts w:ascii="Arial" w:hAnsi="Arial" w:cs="Arial"/>
              </w:rPr>
              <w:t>;</w:t>
            </w:r>
            <w:proofErr w:type="gramEnd"/>
          </w:p>
          <w:p w14:paraId="42D03595" w14:textId="4E4E371A" w:rsidR="000B641D" w:rsidRPr="00F34AD4" w:rsidRDefault="008A2AF0" w:rsidP="00972D1B">
            <w:pPr>
              <w:numPr>
                <w:ilvl w:val="0"/>
                <w:numId w:val="7"/>
              </w:numPr>
              <w:jc w:val="both"/>
              <w:rPr>
                <w:rFonts w:ascii="Arial" w:hAnsi="Arial" w:cs="Arial"/>
              </w:rPr>
            </w:pPr>
            <w:r>
              <w:rPr>
                <w:rFonts w:ascii="Arial" w:hAnsi="Arial" w:cs="Arial"/>
              </w:rPr>
              <w:t>t</w:t>
            </w:r>
            <w:r w:rsidR="000B641D" w:rsidRPr="00F34AD4">
              <w:rPr>
                <w:rFonts w:ascii="Arial" w:hAnsi="Arial" w:cs="Arial"/>
              </w:rPr>
              <w:t xml:space="preserve">he challenges presented by the current Service Delivery </w:t>
            </w:r>
            <w:proofErr w:type="gramStart"/>
            <w:r w:rsidR="000B641D" w:rsidRPr="00F34AD4">
              <w:rPr>
                <w:rFonts w:ascii="Arial" w:hAnsi="Arial" w:cs="Arial"/>
              </w:rPr>
              <w:t>Contract;</w:t>
            </w:r>
            <w:proofErr w:type="gramEnd"/>
          </w:p>
          <w:p w14:paraId="32AEFC58" w14:textId="29A4C06E" w:rsidR="000B641D" w:rsidRPr="00F34AD4" w:rsidRDefault="008A2AF0" w:rsidP="00972D1B">
            <w:pPr>
              <w:numPr>
                <w:ilvl w:val="0"/>
                <w:numId w:val="7"/>
              </w:numPr>
              <w:jc w:val="both"/>
              <w:rPr>
                <w:rFonts w:ascii="Arial" w:hAnsi="Arial" w:cs="Arial"/>
              </w:rPr>
            </w:pPr>
            <w:r>
              <w:rPr>
                <w:rFonts w:ascii="Arial" w:hAnsi="Arial" w:cs="Arial"/>
              </w:rPr>
              <w:t>t</w:t>
            </w:r>
            <w:r w:rsidR="000B641D" w:rsidRPr="00F34AD4">
              <w:rPr>
                <w:rFonts w:ascii="Arial" w:hAnsi="Arial" w:cs="Arial"/>
              </w:rPr>
              <w:t xml:space="preserve">he financial projection for FY </w:t>
            </w:r>
            <w:r>
              <w:rPr>
                <w:rFonts w:ascii="Arial" w:hAnsi="Arial" w:cs="Arial"/>
              </w:rPr>
              <w:t>20</w:t>
            </w:r>
            <w:r w:rsidR="000B641D" w:rsidRPr="00F34AD4">
              <w:rPr>
                <w:rFonts w:ascii="Arial" w:hAnsi="Arial" w:cs="Arial"/>
              </w:rPr>
              <w:t>23/24 and the pressing need for initiation of a contract review;</w:t>
            </w:r>
            <w:r>
              <w:rPr>
                <w:rFonts w:ascii="Arial" w:hAnsi="Arial" w:cs="Arial"/>
              </w:rPr>
              <w:t xml:space="preserve"> and</w:t>
            </w:r>
          </w:p>
          <w:p w14:paraId="4A897E9D" w14:textId="30770997" w:rsidR="00676532" w:rsidRPr="00F34AD4" w:rsidRDefault="008A2AF0" w:rsidP="00972D1B">
            <w:pPr>
              <w:numPr>
                <w:ilvl w:val="0"/>
                <w:numId w:val="7"/>
              </w:numPr>
              <w:jc w:val="both"/>
              <w:rPr>
                <w:rFonts w:ascii="Arial" w:hAnsi="Arial" w:cs="Arial"/>
              </w:rPr>
            </w:pPr>
            <w:r>
              <w:rPr>
                <w:rFonts w:ascii="Arial" w:hAnsi="Arial" w:cs="Arial"/>
              </w:rPr>
              <w:t>t</w:t>
            </w:r>
            <w:r w:rsidR="00676532" w:rsidRPr="00F34AD4">
              <w:rPr>
                <w:rFonts w:ascii="Arial" w:hAnsi="Arial" w:cs="Arial"/>
              </w:rPr>
              <w:t xml:space="preserve">he proposed scope and desired outcomes from the contract </w:t>
            </w:r>
            <w:proofErr w:type="gramStart"/>
            <w:r w:rsidR="00676532" w:rsidRPr="00F34AD4">
              <w:rPr>
                <w:rFonts w:ascii="Arial" w:hAnsi="Arial" w:cs="Arial"/>
              </w:rPr>
              <w:t>review;</w:t>
            </w:r>
            <w:proofErr w:type="gramEnd"/>
          </w:p>
          <w:p w14:paraId="3AF9992B" w14:textId="1475C8C9" w:rsidR="000B641D" w:rsidRPr="00F34AD4" w:rsidRDefault="000B641D" w:rsidP="000B641D">
            <w:pPr>
              <w:jc w:val="both"/>
              <w:rPr>
                <w:rFonts w:ascii="Arial" w:hAnsi="Arial" w:cs="Arial"/>
              </w:rPr>
            </w:pPr>
          </w:p>
          <w:p w14:paraId="6F457453" w14:textId="33DF61CB" w:rsidR="000B641D" w:rsidRPr="00F34AD4" w:rsidRDefault="000B641D" w:rsidP="000B641D">
            <w:pPr>
              <w:jc w:val="both"/>
              <w:rPr>
                <w:rFonts w:ascii="Arial" w:hAnsi="Arial" w:cs="Arial"/>
              </w:rPr>
            </w:pPr>
            <w:r w:rsidRPr="00F34AD4">
              <w:rPr>
                <w:rFonts w:ascii="Arial" w:hAnsi="Arial" w:cs="Arial"/>
              </w:rPr>
              <w:t xml:space="preserve">The Board are asked to agree: </w:t>
            </w:r>
          </w:p>
          <w:p w14:paraId="1BB785A9" w14:textId="77777777" w:rsidR="000B641D" w:rsidRPr="00F34AD4" w:rsidRDefault="000B641D" w:rsidP="0006108E">
            <w:pPr>
              <w:jc w:val="both"/>
              <w:rPr>
                <w:rFonts w:ascii="Arial" w:hAnsi="Arial" w:cs="Arial"/>
              </w:rPr>
            </w:pPr>
          </w:p>
          <w:p w14:paraId="4A127FE9" w14:textId="35824F82" w:rsidR="003228CB" w:rsidRPr="00F34AD4" w:rsidRDefault="008A2AF0" w:rsidP="00972D1B">
            <w:pPr>
              <w:numPr>
                <w:ilvl w:val="0"/>
                <w:numId w:val="7"/>
              </w:numPr>
              <w:jc w:val="both"/>
              <w:rPr>
                <w:rFonts w:ascii="Arial" w:hAnsi="Arial" w:cs="Arial"/>
              </w:rPr>
            </w:pPr>
            <w:r>
              <w:rPr>
                <w:rFonts w:ascii="Arial" w:hAnsi="Arial" w:cs="Arial"/>
              </w:rPr>
              <w:t>t</w:t>
            </w:r>
            <w:r w:rsidR="000B641D" w:rsidRPr="00F34AD4">
              <w:rPr>
                <w:rFonts w:ascii="Arial" w:hAnsi="Arial" w:cs="Arial"/>
              </w:rPr>
              <w:t xml:space="preserve">hat the DRAFT letter at </w:t>
            </w:r>
            <w:r w:rsidR="000B641D" w:rsidRPr="00CF6038">
              <w:rPr>
                <w:rFonts w:ascii="Arial" w:hAnsi="Arial" w:cs="Arial"/>
                <w:b/>
                <w:bCs/>
              </w:rPr>
              <w:t>Appendix A</w:t>
            </w:r>
            <w:r w:rsidR="000B641D" w:rsidRPr="00F34AD4">
              <w:rPr>
                <w:rFonts w:ascii="Arial" w:hAnsi="Arial" w:cs="Arial"/>
              </w:rPr>
              <w:t xml:space="preserve"> </w:t>
            </w:r>
            <w:r w:rsidR="00FB6825">
              <w:rPr>
                <w:rFonts w:ascii="Arial" w:hAnsi="Arial" w:cs="Arial"/>
              </w:rPr>
              <w:t>is sent</w:t>
            </w:r>
            <w:r w:rsidR="00F31EF4">
              <w:rPr>
                <w:rFonts w:ascii="Arial" w:hAnsi="Arial" w:cs="Arial"/>
              </w:rPr>
              <w:t>,</w:t>
            </w:r>
            <w:r w:rsidR="00FB6825">
              <w:rPr>
                <w:rFonts w:ascii="Arial" w:hAnsi="Arial" w:cs="Arial"/>
              </w:rPr>
              <w:t xml:space="preserve"> </w:t>
            </w:r>
            <w:r w:rsidR="000B641D" w:rsidRPr="00F34AD4">
              <w:rPr>
                <w:rFonts w:ascii="Arial" w:hAnsi="Arial" w:cs="Arial"/>
              </w:rPr>
              <w:t xml:space="preserve">formally reminding the Council that the contract review is overdue and </w:t>
            </w:r>
            <w:r w:rsidR="00FB6825">
              <w:rPr>
                <w:rFonts w:ascii="Arial" w:hAnsi="Arial" w:cs="Arial"/>
              </w:rPr>
              <w:t xml:space="preserve">of </w:t>
            </w:r>
            <w:r w:rsidR="000B641D" w:rsidRPr="00F34AD4">
              <w:rPr>
                <w:rFonts w:ascii="Arial" w:hAnsi="Arial" w:cs="Arial"/>
              </w:rPr>
              <w:t>the pressing need to make progress</w:t>
            </w:r>
            <w:r>
              <w:rPr>
                <w:rFonts w:ascii="Arial" w:hAnsi="Arial" w:cs="Arial"/>
              </w:rPr>
              <w:t>.</w:t>
            </w:r>
          </w:p>
          <w:p w14:paraId="7528E958" w14:textId="70F91600" w:rsidR="00DB17AC" w:rsidRPr="00A90AA3" w:rsidRDefault="00DB17AC" w:rsidP="00F34AD4">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00E18CA">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0F80CF1">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03DA5FA1" w14:textId="77777777" w:rsidR="00D766DD" w:rsidRPr="00A90AA3" w:rsidRDefault="00D766DD" w:rsidP="00D766DD">
            <w:pPr>
              <w:jc w:val="both"/>
              <w:rPr>
                <w:rFonts w:ascii="Arial" w:hAnsi="Arial" w:cs="Arial"/>
                <w:szCs w:val="24"/>
              </w:rPr>
            </w:pPr>
            <w:r w:rsidRPr="00A90AA3">
              <w:rPr>
                <w:rFonts w:ascii="Arial" w:hAnsi="Arial" w:cs="Arial"/>
                <w:szCs w:val="24"/>
              </w:rPr>
              <w:t>This report supports the highlighted Business Outcome from the High Life Highland (HLH)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DB17AC" w:rsidRDefault="00D766DD" w:rsidP="00972D1B">
            <w:pPr>
              <w:pStyle w:val="ListParagraph"/>
              <w:numPr>
                <w:ilvl w:val="0"/>
                <w:numId w:val="1"/>
              </w:numPr>
              <w:spacing w:after="0" w:line="240" w:lineRule="auto"/>
              <w:jc w:val="both"/>
              <w:rPr>
                <w:rFonts w:ascii="Arial" w:hAnsi="Arial" w:cs="Arial"/>
                <w:sz w:val="24"/>
                <w:szCs w:val="24"/>
              </w:rPr>
            </w:pPr>
            <w:r w:rsidRPr="00DB17AC">
              <w:rPr>
                <w:rFonts w:ascii="Arial" w:hAnsi="Arial" w:cs="Arial"/>
                <w:sz w:val="24"/>
                <w:szCs w:val="24"/>
              </w:rPr>
              <w:t>Increase employee satisfaction, engagement and development to improve staff recruitment and retention.</w:t>
            </w:r>
          </w:p>
          <w:p w14:paraId="12B38FFE"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DB17AC">
              <w:rPr>
                <w:rFonts w:ascii="Arial" w:hAnsi="Arial" w:cs="Arial"/>
                <w:b/>
                <w:bCs/>
                <w:sz w:val="24"/>
                <w:szCs w:val="24"/>
              </w:rPr>
              <w:t>Improve the financial sustainability of the company</w:t>
            </w:r>
            <w:r w:rsidRPr="00A90AA3">
              <w:rPr>
                <w:rFonts w:ascii="Arial" w:hAnsi="Arial" w:cs="Arial"/>
                <w:sz w:val="24"/>
                <w:szCs w:val="24"/>
              </w:rPr>
              <w:t>.</w:t>
            </w:r>
          </w:p>
          <w:p w14:paraId="0DA7B926" w14:textId="77777777" w:rsidR="00D766DD" w:rsidRPr="000E18CA" w:rsidRDefault="00D766DD" w:rsidP="00972D1B">
            <w:pPr>
              <w:pStyle w:val="ListParagraph"/>
              <w:numPr>
                <w:ilvl w:val="0"/>
                <w:numId w:val="1"/>
              </w:numPr>
              <w:spacing w:after="0" w:line="240" w:lineRule="auto"/>
              <w:jc w:val="both"/>
              <w:rPr>
                <w:rFonts w:ascii="Arial" w:hAnsi="Arial" w:cs="Arial"/>
                <w:b/>
                <w:bCs/>
                <w:sz w:val="24"/>
                <w:szCs w:val="24"/>
              </w:rPr>
            </w:pPr>
            <w:r w:rsidRPr="000E18CA">
              <w:rPr>
                <w:rFonts w:ascii="Arial" w:hAnsi="Arial" w:cs="Arial"/>
                <w:b/>
                <w:bCs/>
                <w:sz w:val="24"/>
                <w:szCs w:val="24"/>
              </w:rPr>
              <w:t>Value and strengthen the relationship with THC.</w:t>
            </w:r>
          </w:p>
          <w:p w14:paraId="7676B148"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Develop and deliver the HLH Corporate Programme and seek to attract capital investment.</w:t>
            </w:r>
          </w:p>
          <w:p w14:paraId="427C0620" w14:textId="77777777" w:rsidR="00D766DD" w:rsidRPr="00A90AA3" w:rsidRDefault="00D766DD" w:rsidP="00972D1B">
            <w:pPr>
              <w:pStyle w:val="ListParagraph"/>
              <w:numPr>
                <w:ilvl w:val="0"/>
                <w:numId w:val="1"/>
              </w:numPr>
              <w:tabs>
                <w:tab w:val="left" w:pos="0"/>
              </w:tabs>
              <w:spacing w:after="0" w:line="240" w:lineRule="auto"/>
              <w:jc w:val="both"/>
              <w:rPr>
                <w:rFonts w:ascii="Arial" w:hAnsi="Arial" w:cs="Arial"/>
                <w:bCs/>
                <w:sz w:val="24"/>
                <w:szCs w:val="24"/>
              </w:rPr>
            </w:pPr>
            <w:r w:rsidRPr="00A90AA3">
              <w:rPr>
                <w:rFonts w:ascii="Arial" w:hAnsi="Arial" w:cs="Arial"/>
                <w:sz w:val="24"/>
                <w:szCs w:val="24"/>
              </w:rPr>
              <w:t>Use research and market analysis to develop and deliver proactive marketing and promotion of HLH and its services.</w:t>
            </w:r>
          </w:p>
          <w:p w14:paraId="2B03D3EA" w14:textId="77777777" w:rsidR="00D766DD" w:rsidRPr="00A90AA3"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Initiate and implement an ICT digital transformation strategy across the charity.</w:t>
            </w:r>
          </w:p>
          <w:p w14:paraId="4CE58D20" w14:textId="77777777" w:rsidR="00D766DD" w:rsidRPr="00DB17AC" w:rsidRDefault="00D766DD" w:rsidP="00972D1B">
            <w:pPr>
              <w:pStyle w:val="ListParagraph"/>
              <w:numPr>
                <w:ilvl w:val="0"/>
                <w:numId w:val="1"/>
              </w:numPr>
              <w:spacing w:after="0" w:line="240" w:lineRule="auto"/>
              <w:jc w:val="both"/>
              <w:rPr>
                <w:rFonts w:ascii="Arial" w:hAnsi="Arial" w:cs="Arial"/>
                <w:sz w:val="24"/>
                <w:szCs w:val="24"/>
              </w:rPr>
            </w:pPr>
            <w:r w:rsidRPr="00DB17AC">
              <w:rPr>
                <w:rFonts w:ascii="Arial" w:hAnsi="Arial" w:cs="Arial"/>
                <w:sz w:val="24"/>
                <w:szCs w:val="24"/>
              </w:rPr>
              <w:t>Develop and strengthen relationships with customers, key stakeholders and partners.</w:t>
            </w:r>
          </w:p>
          <w:p w14:paraId="38DF6ABD" w14:textId="064A8061" w:rsidR="006D0D6A" w:rsidRPr="000E18CA" w:rsidRDefault="00D766DD" w:rsidP="00972D1B">
            <w:pPr>
              <w:pStyle w:val="ListParagraph"/>
              <w:numPr>
                <w:ilvl w:val="0"/>
                <w:numId w:val="1"/>
              </w:numPr>
              <w:spacing w:after="0" w:line="240" w:lineRule="auto"/>
              <w:jc w:val="both"/>
              <w:rPr>
                <w:rFonts w:ascii="Arial" w:hAnsi="Arial" w:cs="Arial"/>
                <w:sz w:val="24"/>
                <w:szCs w:val="24"/>
              </w:rPr>
            </w:pPr>
            <w:r w:rsidRPr="00A90AA3">
              <w:rPr>
                <w:rFonts w:ascii="Arial" w:hAnsi="Arial" w:cs="Arial"/>
                <w:sz w:val="24"/>
                <w:szCs w:val="24"/>
              </w:rPr>
              <w:t xml:space="preserve">Deliver targeted programmes which support and enhance the physical and mental health and wellbeing of the </w:t>
            </w:r>
            <w:r w:rsidR="00FB6825" w:rsidRPr="00A90AA3">
              <w:rPr>
                <w:rFonts w:ascii="Arial" w:hAnsi="Arial" w:cs="Arial"/>
                <w:sz w:val="24"/>
                <w:szCs w:val="24"/>
              </w:rPr>
              <w:t>population,</w:t>
            </w:r>
            <w:r w:rsidRPr="00A90AA3">
              <w:rPr>
                <w:rFonts w:ascii="Arial" w:hAnsi="Arial" w:cs="Arial"/>
                <w:sz w:val="24"/>
                <w:szCs w:val="24"/>
              </w:rPr>
              <w:t xml:space="preserve"> and which contribute to the prevention agenda</w:t>
            </w:r>
            <w:r w:rsidR="000E18CA">
              <w:rPr>
                <w:rFonts w:ascii="Arial" w:hAnsi="Arial" w:cs="Arial"/>
                <w:sz w:val="24"/>
                <w:szCs w:val="24"/>
              </w:rPr>
              <w:t>.</w:t>
            </w:r>
          </w:p>
        </w:tc>
      </w:tr>
    </w:tbl>
    <w:p w14:paraId="6BAE8B77" w14:textId="1F4AE263" w:rsidR="006D0D6A"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34AA3735" w14:textId="77777777" w:rsidTr="000E18CA">
        <w:tc>
          <w:tcPr>
            <w:tcW w:w="851" w:type="dxa"/>
          </w:tcPr>
          <w:p w14:paraId="4CE73AA6" w14:textId="6FBAB5FE" w:rsidR="006D0D6A" w:rsidRPr="000E18CA" w:rsidRDefault="000E18CA" w:rsidP="000152F3">
            <w:pPr>
              <w:pStyle w:val="NoSpacing"/>
              <w:jc w:val="both"/>
              <w:rPr>
                <w:b/>
                <w:bCs/>
              </w:rPr>
            </w:pPr>
            <w:r w:rsidRPr="000E18CA">
              <w:rPr>
                <w:b/>
                <w:bCs/>
              </w:rPr>
              <w:t>2.</w:t>
            </w:r>
          </w:p>
        </w:tc>
        <w:tc>
          <w:tcPr>
            <w:tcW w:w="8885" w:type="dxa"/>
          </w:tcPr>
          <w:p w14:paraId="5DC1CEB1" w14:textId="47746AC6" w:rsidR="006D0D6A" w:rsidRPr="00A90AA3" w:rsidRDefault="006D0D6A" w:rsidP="000152F3">
            <w:pPr>
              <w:pStyle w:val="NoSpacing"/>
              <w:jc w:val="both"/>
              <w:rPr>
                <w:b/>
                <w:bCs/>
              </w:rPr>
            </w:pPr>
            <w:r w:rsidRPr="00A90AA3">
              <w:rPr>
                <w:b/>
                <w:bCs/>
              </w:rPr>
              <w:t>Background</w:t>
            </w:r>
          </w:p>
          <w:p w14:paraId="6F2334B7" w14:textId="77777777" w:rsidR="006D0D6A" w:rsidRPr="00A90AA3" w:rsidRDefault="006D0D6A" w:rsidP="000152F3">
            <w:pPr>
              <w:pStyle w:val="NoSpacing"/>
              <w:jc w:val="both"/>
              <w:rPr>
                <w:b/>
                <w:bCs/>
              </w:rPr>
            </w:pPr>
          </w:p>
        </w:tc>
      </w:tr>
      <w:tr w:rsidR="000152F3" w:rsidRPr="00A90AA3" w14:paraId="50D4DF84" w14:textId="77777777" w:rsidTr="000E18CA">
        <w:tc>
          <w:tcPr>
            <w:tcW w:w="851" w:type="dxa"/>
          </w:tcPr>
          <w:p w14:paraId="709B2512" w14:textId="1E64101A" w:rsidR="000152F3" w:rsidRDefault="000152F3" w:rsidP="000152F3">
            <w:pPr>
              <w:pStyle w:val="NoSpacing"/>
              <w:jc w:val="both"/>
            </w:pPr>
            <w:r>
              <w:t>2.1</w:t>
            </w:r>
          </w:p>
        </w:tc>
        <w:tc>
          <w:tcPr>
            <w:tcW w:w="8885" w:type="dxa"/>
          </w:tcPr>
          <w:p w14:paraId="7D606E83" w14:textId="07003A33" w:rsidR="000152F3" w:rsidRDefault="000152F3" w:rsidP="000152F3">
            <w:pPr>
              <w:jc w:val="both"/>
              <w:rPr>
                <w:b/>
                <w:bCs/>
              </w:rPr>
            </w:pPr>
            <w:r>
              <w:rPr>
                <w:rFonts w:ascii="Arial" w:eastAsia="Arial" w:hAnsi="Arial" w:cs="Arial"/>
              </w:rPr>
              <w:t>The COVID-19 pandemic and other external events have significantly impacted the environment in which High Life Highland (HLH or ‘the Charity’) operates. In mitigation, in addition to recovery of in excess of</w:t>
            </w:r>
            <w:r w:rsidRPr="00555CBC">
              <w:rPr>
                <w:rFonts w:ascii="Arial" w:eastAsia="Arial" w:hAnsi="Arial" w:cs="Arial"/>
              </w:rPr>
              <w:t xml:space="preserve"> £7 million from the Coronavirus </w:t>
            </w:r>
            <w:r w:rsidRPr="00555CBC">
              <w:rPr>
                <w:rFonts w:ascii="Arial" w:eastAsia="Arial" w:hAnsi="Arial" w:cs="Arial"/>
              </w:rPr>
              <w:lastRenderedPageBreak/>
              <w:t xml:space="preserve">Job Retention scheme, </w:t>
            </w:r>
            <w:r>
              <w:rPr>
                <w:rFonts w:ascii="Arial" w:eastAsia="Arial" w:hAnsi="Arial" w:cs="Arial"/>
              </w:rPr>
              <w:t>the Charity</w:t>
            </w:r>
            <w:r w:rsidRPr="00555CBC">
              <w:rPr>
                <w:rFonts w:ascii="Arial" w:eastAsia="Arial" w:hAnsi="Arial" w:cs="Arial"/>
              </w:rPr>
              <w:t xml:space="preserve"> </w:t>
            </w:r>
            <w:r w:rsidR="008A2AF0">
              <w:rPr>
                <w:rFonts w:ascii="Arial" w:eastAsia="Arial" w:hAnsi="Arial" w:cs="Arial"/>
              </w:rPr>
              <w:t>B</w:t>
            </w:r>
            <w:r>
              <w:rPr>
                <w:rFonts w:ascii="Arial" w:eastAsia="Arial" w:hAnsi="Arial" w:cs="Arial"/>
              </w:rPr>
              <w:t>oard has al</w:t>
            </w:r>
            <w:r w:rsidRPr="00555CBC">
              <w:rPr>
                <w:rFonts w:ascii="Arial" w:eastAsia="Arial" w:hAnsi="Arial" w:cs="Arial"/>
              </w:rPr>
              <w:t>so have contributed reserves over the course of the past 2 years, matching the Council’s additional financial support</w:t>
            </w:r>
            <w:r w:rsidR="004602DD">
              <w:rPr>
                <w:rFonts w:ascii="Arial" w:eastAsia="Arial" w:hAnsi="Arial" w:cs="Arial"/>
              </w:rPr>
              <w:t>.</w:t>
            </w:r>
            <w:r>
              <w:rPr>
                <w:b/>
                <w:bCs/>
              </w:rPr>
              <w:t xml:space="preserve"> </w:t>
            </w:r>
          </w:p>
          <w:p w14:paraId="0AEA1283" w14:textId="77777777" w:rsidR="000152F3" w:rsidRDefault="000152F3" w:rsidP="000152F3">
            <w:pPr>
              <w:jc w:val="both"/>
              <w:rPr>
                <w:rFonts w:ascii="Arial" w:eastAsia="Arial" w:hAnsi="Arial" w:cs="Arial"/>
              </w:rPr>
            </w:pPr>
          </w:p>
        </w:tc>
      </w:tr>
      <w:tr w:rsidR="000152F3" w:rsidRPr="00A90AA3" w14:paraId="28F15CC4" w14:textId="77777777" w:rsidTr="000E18CA">
        <w:tc>
          <w:tcPr>
            <w:tcW w:w="851" w:type="dxa"/>
          </w:tcPr>
          <w:p w14:paraId="0BECCBBB" w14:textId="2213BF41" w:rsidR="000152F3" w:rsidRDefault="000152F3" w:rsidP="000152F3">
            <w:pPr>
              <w:pStyle w:val="NoSpacing"/>
              <w:jc w:val="both"/>
            </w:pPr>
            <w:r>
              <w:lastRenderedPageBreak/>
              <w:t>2.2</w:t>
            </w:r>
          </w:p>
        </w:tc>
        <w:tc>
          <w:tcPr>
            <w:tcW w:w="8885" w:type="dxa"/>
          </w:tcPr>
          <w:p w14:paraId="0F7BBDA4" w14:textId="2AB594D8" w:rsidR="000152F3" w:rsidRDefault="000152F3" w:rsidP="000152F3">
            <w:pPr>
              <w:jc w:val="both"/>
              <w:rPr>
                <w:rFonts w:ascii="Arial" w:eastAsia="Arial" w:hAnsi="Arial" w:cs="Arial"/>
              </w:rPr>
            </w:pPr>
            <w:r>
              <w:rPr>
                <w:rFonts w:ascii="Arial" w:eastAsia="Arial" w:hAnsi="Arial" w:cs="Arial"/>
              </w:rPr>
              <w:t xml:space="preserve">Changes to the Service Delivery contract (SDC) made in 2017, where the Council stopped funding pay awards and the management fee was uplifted by the same percentage as the overall Council settlement, has meant that in addition to the challenges presented by the pandemic, the </w:t>
            </w:r>
            <w:r w:rsidRPr="00555CBC">
              <w:rPr>
                <w:rFonts w:ascii="Arial" w:eastAsia="Arial" w:hAnsi="Arial" w:cs="Arial"/>
              </w:rPr>
              <w:t xml:space="preserve">Charity has </w:t>
            </w:r>
            <w:r>
              <w:rPr>
                <w:rFonts w:ascii="Arial" w:eastAsia="Arial" w:hAnsi="Arial" w:cs="Arial"/>
              </w:rPr>
              <w:t xml:space="preserve">been required to absorb </w:t>
            </w:r>
            <w:r w:rsidRPr="00555CBC">
              <w:rPr>
                <w:rFonts w:ascii="Arial" w:eastAsia="Arial" w:hAnsi="Arial" w:cs="Arial"/>
              </w:rPr>
              <w:t>£5.8</w:t>
            </w:r>
            <w:r w:rsidR="00CF6038">
              <w:rPr>
                <w:rFonts w:ascii="Arial" w:eastAsia="Arial" w:hAnsi="Arial" w:cs="Arial"/>
              </w:rPr>
              <w:t xml:space="preserve"> </w:t>
            </w:r>
            <w:r w:rsidRPr="00555CBC">
              <w:rPr>
                <w:rFonts w:ascii="Arial" w:eastAsia="Arial" w:hAnsi="Arial" w:cs="Arial"/>
              </w:rPr>
              <w:t>m</w:t>
            </w:r>
            <w:r w:rsidR="008A2AF0">
              <w:rPr>
                <w:rFonts w:ascii="Arial" w:eastAsia="Arial" w:hAnsi="Arial" w:cs="Arial"/>
              </w:rPr>
              <w:t>illion</w:t>
            </w:r>
            <w:r w:rsidRPr="00555CBC">
              <w:rPr>
                <w:rFonts w:ascii="Arial" w:eastAsia="Arial" w:hAnsi="Arial" w:cs="Arial"/>
              </w:rPr>
              <w:t xml:space="preserve"> in pay award pressures</w:t>
            </w:r>
            <w:r>
              <w:rPr>
                <w:rFonts w:ascii="Arial" w:eastAsia="Arial" w:hAnsi="Arial" w:cs="Arial"/>
              </w:rPr>
              <w:t xml:space="preserve"> during the period since implementation of the change. With staff accounting for 84% of costs, the current settlement disproportionately impacts HLH.   </w:t>
            </w:r>
          </w:p>
          <w:p w14:paraId="16507DA8" w14:textId="77777777" w:rsidR="000152F3" w:rsidRDefault="000152F3" w:rsidP="000152F3">
            <w:pPr>
              <w:jc w:val="both"/>
              <w:rPr>
                <w:rFonts w:ascii="Arial" w:eastAsia="Arial" w:hAnsi="Arial" w:cs="Arial"/>
              </w:rPr>
            </w:pPr>
          </w:p>
        </w:tc>
      </w:tr>
      <w:tr w:rsidR="000152F3" w:rsidRPr="00A90AA3" w14:paraId="6109DBAD" w14:textId="77777777" w:rsidTr="000E18CA">
        <w:tc>
          <w:tcPr>
            <w:tcW w:w="851" w:type="dxa"/>
          </w:tcPr>
          <w:p w14:paraId="2B52AF56" w14:textId="0A266A67" w:rsidR="000152F3" w:rsidRDefault="000152F3" w:rsidP="000152F3">
            <w:pPr>
              <w:pStyle w:val="NoSpacing"/>
              <w:jc w:val="both"/>
            </w:pPr>
            <w:r>
              <w:t>2.3</w:t>
            </w:r>
          </w:p>
        </w:tc>
        <w:tc>
          <w:tcPr>
            <w:tcW w:w="8885" w:type="dxa"/>
          </w:tcPr>
          <w:p w14:paraId="05C1A847" w14:textId="2BF6D935" w:rsidR="000152F3" w:rsidRDefault="000152F3" w:rsidP="000152F3">
            <w:pPr>
              <w:jc w:val="both"/>
              <w:rPr>
                <w:rFonts w:ascii="Arial" w:eastAsia="Arial" w:hAnsi="Arial" w:cs="Arial"/>
              </w:rPr>
            </w:pPr>
            <w:bookmarkStart w:id="1" w:name="_Hlk128218542"/>
            <w:r>
              <w:rPr>
                <w:rFonts w:ascii="Arial" w:eastAsia="Arial" w:hAnsi="Arial" w:cs="Arial"/>
              </w:rPr>
              <w:t xml:space="preserve">Despite income projected to return to pre-pandemic levels in FY </w:t>
            </w:r>
            <w:r w:rsidR="008A2AF0">
              <w:rPr>
                <w:rFonts w:ascii="Arial" w:eastAsia="Arial" w:hAnsi="Arial" w:cs="Arial"/>
              </w:rPr>
              <w:t>20</w:t>
            </w:r>
            <w:r>
              <w:rPr>
                <w:rFonts w:ascii="Arial" w:eastAsia="Arial" w:hAnsi="Arial" w:cs="Arial"/>
              </w:rPr>
              <w:t xml:space="preserve">23/24, underlying pressures mean that the Charity’s financial position is unsustainable without a comprehensive review of the current SDC. </w:t>
            </w:r>
            <w:bookmarkEnd w:id="1"/>
          </w:p>
          <w:p w14:paraId="1E1D31BD" w14:textId="77777777" w:rsidR="000152F3" w:rsidRDefault="000152F3" w:rsidP="000152F3">
            <w:pPr>
              <w:jc w:val="both"/>
              <w:rPr>
                <w:rFonts w:ascii="Arial" w:eastAsia="Arial" w:hAnsi="Arial" w:cs="Arial"/>
              </w:rPr>
            </w:pPr>
          </w:p>
        </w:tc>
      </w:tr>
      <w:tr w:rsidR="000152F3" w:rsidRPr="00A90AA3" w14:paraId="2CA6E078" w14:textId="77777777" w:rsidTr="000E18CA">
        <w:tc>
          <w:tcPr>
            <w:tcW w:w="851" w:type="dxa"/>
          </w:tcPr>
          <w:p w14:paraId="14E9430A" w14:textId="5C85319E" w:rsidR="000152F3" w:rsidRDefault="000152F3" w:rsidP="000152F3">
            <w:pPr>
              <w:pStyle w:val="NoSpacing"/>
              <w:jc w:val="both"/>
            </w:pPr>
            <w:r>
              <w:t>3.</w:t>
            </w:r>
          </w:p>
        </w:tc>
        <w:tc>
          <w:tcPr>
            <w:tcW w:w="8885" w:type="dxa"/>
          </w:tcPr>
          <w:p w14:paraId="2DB67533" w14:textId="77777777" w:rsidR="000152F3" w:rsidRPr="0006108E" w:rsidRDefault="000152F3" w:rsidP="000152F3">
            <w:pPr>
              <w:jc w:val="both"/>
              <w:rPr>
                <w:rFonts w:ascii="Arial" w:eastAsia="Arial" w:hAnsi="Arial" w:cs="Arial"/>
                <w:b/>
                <w:bCs/>
              </w:rPr>
            </w:pPr>
            <w:r w:rsidRPr="0006108E">
              <w:rPr>
                <w:rFonts w:ascii="Arial" w:eastAsia="Arial" w:hAnsi="Arial" w:cs="Arial"/>
                <w:b/>
                <w:bCs/>
              </w:rPr>
              <w:t>Situation</w:t>
            </w:r>
          </w:p>
          <w:p w14:paraId="53BD9FC3" w14:textId="77777777" w:rsidR="000152F3" w:rsidRDefault="000152F3" w:rsidP="000152F3">
            <w:pPr>
              <w:jc w:val="both"/>
              <w:rPr>
                <w:rFonts w:ascii="Arial" w:eastAsia="Arial" w:hAnsi="Arial" w:cs="Arial"/>
              </w:rPr>
            </w:pPr>
          </w:p>
        </w:tc>
      </w:tr>
      <w:tr w:rsidR="000152F3" w:rsidRPr="00A90AA3" w14:paraId="581A09F5" w14:textId="77777777" w:rsidTr="000E18CA">
        <w:tc>
          <w:tcPr>
            <w:tcW w:w="851" w:type="dxa"/>
          </w:tcPr>
          <w:p w14:paraId="570139BD" w14:textId="5F9A8625" w:rsidR="000152F3" w:rsidRDefault="000152F3" w:rsidP="000152F3">
            <w:pPr>
              <w:pStyle w:val="NoSpacing"/>
              <w:jc w:val="both"/>
            </w:pPr>
            <w:r>
              <w:t>3.1</w:t>
            </w:r>
          </w:p>
        </w:tc>
        <w:tc>
          <w:tcPr>
            <w:tcW w:w="8885" w:type="dxa"/>
          </w:tcPr>
          <w:p w14:paraId="0FC432C8" w14:textId="0D149F65" w:rsidR="000152F3" w:rsidRDefault="000152F3" w:rsidP="000152F3">
            <w:pPr>
              <w:jc w:val="both"/>
              <w:rPr>
                <w:rFonts w:ascii="Arial" w:eastAsia="Arial" w:hAnsi="Arial" w:cs="Arial"/>
              </w:rPr>
            </w:pPr>
            <w:r>
              <w:rPr>
                <w:rFonts w:ascii="Arial" w:eastAsia="Arial" w:hAnsi="Arial" w:cs="Arial"/>
              </w:rPr>
              <w:t xml:space="preserve">Notwithstanding the balanced budget position achieved for FY </w:t>
            </w:r>
            <w:r w:rsidR="00CF6038">
              <w:rPr>
                <w:rFonts w:ascii="Arial" w:eastAsia="Arial" w:hAnsi="Arial" w:cs="Arial"/>
              </w:rPr>
              <w:t>20</w:t>
            </w:r>
            <w:r>
              <w:rPr>
                <w:rFonts w:ascii="Arial" w:eastAsia="Arial" w:hAnsi="Arial" w:cs="Arial"/>
              </w:rPr>
              <w:t xml:space="preserve">23/24, the non-recurring nature of support from </w:t>
            </w:r>
            <w:r w:rsidR="004602DD">
              <w:rPr>
                <w:rFonts w:ascii="Arial" w:eastAsia="Arial" w:hAnsi="Arial" w:cs="Arial"/>
              </w:rPr>
              <w:t xml:space="preserve">The </w:t>
            </w:r>
            <w:r>
              <w:rPr>
                <w:rFonts w:ascii="Arial" w:eastAsia="Arial" w:hAnsi="Arial" w:cs="Arial"/>
              </w:rPr>
              <w:t xml:space="preserve">Highland Council and continuing pressure from pay awards raises serious concerns in respect of financial sustainability.  Current assumptions on pay pressures, inflation and use of reserves means that HLH faces a reasonable worst case budget deficit in FY </w:t>
            </w:r>
            <w:r w:rsidR="008A2AF0">
              <w:rPr>
                <w:rFonts w:ascii="Arial" w:eastAsia="Arial" w:hAnsi="Arial" w:cs="Arial"/>
              </w:rPr>
              <w:t>20</w:t>
            </w:r>
            <w:r>
              <w:rPr>
                <w:rFonts w:ascii="Arial" w:eastAsia="Arial" w:hAnsi="Arial" w:cs="Arial"/>
              </w:rPr>
              <w:t>24/25 of c</w:t>
            </w:r>
            <w:r w:rsidR="008A2AF0">
              <w:rPr>
                <w:rFonts w:ascii="Arial" w:eastAsia="Arial" w:hAnsi="Arial" w:cs="Arial"/>
              </w:rPr>
              <w:t xml:space="preserve">. </w:t>
            </w:r>
            <w:r>
              <w:rPr>
                <w:rFonts w:ascii="Arial" w:eastAsia="Arial" w:hAnsi="Arial" w:cs="Arial"/>
              </w:rPr>
              <w:t xml:space="preserve">£4m (See Table 1). However, it is important to note that this is unmitigated and does not take account of efficiencies, </w:t>
            </w:r>
            <w:proofErr w:type="gramStart"/>
            <w:r>
              <w:rPr>
                <w:rFonts w:ascii="Arial" w:eastAsia="Arial" w:hAnsi="Arial" w:cs="Arial"/>
              </w:rPr>
              <w:t>reductions</w:t>
            </w:r>
            <w:proofErr w:type="gramEnd"/>
            <w:r>
              <w:rPr>
                <w:rFonts w:ascii="Arial" w:eastAsia="Arial" w:hAnsi="Arial" w:cs="Arial"/>
              </w:rPr>
              <w:t xml:space="preserve"> or additional income.</w:t>
            </w:r>
          </w:p>
          <w:p w14:paraId="7F8735FF" w14:textId="012F784B" w:rsidR="008A2AF0" w:rsidRDefault="008A2AF0" w:rsidP="000152F3">
            <w:pPr>
              <w:jc w:val="both"/>
              <w:rPr>
                <w:rFonts w:ascii="Arial" w:eastAsia="Arial" w:hAnsi="Arial" w:cs="Arial"/>
              </w:rPr>
            </w:pPr>
          </w:p>
          <w:p w14:paraId="01A5BAE7" w14:textId="07F0C7F8" w:rsidR="008A2AF0" w:rsidRDefault="008A2AF0" w:rsidP="008A2AF0">
            <w:pPr>
              <w:jc w:val="both"/>
              <w:rPr>
                <w:rFonts w:ascii="Arial" w:eastAsia="Arial" w:hAnsi="Arial" w:cs="Arial"/>
              </w:rPr>
            </w:pPr>
            <w:r>
              <w:rPr>
                <w:rFonts w:ascii="Arial" w:eastAsia="Arial" w:hAnsi="Arial" w:cs="Arial"/>
              </w:rPr>
              <w:t xml:space="preserve">Table 1 – Budget Pressures FY </w:t>
            </w:r>
            <w:r w:rsidR="00CF6038">
              <w:rPr>
                <w:rFonts w:ascii="Arial" w:eastAsia="Arial" w:hAnsi="Arial" w:cs="Arial"/>
              </w:rPr>
              <w:t>20</w:t>
            </w:r>
            <w:r>
              <w:rPr>
                <w:rFonts w:ascii="Arial" w:eastAsia="Arial" w:hAnsi="Arial" w:cs="Arial"/>
              </w:rPr>
              <w:t>24/25</w:t>
            </w:r>
          </w:p>
          <w:p w14:paraId="557D3A21" w14:textId="77777777" w:rsidR="000152F3" w:rsidRDefault="000152F3" w:rsidP="000152F3">
            <w:pPr>
              <w:jc w:val="both"/>
            </w:pPr>
          </w:p>
          <w:tbl>
            <w:tblPr>
              <w:tblW w:w="5362" w:type="dxa"/>
              <w:tblCellMar>
                <w:left w:w="0" w:type="dxa"/>
                <w:right w:w="0" w:type="dxa"/>
              </w:tblCellMar>
              <w:tblLook w:val="04A0" w:firstRow="1" w:lastRow="0" w:firstColumn="1" w:lastColumn="0" w:noHBand="0" w:noVBand="1"/>
            </w:tblPr>
            <w:tblGrid>
              <w:gridCol w:w="3576"/>
              <w:gridCol w:w="56"/>
              <w:gridCol w:w="1660"/>
              <w:gridCol w:w="70"/>
            </w:tblGrid>
            <w:tr w:rsidR="000152F3" w14:paraId="249DDA94" w14:textId="77777777" w:rsidTr="000152F3">
              <w:trPr>
                <w:gridAfter w:val="1"/>
                <w:wAfter w:w="70" w:type="dxa"/>
                <w:trHeight w:val="252"/>
              </w:trPr>
              <w:tc>
                <w:tcPr>
                  <w:tcW w:w="3576" w:type="dxa"/>
                  <w:tcBorders>
                    <w:top w:val="single" w:sz="8" w:space="0" w:color="auto"/>
                    <w:left w:val="single" w:sz="8" w:space="0" w:color="auto"/>
                    <w:bottom w:val="single" w:sz="8" w:space="0" w:color="auto"/>
                    <w:right w:val="single" w:sz="8" w:space="0" w:color="auto"/>
                  </w:tcBorders>
                  <w:shd w:val="clear" w:color="auto" w:fill="305496"/>
                  <w:noWrap/>
                  <w:tcMar>
                    <w:top w:w="0" w:type="dxa"/>
                    <w:left w:w="108" w:type="dxa"/>
                    <w:bottom w:w="0" w:type="dxa"/>
                    <w:right w:w="108" w:type="dxa"/>
                  </w:tcMar>
                  <w:vAlign w:val="bottom"/>
                  <w:hideMark/>
                </w:tcPr>
                <w:p w14:paraId="402BDF07" w14:textId="77777777" w:rsidR="000152F3" w:rsidRPr="00CF6038" w:rsidRDefault="000152F3" w:rsidP="000152F3">
                  <w:pPr>
                    <w:jc w:val="both"/>
                    <w:rPr>
                      <w:rFonts w:ascii="Arial" w:hAnsi="Arial" w:cs="Arial"/>
                      <w:b/>
                      <w:bCs/>
                      <w:color w:val="FFFFCC"/>
                      <w:szCs w:val="24"/>
                    </w:rPr>
                  </w:pPr>
                  <w:r w:rsidRPr="00CF6038">
                    <w:rPr>
                      <w:rFonts w:ascii="Arial" w:hAnsi="Arial" w:cs="Arial"/>
                      <w:b/>
                      <w:bCs/>
                      <w:color w:val="FFFFCC"/>
                      <w:szCs w:val="24"/>
                    </w:rPr>
                    <w:t>Draft Budget Pressure</w:t>
                  </w:r>
                </w:p>
              </w:tc>
              <w:tc>
                <w:tcPr>
                  <w:tcW w:w="1716" w:type="dxa"/>
                  <w:gridSpan w:val="2"/>
                  <w:tcBorders>
                    <w:top w:val="single" w:sz="8" w:space="0" w:color="auto"/>
                    <w:left w:val="nil"/>
                    <w:bottom w:val="single" w:sz="8" w:space="0" w:color="auto"/>
                    <w:right w:val="single" w:sz="8" w:space="0" w:color="auto"/>
                  </w:tcBorders>
                  <w:shd w:val="clear" w:color="auto" w:fill="305496"/>
                  <w:noWrap/>
                  <w:tcMar>
                    <w:top w:w="0" w:type="dxa"/>
                    <w:left w:w="108" w:type="dxa"/>
                    <w:bottom w:w="0" w:type="dxa"/>
                    <w:right w:w="108" w:type="dxa"/>
                  </w:tcMar>
                  <w:vAlign w:val="bottom"/>
                  <w:hideMark/>
                </w:tcPr>
                <w:p w14:paraId="6E17DD9E" w14:textId="77777777" w:rsidR="000152F3" w:rsidRPr="00CF6038" w:rsidRDefault="000152F3" w:rsidP="000152F3">
                  <w:pPr>
                    <w:jc w:val="both"/>
                    <w:rPr>
                      <w:rFonts w:ascii="Arial" w:hAnsi="Arial" w:cs="Arial"/>
                      <w:b/>
                      <w:bCs/>
                      <w:color w:val="FFFFCC"/>
                      <w:szCs w:val="24"/>
                    </w:rPr>
                  </w:pPr>
                  <w:r w:rsidRPr="00CF6038">
                    <w:rPr>
                      <w:rFonts w:ascii="Arial" w:hAnsi="Arial" w:cs="Arial"/>
                      <w:b/>
                      <w:bCs/>
                      <w:color w:val="FFFFCC"/>
                      <w:szCs w:val="24"/>
                    </w:rPr>
                    <w:t>24/25 (£m)</w:t>
                  </w:r>
                </w:p>
              </w:tc>
            </w:tr>
            <w:tr w:rsidR="000152F3" w14:paraId="0BA29AAB" w14:textId="77777777" w:rsidTr="000152F3">
              <w:trPr>
                <w:gridAfter w:val="1"/>
                <w:wAfter w:w="70" w:type="dxa"/>
                <w:trHeight w:val="252"/>
              </w:trPr>
              <w:tc>
                <w:tcPr>
                  <w:tcW w:w="3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D7340F"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 xml:space="preserve">Pay Award (3%?) </w:t>
                  </w:r>
                </w:p>
              </w:tc>
              <w:tc>
                <w:tcPr>
                  <w:tcW w:w="171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F50A8E"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0.86</w:t>
                  </w:r>
                </w:p>
              </w:tc>
            </w:tr>
            <w:tr w:rsidR="000152F3" w14:paraId="65B4C67F" w14:textId="77777777" w:rsidTr="000152F3">
              <w:trPr>
                <w:gridAfter w:val="1"/>
                <w:wAfter w:w="70" w:type="dxa"/>
                <w:trHeight w:val="252"/>
              </w:trPr>
              <w:tc>
                <w:tcPr>
                  <w:tcW w:w="3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14449F"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Loss of THC Reserves Funding</w:t>
                  </w:r>
                </w:p>
              </w:tc>
              <w:tc>
                <w:tcPr>
                  <w:tcW w:w="171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971F0"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2.4</w:t>
                  </w:r>
                </w:p>
              </w:tc>
            </w:tr>
            <w:tr w:rsidR="000152F3" w14:paraId="6855AA11" w14:textId="77777777" w:rsidTr="000152F3">
              <w:trPr>
                <w:gridAfter w:val="1"/>
                <w:wAfter w:w="70" w:type="dxa"/>
                <w:trHeight w:val="252"/>
              </w:trPr>
              <w:tc>
                <w:tcPr>
                  <w:tcW w:w="3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2FECD2"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No Reserves to Balance Budget</w:t>
                  </w:r>
                </w:p>
              </w:tc>
              <w:tc>
                <w:tcPr>
                  <w:tcW w:w="171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9D29B4"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0.6</w:t>
                  </w:r>
                </w:p>
              </w:tc>
            </w:tr>
            <w:tr w:rsidR="000152F3" w14:paraId="0511B66F" w14:textId="77777777" w:rsidTr="000152F3">
              <w:trPr>
                <w:gridAfter w:val="1"/>
                <w:wAfter w:w="70" w:type="dxa"/>
                <w:trHeight w:val="252"/>
              </w:trPr>
              <w:tc>
                <w:tcPr>
                  <w:tcW w:w="357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6A398C"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Operating Costs Inflation (3%?)</w:t>
                  </w:r>
                </w:p>
              </w:tc>
              <w:tc>
                <w:tcPr>
                  <w:tcW w:w="171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2E94DD" w14:textId="77777777" w:rsidR="000152F3" w:rsidRPr="00CF6038" w:rsidRDefault="000152F3" w:rsidP="000152F3">
                  <w:pPr>
                    <w:jc w:val="both"/>
                    <w:rPr>
                      <w:rFonts w:ascii="Arial" w:hAnsi="Arial" w:cs="Arial"/>
                      <w:color w:val="000000"/>
                      <w:szCs w:val="24"/>
                    </w:rPr>
                  </w:pPr>
                  <w:r w:rsidRPr="00CF6038">
                    <w:rPr>
                      <w:rFonts w:ascii="Arial" w:hAnsi="Arial" w:cs="Arial"/>
                      <w:color w:val="000000"/>
                      <w:szCs w:val="24"/>
                    </w:rPr>
                    <w:t>0.17</w:t>
                  </w:r>
                </w:p>
              </w:tc>
            </w:tr>
            <w:tr w:rsidR="000152F3" w14:paraId="02BFD4C9" w14:textId="77777777" w:rsidTr="000152F3">
              <w:trPr>
                <w:trHeight w:val="252"/>
              </w:trPr>
              <w:tc>
                <w:tcPr>
                  <w:tcW w:w="3632" w:type="dxa"/>
                  <w:gridSpan w:val="2"/>
                  <w:noWrap/>
                  <w:tcMar>
                    <w:top w:w="0" w:type="dxa"/>
                    <w:left w:w="108" w:type="dxa"/>
                    <w:bottom w:w="0" w:type="dxa"/>
                    <w:right w:w="108" w:type="dxa"/>
                  </w:tcMar>
                  <w:vAlign w:val="bottom"/>
                  <w:hideMark/>
                </w:tcPr>
                <w:p w14:paraId="13907321" w14:textId="77777777" w:rsidR="000152F3" w:rsidRPr="00CF6038" w:rsidRDefault="000152F3" w:rsidP="000152F3">
                  <w:pPr>
                    <w:jc w:val="both"/>
                    <w:rPr>
                      <w:rFonts w:ascii="Arial" w:hAnsi="Arial" w:cs="Arial"/>
                      <w:color w:val="000000"/>
                      <w:szCs w:val="24"/>
                    </w:rPr>
                  </w:pPr>
                </w:p>
              </w:tc>
              <w:tc>
                <w:tcPr>
                  <w:tcW w:w="1660" w:type="dxa"/>
                  <w:noWrap/>
                  <w:tcMar>
                    <w:top w:w="0" w:type="dxa"/>
                    <w:left w:w="108" w:type="dxa"/>
                    <w:bottom w:w="0" w:type="dxa"/>
                    <w:right w:w="108" w:type="dxa"/>
                  </w:tcMar>
                  <w:vAlign w:val="bottom"/>
                  <w:hideMark/>
                </w:tcPr>
                <w:p w14:paraId="279D724F" w14:textId="77777777" w:rsidR="000152F3" w:rsidRPr="00CF6038" w:rsidRDefault="000152F3" w:rsidP="000152F3">
                  <w:pPr>
                    <w:jc w:val="both"/>
                    <w:rPr>
                      <w:rFonts w:ascii="Arial" w:hAnsi="Arial" w:cs="Arial"/>
                      <w:szCs w:val="24"/>
                    </w:rPr>
                  </w:pPr>
                </w:p>
              </w:tc>
              <w:tc>
                <w:tcPr>
                  <w:tcW w:w="70" w:type="dxa"/>
                  <w:vAlign w:val="center"/>
                  <w:hideMark/>
                </w:tcPr>
                <w:p w14:paraId="5E3718D0" w14:textId="77777777" w:rsidR="000152F3" w:rsidRDefault="000152F3" w:rsidP="000152F3">
                  <w:pPr>
                    <w:jc w:val="both"/>
                    <w:rPr>
                      <w:rFonts w:ascii="Calibri" w:eastAsiaTheme="minorHAnsi" w:hAnsi="Calibri" w:cs="Calibri"/>
                      <w:sz w:val="22"/>
                      <w:szCs w:val="22"/>
                      <w:lang w:eastAsia="en-US"/>
                    </w:rPr>
                  </w:pPr>
                  <w:r>
                    <w:t> </w:t>
                  </w:r>
                </w:p>
              </w:tc>
            </w:tr>
            <w:tr w:rsidR="000152F3" w14:paraId="23EB5437" w14:textId="77777777" w:rsidTr="000152F3">
              <w:trPr>
                <w:trHeight w:val="252"/>
              </w:trPr>
              <w:tc>
                <w:tcPr>
                  <w:tcW w:w="3632"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52C1BE" w14:textId="77777777" w:rsidR="000152F3" w:rsidRPr="00CF6038" w:rsidRDefault="000152F3" w:rsidP="000152F3">
                  <w:pPr>
                    <w:jc w:val="both"/>
                    <w:rPr>
                      <w:rFonts w:ascii="Arial" w:hAnsi="Arial" w:cs="Arial"/>
                      <w:b/>
                      <w:bCs/>
                      <w:color w:val="000000"/>
                      <w:szCs w:val="24"/>
                    </w:rPr>
                  </w:pPr>
                  <w:r w:rsidRPr="00CF6038">
                    <w:rPr>
                      <w:rFonts w:ascii="Arial" w:hAnsi="Arial" w:cs="Arial"/>
                      <w:b/>
                      <w:bCs/>
                      <w:color w:val="000000"/>
                      <w:szCs w:val="24"/>
                    </w:rPr>
                    <w:t>Total Pressure</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5DF5BA2" w14:textId="77777777" w:rsidR="000152F3" w:rsidRPr="00CF6038" w:rsidRDefault="000152F3" w:rsidP="000152F3">
                  <w:pPr>
                    <w:jc w:val="both"/>
                    <w:rPr>
                      <w:rFonts w:ascii="Arial" w:hAnsi="Arial" w:cs="Arial"/>
                      <w:b/>
                      <w:bCs/>
                      <w:color w:val="000000"/>
                      <w:szCs w:val="24"/>
                    </w:rPr>
                  </w:pPr>
                  <w:r w:rsidRPr="00CF6038">
                    <w:rPr>
                      <w:rFonts w:ascii="Arial" w:hAnsi="Arial" w:cs="Arial"/>
                      <w:b/>
                      <w:bCs/>
                      <w:color w:val="000000"/>
                      <w:szCs w:val="24"/>
                    </w:rPr>
                    <w:t>4.03</w:t>
                  </w:r>
                </w:p>
              </w:tc>
              <w:tc>
                <w:tcPr>
                  <w:tcW w:w="70" w:type="dxa"/>
                  <w:vAlign w:val="center"/>
                  <w:hideMark/>
                </w:tcPr>
                <w:p w14:paraId="24CB3CE1" w14:textId="77777777" w:rsidR="000152F3" w:rsidRDefault="000152F3" w:rsidP="000152F3">
                  <w:pPr>
                    <w:jc w:val="both"/>
                    <w:rPr>
                      <w:rFonts w:ascii="Calibri" w:hAnsi="Calibri"/>
                      <w:sz w:val="22"/>
                      <w:szCs w:val="22"/>
                      <w:lang w:eastAsia="en-US"/>
                    </w:rPr>
                  </w:pPr>
                  <w:r>
                    <w:t> </w:t>
                  </w:r>
                </w:p>
              </w:tc>
            </w:tr>
          </w:tbl>
          <w:p w14:paraId="6510FF2B" w14:textId="267D6FCD" w:rsidR="000152F3" w:rsidRPr="0006108E" w:rsidRDefault="000152F3" w:rsidP="008A2AF0">
            <w:pPr>
              <w:jc w:val="both"/>
              <w:rPr>
                <w:rFonts w:ascii="Arial" w:eastAsia="Arial" w:hAnsi="Arial" w:cs="Arial"/>
                <w:b/>
                <w:bCs/>
              </w:rPr>
            </w:pPr>
          </w:p>
        </w:tc>
      </w:tr>
      <w:tr w:rsidR="000152F3" w:rsidRPr="00A90AA3" w14:paraId="1AC65A5E" w14:textId="77777777" w:rsidTr="000E18CA">
        <w:tc>
          <w:tcPr>
            <w:tcW w:w="851" w:type="dxa"/>
          </w:tcPr>
          <w:p w14:paraId="700AEFFF" w14:textId="77777777" w:rsidR="00CF6038" w:rsidRDefault="00CF6038" w:rsidP="000152F3">
            <w:pPr>
              <w:pStyle w:val="NoSpacing"/>
              <w:jc w:val="both"/>
            </w:pPr>
          </w:p>
          <w:p w14:paraId="42EA5EE2" w14:textId="28235F47" w:rsidR="000152F3" w:rsidRDefault="000152F3" w:rsidP="000152F3">
            <w:pPr>
              <w:pStyle w:val="NoSpacing"/>
              <w:jc w:val="both"/>
            </w:pPr>
            <w:r>
              <w:t>3.2</w:t>
            </w:r>
          </w:p>
        </w:tc>
        <w:tc>
          <w:tcPr>
            <w:tcW w:w="8885" w:type="dxa"/>
          </w:tcPr>
          <w:p w14:paraId="6FBDD257" w14:textId="77777777" w:rsidR="00CF6038" w:rsidRDefault="00CF6038" w:rsidP="000152F3">
            <w:pPr>
              <w:jc w:val="both"/>
              <w:rPr>
                <w:rFonts w:ascii="Arial" w:eastAsia="Arial" w:hAnsi="Arial" w:cs="Arial"/>
              </w:rPr>
            </w:pPr>
          </w:p>
          <w:p w14:paraId="2B936D7A" w14:textId="6EA5F53B" w:rsidR="000152F3" w:rsidRDefault="000152F3" w:rsidP="000152F3">
            <w:pPr>
              <w:jc w:val="both"/>
              <w:rPr>
                <w:rFonts w:ascii="Arial" w:eastAsia="Arial" w:hAnsi="Arial" w:cs="Arial"/>
              </w:rPr>
            </w:pPr>
            <w:r>
              <w:rPr>
                <w:rFonts w:ascii="Arial" w:eastAsia="Arial" w:hAnsi="Arial" w:cs="Arial"/>
              </w:rPr>
              <w:t xml:space="preserve">Concerns with the sustainability of the Charity under the terms of the current SDC have been raised with council officials and senior elected members on numerous occasions. Despite multiple re-assurances that a review is imminent, no progress has been made in terms of constructive engagement with the Council on the SDC review. </w:t>
            </w:r>
          </w:p>
          <w:p w14:paraId="3446CA29" w14:textId="77777777" w:rsidR="000152F3" w:rsidRDefault="000152F3" w:rsidP="000152F3">
            <w:pPr>
              <w:jc w:val="both"/>
              <w:rPr>
                <w:rFonts w:ascii="Arial" w:eastAsia="Arial" w:hAnsi="Arial" w:cs="Arial"/>
              </w:rPr>
            </w:pPr>
          </w:p>
        </w:tc>
      </w:tr>
      <w:tr w:rsidR="000152F3" w:rsidRPr="00A90AA3" w14:paraId="25FDD9B5" w14:textId="77777777" w:rsidTr="000E18CA">
        <w:tc>
          <w:tcPr>
            <w:tcW w:w="851" w:type="dxa"/>
          </w:tcPr>
          <w:p w14:paraId="4FC33517" w14:textId="4234C737" w:rsidR="000152F3" w:rsidRDefault="000152F3" w:rsidP="000152F3">
            <w:pPr>
              <w:pStyle w:val="NoSpacing"/>
              <w:jc w:val="both"/>
            </w:pPr>
            <w:r>
              <w:t>3.3</w:t>
            </w:r>
          </w:p>
        </w:tc>
        <w:tc>
          <w:tcPr>
            <w:tcW w:w="8885" w:type="dxa"/>
          </w:tcPr>
          <w:p w14:paraId="643FF858" w14:textId="74466D02" w:rsidR="000152F3" w:rsidRPr="0006108E" w:rsidRDefault="000152F3" w:rsidP="000152F3">
            <w:pPr>
              <w:jc w:val="both"/>
              <w:rPr>
                <w:rFonts w:ascii="Arial" w:hAnsi="Arial" w:cs="Arial"/>
              </w:rPr>
            </w:pPr>
            <w:r>
              <w:rPr>
                <w:rFonts w:ascii="Arial" w:eastAsia="Arial" w:hAnsi="Arial" w:cs="Arial"/>
              </w:rPr>
              <w:t>At its meeting on 22 Oct</w:t>
            </w:r>
            <w:r w:rsidR="008A2AF0">
              <w:rPr>
                <w:rFonts w:ascii="Arial" w:eastAsia="Arial" w:hAnsi="Arial" w:cs="Arial"/>
              </w:rPr>
              <w:t>ober</w:t>
            </w:r>
            <w:r>
              <w:rPr>
                <w:rFonts w:ascii="Arial" w:eastAsia="Arial" w:hAnsi="Arial" w:cs="Arial"/>
              </w:rPr>
              <w:t xml:space="preserve"> </w:t>
            </w:r>
            <w:r w:rsidR="008A2AF0">
              <w:rPr>
                <w:rFonts w:ascii="Arial" w:eastAsia="Arial" w:hAnsi="Arial" w:cs="Arial"/>
              </w:rPr>
              <w:t>20</w:t>
            </w:r>
            <w:r>
              <w:rPr>
                <w:rFonts w:ascii="Arial" w:eastAsia="Arial" w:hAnsi="Arial" w:cs="Arial"/>
              </w:rPr>
              <w:t>22, Council members approved a paper entitled: ‘</w:t>
            </w:r>
            <w:r w:rsidRPr="0006108E">
              <w:rPr>
                <w:rFonts w:ascii="Arial" w:hAnsi="Arial" w:cs="Arial"/>
                <w:i/>
                <w:iCs/>
              </w:rPr>
              <w:t>Financial Crisis – Valuing Partners Through Collective Budget Strategies, Redesign and Co-production</w:t>
            </w:r>
            <w:r>
              <w:rPr>
                <w:rFonts w:ascii="Arial" w:hAnsi="Arial" w:cs="Arial"/>
              </w:rPr>
              <w:t>’. As part of the recommendations, the following was noted: ‘</w:t>
            </w:r>
            <w:r w:rsidRPr="0006108E">
              <w:rPr>
                <w:rFonts w:ascii="Arial" w:hAnsi="Arial" w:cs="Arial"/>
                <w:i/>
                <w:iCs/>
              </w:rPr>
              <w:t>the work to be taken forward in partnership with HLH in relation to redesign and contract review (this includes legal involvement)</w:t>
            </w:r>
            <w:r>
              <w:rPr>
                <w:rFonts w:ascii="Arial" w:hAnsi="Arial" w:cs="Arial"/>
              </w:rPr>
              <w:t>’.</w:t>
            </w:r>
          </w:p>
          <w:p w14:paraId="0ED895F7" w14:textId="77777777" w:rsidR="000152F3" w:rsidRDefault="000152F3" w:rsidP="000152F3">
            <w:pPr>
              <w:jc w:val="both"/>
              <w:rPr>
                <w:rFonts w:ascii="Arial" w:eastAsia="Arial" w:hAnsi="Arial" w:cs="Arial"/>
              </w:rPr>
            </w:pPr>
          </w:p>
        </w:tc>
      </w:tr>
      <w:tr w:rsidR="000152F3" w:rsidRPr="00A90AA3" w14:paraId="59BF93BE" w14:textId="77777777" w:rsidTr="000E18CA">
        <w:tc>
          <w:tcPr>
            <w:tcW w:w="851" w:type="dxa"/>
          </w:tcPr>
          <w:p w14:paraId="6BCCFD4F" w14:textId="77777777" w:rsidR="000152F3" w:rsidRDefault="000152F3" w:rsidP="000152F3">
            <w:pPr>
              <w:pStyle w:val="NoSpacing"/>
              <w:jc w:val="both"/>
            </w:pPr>
            <w:r>
              <w:t>3.3</w:t>
            </w:r>
          </w:p>
          <w:p w14:paraId="601F5963" w14:textId="77777777" w:rsidR="00F31EF4" w:rsidRDefault="00F31EF4" w:rsidP="000152F3">
            <w:pPr>
              <w:pStyle w:val="NoSpacing"/>
              <w:jc w:val="both"/>
            </w:pPr>
          </w:p>
          <w:p w14:paraId="18DE9276" w14:textId="77777777" w:rsidR="00F31EF4" w:rsidRDefault="00F31EF4" w:rsidP="000152F3">
            <w:pPr>
              <w:pStyle w:val="NoSpacing"/>
              <w:jc w:val="both"/>
            </w:pPr>
          </w:p>
          <w:p w14:paraId="409E8218" w14:textId="77777777" w:rsidR="00F31EF4" w:rsidRDefault="00F31EF4" w:rsidP="000152F3">
            <w:pPr>
              <w:pStyle w:val="NoSpacing"/>
              <w:jc w:val="both"/>
            </w:pPr>
          </w:p>
          <w:p w14:paraId="2213D483" w14:textId="77777777" w:rsidR="00F31EF4" w:rsidRDefault="00F31EF4" w:rsidP="000152F3">
            <w:pPr>
              <w:pStyle w:val="NoSpacing"/>
              <w:jc w:val="both"/>
            </w:pPr>
          </w:p>
          <w:p w14:paraId="53F78D8B" w14:textId="77777777" w:rsidR="00F31EF4" w:rsidRDefault="00F31EF4" w:rsidP="000152F3">
            <w:pPr>
              <w:pStyle w:val="NoSpacing"/>
              <w:jc w:val="both"/>
            </w:pPr>
          </w:p>
          <w:p w14:paraId="5CFEF91D" w14:textId="77777777" w:rsidR="00F31EF4" w:rsidRDefault="00F31EF4" w:rsidP="000152F3">
            <w:pPr>
              <w:pStyle w:val="NoSpacing"/>
              <w:jc w:val="both"/>
            </w:pPr>
          </w:p>
          <w:p w14:paraId="0B2DED1D" w14:textId="77777777" w:rsidR="00F31EF4" w:rsidRDefault="00F31EF4" w:rsidP="000152F3">
            <w:pPr>
              <w:pStyle w:val="NoSpacing"/>
              <w:jc w:val="both"/>
            </w:pPr>
          </w:p>
          <w:p w14:paraId="7A98AF8D" w14:textId="77777777" w:rsidR="00F31EF4" w:rsidRDefault="00F31EF4" w:rsidP="000152F3">
            <w:pPr>
              <w:pStyle w:val="NoSpacing"/>
              <w:jc w:val="both"/>
            </w:pPr>
          </w:p>
          <w:p w14:paraId="128C1636" w14:textId="77777777" w:rsidR="00F31EF4" w:rsidRDefault="00F31EF4" w:rsidP="000152F3">
            <w:pPr>
              <w:pStyle w:val="NoSpacing"/>
              <w:jc w:val="both"/>
            </w:pPr>
          </w:p>
          <w:p w14:paraId="6F180296" w14:textId="77777777" w:rsidR="00F31EF4" w:rsidRDefault="00F31EF4" w:rsidP="000152F3">
            <w:pPr>
              <w:pStyle w:val="NoSpacing"/>
              <w:jc w:val="both"/>
            </w:pPr>
          </w:p>
          <w:p w14:paraId="28C2ED25" w14:textId="77777777" w:rsidR="00F31EF4" w:rsidRDefault="00F31EF4" w:rsidP="000152F3">
            <w:pPr>
              <w:pStyle w:val="NoSpacing"/>
              <w:jc w:val="both"/>
            </w:pPr>
          </w:p>
          <w:p w14:paraId="662B9FF6" w14:textId="77777777" w:rsidR="00F31EF4" w:rsidRDefault="00F31EF4" w:rsidP="000152F3">
            <w:pPr>
              <w:pStyle w:val="NoSpacing"/>
              <w:jc w:val="both"/>
            </w:pPr>
          </w:p>
          <w:p w14:paraId="6B0AF3C2" w14:textId="77777777" w:rsidR="00F31EF4" w:rsidRDefault="00F31EF4" w:rsidP="000152F3">
            <w:pPr>
              <w:pStyle w:val="NoSpacing"/>
              <w:jc w:val="both"/>
            </w:pPr>
          </w:p>
          <w:p w14:paraId="38763BD9" w14:textId="550A6937" w:rsidR="00F31EF4" w:rsidRDefault="00F31EF4" w:rsidP="000152F3">
            <w:pPr>
              <w:pStyle w:val="NoSpacing"/>
              <w:jc w:val="both"/>
            </w:pPr>
            <w:r>
              <w:t>3.3.1</w:t>
            </w:r>
          </w:p>
        </w:tc>
        <w:tc>
          <w:tcPr>
            <w:tcW w:w="8885" w:type="dxa"/>
          </w:tcPr>
          <w:p w14:paraId="5C591CFC" w14:textId="77777777" w:rsidR="00CF6038" w:rsidRDefault="000152F3" w:rsidP="000152F3">
            <w:pPr>
              <w:jc w:val="both"/>
              <w:rPr>
                <w:rFonts w:ascii="Arial" w:hAnsi="Arial" w:cs="Arial"/>
              </w:rPr>
            </w:pPr>
            <w:r>
              <w:rPr>
                <w:rFonts w:ascii="Arial" w:hAnsi="Arial" w:cs="Arial"/>
              </w:rPr>
              <w:lastRenderedPageBreak/>
              <w:t>The body of the report included the following paragraph: ‘</w:t>
            </w:r>
            <w:r w:rsidRPr="0006108E">
              <w:rPr>
                <w:rFonts w:ascii="Arial" w:hAnsi="Arial" w:cs="Arial"/>
                <w:i/>
                <w:iCs/>
              </w:rPr>
              <w:t xml:space="preserve">Redesign and contract review is a key aspect of the current discussion between the two organisations. The financial crisis is such that there is a clear need to work together in partnership to deliver sustainable budgets and financial savings. There is a real opportunity to embrace a joint redesign review, and a contract review, as means by which both organisations can contribute to and develop recommendations to help address current and future financial challenges. There are already strong links with HLH in relation to Asset Management, and these can be strengthened further and, by working together, inject further pace into that activity. The other budget strategies adopted by the Council, including the capital plan and contract management, are </w:t>
            </w:r>
            <w:r w:rsidRPr="0006108E">
              <w:rPr>
                <w:rFonts w:ascii="Arial" w:hAnsi="Arial" w:cs="Arial"/>
                <w:i/>
                <w:iCs/>
              </w:rPr>
              <w:lastRenderedPageBreak/>
              <w:t>other clear examples of relevance to the relationship with HLH. This activity will be taken forward, with reports back to Council, with the intent that budget recommendations can be considered by Council in its budget setting for 2023/24</w:t>
            </w:r>
            <w:r>
              <w:rPr>
                <w:rFonts w:ascii="Arial" w:hAnsi="Arial" w:cs="Arial"/>
              </w:rPr>
              <w:t>’</w:t>
            </w:r>
            <w:r w:rsidRPr="0006108E">
              <w:rPr>
                <w:rFonts w:ascii="Arial" w:hAnsi="Arial" w:cs="Arial"/>
              </w:rPr>
              <w:t>.</w:t>
            </w:r>
            <w:r>
              <w:rPr>
                <w:rFonts w:ascii="Arial" w:hAnsi="Arial" w:cs="Arial"/>
              </w:rPr>
              <w:t xml:space="preserve"> </w:t>
            </w:r>
          </w:p>
          <w:p w14:paraId="2F27CFDF" w14:textId="77777777" w:rsidR="00CF6038" w:rsidRDefault="00CF6038" w:rsidP="000152F3">
            <w:pPr>
              <w:jc w:val="both"/>
              <w:rPr>
                <w:rFonts w:ascii="Arial" w:hAnsi="Arial" w:cs="Arial"/>
              </w:rPr>
            </w:pPr>
          </w:p>
          <w:p w14:paraId="31C42996" w14:textId="54D1ED46" w:rsidR="000152F3" w:rsidRPr="00F42C38" w:rsidRDefault="000152F3" w:rsidP="000152F3">
            <w:pPr>
              <w:jc w:val="both"/>
              <w:rPr>
                <w:rFonts w:ascii="Arial" w:eastAsia="Arial" w:hAnsi="Arial" w:cs="Arial"/>
              </w:rPr>
            </w:pPr>
            <w:r>
              <w:rPr>
                <w:rFonts w:ascii="Arial" w:hAnsi="Arial" w:cs="Arial"/>
              </w:rPr>
              <w:t>To date, in spite of HLH pressing at all levels, including requests in both recent letters f</w:t>
            </w:r>
            <w:r w:rsidR="00CF6038">
              <w:rPr>
                <w:rFonts w:ascii="Arial" w:hAnsi="Arial" w:cs="Arial"/>
              </w:rPr>
              <w:t>rom</w:t>
            </w:r>
            <w:r>
              <w:rPr>
                <w:rFonts w:ascii="Arial" w:hAnsi="Arial" w:cs="Arial"/>
              </w:rPr>
              <w:t xml:space="preserve"> the HLH Chair </w:t>
            </w:r>
            <w:r w:rsidR="004602DD">
              <w:rPr>
                <w:rFonts w:ascii="Arial" w:hAnsi="Arial" w:cs="Arial"/>
              </w:rPr>
              <w:t>for</w:t>
            </w:r>
            <w:r>
              <w:rPr>
                <w:rFonts w:ascii="Arial" w:hAnsi="Arial" w:cs="Arial"/>
              </w:rPr>
              <w:t xml:space="preserve"> initiation of the contract review</w:t>
            </w:r>
            <w:r w:rsidR="00CF6038">
              <w:rPr>
                <w:rFonts w:ascii="Arial" w:hAnsi="Arial" w:cs="Arial"/>
              </w:rPr>
              <w:t>, this</w:t>
            </w:r>
            <w:r>
              <w:rPr>
                <w:rFonts w:ascii="Arial" w:hAnsi="Arial" w:cs="Arial"/>
              </w:rPr>
              <w:t xml:space="preserve"> has not commenced.  </w:t>
            </w:r>
          </w:p>
          <w:p w14:paraId="2AE2CC2D" w14:textId="77777777" w:rsidR="000152F3" w:rsidRDefault="000152F3" w:rsidP="000152F3">
            <w:pPr>
              <w:jc w:val="both"/>
              <w:rPr>
                <w:rFonts w:ascii="Arial" w:eastAsia="Arial" w:hAnsi="Arial" w:cs="Arial"/>
              </w:rPr>
            </w:pPr>
          </w:p>
        </w:tc>
      </w:tr>
      <w:tr w:rsidR="000152F3" w:rsidRPr="00A90AA3" w14:paraId="1ABD0690" w14:textId="77777777" w:rsidTr="000E18CA">
        <w:tc>
          <w:tcPr>
            <w:tcW w:w="851" w:type="dxa"/>
          </w:tcPr>
          <w:p w14:paraId="2CE15E70" w14:textId="4B37B81D" w:rsidR="000152F3" w:rsidRDefault="000152F3" w:rsidP="000152F3">
            <w:pPr>
              <w:pStyle w:val="NoSpacing"/>
              <w:jc w:val="both"/>
            </w:pPr>
            <w:r>
              <w:lastRenderedPageBreak/>
              <w:t>4.</w:t>
            </w:r>
          </w:p>
        </w:tc>
        <w:tc>
          <w:tcPr>
            <w:tcW w:w="8885" w:type="dxa"/>
          </w:tcPr>
          <w:p w14:paraId="4B423CFE" w14:textId="77777777" w:rsidR="000152F3" w:rsidRPr="0006108E" w:rsidRDefault="000152F3" w:rsidP="000152F3">
            <w:pPr>
              <w:jc w:val="both"/>
              <w:rPr>
                <w:rFonts w:ascii="Arial" w:hAnsi="Arial" w:cs="Arial"/>
                <w:b/>
                <w:bCs/>
              </w:rPr>
            </w:pPr>
            <w:r w:rsidRPr="0006108E">
              <w:rPr>
                <w:rFonts w:ascii="Arial" w:hAnsi="Arial" w:cs="Arial"/>
                <w:b/>
                <w:bCs/>
              </w:rPr>
              <w:t>HLH Current Status</w:t>
            </w:r>
          </w:p>
          <w:p w14:paraId="5CF0BE2F" w14:textId="77777777" w:rsidR="000152F3" w:rsidRDefault="000152F3" w:rsidP="000152F3">
            <w:pPr>
              <w:jc w:val="both"/>
              <w:rPr>
                <w:rFonts w:ascii="Arial" w:hAnsi="Arial" w:cs="Arial"/>
              </w:rPr>
            </w:pPr>
          </w:p>
        </w:tc>
      </w:tr>
      <w:tr w:rsidR="000152F3" w:rsidRPr="00A90AA3" w14:paraId="690F0E14" w14:textId="77777777" w:rsidTr="000E18CA">
        <w:tc>
          <w:tcPr>
            <w:tcW w:w="851" w:type="dxa"/>
          </w:tcPr>
          <w:p w14:paraId="44512CFD" w14:textId="07424AEF" w:rsidR="000152F3" w:rsidRDefault="000152F3" w:rsidP="000152F3">
            <w:pPr>
              <w:pStyle w:val="NoSpacing"/>
              <w:jc w:val="both"/>
            </w:pPr>
            <w:r>
              <w:t>4.1</w:t>
            </w:r>
          </w:p>
        </w:tc>
        <w:tc>
          <w:tcPr>
            <w:tcW w:w="8885" w:type="dxa"/>
          </w:tcPr>
          <w:p w14:paraId="4A0B0E25" w14:textId="3F05E21F" w:rsidR="000152F3" w:rsidRPr="0006108E" w:rsidRDefault="000152F3" w:rsidP="000152F3">
            <w:pPr>
              <w:jc w:val="both"/>
              <w:rPr>
                <w:rFonts w:ascii="Arial" w:hAnsi="Arial" w:cs="Arial"/>
              </w:rPr>
            </w:pPr>
            <w:r w:rsidRPr="0006108E">
              <w:rPr>
                <w:rFonts w:ascii="Arial" w:hAnsi="Arial" w:cs="Arial"/>
              </w:rPr>
              <w:t>In anticipation of the SDC review</w:t>
            </w:r>
            <w:r>
              <w:rPr>
                <w:rFonts w:ascii="Arial" w:hAnsi="Arial" w:cs="Arial"/>
              </w:rPr>
              <w:t>,</w:t>
            </w:r>
            <w:r w:rsidRPr="0006108E">
              <w:rPr>
                <w:rFonts w:ascii="Arial" w:hAnsi="Arial" w:cs="Arial"/>
              </w:rPr>
              <w:t xml:space="preserve"> HLH has set up </w:t>
            </w:r>
            <w:r>
              <w:rPr>
                <w:rFonts w:ascii="Arial" w:hAnsi="Arial" w:cs="Arial"/>
              </w:rPr>
              <w:t xml:space="preserve">a </w:t>
            </w:r>
            <w:r w:rsidRPr="0006108E">
              <w:rPr>
                <w:rFonts w:ascii="Arial" w:hAnsi="Arial" w:cs="Arial"/>
              </w:rPr>
              <w:t xml:space="preserve">SDC Redesign team, consisting of </w:t>
            </w:r>
            <w:r w:rsidR="00CF6038">
              <w:rPr>
                <w:rFonts w:ascii="Arial" w:hAnsi="Arial" w:cs="Arial"/>
              </w:rPr>
              <w:t>B</w:t>
            </w:r>
            <w:r>
              <w:rPr>
                <w:rFonts w:ascii="Arial" w:hAnsi="Arial" w:cs="Arial"/>
              </w:rPr>
              <w:t xml:space="preserve">oard members and senior officers. In approaching the review, the following scope and outcomes reflect </w:t>
            </w:r>
            <w:r w:rsidR="00CF6038">
              <w:rPr>
                <w:rFonts w:ascii="Arial" w:hAnsi="Arial" w:cs="Arial"/>
              </w:rPr>
              <w:t xml:space="preserve">the </w:t>
            </w:r>
            <w:r>
              <w:rPr>
                <w:rFonts w:ascii="Arial" w:hAnsi="Arial" w:cs="Arial"/>
              </w:rPr>
              <w:t>initial scope and desired outcomes from an HLH perspective</w:t>
            </w:r>
            <w:r w:rsidR="00CF6038">
              <w:rPr>
                <w:rFonts w:ascii="Arial" w:hAnsi="Arial" w:cs="Arial"/>
              </w:rPr>
              <w:t>.</w:t>
            </w:r>
            <w:r>
              <w:rPr>
                <w:rFonts w:ascii="Arial" w:hAnsi="Arial" w:cs="Arial"/>
              </w:rPr>
              <w:t xml:space="preserve"> </w:t>
            </w:r>
            <w:r w:rsidR="00CF6038">
              <w:rPr>
                <w:rFonts w:ascii="Arial" w:hAnsi="Arial" w:cs="Arial"/>
              </w:rPr>
              <w:t>I</w:t>
            </w:r>
            <w:r>
              <w:rPr>
                <w:rFonts w:ascii="Arial" w:hAnsi="Arial" w:cs="Arial"/>
              </w:rPr>
              <w:t xml:space="preserve">t is proposed that the following will form the approach to the Council in respect of the review: </w:t>
            </w:r>
          </w:p>
          <w:p w14:paraId="7937B45B" w14:textId="77777777" w:rsidR="000152F3" w:rsidRPr="0006108E" w:rsidRDefault="000152F3" w:rsidP="000152F3">
            <w:pPr>
              <w:jc w:val="both"/>
              <w:rPr>
                <w:rFonts w:ascii="Arial" w:hAnsi="Arial" w:cs="Arial"/>
                <w:b/>
                <w:bCs/>
              </w:rPr>
            </w:pPr>
          </w:p>
        </w:tc>
      </w:tr>
      <w:tr w:rsidR="000152F3" w:rsidRPr="00A90AA3" w14:paraId="6BCB56EF" w14:textId="77777777" w:rsidTr="000E18CA">
        <w:tc>
          <w:tcPr>
            <w:tcW w:w="851" w:type="dxa"/>
          </w:tcPr>
          <w:p w14:paraId="5961A6DD" w14:textId="53DA7B70" w:rsidR="000152F3" w:rsidRDefault="000152F3" w:rsidP="000152F3">
            <w:pPr>
              <w:pStyle w:val="NoSpacing"/>
              <w:jc w:val="both"/>
            </w:pPr>
            <w:r>
              <w:t>4.2</w:t>
            </w:r>
          </w:p>
        </w:tc>
        <w:tc>
          <w:tcPr>
            <w:tcW w:w="8885" w:type="dxa"/>
          </w:tcPr>
          <w:p w14:paraId="740A2E62" w14:textId="77777777" w:rsidR="000152F3" w:rsidRPr="00E12E4A" w:rsidRDefault="000152F3" w:rsidP="000152F3">
            <w:pPr>
              <w:jc w:val="both"/>
              <w:rPr>
                <w:rFonts w:ascii="Arial" w:hAnsi="Arial" w:cs="Arial"/>
                <w:b/>
                <w:bCs/>
                <w:szCs w:val="24"/>
              </w:rPr>
            </w:pPr>
            <w:r w:rsidRPr="00E12E4A">
              <w:rPr>
                <w:rFonts w:ascii="Arial" w:hAnsi="Arial" w:cs="Arial"/>
                <w:b/>
                <w:bCs/>
                <w:szCs w:val="24"/>
              </w:rPr>
              <w:t xml:space="preserve">Scope and Outcomes </w:t>
            </w:r>
          </w:p>
          <w:p w14:paraId="030B7772" w14:textId="77777777" w:rsidR="000152F3" w:rsidRPr="00E12E4A" w:rsidRDefault="000152F3" w:rsidP="000152F3">
            <w:pPr>
              <w:jc w:val="both"/>
              <w:rPr>
                <w:rFonts w:ascii="Arial" w:hAnsi="Arial" w:cs="Arial"/>
                <w:b/>
                <w:bCs/>
                <w:szCs w:val="24"/>
              </w:rPr>
            </w:pPr>
          </w:p>
          <w:p w14:paraId="77B5EE15" w14:textId="45A26BB9" w:rsidR="000152F3" w:rsidRPr="00E12E4A" w:rsidRDefault="000152F3" w:rsidP="000152F3">
            <w:pPr>
              <w:jc w:val="both"/>
              <w:rPr>
                <w:rFonts w:ascii="Arial" w:hAnsi="Arial" w:cs="Arial"/>
                <w:b/>
                <w:bCs/>
                <w:szCs w:val="24"/>
              </w:rPr>
            </w:pPr>
            <w:r w:rsidRPr="00E12E4A">
              <w:rPr>
                <w:rFonts w:ascii="Arial" w:hAnsi="Arial" w:cs="Arial"/>
                <w:b/>
                <w:bCs/>
                <w:szCs w:val="24"/>
              </w:rPr>
              <w:t>Scope</w:t>
            </w:r>
          </w:p>
          <w:p w14:paraId="197B8A3A" w14:textId="77777777" w:rsidR="000152F3" w:rsidRPr="00E12E4A" w:rsidRDefault="000152F3" w:rsidP="000152F3">
            <w:pPr>
              <w:jc w:val="both"/>
              <w:rPr>
                <w:rFonts w:ascii="Arial" w:hAnsi="Arial" w:cs="Arial"/>
                <w:b/>
                <w:bCs/>
                <w:szCs w:val="24"/>
              </w:rPr>
            </w:pPr>
          </w:p>
          <w:p w14:paraId="33728A72"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Overall arrangement and Legal Framework (overview/check that the arrangement is still valid/fit for purpose)</w:t>
            </w:r>
          </w:p>
          <w:p w14:paraId="4C35F3CE"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 xml:space="preserve">Resourcing both the review and delivery of any emergent change management programme  </w:t>
            </w:r>
          </w:p>
          <w:p w14:paraId="4CD70F1C"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 xml:space="preserve">Funding formula – Unsustainable in present format, pressing need for review  </w:t>
            </w:r>
          </w:p>
          <w:p w14:paraId="716B86E0"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Responsibility for costs - need to review to check that current arrangement is still the most cost effective for THC (property, service and utility costs)</w:t>
            </w:r>
          </w:p>
          <w:p w14:paraId="45223A2F"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PSOs - overall services, does the Council want HLH to deliver the same range/number of services</w:t>
            </w:r>
          </w:p>
          <w:p w14:paraId="4D1EEBD3" w14:textId="77777777" w:rsidR="000152F3" w:rsidRPr="00E12E4A" w:rsidRDefault="000152F3" w:rsidP="000152F3">
            <w:pPr>
              <w:pStyle w:val="ListParagraph"/>
              <w:numPr>
                <w:ilvl w:val="0"/>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Service levels within PSOs (individual buildings and number of staff delivering services)</w:t>
            </w:r>
          </w:p>
          <w:p w14:paraId="3649D3D2" w14:textId="77777777" w:rsidR="000152F3" w:rsidRPr="00E12E4A" w:rsidRDefault="000152F3" w:rsidP="000152F3">
            <w:pPr>
              <w:pStyle w:val="ListParagraph"/>
              <w:numPr>
                <w:ilvl w:val="1"/>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Council decision making (what does it want to consult on)</w:t>
            </w:r>
          </w:p>
          <w:p w14:paraId="494FF4C8" w14:textId="77777777" w:rsidR="000152F3" w:rsidRPr="00E12E4A" w:rsidRDefault="000152F3" w:rsidP="000152F3">
            <w:pPr>
              <w:pStyle w:val="ListParagraph"/>
              <w:numPr>
                <w:ilvl w:val="1"/>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Equalities Impact Assessments</w:t>
            </w:r>
          </w:p>
          <w:p w14:paraId="1B6E802A" w14:textId="77777777" w:rsidR="000152F3" w:rsidRPr="00E12E4A" w:rsidRDefault="000152F3" w:rsidP="000152F3">
            <w:pPr>
              <w:pStyle w:val="ListParagraph"/>
              <w:numPr>
                <w:ilvl w:val="1"/>
                <w:numId w:val="10"/>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Project management around service reductions</w:t>
            </w:r>
          </w:p>
          <w:p w14:paraId="124B3F62" w14:textId="77777777" w:rsidR="000152F3" w:rsidRPr="00E12E4A" w:rsidRDefault="000152F3" w:rsidP="000152F3">
            <w:pPr>
              <w:jc w:val="both"/>
              <w:rPr>
                <w:rFonts w:ascii="Arial" w:hAnsi="Arial" w:cs="Arial"/>
                <w:b/>
                <w:bCs/>
                <w:szCs w:val="24"/>
              </w:rPr>
            </w:pPr>
          </w:p>
        </w:tc>
      </w:tr>
      <w:tr w:rsidR="006D0D6A" w:rsidRPr="00A90AA3" w14:paraId="4A8CE2EA" w14:textId="77777777" w:rsidTr="000E18CA">
        <w:tc>
          <w:tcPr>
            <w:tcW w:w="851" w:type="dxa"/>
          </w:tcPr>
          <w:p w14:paraId="0114C74C" w14:textId="6A065F22" w:rsidR="006D0D6A" w:rsidRPr="00A90AA3" w:rsidRDefault="000152F3" w:rsidP="000152F3">
            <w:pPr>
              <w:pStyle w:val="NoSpacing"/>
              <w:jc w:val="both"/>
            </w:pPr>
            <w:r>
              <w:t>4.3</w:t>
            </w:r>
          </w:p>
        </w:tc>
        <w:tc>
          <w:tcPr>
            <w:tcW w:w="8885" w:type="dxa"/>
          </w:tcPr>
          <w:tbl>
            <w:tblPr>
              <w:tblW w:w="5296" w:type="dxa"/>
              <w:jc w:val="center"/>
              <w:tblCellMar>
                <w:left w:w="0" w:type="dxa"/>
                <w:right w:w="0" w:type="dxa"/>
              </w:tblCellMar>
              <w:tblLook w:val="04A0" w:firstRow="1" w:lastRow="0" w:firstColumn="1" w:lastColumn="0" w:noHBand="0" w:noVBand="1"/>
            </w:tblPr>
            <w:tblGrid>
              <w:gridCol w:w="3405"/>
              <w:gridCol w:w="175"/>
              <w:gridCol w:w="1545"/>
              <w:gridCol w:w="171"/>
            </w:tblGrid>
            <w:tr w:rsidR="0006108E" w14:paraId="4F3E0569" w14:textId="77777777" w:rsidTr="000152F3">
              <w:trPr>
                <w:jc w:val="center"/>
              </w:trPr>
              <w:tc>
                <w:tcPr>
                  <w:tcW w:w="3405" w:type="dxa"/>
                  <w:vAlign w:val="center"/>
                  <w:hideMark/>
                </w:tcPr>
                <w:p w14:paraId="4D08DD00" w14:textId="77777777" w:rsidR="006800DE" w:rsidRDefault="006800DE" w:rsidP="000152F3">
                  <w:pPr>
                    <w:jc w:val="both"/>
                  </w:pPr>
                </w:p>
              </w:tc>
              <w:tc>
                <w:tcPr>
                  <w:tcW w:w="175" w:type="dxa"/>
                  <w:vAlign w:val="center"/>
                  <w:hideMark/>
                </w:tcPr>
                <w:p w14:paraId="68131859" w14:textId="77777777" w:rsidR="006800DE" w:rsidRDefault="006800DE" w:rsidP="000152F3">
                  <w:pPr>
                    <w:jc w:val="both"/>
                    <w:rPr>
                      <w:sz w:val="20"/>
                    </w:rPr>
                  </w:pPr>
                </w:p>
              </w:tc>
              <w:tc>
                <w:tcPr>
                  <w:tcW w:w="1545" w:type="dxa"/>
                  <w:vAlign w:val="center"/>
                  <w:hideMark/>
                </w:tcPr>
                <w:p w14:paraId="3F99F5E2" w14:textId="77777777" w:rsidR="006800DE" w:rsidRDefault="006800DE" w:rsidP="000152F3">
                  <w:pPr>
                    <w:jc w:val="both"/>
                    <w:rPr>
                      <w:sz w:val="20"/>
                    </w:rPr>
                  </w:pPr>
                </w:p>
              </w:tc>
              <w:tc>
                <w:tcPr>
                  <w:tcW w:w="171" w:type="dxa"/>
                  <w:vAlign w:val="center"/>
                  <w:hideMark/>
                </w:tcPr>
                <w:p w14:paraId="107AB9FE" w14:textId="77777777" w:rsidR="006800DE" w:rsidRDefault="006800DE" w:rsidP="000152F3">
                  <w:pPr>
                    <w:jc w:val="both"/>
                    <w:rPr>
                      <w:sz w:val="20"/>
                    </w:rPr>
                  </w:pPr>
                </w:p>
              </w:tc>
            </w:tr>
          </w:tbl>
          <w:p w14:paraId="35042E16" w14:textId="0DA4AF0B" w:rsidR="006800DE" w:rsidRPr="00E12E4A" w:rsidRDefault="006800DE" w:rsidP="000152F3">
            <w:pPr>
              <w:jc w:val="both"/>
              <w:rPr>
                <w:rFonts w:ascii="Arial" w:hAnsi="Arial" w:cs="Arial"/>
                <w:b/>
                <w:bCs/>
                <w:szCs w:val="24"/>
              </w:rPr>
            </w:pPr>
            <w:r w:rsidRPr="00E12E4A">
              <w:rPr>
                <w:rFonts w:ascii="Arial" w:hAnsi="Arial" w:cs="Arial"/>
                <w:b/>
                <w:bCs/>
                <w:szCs w:val="24"/>
              </w:rPr>
              <w:t xml:space="preserve">Outcomes </w:t>
            </w:r>
          </w:p>
          <w:p w14:paraId="01DBE5E2" w14:textId="77777777" w:rsidR="00E12E4A" w:rsidRPr="00E12E4A" w:rsidRDefault="00E12E4A" w:rsidP="000152F3">
            <w:pPr>
              <w:jc w:val="both"/>
              <w:rPr>
                <w:rFonts w:ascii="Arial" w:hAnsi="Arial" w:cs="Arial"/>
                <w:b/>
                <w:bCs/>
                <w:szCs w:val="24"/>
              </w:rPr>
            </w:pPr>
          </w:p>
          <w:p w14:paraId="7C68C4AD" w14:textId="06A2358A" w:rsidR="006800DE" w:rsidRPr="00E12E4A" w:rsidRDefault="006800DE" w:rsidP="000152F3">
            <w:pPr>
              <w:pStyle w:val="ListParagraph"/>
              <w:numPr>
                <w:ilvl w:val="0"/>
                <w:numId w:val="9"/>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 xml:space="preserve">HLH Sustainability - HLH needs financial sustainability and </w:t>
            </w:r>
            <w:r w:rsidR="00F34AD4" w:rsidRPr="00E12E4A">
              <w:rPr>
                <w:rFonts w:ascii="Arial" w:eastAsia="Times New Roman" w:hAnsi="Arial" w:cs="Arial"/>
                <w:sz w:val="24"/>
                <w:szCs w:val="24"/>
              </w:rPr>
              <w:t>the ability to operate at arms</w:t>
            </w:r>
            <w:r w:rsidR="00FB6825" w:rsidRPr="00E12E4A">
              <w:rPr>
                <w:rFonts w:ascii="Arial" w:eastAsia="Times New Roman" w:hAnsi="Arial" w:cs="Arial"/>
                <w:sz w:val="24"/>
                <w:szCs w:val="24"/>
              </w:rPr>
              <w:t>-</w:t>
            </w:r>
            <w:r w:rsidR="00F34AD4" w:rsidRPr="00E12E4A">
              <w:rPr>
                <w:rFonts w:ascii="Arial" w:eastAsia="Times New Roman" w:hAnsi="Arial" w:cs="Arial"/>
                <w:sz w:val="24"/>
                <w:szCs w:val="24"/>
              </w:rPr>
              <w:t xml:space="preserve">length to the Council (to </w:t>
            </w:r>
            <w:r w:rsidRPr="00E12E4A">
              <w:rPr>
                <w:rFonts w:ascii="Arial" w:eastAsia="Times New Roman" w:hAnsi="Arial" w:cs="Arial"/>
                <w:sz w:val="24"/>
                <w:szCs w:val="24"/>
              </w:rPr>
              <w:t>protect charitable status)</w:t>
            </w:r>
          </w:p>
          <w:p w14:paraId="5A4E1403" w14:textId="77777777" w:rsidR="006800DE" w:rsidRPr="00E12E4A" w:rsidRDefault="006800DE" w:rsidP="000152F3">
            <w:pPr>
              <w:pStyle w:val="ListParagraph"/>
              <w:numPr>
                <w:ilvl w:val="0"/>
                <w:numId w:val="9"/>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THC Sustainability - THC needs to have a service level which is affordable and can change over time</w:t>
            </w:r>
          </w:p>
          <w:p w14:paraId="3A56CE41" w14:textId="3EC3E26F" w:rsidR="004E5EEA" w:rsidRPr="00E12E4A" w:rsidRDefault="006800DE" w:rsidP="000152F3">
            <w:pPr>
              <w:pStyle w:val="ListParagraph"/>
              <w:numPr>
                <w:ilvl w:val="0"/>
                <w:numId w:val="9"/>
              </w:numPr>
              <w:spacing w:after="0" w:line="240" w:lineRule="auto"/>
              <w:contextualSpacing w:val="0"/>
              <w:jc w:val="both"/>
              <w:rPr>
                <w:rFonts w:ascii="Arial" w:eastAsia="Times New Roman" w:hAnsi="Arial" w:cs="Arial"/>
                <w:sz w:val="24"/>
                <w:szCs w:val="24"/>
              </w:rPr>
            </w:pPr>
            <w:r w:rsidRPr="00E12E4A">
              <w:rPr>
                <w:rFonts w:ascii="Arial" w:eastAsia="Times New Roman" w:hAnsi="Arial" w:cs="Arial"/>
                <w:sz w:val="24"/>
                <w:szCs w:val="24"/>
              </w:rPr>
              <w:t xml:space="preserve">THC and HLH together need to be able to develop services together - capital and service development to </w:t>
            </w:r>
            <w:r w:rsidR="00F34AD4" w:rsidRPr="00E12E4A">
              <w:rPr>
                <w:rFonts w:ascii="Arial" w:eastAsia="Times New Roman" w:hAnsi="Arial" w:cs="Arial"/>
                <w:sz w:val="24"/>
                <w:szCs w:val="24"/>
              </w:rPr>
              <w:t>m</w:t>
            </w:r>
            <w:r w:rsidRPr="00E12E4A">
              <w:rPr>
                <w:rFonts w:ascii="Arial" w:eastAsia="Times New Roman" w:hAnsi="Arial" w:cs="Arial"/>
                <w:sz w:val="24"/>
                <w:szCs w:val="24"/>
              </w:rPr>
              <w:t>ee</w:t>
            </w:r>
            <w:r w:rsidR="004E5EEA" w:rsidRPr="00E12E4A">
              <w:rPr>
                <w:rFonts w:ascii="Arial" w:eastAsia="Times New Roman" w:hAnsi="Arial" w:cs="Arial"/>
                <w:sz w:val="24"/>
                <w:szCs w:val="24"/>
              </w:rPr>
              <w:t>t</w:t>
            </w:r>
            <w:r w:rsidRPr="00E12E4A">
              <w:rPr>
                <w:rFonts w:ascii="Arial" w:eastAsia="Times New Roman" w:hAnsi="Arial" w:cs="Arial"/>
                <w:sz w:val="24"/>
                <w:szCs w:val="24"/>
              </w:rPr>
              <w:t xml:space="preserve"> changing needs in communities. </w:t>
            </w:r>
          </w:p>
          <w:p w14:paraId="584AD9A8" w14:textId="057A4FF7" w:rsidR="00791E6B" w:rsidRPr="00891252" w:rsidRDefault="00791E6B" w:rsidP="00E12E4A">
            <w:pPr>
              <w:pStyle w:val="ListParagraph"/>
              <w:spacing w:after="0" w:line="240" w:lineRule="auto"/>
              <w:contextualSpacing w:val="0"/>
              <w:jc w:val="both"/>
              <w:rPr>
                <w:rFonts w:ascii="Arial" w:hAnsi="Arial" w:cs="Arial"/>
                <w:szCs w:val="24"/>
              </w:rPr>
            </w:pPr>
          </w:p>
        </w:tc>
      </w:tr>
      <w:tr w:rsidR="00E12E4A" w:rsidRPr="00A90AA3" w14:paraId="4E45129C" w14:textId="77777777" w:rsidTr="000E18CA">
        <w:tc>
          <w:tcPr>
            <w:tcW w:w="851" w:type="dxa"/>
          </w:tcPr>
          <w:p w14:paraId="21F2CAD9" w14:textId="3B8F830D" w:rsidR="00E12E4A" w:rsidRPr="00E12E4A" w:rsidRDefault="00E12E4A" w:rsidP="000152F3">
            <w:pPr>
              <w:pStyle w:val="NoSpacing"/>
              <w:jc w:val="both"/>
              <w:rPr>
                <w:b/>
                <w:bCs/>
              </w:rPr>
            </w:pPr>
            <w:r w:rsidRPr="00E12E4A">
              <w:rPr>
                <w:b/>
                <w:bCs/>
              </w:rPr>
              <w:t>5.</w:t>
            </w:r>
          </w:p>
        </w:tc>
        <w:tc>
          <w:tcPr>
            <w:tcW w:w="8885" w:type="dxa"/>
          </w:tcPr>
          <w:p w14:paraId="00F3DB01" w14:textId="77777777" w:rsidR="00E12E4A" w:rsidRPr="00E12E4A" w:rsidRDefault="00E12E4A" w:rsidP="000152F3">
            <w:pPr>
              <w:jc w:val="both"/>
              <w:rPr>
                <w:rFonts w:ascii="Arial" w:hAnsi="Arial" w:cs="Arial"/>
                <w:b/>
                <w:bCs/>
              </w:rPr>
            </w:pPr>
            <w:r w:rsidRPr="00E12E4A">
              <w:rPr>
                <w:rFonts w:ascii="Arial" w:hAnsi="Arial" w:cs="Arial"/>
                <w:b/>
                <w:bCs/>
              </w:rPr>
              <w:t>Next Steps</w:t>
            </w:r>
          </w:p>
          <w:p w14:paraId="7A5C9ECD" w14:textId="731B7F69" w:rsidR="00E12E4A" w:rsidRPr="00E12E4A" w:rsidRDefault="00E12E4A" w:rsidP="000152F3">
            <w:pPr>
              <w:jc w:val="both"/>
              <w:rPr>
                <w:rFonts w:ascii="Arial" w:hAnsi="Arial" w:cs="Arial"/>
                <w:b/>
                <w:bCs/>
              </w:rPr>
            </w:pPr>
          </w:p>
        </w:tc>
      </w:tr>
      <w:tr w:rsidR="006D0D6A" w:rsidRPr="00A90AA3" w14:paraId="4B54BEF5" w14:textId="77777777" w:rsidTr="00D05FB8">
        <w:tc>
          <w:tcPr>
            <w:tcW w:w="851" w:type="dxa"/>
          </w:tcPr>
          <w:p w14:paraId="50A9BD7A" w14:textId="5B6EAE79" w:rsidR="006D0D6A" w:rsidRPr="000E18CA" w:rsidRDefault="000152F3" w:rsidP="000152F3">
            <w:pPr>
              <w:pStyle w:val="NoSpacing"/>
              <w:jc w:val="both"/>
              <w:rPr>
                <w:b/>
                <w:bCs/>
              </w:rPr>
            </w:pPr>
            <w:r>
              <w:rPr>
                <w:b/>
                <w:bCs/>
              </w:rPr>
              <w:t>5.1</w:t>
            </w:r>
          </w:p>
        </w:tc>
        <w:tc>
          <w:tcPr>
            <w:tcW w:w="8885" w:type="dxa"/>
          </w:tcPr>
          <w:p w14:paraId="3D3F9570" w14:textId="17EC9DBE" w:rsidR="004E5EEA" w:rsidRPr="00A90AA3" w:rsidRDefault="004E5EEA" w:rsidP="000152F3">
            <w:pPr>
              <w:pStyle w:val="NoSpacing"/>
              <w:jc w:val="both"/>
              <w:rPr>
                <w:b/>
                <w:bCs/>
              </w:rPr>
            </w:pPr>
            <w:r w:rsidRPr="0006108E">
              <w:t xml:space="preserve">The senior management team will continue to press council officers of the need to review the SDC. </w:t>
            </w:r>
            <w:r>
              <w:t>However, a</w:t>
            </w:r>
            <w:r w:rsidRPr="0006108E">
              <w:t xml:space="preserve">lthough the need to make progress on the review was agreed at a joint meeting on 26 January and reinforced in the letter to the Council on 6 February, no progress has been made to date. </w:t>
            </w:r>
            <w:r>
              <w:t xml:space="preserve"> The DRAFT letter </w:t>
            </w:r>
            <w:r w:rsidRPr="004602DD">
              <w:t>at</w:t>
            </w:r>
            <w:r w:rsidRPr="00CF6038">
              <w:rPr>
                <w:b/>
                <w:bCs/>
              </w:rPr>
              <w:t xml:space="preserve"> Appendix A</w:t>
            </w:r>
            <w:r>
              <w:t xml:space="preserve"> from the HLH Chair to the Council Leader is intended to remind the Council of the need to initiate the process. Given the significant changes in senior manage</w:t>
            </w:r>
            <w:r w:rsidR="00FB6825">
              <w:t>me</w:t>
            </w:r>
            <w:r>
              <w:t xml:space="preserve">nt within the council, it is probable that the review has been </w:t>
            </w:r>
            <w:r w:rsidR="00FB6825">
              <w:t>superseded</w:t>
            </w:r>
            <w:r>
              <w:t xml:space="preserve"> by other priorities, not least budget planning.  It is hoped that a timely formal written request for a commitment to diarised engagement should trigger progress and allow for constructive collaboration early in the bud</w:t>
            </w:r>
            <w:r w:rsidR="00FB6825">
              <w:t>g</w:t>
            </w:r>
            <w:r>
              <w:t xml:space="preserve">et cycle.    </w:t>
            </w:r>
          </w:p>
        </w:tc>
      </w:tr>
    </w:tbl>
    <w:p w14:paraId="347840C8" w14:textId="77777777" w:rsidR="00377E9E" w:rsidRPr="00A90AA3" w:rsidRDefault="00377E9E" w:rsidP="000152F3">
      <w:pPr>
        <w:pStyle w:val="NoSpacing"/>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gridCol w:w="102"/>
      </w:tblGrid>
      <w:tr w:rsidR="006D0D6A" w:rsidRPr="00A90AA3" w14:paraId="0567F364" w14:textId="77777777" w:rsidTr="00813F0D">
        <w:trPr>
          <w:gridAfter w:val="1"/>
          <w:wAfter w:w="102" w:type="dxa"/>
        </w:trPr>
        <w:tc>
          <w:tcPr>
            <w:tcW w:w="851" w:type="dxa"/>
          </w:tcPr>
          <w:p w14:paraId="26E27BC8" w14:textId="60DA52FA" w:rsidR="006D0D6A" w:rsidRPr="00F80CF1" w:rsidRDefault="000152F3" w:rsidP="000152F3">
            <w:pPr>
              <w:pStyle w:val="NoSpacing"/>
              <w:jc w:val="both"/>
              <w:rPr>
                <w:b/>
                <w:bCs/>
              </w:rPr>
            </w:pPr>
            <w:bookmarkStart w:id="2" w:name="_Hlk97757709"/>
            <w:r>
              <w:rPr>
                <w:b/>
                <w:bCs/>
              </w:rPr>
              <w:t>6</w:t>
            </w:r>
            <w:r w:rsidR="00E55373" w:rsidRPr="00F80CF1">
              <w:rPr>
                <w:b/>
                <w:bCs/>
              </w:rPr>
              <w:t>.</w:t>
            </w:r>
          </w:p>
        </w:tc>
        <w:tc>
          <w:tcPr>
            <w:tcW w:w="8788" w:type="dxa"/>
          </w:tcPr>
          <w:p w14:paraId="59B3616D" w14:textId="0E1C2ED1" w:rsidR="006D0D6A" w:rsidRPr="00A90AA3" w:rsidRDefault="006D0D6A" w:rsidP="000152F3">
            <w:pPr>
              <w:pStyle w:val="NoSpacing"/>
              <w:jc w:val="both"/>
              <w:rPr>
                <w:b/>
                <w:bCs/>
              </w:rPr>
            </w:pPr>
            <w:r w:rsidRPr="00A90AA3">
              <w:rPr>
                <w:b/>
                <w:bCs/>
              </w:rPr>
              <w:t>Implications</w:t>
            </w:r>
          </w:p>
          <w:p w14:paraId="51AD6E29" w14:textId="77777777" w:rsidR="006D0D6A" w:rsidRPr="00A90AA3" w:rsidRDefault="006D0D6A" w:rsidP="000152F3">
            <w:pPr>
              <w:pStyle w:val="NoSpacing"/>
              <w:jc w:val="both"/>
              <w:rPr>
                <w:b/>
                <w:bCs/>
              </w:rPr>
            </w:pPr>
          </w:p>
        </w:tc>
      </w:tr>
      <w:tr w:rsidR="006D0D6A" w:rsidRPr="00A90AA3" w14:paraId="73FE3FB2" w14:textId="77777777" w:rsidTr="00813F0D">
        <w:trPr>
          <w:gridAfter w:val="1"/>
          <w:wAfter w:w="102" w:type="dxa"/>
        </w:trPr>
        <w:tc>
          <w:tcPr>
            <w:tcW w:w="851" w:type="dxa"/>
          </w:tcPr>
          <w:p w14:paraId="7FF0E44B" w14:textId="60F04123" w:rsidR="006D0D6A" w:rsidRPr="00A90AA3" w:rsidRDefault="000152F3" w:rsidP="000152F3">
            <w:pPr>
              <w:pStyle w:val="NoSpacing"/>
              <w:ind w:left="792" w:hanging="755"/>
              <w:jc w:val="both"/>
            </w:pPr>
            <w:r>
              <w:t>6</w:t>
            </w:r>
            <w:r w:rsidR="00E55373">
              <w:t>.1</w:t>
            </w:r>
          </w:p>
        </w:tc>
        <w:tc>
          <w:tcPr>
            <w:tcW w:w="8788" w:type="dxa"/>
          </w:tcPr>
          <w:p w14:paraId="5F45C5E9" w14:textId="7CEBF306" w:rsidR="00824844" w:rsidRDefault="006D0D6A" w:rsidP="000152F3">
            <w:pPr>
              <w:jc w:val="both"/>
              <w:rPr>
                <w:rFonts w:ascii="Arial" w:hAnsi="Arial" w:cs="Arial"/>
                <w:szCs w:val="24"/>
              </w:rPr>
            </w:pPr>
            <w:r w:rsidRPr="00A90AA3">
              <w:rPr>
                <w:rFonts w:ascii="Arial" w:hAnsi="Arial" w:cs="Arial"/>
                <w:szCs w:val="24"/>
              </w:rPr>
              <w:t>Resource Implications –</w:t>
            </w:r>
            <w:r w:rsidR="00C95D32">
              <w:rPr>
                <w:rFonts w:ascii="Arial" w:hAnsi="Arial" w:cs="Arial"/>
                <w:szCs w:val="24"/>
              </w:rPr>
              <w:t xml:space="preserve"> </w:t>
            </w:r>
            <w:r w:rsidR="00F34AD4">
              <w:rPr>
                <w:rFonts w:ascii="Arial" w:hAnsi="Arial" w:cs="Arial"/>
                <w:szCs w:val="24"/>
              </w:rPr>
              <w:t>The SDC review could be resource intensive, although HLH has set up a small corporate team to engage on the matter, any change management programme could require significant resourcing.</w:t>
            </w:r>
          </w:p>
          <w:p w14:paraId="57730E73" w14:textId="19DA1AE0" w:rsidR="00F34AD4" w:rsidRPr="00A90AA3" w:rsidRDefault="00F34AD4" w:rsidP="000152F3">
            <w:pPr>
              <w:jc w:val="both"/>
              <w:rPr>
                <w:rFonts w:ascii="Arial" w:hAnsi="Arial" w:cs="Arial"/>
                <w:szCs w:val="24"/>
              </w:rPr>
            </w:pPr>
          </w:p>
        </w:tc>
      </w:tr>
      <w:tr w:rsidR="006D0D6A" w:rsidRPr="00A90AA3" w14:paraId="5C2E0047" w14:textId="77777777" w:rsidTr="00813F0D">
        <w:trPr>
          <w:gridAfter w:val="1"/>
          <w:wAfter w:w="102" w:type="dxa"/>
        </w:trPr>
        <w:tc>
          <w:tcPr>
            <w:tcW w:w="851" w:type="dxa"/>
          </w:tcPr>
          <w:p w14:paraId="3882572D" w14:textId="1D016D75" w:rsidR="006D0D6A" w:rsidRPr="00A90AA3" w:rsidRDefault="000152F3" w:rsidP="000152F3">
            <w:pPr>
              <w:pStyle w:val="NoSpacing"/>
              <w:ind w:left="792" w:hanging="755"/>
              <w:jc w:val="both"/>
            </w:pPr>
            <w:r>
              <w:t>6</w:t>
            </w:r>
            <w:r w:rsidR="00E55373">
              <w:t>.2</w:t>
            </w:r>
          </w:p>
        </w:tc>
        <w:tc>
          <w:tcPr>
            <w:tcW w:w="8788" w:type="dxa"/>
          </w:tcPr>
          <w:p w14:paraId="7D2CBC71" w14:textId="644C98A6" w:rsidR="006D0D6A" w:rsidRDefault="006D0D6A" w:rsidP="000152F3">
            <w:pPr>
              <w:jc w:val="both"/>
              <w:rPr>
                <w:rFonts w:ascii="Arial" w:hAnsi="Arial" w:cs="Arial"/>
                <w:szCs w:val="24"/>
              </w:rPr>
            </w:pPr>
            <w:r w:rsidRPr="00A90AA3">
              <w:rPr>
                <w:rFonts w:ascii="Arial" w:hAnsi="Arial" w:cs="Arial"/>
                <w:szCs w:val="24"/>
              </w:rPr>
              <w:t xml:space="preserve">Legal Implications </w:t>
            </w:r>
            <w:r w:rsidR="00CE0B75">
              <w:rPr>
                <w:rFonts w:ascii="Arial" w:hAnsi="Arial" w:cs="Arial"/>
                <w:szCs w:val="24"/>
              </w:rPr>
              <w:t>–</w:t>
            </w:r>
            <w:r w:rsidR="00264D4B">
              <w:rPr>
                <w:rFonts w:ascii="Arial" w:hAnsi="Arial" w:cs="Arial"/>
                <w:szCs w:val="24"/>
              </w:rPr>
              <w:t xml:space="preserve"> </w:t>
            </w:r>
            <w:r w:rsidR="00F34AD4">
              <w:rPr>
                <w:rFonts w:ascii="Arial" w:hAnsi="Arial" w:cs="Arial"/>
                <w:szCs w:val="24"/>
              </w:rPr>
              <w:t xml:space="preserve">the SDC sits within a legal framework and any changes will require </w:t>
            </w:r>
            <w:r w:rsidR="005E18A0">
              <w:rPr>
                <w:rFonts w:ascii="Arial" w:hAnsi="Arial" w:cs="Arial"/>
                <w:szCs w:val="24"/>
              </w:rPr>
              <w:t>legal due diligence in order to protect both organisations.</w:t>
            </w:r>
          </w:p>
          <w:p w14:paraId="7B5738E1" w14:textId="1DE534F1" w:rsidR="00264D4B" w:rsidRPr="00A90AA3" w:rsidRDefault="00264D4B" w:rsidP="000152F3">
            <w:pPr>
              <w:jc w:val="both"/>
              <w:rPr>
                <w:rFonts w:ascii="Arial" w:hAnsi="Arial" w:cs="Arial"/>
                <w:szCs w:val="24"/>
              </w:rPr>
            </w:pPr>
          </w:p>
        </w:tc>
      </w:tr>
      <w:tr w:rsidR="006D0D6A" w:rsidRPr="00A90AA3" w14:paraId="69CCE2DA" w14:textId="77777777" w:rsidTr="00813F0D">
        <w:trPr>
          <w:gridAfter w:val="1"/>
          <w:wAfter w:w="102" w:type="dxa"/>
        </w:trPr>
        <w:tc>
          <w:tcPr>
            <w:tcW w:w="851" w:type="dxa"/>
          </w:tcPr>
          <w:p w14:paraId="7DEA9F26" w14:textId="1A929B52" w:rsidR="006D0D6A" w:rsidRPr="00A90AA3" w:rsidRDefault="000152F3" w:rsidP="000152F3">
            <w:pPr>
              <w:pStyle w:val="NoSpacing"/>
              <w:ind w:left="792" w:hanging="755"/>
              <w:jc w:val="both"/>
            </w:pPr>
            <w:r>
              <w:t>6</w:t>
            </w:r>
            <w:r w:rsidR="00E55373">
              <w:t>.3</w:t>
            </w:r>
          </w:p>
        </w:tc>
        <w:tc>
          <w:tcPr>
            <w:tcW w:w="8788" w:type="dxa"/>
          </w:tcPr>
          <w:p w14:paraId="0A4F4BE1" w14:textId="698905C6" w:rsidR="006D0D6A" w:rsidRPr="00A90AA3" w:rsidRDefault="006D0D6A" w:rsidP="000152F3">
            <w:pPr>
              <w:jc w:val="both"/>
              <w:rPr>
                <w:rFonts w:ascii="Arial" w:hAnsi="Arial" w:cs="Arial"/>
                <w:szCs w:val="24"/>
              </w:rPr>
            </w:pPr>
            <w:r w:rsidRPr="00A90AA3">
              <w:rPr>
                <w:rFonts w:ascii="Arial" w:hAnsi="Arial" w:cs="Arial"/>
                <w:szCs w:val="24"/>
              </w:rPr>
              <w:t xml:space="preserve">Equality Implications – </w:t>
            </w:r>
            <w:r w:rsidR="005E18A0">
              <w:rPr>
                <w:rFonts w:ascii="Arial" w:hAnsi="Arial" w:cs="Arial"/>
                <w:szCs w:val="24"/>
              </w:rPr>
              <w:t>Any changes that reduce provision of services to communities will require the appropriate statutory consultation and equality impact assessments.</w:t>
            </w:r>
          </w:p>
          <w:p w14:paraId="2CE8608E" w14:textId="25E2D698" w:rsidR="006D0D6A" w:rsidRPr="00A90AA3" w:rsidRDefault="006D0D6A" w:rsidP="000152F3">
            <w:pPr>
              <w:jc w:val="both"/>
              <w:rPr>
                <w:rFonts w:ascii="Arial" w:hAnsi="Arial" w:cs="Arial"/>
                <w:szCs w:val="24"/>
              </w:rPr>
            </w:pPr>
          </w:p>
        </w:tc>
      </w:tr>
      <w:tr w:rsidR="006D0D6A" w:rsidRPr="00A90AA3" w14:paraId="379511D8" w14:textId="77777777" w:rsidTr="00813F0D">
        <w:trPr>
          <w:gridAfter w:val="1"/>
          <w:wAfter w:w="102" w:type="dxa"/>
        </w:trPr>
        <w:tc>
          <w:tcPr>
            <w:tcW w:w="851" w:type="dxa"/>
          </w:tcPr>
          <w:p w14:paraId="4D0A9AFC" w14:textId="69C78167" w:rsidR="006D0D6A" w:rsidRPr="00A90AA3" w:rsidRDefault="000152F3" w:rsidP="000152F3">
            <w:pPr>
              <w:pStyle w:val="NoSpacing"/>
              <w:ind w:left="792" w:hanging="755"/>
              <w:jc w:val="both"/>
            </w:pPr>
            <w:r>
              <w:t>6</w:t>
            </w:r>
            <w:r w:rsidR="00E55373">
              <w:t>.4</w:t>
            </w:r>
          </w:p>
        </w:tc>
        <w:tc>
          <w:tcPr>
            <w:tcW w:w="8788" w:type="dxa"/>
          </w:tcPr>
          <w:p w14:paraId="0C180C77" w14:textId="48AF653B" w:rsidR="006D0D6A" w:rsidRDefault="006D0D6A" w:rsidP="000152F3">
            <w:pPr>
              <w:jc w:val="both"/>
              <w:rPr>
                <w:rFonts w:ascii="Arial" w:hAnsi="Arial" w:cs="Arial"/>
                <w:szCs w:val="24"/>
              </w:rPr>
            </w:pPr>
            <w:r w:rsidRPr="00A90AA3">
              <w:rPr>
                <w:rFonts w:ascii="Arial" w:hAnsi="Arial" w:cs="Arial"/>
                <w:szCs w:val="24"/>
              </w:rPr>
              <w:t xml:space="preserve">Risk Implications – </w:t>
            </w:r>
            <w:r w:rsidR="005E18A0">
              <w:rPr>
                <w:rFonts w:ascii="Arial" w:hAnsi="Arial" w:cs="Arial"/>
                <w:szCs w:val="24"/>
              </w:rPr>
              <w:t xml:space="preserve">The risks associated with this paper are included in the HLH Corporate Risk Register </w:t>
            </w:r>
            <w:r w:rsidRPr="00A90AA3">
              <w:rPr>
                <w:rFonts w:ascii="Arial" w:hAnsi="Arial" w:cs="Arial"/>
                <w:szCs w:val="24"/>
              </w:rPr>
              <w:t xml:space="preserve"> </w:t>
            </w:r>
          </w:p>
          <w:p w14:paraId="2AE8947C" w14:textId="5585E110" w:rsidR="00824844" w:rsidRPr="00A90AA3" w:rsidRDefault="00824844" w:rsidP="000152F3">
            <w:pPr>
              <w:jc w:val="both"/>
              <w:rPr>
                <w:rFonts w:ascii="Arial" w:hAnsi="Arial" w:cs="Arial"/>
                <w:szCs w:val="24"/>
              </w:rPr>
            </w:pPr>
          </w:p>
        </w:tc>
      </w:tr>
      <w:bookmarkEnd w:id="2"/>
      <w:tr w:rsidR="00D32146" w:rsidRPr="00A90AA3" w14:paraId="33F77DBD" w14:textId="77777777" w:rsidTr="00C44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3"/>
          </w:tcPr>
          <w:p w14:paraId="59EC4674" w14:textId="77777777" w:rsidR="00F34AD4" w:rsidRPr="00A90AA3" w:rsidRDefault="00F34AD4" w:rsidP="000152F3">
            <w:pPr>
              <w:pStyle w:val="NoSpacing"/>
              <w:jc w:val="both"/>
            </w:pPr>
            <w:r>
              <w:rPr>
                <w:b/>
                <w:bCs/>
              </w:rPr>
              <w:t>Recommendations</w:t>
            </w:r>
          </w:p>
          <w:p w14:paraId="5857B059" w14:textId="77777777" w:rsidR="00F34AD4" w:rsidRDefault="00F34AD4" w:rsidP="000152F3">
            <w:pPr>
              <w:pStyle w:val="NoSpacing"/>
              <w:jc w:val="both"/>
            </w:pPr>
          </w:p>
          <w:p w14:paraId="371528DD" w14:textId="77777777" w:rsidR="00F34AD4" w:rsidRPr="00C44DF3" w:rsidRDefault="00F34AD4" w:rsidP="000152F3">
            <w:pPr>
              <w:pStyle w:val="Heading2"/>
              <w:jc w:val="both"/>
              <w:rPr>
                <w:rFonts w:ascii="Arial" w:hAnsi="Arial" w:cs="Arial"/>
                <w:b/>
                <w:szCs w:val="24"/>
                <w:u w:val="none"/>
              </w:rPr>
            </w:pPr>
            <w:r w:rsidRPr="00C44DF3">
              <w:rPr>
                <w:rFonts w:ascii="Arial" w:hAnsi="Arial" w:cs="Arial"/>
              </w:rPr>
              <w:t>The purpose of this report is to update Board Members on the Service Delivery Contract review</w:t>
            </w:r>
          </w:p>
          <w:p w14:paraId="41CD7AA8" w14:textId="77777777" w:rsidR="00F34AD4" w:rsidRPr="00C44DF3" w:rsidRDefault="00F34AD4" w:rsidP="000152F3">
            <w:pPr>
              <w:jc w:val="both"/>
              <w:rPr>
                <w:rFonts w:ascii="Arial" w:hAnsi="Arial" w:cs="Arial"/>
              </w:rPr>
            </w:pPr>
          </w:p>
          <w:p w14:paraId="02E746BE" w14:textId="77777777" w:rsidR="00F34AD4" w:rsidRPr="00C44DF3" w:rsidRDefault="00F34AD4" w:rsidP="000152F3">
            <w:pPr>
              <w:jc w:val="both"/>
              <w:rPr>
                <w:rFonts w:ascii="Arial" w:hAnsi="Arial" w:cs="Arial"/>
              </w:rPr>
            </w:pPr>
            <w:r w:rsidRPr="00C44DF3">
              <w:rPr>
                <w:rFonts w:ascii="Arial" w:hAnsi="Arial" w:cs="Arial"/>
              </w:rPr>
              <w:t>This report sets out the current status in respect of a review of the Service Delivery Contract with the Highland Council and asks the board to note:</w:t>
            </w:r>
          </w:p>
          <w:p w14:paraId="7D9193FA" w14:textId="77777777" w:rsidR="00F34AD4" w:rsidRPr="00C44DF3" w:rsidRDefault="00F34AD4" w:rsidP="000152F3">
            <w:pPr>
              <w:jc w:val="both"/>
              <w:rPr>
                <w:rFonts w:ascii="Arial" w:hAnsi="Arial" w:cs="Arial"/>
              </w:rPr>
            </w:pPr>
          </w:p>
          <w:p w14:paraId="54E6DD6D" w14:textId="77777777" w:rsidR="00F34AD4" w:rsidRPr="00C44DF3" w:rsidRDefault="00F34AD4" w:rsidP="000152F3">
            <w:pPr>
              <w:numPr>
                <w:ilvl w:val="0"/>
                <w:numId w:val="12"/>
              </w:numPr>
              <w:jc w:val="both"/>
              <w:rPr>
                <w:rFonts w:ascii="Arial" w:hAnsi="Arial" w:cs="Arial"/>
              </w:rPr>
            </w:pPr>
            <w:r w:rsidRPr="00C44DF3">
              <w:rPr>
                <w:rFonts w:ascii="Arial" w:hAnsi="Arial" w:cs="Arial"/>
              </w:rPr>
              <w:t>The ongoing financial pressures facing the Charity;</w:t>
            </w:r>
          </w:p>
          <w:p w14:paraId="37C975E4" w14:textId="77777777" w:rsidR="00F34AD4" w:rsidRPr="00C44DF3" w:rsidRDefault="00F34AD4" w:rsidP="000152F3">
            <w:pPr>
              <w:numPr>
                <w:ilvl w:val="0"/>
                <w:numId w:val="12"/>
              </w:numPr>
              <w:jc w:val="both"/>
              <w:rPr>
                <w:rFonts w:ascii="Arial" w:hAnsi="Arial" w:cs="Arial"/>
              </w:rPr>
            </w:pPr>
            <w:r w:rsidRPr="00C44DF3">
              <w:rPr>
                <w:rFonts w:ascii="Arial" w:hAnsi="Arial" w:cs="Arial"/>
              </w:rPr>
              <w:t>The challenges presented by the current Service Delivery Contract;</w:t>
            </w:r>
          </w:p>
          <w:p w14:paraId="46BC76C2" w14:textId="77777777" w:rsidR="00F34AD4" w:rsidRPr="00C44DF3" w:rsidRDefault="00F34AD4" w:rsidP="000152F3">
            <w:pPr>
              <w:numPr>
                <w:ilvl w:val="0"/>
                <w:numId w:val="12"/>
              </w:numPr>
              <w:jc w:val="both"/>
              <w:rPr>
                <w:rFonts w:ascii="Arial" w:hAnsi="Arial" w:cs="Arial"/>
              </w:rPr>
            </w:pPr>
            <w:r w:rsidRPr="00C44DF3">
              <w:rPr>
                <w:rFonts w:ascii="Arial" w:hAnsi="Arial" w:cs="Arial"/>
              </w:rPr>
              <w:t>The financial projection for FY 23/24 and the pressing need for initiation of a contract review;</w:t>
            </w:r>
          </w:p>
          <w:p w14:paraId="4724BC87" w14:textId="77777777" w:rsidR="00F34AD4" w:rsidRPr="00C44DF3" w:rsidRDefault="00F34AD4" w:rsidP="000152F3">
            <w:pPr>
              <w:numPr>
                <w:ilvl w:val="0"/>
                <w:numId w:val="12"/>
              </w:numPr>
              <w:jc w:val="both"/>
              <w:rPr>
                <w:rFonts w:ascii="Arial" w:hAnsi="Arial" w:cs="Arial"/>
              </w:rPr>
            </w:pPr>
            <w:r w:rsidRPr="00C44DF3">
              <w:rPr>
                <w:rFonts w:ascii="Arial" w:hAnsi="Arial" w:cs="Arial"/>
              </w:rPr>
              <w:t>The proposed scope and desired outcomes from the contract review;</w:t>
            </w:r>
          </w:p>
          <w:p w14:paraId="67616EE4" w14:textId="77777777" w:rsidR="00F34AD4" w:rsidRPr="00C44DF3" w:rsidRDefault="00F34AD4" w:rsidP="000152F3">
            <w:pPr>
              <w:jc w:val="both"/>
              <w:rPr>
                <w:rFonts w:ascii="Arial" w:hAnsi="Arial" w:cs="Arial"/>
              </w:rPr>
            </w:pPr>
          </w:p>
          <w:p w14:paraId="1FE81797" w14:textId="77777777" w:rsidR="00F34AD4" w:rsidRPr="00C44DF3" w:rsidRDefault="00F34AD4" w:rsidP="000152F3">
            <w:pPr>
              <w:jc w:val="both"/>
              <w:rPr>
                <w:rFonts w:ascii="Arial" w:hAnsi="Arial" w:cs="Arial"/>
              </w:rPr>
            </w:pPr>
            <w:r w:rsidRPr="00C44DF3">
              <w:rPr>
                <w:rFonts w:ascii="Arial" w:hAnsi="Arial" w:cs="Arial"/>
              </w:rPr>
              <w:t xml:space="preserve">The Board are asked to agree: </w:t>
            </w:r>
          </w:p>
          <w:p w14:paraId="25DDD1E0" w14:textId="77777777" w:rsidR="00F34AD4" w:rsidRPr="00C44DF3" w:rsidRDefault="00F34AD4" w:rsidP="000152F3">
            <w:pPr>
              <w:jc w:val="both"/>
              <w:rPr>
                <w:rFonts w:ascii="Arial" w:hAnsi="Arial" w:cs="Arial"/>
              </w:rPr>
            </w:pPr>
          </w:p>
          <w:p w14:paraId="49C945EE" w14:textId="6D26C7D0" w:rsidR="00F34AD4" w:rsidRPr="00C44DF3" w:rsidRDefault="00F34AD4" w:rsidP="000152F3">
            <w:pPr>
              <w:numPr>
                <w:ilvl w:val="0"/>
                <w:numId w:val="12"/>
              </w:numPr>
              <w:jc w:val="both"/>
              <w:rPr>
                <w:rFonts w:ascii="Arial" w:hAnsi="Arial" w:cs="Arial"/>
              </w:rPr>
            </w:pPr>
            <w:r w:rsidRPr="00C44DF3">
              <w:rPr>
                <w:rFonts w:ascii="Arial" w:hAnsi="Arial" w:cs="Arial"/>
              </w:rPr>
              <w:t xml:space="preserve">That the DRAFT letter at </w:t>
            </w:r>
            <w:r w:rsidRPr="00CF6038">
              <w:rPr>
                <w:rFonts w:ascii="Arial" w:hAnsi="Arial" w:cs="Arial"/>
                <w:b/>
                <w:bCs/>
              </w:rPr>
              <w:t>Appendix A</w:t>
            </w:r>
            <w:r w:rsidRPr="00C44DF3">
              <w:rPr>
                <w:rFonts w:ascii="Arial" w:hAnsi="Arial" w:cs="Arial"/>
              </w:rPr>
              <w:t xml:space="preserve"> </w:t>
            </w:r>
            <w:r w:rsidR="00CF6038">
              <w:rPr>
                <w:rFonts w:ascii="Arial" w:hAnsi="Arial" w:cs="Arial"/>
              </w:rPr>
              <w:t xml:space="preserve">is sent, </w:t>
            </w:r>
            <w:r w:rsidRPr="00C44DF3">
              <w:rPr>
                <w:rFonts w:ascii="Arial" w:hAnsi="Arial" w:cs="Arial"/>
              </w:rPr>
              <w:t>formally reminding the Council that the contract review is overdue and the pressing need to make progress</w:t>
            </w:r>
            <w:r w:rsidR="00CF6038">
              <w:rPr>
                <w:rFonts w:ascii="Arial" w:hAnsi="Arial" w:cs="Arial"/>
              </w:rPr>
              <w:t>.</w:t>
            </w:r>
          </w:p>
          <w:p w14:paraId="498CA735" w14:textId="77777777" w:rsidR="00F34AD4" w:rsidRPr="00A90AA3" w:rsidRDefault="00F34AD4" w:rsidP="000152F3">
            <w:pPr>
              <w:pStyle w:val="NoSpacing"/>
              <w:ind w:left="720"/>
              <w:jc w:val="both"/>
            </w:pPr>
          </w:p>
        </w:tc>
      </w:tr>
    </w:tbl>
    <w:p w14:paraId="3B82E045" w14:textId="0DE53754" w:rsidR="006D0D6A" w:rsidRDefault="006D0D6A" w:rsidP="000152F3">
      <w:pPr>
        <w:pStyle w:val="NoSpacing"/>
        <w:jc w:val="both"/>
      </w:pPr>
    </w:p>
    <w:p w14:paraId="3860A2E7" w14:textId="6E5637FB" w:rsidR="00E53486" w:rsidRPr="00A90AA3" w:rsidRDefault="00E53486" w:rsidP="000152F3">
      <w:pPr>
        <w:pStyle w:val="NoSpacing"/>
        <w:jc w:val="both"/>
      </w:pPr>
    </w:p>
    <w:p w14:paraId="612F12CE" w14:textId="77777777" w:rsidR="006066A0" w:rsidRPr="00A90AA3" w:rsidRDefault="006066A0" w:rsidP="000152F3">
      <w:pPr>
        <w:pStyle w:val="NoSpacing"/>
        <w:jc w:val="both"/>
      </w:pPr>
      <w:r w:rsidRPr="00A90AA3">
        <w:t>Designation:</w:t>
      </w:r>
      <w:r w:rsidRPr="00A90AA3">
        <w:tab/>
        <w:t>Chief Executive</w:t>
      </w:r>
    </w:p>
    <w:p w14:paraId="65F146DE" w14:textId="77777777" w:rsidR="006066A0" w:rsidRPr="00A90AA3" w:rsidRDefault="006066A0" w:rsidP="000152F3">
      <w:pPr>
        <w:pStyle w:val="NoSpacing"/>
        <w:jc w:val="both"/>
      </w:pPr>
    </w:p>
    <w:p w14:paraId="7438B146" w14:textId="6B6C34BF" w:rsidR="006066A0" w:rsidRDefault="006066A0" w:rsidP="000152F3">
      <w:pPr>
        <w:pStyle w:val="NoSpacing"/>
        <w:jc w:val="both"/>
      </w:pPr>
      <w:r w:rsidRPr="00A90AA3">
        <w:t>Date:</w:t>
      </w:r>
      <w:r w:rsidRPr="00A90AA3">
        <w:tab/>
      </w:r>
      <w:r w:rsidR="000E18CA">
        <w:tab/>
      </w:r>
      <w:r w:rsidR="00C0380C">
        <w:t>25</w:t>
      </w:r>
      <w:r w:rsidR="00DB17AC">
        <w:t xml:space="preserve"> </w:t>
      </w:r>
      <w:r w:rsidR="00B53EBA">
        <w:t>February 2023</w:t>
      </w:r>
    </w:p>
    <w:p w14:paraId="7E3D418F" w14:textId="0F090E01" w:rsidR="004757B4" w:rsidRDefault="004757B4" w:rsidP="000152F3">
      <w:pPr>
        <w:pStyle w:val="NoSpacing"/>
        <w:jc w:val="both"/>
      </w:pPr>
    </w:p>
    <w:p w14:paraId="696AE400" w14:textId="3502BB8C" w:rsidR="004757B4" w:rsidRDefault="004757B4" w:rsidP="000152F3">
      <w:pPr>
        <w:pStyle w:val="NoSpacing"/>
        <w:jc w:val="both"/>
      </w:pPr>
      <w:r>
        <w:t>Authors:</w:t>
      </w:r>
      <w:r>
        <w:tab/>
      </w:r>
      <w:r w:rsidR="00F21D1C">
        <w:t>Steve Walsh, Chief Executive</w:t>
      </w:r>
    </w:p>
    <w:p w14:paraId="6D97B0C1" w14:textId="549AAC64" w:rsidR="004757B4" w:rsidRDefault="004757B4" w:rsidP="000152F3">
      <w:pPr>
        <w:pStyle w:val="NoSpacing"/>
        <w:jc w:val="both"/>
      </w:pPr>
      <w:r>
        <w:tab/>
      </w:r>
      <w:r>
        <w:tab/>
      </w:r>
    </w:p>
    <w:p w14:paraId="379B27FF" w14:textId="565A3482" w:rsidR="000938E4" w:rsidRDefault="000938E4" w:rsidP="000152F3">
      <w:pPr>
        <w:pStyle w:val="NoSpacing"/>
        <w:jc w:val="both"/>
      </w:pPr>
    </w:p>
    <w:p w14:paraId="5D9D3505" w14:textId="7307D9D4" w:rsidR="000938E4" w:rsidRDefault="000938E4" w:rsidP="000152F3">
      <w:pPr>
        <w:jc w:val="both"/>
        <w:rPr>
          <w:rFonts w:ascii="Arial" w:eastAsiaTheme="minorHAnsi" w:hAnsi="Arial" w:cs="Arial"/>
          <w:szCs w:val="24"/>
          <w:lang w:eastAsia="en-US"/>
        </w:rPr>
      </w:pPr>
      <w:r>
        <w:br w:type="page"/>
      </w:r>
    </w:p>
    <w:p w14:paraId="5E1B618D" w14:textId="77777777" w:rsidR="004B7F43" w:rsidRPr="004B7F43" w:rsidRDefault="004B7F43" w:rsidP="00A84C65">
      <w:pPr>
        <w:pStyle w:val="NoSpacing"/>
        <w:jc w:val="right"/>
        <w:rPr>
          <w:b/>
          <w:bCs/>
        </w:rPr>
      </w:pPr>
      <w:r w:rsidRPr="004B7F43">
        <w:rPr>
          <w:b/>
          <w:bCs/>
        </w:rPr>
        <w:lastRenderedPageBreak/>
        <w:t>Appendix A</w:t>
      </w:r>
    </w:p>
    <w:p w14:paraId="5455EB9D" w14:textId="77777777" w:rsidR="0049266B" w:rsidRPr="0049266B" w:rsidRDefault="0049266B" w:rsidP="0049266B">
      <w:pPr>
        <w:kinsoku w:val="0"/>
        <w:overflowPunct w:val="0"/>
        <w:autoSpaceDE w:val="0"/>
        <w:autoSpaceDN w:val="0"/>
        <w:adjustRightInd w:val="0"/>
        <w:spacing w:before="1"/>
        <w:rPr>
          <w:rFonts w:eastAsiaTheme="minorHAnsi"/>
          <w:sz w:val="12"/>
          <w:szCs w:val="12"/>
          <w:lang w:eastAsia="en-US"/>
        </w:rPr>
      </w:pPr>
    </w:p>
    <w:p w14:paraId="7F3CD18E" w14:textId="4C2E3DA2" w:rsidR="0049266B" w:rsidRPr="0049266B" w:rsidRDefault="0049266B" w:rsidP="0049266B">
      <w:pPr>
        <w:kinsoku w:val="0"/>
        <w:overflowPunct w:val="0"/>
        <w:autoSpaceDE w:val="0"/>
        <w:autoSpaceDN w:val="0"/>
        <w:adjustRightInd w:val="0"/>
        <w:ind w:left="107"/>
        <w:rPr>
          <w:rFonts w:eastAsiaTheme="minorHAnsi"/>
          <w:sz w:val="20"/>
          <w:lang w:eastAsia="en-US"/>
        </w:rPr>
      </w:pPr>
      <w:r w:rsidRPr="0049266B">
        <w:rPr>
          <w:rFonts w:eastAsiaTheme="minorHAnsi"/>
          <w:noProof/>
          <w:sz w:val="20"/>
          <w:lang w:eastAsia="en-US"/>
        </w:rPr>
        <w:drawing>
          <wp:inline distT="0" distB="0" distL="0" distR="0" wp14:anchorId="037F024C" wp14:editId="5E85C047">
            <wp:extent cx="18002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5B402786" w14:textId="1704DAF0" w:rsidR="0049266B" w:rsidRPr="0049266B" w:rsidRDefault="0049266B" w:rsidP="0049266B">
      <w:pPr>
        <w:kinsoku w:val="0"/>
        <w:overflowPunct w:val="0"/>
        <w:autoSpaceDE w:val="0"/>
        <w:autoSpaceDN w:val="0"/>
        <w:adjustRightInd w:val="0"/>
        <w:spacing w:before="127"/>
        <w:ind w:left="673"/>
        <w:rPr>
          <w:rFonts w:ascii="Arial" w:eastAsiaTheme="minorHAnsi" w:hAnsi="Arial" w:cs="Arial"/>
          <w:szCs w:val="24"/>
          <w:lang w:eastAsia="en-US"/>
        </w:rPr>
      </w:pPr>
      <w:r w:rsidRPr="0049266B">
        <w:rPr>
          <w:rFonts w:ascii="Arial" w:eastAsiaTheme="minorHAnsi" w:hAnsi="Arial" w:cs="Arial"/>
          <w:szCs w:val="24"/>
          <w:lang w:eastAsia="en-US"/>
        </w:rPr>
        <w:t>Mr</w:t>
      </w:r>
      <w:r w:rsidRPr="0049266B">
        <w:rPr>
          <w:rFonts w:ascii="Arial" w:eastAsiaTheme="minorHAnsi" w:hAnsi="Arial" w:cs="Arial"/>
          <w:spacing w:val="-4"/>
          <w:szCs w:val="24"/>
          <w:lang w:eastAsia="en-US"/>
        </w:rPr>
        <w:t xml:space="preserve"> </w:t>
      </w:r>
      <w:r w:rsidRPr="0049266B">
        <w:rPr>
          <w:rFonts w:ascii="Arial" w:eastAsiaTheme="minorHAnsi" w:hAnsi="Arial" w:cs="Arial"/>
          <w:szCs w:val="24"/>
          <w:lang w:eastAsia="en-US"/>
        </w:rPr>
        <w:t>Raymond</w:t>
      </w:r>
      <w:r w:rsidRPr="0049266B">
        <w:rPr>
          <w:rFonts w:ascii="Arial" w:eastAsiaTheme="minorHAnsi" w:hAnsi="Arial" w:cs="Arial"/>
          <w:spacing w:val="-4"/>
          <w:szCs w:val="24"/>
          <w:lang w:eastAsia="en-US"/>
        </w:rPr>
        <w:t xml:space="preserve"> </w:t>
      </w:r>
      <w:r w:rsidRPr="0049266B">
        <w:rPr>
          <w:rFonts w:ascii="Arial" w:eastAsiaTheme="minorHAnsi" w:hAnsi="Arial" w:cs="Arial"/>
          <w:szCs w:val="24"/>
          <w:lang w:eastAsia="en-US"/>
        </w:rPr>
        <w:t xml:space="preserve">Bremner                                                                      </w:t>
      </w:r>
      <w:r w:rsidRPr="0049266B">
        <w:rPr>
          <w:rFonts w:ascii="Arial" w:eastAsiaTheme="minorHAnsi" w:hAnsi="Arial" w:cs="Arial"/>
          <w:spacing w:val="57"/>
          <w:szCs w:val="24"/>
          <w:lang w:eastAsia="en-US"/>
        </w:rPr>
        <w:t xml:space="preserve"> </w:t>
      </w:r>
      <w:r w:rsidRPr="0049266B">
        <w:rPr>
          <w:rFonts w:ascii="Arial" w:eastAsiaTheme="minorHAnsi" w:hAnsi="Arial" w:cs="Arial"/>
          <w:szCs w:val="24"/>
          <w:lang w:eastAsia="en-US"/>
        </w:rPr>
        <w:t>Date:</w:t>
      </w:r>
      <w:r w:rsidRPr="0049266B">
        <w:rPr>
          <w:rFonts w:ascii="Arial" w:eastAsiaTheme="minorHAnsi" w:hAnsi="Arial" w:cs="Arial"/>
          <w:spacing w:val="8"/>
          <w:szCs w:val="24"/>
          <w:lang w:eastAsia="en-US"/>
        </w:rPr>
        <w:t xml:space="preserve"> </w:t>
      </w:r>
      <w:r w:rsidR="00417A70" w:rsidRPr="004602DD">
        <w:rPr>
          <w:rFonts w:ascii="Arial" w:eastAsiaTheme="minorHAnsi" w:hAnsi="Arial" w:cs="Arial"/>
          <w:i/>
          <w:iCs/>
          <w:szCs w:val="24"/>
          <w:lang w:eastAsia="en-US"/>
        </w:rPr>
        <w:t>14</w:t>
      </w:r>
      <w:r w:rsidRPr="004602DD">
        <w:rPr>
          <w:rFonts w:ascii="Arial" w:eastAsiaTheme="minorHAnsi" w:hAnsi="Arial" w:cs="Arial"/>
          <w:i/>
          <w:iCs/>
          <w:szCs w:val="24"/>
          <w:lang w:eastAsia="en-US"/>
        </w:rPr>
        <w:t>/0</w:t>
      </w:r>
      <w:r w:rsidR="00417A70" w:rsidRPr="004602DD">
        <w:rPr>
          <w:rFonts w:ascii="Arial" w:eastAsiaTheme="minorHAnsi" w:hAnsi="Arial" w:cs="Arial"/>
          <w:i/>
          <w:iCs/>
          <w:szCs w:val="24"/>
          <w:lang w:eastAsia="en-US"/>
        </w:rPr>
        <w:t>3</w:t>
      </w:r>
      <w:r w:rsidRPr="004602DD">
        <w:rPr>
          <w:rFonts w:ascii="Arial" w:eastAsiaTheme="minorHAnsi" w:hAnsi="Arial" w:cs="Arial"/>
          <w:i/>
          <w:iCs/>
          <w:szCs w:val="24"/>
          <w:lang w:eastAsia="en-US"/>
        </w:rPr>
        <w:t>/2023</w:t>
      </w:r>
    </w:p>
    <w:p w14:paraId="47393218" w14:textId="77777777" w:rsidR="0049266B" w:rsidRPr="0049266B" w:rsidRDefault="0049266B" w:rsidP="0049266B">
      <w:pPr>
        <w:kinsoku w:val="0"/>
        <w:overflowPunct w:val="0"/>
        <w:autoSpaceDE w:val="0"/>
        <w:autoSpaceDN w:val="0"/>
        <w:adjustRightInd w:val="0"/>
        <w:ind w:left="673"/>
        <w:rPr>
          <w:rFonts w:ascii="Arial" w:eastAsiaTheme="minorHAnsi" w:hAnsi="Arial" w:cs="Arial"/>
          <w:szCs w:val="24"/>
          <w:lang w:eastAsia="en-US"/>
        </w:rPr>
      </w:pPr>
      <w:r w:rsidRPr="0049266B">
        <w:rPr>
          <w:rFonts w:ascii="Arial" w:eastAsiaTheme="minorHAnsi" w:hAnsi="Arial" w:cs="Arial"/>
          <w:szCs w:val="24"/>
          <w:lang w:eastAsia="en-US"/>
        </w:rPr>
        <w:t>Leader of</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Highland Council</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(by e-mail)</w:t>
      </w:r>
    </w:p>
    <w:p w14:paraId="7843AA91" w14:textId="77777777" w:rsidR="0049266B" w:rsidRPr="0049266B" w:rsidRDefault="0049266B" w:rsidP="0049266B">
      <w:pPr>
        <w:kinsoku w:val="0"/>
        <w:overflowPunct w:val="0"/>
        <w:autoSpaceDE w:val="0"/>
        <w:autoSpaceDN w:val="0"/>
        <w:adjustRightInd w:val="0"/>
        <w:rPr>
          <w:rFonts w:ascii="Arial" w:eastAsiaTheme="minorHAnsi" w:hAnsi="Arial" w:cs="Arial"/>
          <w:sz w:val="26"/>
          <w:szCs w:val="26"/>
          <w:lang w:eastAsia="en-US"/>
        </w:rPr>
      </w:pPr>
    </w:p>
    <w:p w14:paraId="56F37370" w14:textId="77777777" w:rsidR="0049266B" w:rsidRPr="0049266B" w:rsidRDefault="0049266B" w:rsidP="0049266B">
      <w:pPr>
        <w:kinsoku w:val="0"/>
        <w:overflowPunct w:val="0"/>
        <w:autoSpaceDE w:val="0"/>
        <w:autoSpaceDN w:val="0"/>
        <w:adjustRightInd w:val="0"/>
        <w:ind w:left="673"/>
        <w:rPr>
          <w:rFonts w:ascii="Arial" w:eastAsiaTheme="minorHAnsi" w:hAnsi="Arial" w:cs="Arial"/>
          <w:szCs w:val="24"/>
          <w:lang w:eastAsia="en-US"/>
        </w:rPr>
      </w:pPr>
      <w:r w:rsidRPr="0049266B">
        <w:rPr>
          <w:rFonts w:ascii="Arial" w:eastAsiaTheme="minorHAnsi" w:hAnsi="Arial" w:cs="Arial"/>
          <w:szCs w:val="24"/>
          <w:lang w:eastAsia="en-US"/>
        </w:rPr>
        <w:t>Dear Raymond,</w:t>
      </w:r>
    </w:p>
    <w:p w14:paraId="0BA4C7E2" w14:textId="2E4FF56A" w:rsidR="0015786D" w:rsidRDefault="0015786D" w:rsidP="0049266B">
      <w:pPr>
        <w:kinsoku w:val="0"/>
        <w:overflowPunct w:val="0"/>
        <w:autoSpaceDE w:val="0"/>
        <w:autoSpaceDN w:val="0"/>
        <w:adjustRightInd w:val="0"/>
        <w:ind w:left="673" w:right="112"/>
        <w:jc w:val="both"/>
        <w:rPr>
          <w:rFonts w:ascii="Arial" w:eastAsiaTheme="minorHAnsi" w:hAnsi="Arial" w:cs="Arial"/>
          <w:szCs w:val="24"/>
          <w:lang w:eastAsia="en-US"/>
        </w:rPr>
      </w:pPr>
    </w:p>
    <w:p w14:paraId="286D782F" w14:textId="7E1186A6" w:rsidR="0049266B" w:rsidRDefault="00F8573B" w:rsidP="0049266B">
      <w:pPr>
        <w:kinsoku w:val="0"/>
        <w:overflowPunct w:val="0"/>
        <w:autoSpaceDE w:val="0"/>
        <w:autoSpaceDN w:val="0"/>
        <w:adjustRightInd w:val="0"/>
        <w:ind w:left="673" w:right="112"/>
        <w:jc w:val="both"/>
        <w:rPr>
          <w:rFonts w:ascii="Arial" w:eastAsiaTheme="minorHAnsi" w:hAnsi="Arial" w:cs="Arial"/>
          <w:szCs w:val="24"/>
          <w:lang w:eastAsia="en-US"/>
        </w:rPr>
      </w:pPr>
      <w:r>
        <w:rPr>
          <w:rFonts w:ascii="Arial" w:eastAsiaTheme="minorHAnsi" w:hAnsi="Arial" w:cs="Arial"/>
          <w:szCs w:val="24"/>
          <w:lang w:eastAsia="en-US"/>
        </w:rPr>
        <w:t xml:space="preserve">Grateful thanks to you, Councillor Lobban and council officers for the </w:t>
      </w:r>
      <w:r w:rsidR="004801D1">
        <w:rPr>
          <w:rFonts w:ascii="Arial" w:eastAsiaTheme="minorHAnsi" w:hAnsi="Arial" w:cs="Arial"/>
          <w:szCs w:val="24"/>
          <w:lang w:eastAsia="en-US"/>
        </w:rPr>
        <w:t xml:space="preserve">collaborative </w:t>
      </w:r>
      <w:r>
        <w:rPr>
          <w:rFonts w:ascii="Arial" w:eastAsiaTheme="minorHAnsi" w:hAnsi="Arial" w:cs="Arial"/>
          <w:szCs w:val="24"/>
          <w:lang w:eastAsia="en-US"/>
        </w:rPr>
        <w:t xml:space="preserve">approach </w:t>
      </w:r>
      <w:r w:rsidR="004801D1">
        <w:rPr>
          <w:rFonts w:ascii="Arial" w:eastAsiaTheme="minorHAnsi" w:hAnsi="Arial" w:cs="Arial"/>
          <w:szCs w:val="24"/>
          <w:lang w:eastAsia="en-US"/>
        </w:rPr>
        <w:t>to addressing what</w:t>
      </w:r>
      <w:r w:rsidR="0006108E">
        <w:rPr>
          <w:rFonts w:ascii="Arial" w:eastAsiaTheme="minorHAnsi" w:hAnsi="Arial" w:cs="Arial"/>
          <w:szCs w:val="24"/>
          <w:lang w:eastAsia="en-US"/>
        </w:rPr>
        <w:t xml:space="preserve">, back in October, </w:t>
      </w:r>
      <w:r w:rsidR="004801D1">
        <w:rPr>
          <w:rFonts w:ascii="Arial" w:eastAsiaTheme="minorHAnsi" w:hAnsi="Arial" w:cs="Arial"/>
          <w:szCs w:val="24"/>
          <w:lang w:eastAsia="en-US"/>
        </w:rPr>
        <w:t xml:space="preserve">seemed to be an unbridgeable budget gap. </w:t>
      </w:r>
      <w:r w:rsidR="0015786D">
        <w:rPr>
          <w:rFonts w:ascii="Arial" w:eastAsiaTheme="minorHAnsi" w:hAnsi="Arial" w:cs="Arial"/>
          <w:szCs w:val="24"/>
          <w:lang w:eastAsia="en-US"/>
        </w:rPr>
        <w:t>I’m pleased to say that at our meeting on 14 March</w:t>
      </w:r>
      <w:r w:rsidR="00E66B5A">
        <w:rPr>
          <w:rFonts w:ascii="Arial" w:eastAsiaTheme="minorHAnsi" w:hAnsi="Arial" w:cs="Arial"/>
          <w:szCs w:val="24"/>
          <w:lang w:eastAsia="en-US"/>
        </w:rPr>
        <w:t>, the High Life Highland Board were able to agree a balanced budget for FY 23/24</w:t>
      </w:r>
      <w:r w:rsidR="00F31EF4">
        <w:rPr>
          <w:rFonts w:ascii="Arial" w:eastAsiaTheme="minorHAnsi" w:hAnsi="Arial" w:cs="Arial"/>
          <w:szCs w:val="24"/>
          <w:lang w:eastAsia="en-US"/>
        </w:rPr>
        <w:t>.  T</w:t>
      </w:r>
      <w:r w:rsidR="00E66B5A">
        <w:rPr>
          <w:rFonts w:ascii="Arial" w:eastAsiaTheme="minorHAnsi" w:hAnsi="Arial" w:cs="Arial"/>
          <w:szCs w:val="24"/>
          <w:lang w:eastAsia="en-US"/>
        </w:rPr>
        <w:t>he HLH Board members requested that I pass on their thanks for the continuing support from the Council as we jointly continue our recovery fr</w:t>
      </w:r>
      <w:r w:rsidR="0006108E">
        <w:rPr>
          <w:rFonts w:ascii="Arial" w:eastAsiaTheme="minorHAnsi" w:hAnsi="Arial" w:cs="Arial"/>
          <w:szCs w:val="24"/>
          <w:lang w:eastAsia="en-US"/>
        </w:rPr>
        <w:t>o</w:t>
      </w:r>
      <w:r w:rsidR="00E66B5A">
        <w:rPr>
          <w:rFonts w:ascii="Arial" w:eastAsiaTheme="minorHAnsi" w:hAnsi="Arial" w:cs="Arial"/>
          <w:szCs w:val="24"/>
          <w:lang w:eastAsia="en-US"/>
        </w:rPr>
        <w:t xml:space="preserve">m the Pandemic and deal with the challenges </w:t>
      </w:r>
      <w:r w:rsidR="00722946">
        <w:rPr>
          <w:rFonts w:ascii="Arial" w:eastAsiaTheme="minorHAnsi" w:hAnsi="Arial" w:cs="Arial"/>
          <w:szCs w:val="24"/>
          <w:lang w:eastAsia="en-US"/>
        </w:rPr>
        <w:t>brough on by</w:t>
      </w:r>
      <w:r w:rsidR="00E66B5A">
        <w:rPr>
          <w:rFonts w:ascii="Arial" w:eastAsiaTheme="minorHAnsi" w:hAnsi="Arial" w:cs="Arial"/>
          <w:szCs w:val="24"/>
          <w:lang w:eastAsia="en-US"/>
        </w:rPr>
        <w:t xml:space="preserve"> inflatio</w:t>
      </w:r>
      <w:r w:rsidR="0006108E">
        <w:rPr>
          <w:rFonts w:ascii="Arial" w:eastAsiaTheme="minorHAnsi" w:hAnsi="Arial" w:cs="Arial"/>
          <w:szCs w:val="24"/>
          <w:lang w:eastAsia="en-US"/>
        </w:rPr>
        <w:t>n</w:t>
      </w:r>
      <w:r w:rsidR="00E66B5A">
        <w:rPr>
          <w:rFonts w:ascii="Arial" w:eastAsiaTheme="minorHAnsi" w:hAnsi="Arial" w:cs="Arial"/>
          <w:szCs w:val="24"/>
          <w:lang w:eastAsia="en-US"/>
        </w:rPr>
        <w:t>.</w:t>
      </w:r>
      <w:r w:rsidR="00FB6825">
        <w:rPr>
          <w:rFonts w:ascii="Arial" w:eastAsiaTheme="minorHAnsi" w:hAnsi="Arial" w:cs="Arial"/>
          <w:szCs w:val="24"/>
          <w:lang w:eastAsia="en-US"/>
        </w:rPr>
        <w:t xml:space="preserve"> </w:t>
      </w:r>
    </w:p>
    <w:p w14:paraId="13BD6EAD" w14:textId="266A63D7" w:rsidR="00722946" w:rsidRDefault="00722946" w:rsidP="0049266B">
      <w:pPr>
        <w:kinsoku w:val="0"/>
        <w:overflowPunct w:val="0"/>
        <w:autoSpaceDE w:val="0"/>
        <w:autoSpaceDN w:val="0"/>
        <w:adjustRightInd w:val="0"/>
        <w:ind w:left="673" w:right="112"/>
        <w:jc w:val="both"/>
        <w:rPr>
          <w:rFonts w:ascii="Arial" w:eastAsiaTheme="minorHAnsi" w:hAnsi="Arial" w:cs="Arial"/>
          <w:szCs w:val="24"/>
          <w:lang w:eastAsia="en-US"/>
        </w:rPr>
      </w:pPr>
    </w:p>
    <w:p w14:paraId="5A850473" w14:textId="451D7A1D" w:rsidR="00722946" w:rsidRDefault="00722946" w:rsidP="0049266B">
      <w:pPr>
        <w:kinsoku w:val="0"/>
        <w:overflowPunct w:val="0"/>
        <w:autoSpaceDE w:val="0"/>
        <w:autoSpaceDN w:val="0"/>
        <w:adjustRightInd w:val="0"/>
        <w:ind w:left="673" w:right="112"/>
        <w:jc w:val="both"/>
        <w:rPr>
          <w:rFonts w:ascii="Arial" w:eastAsia="Arial" w:hAnsi="Arial" w:cs="Arial"/>
        </w:rPr>
      </w:pPr>
      <w:r>
        <w:rPr>
          <w:rFonts w:ascii="Arial" w:eastAsiaTheme="minorHAnsi" w:hAnsi="Arial" w:cs="Arial"/>
          <w:szCs w:val="24"/>
          <w:lang w:eastAsia="en-US"/>
        </w:rPr>
        <w:t xml:space="preserve">Inevitably, our focus now turns to the forthcoming going concern assessment from our external auditor and the ongoing financial challenges faced by the Charity. </w:t>
      </w:r>
      <w:r>
        <w:rPr>
          <w:rFonts w:ascii="Arial" w:eastAsia="Arial" w:hAnsi="Arial" w:cs="Arial"/>
        </w:rPr>
        <w:t xml:space="preserve">Notwithstanding the balanced budget position achieved for FY 23/24, the non-recurring nature of Council support and continuing pressure from pay awards raises serious concerns in respect of </w:t>
      </w:r>
      <w:r w:rsidR="0006108E">
        <w:rPr>
          <w:rFonts w:ascii="Arial" w:eastAsia="Arial" w:hAnsi="Arial" w:cs="Arial"/>
        </w:rPr>
        <w:t xml:space="preserve">our </w:t>
      </w:r>
      <w:r>
        <w:rPr>
          <w:rFonts w:ascii="Arial" w:eastAsia="Arial" w:hAnsi="Arial" w:cs="Arial"/>
        </w:rPr>
        <w:t xml:space="preserve">financial sustainability.  Early projections based on current assumptions with respect to pay pressures, inflation and use of reserves means that HLH faces a reasonable worst case budget deficit in FY 24/25 of c£4m.  However, it is important to note that this is unmitigated and does not take account of efficiencies, reductions or additional income. </w:t>
      </w:r>
      <w:r w:rsidR="00D32146">
        <w:rPr>
          <w:rFonts w:ascii="Arial" w:eastAsia="Arial" w:hAnsi="Arial" w:cs="Arial"/>
        </w:rPr>
        <w:t>A</w:t>
      </w:r>
      <w:r>
        <w:rPr>
          <w:rFonts w:ascii="Arial" w:eastAsia="Arial" w:hAnsi="Arial" w:cs="Arial"/>
        </w:rPr>
        <w:t xml:space="preserve"> breakdown is detailed at the attached table.</w:t>
      </w:r>
    </w:p>
    <w:p w14:paraId="23E289C3" w14:textId="3DA9FE8F" w:rsidR="00722946" w:rsidRDefault="00722946" w:rsidP="0049266B">
      <w:pPr>
        <w:kinsoku w:val="0"/>
        <w:overflowPunct w:val="0"/>
        <w:autoSpaceDE w:val="0"/>
        <w:autoSpaceDN w:val="0"/>
        <w:adjustRightInd w:val="0"/>
        <w:ind w:left="673" w:right="112"/>
        <w:jc w:val="both"/>
        <w:rPr>
          <w:rFonts w:ascii="Arial" w:eastAsia="Arial" w:hAnsi="Arial" w:cs="Arial"/>
        </w:rPr>
      </w:pPr>
    </w:p>
    <w:tbl>
      <w:tblPr>
        <w:tblW w:w="5305" w:type="dxa"/>
        <w:jc w:val="center"/>
        <w:tblLayout w:type="fixed"/>
        <w:tblCellMar>
          <w:left w:w="0" w:type="dxa"/>
          <w:right w:w="0" w:type="dxa"/>
        </w:tblCellMar>
        <w:tblLook w:val="04A0" w:firstRow="1" w:lastRow="0" w:firstColumn="1" w:lastColumn="0" w:noHBand="0" w:noVBand="1"/>
      </w:tblPr>
      <w:tblGrid>
        <w:gridCol w:w="3405"/>
        <w:gridCol w:w="129"/>
        <w:gridCol w:w="46"/>
        <w:gridCol w:w="1655"/>
        <w:gridCol w:w="70"/>
      </w:tblGrid>
      <w:tr w:rsidR="0006108E" w14:paraId="626A3768" w14:textId="77777777" w:rsidTr="00F31EF4">
        <w:trPr>
          <w:trHeight w:val="252"/>
          <w:jc w:val="center"/>
        </w:trPr>
        <w:tc>
          <w:tcPr>
            <w:tcW w:w="3580" w:type="dxa"/>
            <w:gridSpan w:val="3"/>
            <w:tcBorders>
              <w:top w:val="single" w:sz="8" w:space="0" w:color="auto"/>
              <w:left w:val="single" w:sz="8" w:space="0" w:color="auto"/>
              <w:bottom w:val="single" w:sz="8" w:space="0" w:color="auto"/>
              <w:right w:val="single" w:sz="8" w:space="0" w:color="auto"/>
            </w:tcBorders>
            <w:shd w:val="clear" w:color="auto" w:fill="305496"/>
            <w:noWrap/>
            <w:tcMar>
              <w:top w:w="0" w:type="dxa"/>
              <w:left w:w="108" w:type="dxa"/>
              <w:bottom w:w="0" w:type="dxa"/>
              <w:right w:w="108" w:type="dxa"/>
            </w:tcMar>
            <w:vAlign w:val="bottom"/>
            <w:hideMark/>
          </w:tcPr>
          <w:p w14:paraId="0C416688" w14:textId="77777777" w:rsidR="00722946" w:rsidRPr="00F31EF4" w:rsidRDefault="00722946" w:rsidP="00C44DF3">
            <w:pPr>
              <w:jc w:val="center"/>
              <w:rPr>
                <w:rFonts w:ascii="Arial" w:hAnsi="Arial" w:cs="Arial"/>
                <w:b/>
                <w:bCs/>
                <w:color w:val="FFFFCC"/>
                <w:szCs w:val="24"/>
              </w:rPr>
            </w:pPr>
            <w:r w:rsidRPr="00F31EF4">
              <w:rPr>
                <w:rFonts w:ascii="Arial" w:hAnsi="Arial" w:cs="Arial"/>
                <w:b/>
                <w:bCs/>
                <w:color w:val="FFFFCC"/>
                <w:szCs w:val="24"/>
              </w:rPr>
              <w:t>Draft Budget Pressure</w:t>
            </w:r>
          </w:p>
        </w:tc>
        <w:tc>
          <w:tcPr>
            <w:tcW w:w="1725" w:type="dxa"/>
            <w:gridSpan w:val="2"/>
            <w:tcBorders>
              <w:top w:val="single" w:sz="8" w:space="0" w:color="auto"/>
              <w:left w:val="nil"/>
              <w:bottom w:val="single" w:sz="8" w:space="0" w:color="auto"/>
              <w:right w:val="single" w:sz="8" w:space="0" w:color="auto"/>
            </w:tcBorders>
            <w:shd w:val="clear" w:color="auto" w:fill="305496"/>
            <w:noWrap/>
            <w:tcMar>
              <w:top w:w="0" w:type="dxa"/>
              <w:left w:w="108" w:type="dxa"/>
              <w:bottom w:w="0" w:type="dxa"/>
              <w:right w:w="108" w:type="dxa"/>
            </w:tcMar>
            <w:vAlign w:val="bottom"/>
            <w:hideMark/>
          </w:tcPr>
          <w:p w14:paraId="44072D86" w14:textId="77777777" w:rsidR="00722946" w:rsidRPr="00F31EF4" w:rsidRDefault="00722946" w:rsidP="00C44DF3">
            <w:pPr>
              <w:jc w:val="center"/>
              <w:rPr>
                <w:rFonts w:ascii="Arial" w:hAnsi="Arial" w:cs="Arial"/>
                <w:b/>
                <w:bCs/>
                <w:color w:val="FFFFCC"/>
                <w:szCs w:val="24"/>
              </w:rPr>
            </w:pPr>
            <w:r w:rsidRPr="00F31EF4">
              <w:rPr>
                <w:rFonts w:ascii="Arial" w:hAnsi="Arial" w:cs="Arial"/>
                <w:b/>
                <w:bCs/>
                <w:color w:val="FFFFCC"/>
                <w:szCs w:val="24"/>
              </w:rPr>
              <w:t>24/25 (£m)</w:t>
            </w:r>
          </w:p>
        </w:tc>
      </w:tr>
      <w:tr w:rsidR="0006108E" w14:paraId="33A82D9B" w14:textId="77777777" w:rsidTr="00F31EF4">
        <w:trPr>
          <w:trHeight w:val="252"/>
          <w:jc w:val="center"/>
        </w:trPr>
        <w:tc>
          <w:tcPr>
            <w:tcW w:w="358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C86CC" w14:textId="77777777" w:rsidR="00722946" w:rsidRPr="00F31EF4" w:rsidRDefault="00722946" w:rsidP="00C44DF3">
            <w:pPr>
              <w:rPr>
                <w:rFonts w:ascii="Arial" w:hAnsi="Arial" w:cs="Arial"/>
                <w:color w:val="000000"/>
                <w:szCs w:val="24"/>
              </w:rPr>
            </w:pPr>
            <w:r w:rsidRPr="00F31EF4">
              <w:rPr>
                <w:rFonts w:ascii="Arial" w:hAnsi="Arial" w:cs="Arial"/>
                <w:color w:val="000000"/>
                <w:szCs w:val="24"/>
              </w:rPr>
              <w:t xml:space="preserve">Pay Award (3%?) </w:t>
            </w:r>
          </w:p>
        </w:tc>
        <w:tc>
          <w:tcPr>
            <w:tcW w:w="17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BF6CE" w14:textId="77777777" w:rsidR="00722946" w:rsidRPr="00F31EF4" w:rsidRDefault="00722946" w:rsidP="00C44DF3">
            <w:pPr>
              <w:jc w:val="right"/>
              <w:rPr>
                <w:rFonts w:ascii="Arial" w:hAnsi="Arial" w:cs="Arial"/>
                <w:color w:val="000000"/>
                <w:szCs w:val="24"/>
              </w:rPr>
            </w:pPr>
            <w:r w:rsidRPr="00F31EF4">
              <w:rPr>
                <w:rFonts w:ascii="Arial" w:hAnsi="Arial" w:cs="Arial"/>
                <w:color w:val="000000"/>
                <w:szCs w:val="24"/>
              </w:rPr>
              <w:t>0.86</w:t>
            </w:r>
          </w:p>
        </w:tc>
      </w:tr>
      <w:tr w:rsidR="0006108E" w14:paraId="67FBB306" w14:textId="77777777" w:rsidTr="00F31EF4">
        <w:trPr>
          <w:trHeight w:val="252"/>
          <w:jc w:val="center"/>
        </w:trPr>
        <w:tc>
          <w:tcPr>
            <w:tcW w:w="358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EA54F2" w14:textId="77777777" w:rsidR="00722946" w:rsidRPr="00F31EF4" w:rsidRDefault="00722946" w:rsidP="00C44DF3">
            <w:pPr>
              <w:rPr>
                <w:rFonts w:ascii="Arial" w:hAnsi="Arial" w:cs="Arial"/>
                <w:color w:val="000000"/>
                <w:szCs w:val="24"/>
              </w:rPr>
            </w:pPr>
            <w:r w:rsidRPr="00F31EF4">
              <w:rPr>
                <w:rFonts w:ascii="Arial" w:hAnsi="Arial" w:cs="Arial"/>
                <w:color w:val="000000"/>
                <w:szCs w:val="24"/>
              </w:rPr>
              <w:t>Loss of THC Reserves Funding</w:t>
            </w:r>
          </w:p>
        </w:tc>
        <w:tc>
          <w:tcPr>
            <w:tcW w:w="17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9A640" w14:textId="77777777" w:rsidR="00722946" w:rsidRPr="00F31EF4" w:rsidRDefault="00722946" w:rsidP="00C44DF3">
            <w:pPr>
              <w:jc w:val="right"/>
              <w:rPr>
                <w:rFonts w:ascii="Arial" w:hAnsi="Arial" w:cs="Arial"/>
                <w:color w:val="000000"/>
                <w:szCs w:val="24"/>
              </w:rPr>
            </w:pPr>
            <w:r w:rsidRPr="00F31EF4">
              <w:rPr>
                <w:rFonts w:ascii="Arial" w:hAnsi="Arial" w:cs="Arial"/>
                <w:color w:val="000000"/>
                <w:szCs w:val="24"/>
              </w:rPr>
              <w:t>2.4</w:t>
            </w:r>
          </w:p>
        </w:tc>
      </w:tr>
      <w:tr w:rsidR="0006108E" w14:paraId="0C587E68" w14:textId="77777777" w:rsidTr="00F31EF4">
        <w:trPr>
          <w:trHeight w:val="252"/>
          <w:jc w:val="center"/>
        </w:trPr>
        <w:tc>
          <w:tcPr>
            <w:tcW w:w="358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0FDBD9" w14:textId="77777777" w:rsidR="00722946" w:rsidRPr="00F31EF4" w:rsidRDefault="00722946" w:rsidP="00C44DF3">
            <w:pPr>
              <w:rPr>
                <w:rFonts w:ascii="Arial" w:hAnsi="Arial" w:cs="Arial"/>
                <w:color w:val="000000"/>
                <w:szCs w:val="24"/>
              </w:rPr>
            </w:pPr>
            <w:r w:rsidRPr="00F31EF4">
              <w:rPr>
                <w:rFonts w:ascii="Arial" w:hAnsi="Arial" w:cs="Arial"/>
                <w:color w:val="000000"/>
                <w:szCs w:val="24"/>
              </w:rPr>
              <w:t>No Reserves to Balance Budget</w:t>
            </w:r>
          </w:p>
        </w:tc>
        <w:tc>
          <w:tcPr>
            <w:tcW w:w="17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1F88A" w14:textId="77777777" w:rsidR="00722946" w:rsidRPr="00F31EF4" w:rsidRDefault="00722946" w:rsidP="00C44DF3">
            <w:pPr>
              <w:jc w:val="right"/>
              <w:rPr>
                <w:rFonts w:ascii="Arial" w:hAnsi="Arial" w:cs="Arial"/>
                <w:color w:val="000000"/>
                <w:szCs w:val="24"/>
              </w:rPr>
            </w:pPr>
            <w:r w:rsidRPr="00F31EF4">
              <w:rPr>
                <w:rFonts w:ascii="Arial" w:hAnsi="Arial" w:cs="Arial"/>
                <w:color w:val="000000"/>
                <w:szCs w:val="24"/>
              </w:rPr>
              <w:t>0.6</w:t>
            </w:r>
          </w:p>
        </w:tc>
      </w:tr>
      <w:tr w:rsidR="0006108E" w14:paraId="134AC4D0" w14:textId="77777777" w:rsidTr="00F31EF4">
        <w:trPr>
          <w:trHeight w:val="252"/>
          <w:jc w:val="center"/>
        </w:trPr>
        <w:tc>
          <w:tcPr>
            <w:tcW w:w="358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F61F12" w14:textId="77777777" w:rsidR="00722946" w:rsidRPr="00F31EF4" w:rsidRDefault="00722946" w:rsidP="00C44DF3">
            <w:pPr>
              <w:rPr>
                <w:rFonts w:ascii="Arial" w:hAnsi="Arial" w:cs="Arial"/>
                <w:color w:val="000000"/>
                <w:szCs w:val="24"/>
              </w:rPr>
            </w:pPr>
            <w:r w:rsidRPr="00F31EF4">
              <w:rPr>
                <w:rFonts w:ascii="Arial" w:hAnsi="Arial" w:cs="Arial"/>
                <w:color w:val="000000"/>
                <w:szCs w:val="24"/>
              </w:rPr>
              <w:t>Operating Costs Inflation (3%?)</w:t>
            </w:r>
          </w:p>
        </w:tc>
        <w:tc>
          <w:tcPr>
            <w:tcW w:w="1725"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2B8DD" w14:textId="77777777" w:rsidR="00722946" w:rsidRPr="00F31EF4" w:rsidRDefault="00722946" w:rsidP="00C44DF3">
            <w:pPr>
              <w:jc w:val="right"/>
              <w:rPr>
                <w:rFonts w:ascii="Arial" w:hAnsi="Arial" w:cs="Arial"/>
                <w:color w:val="000000"/>
                <w:szCs w:val="24"/>
              </w:rPr>
            </w:pPr>
            <w:r w:rsidRPr="00F31EF4">
              <w:rPr>
                <w:rFonts w:ascii="Arial" w:hAnsi="Arial" w:cs="Arial"/>
                <w:color w:val="000000"/>
                <w:szCs w:val="24"/>
              </w:rPr>
              <w:t>0.17</w:t>
            </w:r>
          </w:p>
        </w:tc>
      </w:tr>
      <w:tr w:rsidR="0006108E" w14:paraId="2546101B" w14:textId="77777777" w:rsidTr="00F31EF4">
        <w:trPr>
          <w:trHeight w:val="252"/>
          <w:jc w:val="center"/>
        </w:trPr>
        <w:tc>
          <w:tcPr>
            <w:tcW w:w="3405" w:type="dxa"/>
            <w:tcBorders>
              <w:bottom w:val="single" w:sz="4" w:space="0" w:color="auto"/>
            </w:tcBorders>
            <w:noWrap/>
            <w:tcMar>
              <w:top w:w="0" w:type="dxa"/>
              <w:left w:w="108" w:type="dxa"/>
              <w:bottom w:w="0" w:type="dxa"/>
              <w:right w:w="108" w:type="dxa"/>
            </w:tcMar>
            <w:vAlign w:val="bottom"/>
            <w:hideMark/>
          </w:tcPr>
          <w:p w14:paraId="366D20D3" w14:textId="77777777" w:rsidR="00722946" w:rsidRPr="00F31EF4" w:rsidRDefault="00722946" w:rsidP="00C44DF3">
            <w:pPr>
              <w:rPr>
                <w:rFonts w:ascii="Arial" w:hAnsi="Arial" w:cs="Arial"/>
                <w:color w:val="000000"/>
                <w:szCs w:val="24"/>
              </w:rPr>
            </w:pPr>
          </w:p>
        </w:tc>
        <w:tc>
          <w:tcPr>
            <w:tcW w:w="1830" w:type="dxa"/>
            <w:gridSpan w:val="3"/>
            <w:tcBorders>
              <w:bottom w:val="single" w:sz="4" w:space="0" w:color="auto"/>
            </w:tcBorders>
            <w:noWrap/>
            <w:tcMar>
              <w:top w:w="0" w:type="dxa"/>
              <w:left w:w="108" w:type="dxa"/>
              <w:bottom w:w="0" w:type="dxa"/>
              <w:right w:w="108" w:type="dxa"/>
            </w:tcMar>
            <w:vAlign w:val="bottom"/>
            <w:hideMark/>
          </w:tcPr>
          <w:p w14:paraId="13912083" w14:textId="77777777" w:rsidR="00722946" w:rsidRPr="00F31EF4" w:rsidRDefault="00722946" w:rsidP="00C44DF3">
            <w:pPr>
              <w:rPr>
                <w:rFonts w:ascii="Arial" w:hAnsi="Arial" w:cs="Arial"/>
                <w:szCs w:val="24"/>
              </w:rPr>
            </w:pPr>
          </w:p>
        </w:tc>
        <w:tc>
          <w:tcPr>
            <w:tcW w:w="70" w:type="dxa"/>
            <w:vAlign w:val="center"/>
            <w:hideMark/>
          </w:tcPr>
          <w:p w14:paraId="4198FD9C" w14:textId="77777777" w:rsidR="00722946" w:rsidRDefault="00722946" w:rsidP="00C44DF3">
            <w:pPr>
              <w:rPr>
                <w:rFonts w:ascii="Calibri" w:eastAsiaTheme="minorHAnsi" w:hAnsi="Calibri" w:cs="Calibri"/>
                <w:sz w:val="22"/>
                <w:szCs w:val="22"/>
                <w:lang w:eastAsia="en-US"/>
              </w:rPr>
            </w:pPr>
            <w:r>
              <w:t> </w:t>
            </w:r>
          </w:p>
        </w:tc>
      </w:tr>
      <w:tr w:rsidR="0006108E" w14:paraId="0C071D15" w14:textId="77777777" w:rsidTr="00F31EF4">
        <w:trPr>
          <w:trHeight w:val="252"/>
          <w:jc w:val="center"/>
        </w:trPr>
        <w:tc>
          <w:tcPr>
            <w:tcW w:w="353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E4ABC3" w14:textId="77777777" w:rsidR="00722946" w:rsidRPr="00F31EF4" w:rsidRDefault="00722946" w:rsidP="00C44DF3">
            <w:pPr>
              <w:rPr>
                <w:rFonts w:ascii="Arial" w:hAnsi="Arial" w:cs="Arial"/>
                <w:b/>
                <w:bCs/>
                <w:color w:val="000000"/>
                <w:szCs w:val="24"/>
              </w:rPr>
            </w:pPr>
            <w:r w:rsidRPr="00F31EF4">
              <w:rPr>
                <w:rFonts w:ascii="Arial" w:hAnsi="Arial" w:cs="Arial"/>
                <w:b/>
                <w:bCs/>
                <w:color w:val="000000"/>
                <w:szCs w:val="24"/>
              </w:rPr>
              <w:t>Total Pressure</w:t>
            </w:r>
          </w:p>
        </w:tc>
        <w:tc>
          <w:tcPr>
            <w:tcW w:w="1701"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9E040C" w14:textId="77777777" w:rsidR="00722946" w:rsidRPr="00F31EF4" w:rsidRDefault="00722946" w:rsidP="00C44DF3">
            <w:pPr>
              <w:jc w:val="right"/>
              <w:rPr>
                <w:rFonts w:ascii="Arial" w:hAnsi="Arial" w:cs="Arial"/>
                <w:b/>
                <w:bCs/>
                <w:color w:val="000000"/>
                <w:szCs w:val="24"/>
              </w:rPr>
            </w:pPr>
            <w:r w:rsidRPr="00F31EF4">
              <w:rPr>
                <w:rFonts w:ascii="Arial" w:hAnsi="Arial" w:cs="Arial"/>
                <w:b/>
                <w:bCs/>
                <w:color w:val="000000"/>
                <w:szCs w:val="24"/>
              </w:rPr>
              <w:t>4.03</w:t>
            </w:r>
          </w:p>
        </w:tc>
        <w:tc>
          <w:tcPr>
            <w:tcW w:w="70" w:type="dxa"/>
            <w:tcBorders>
              <w:left w:val="single" w:sz="4" w:space="0" w:color="auto"/>
            </w:tcBorders>
            <w:vAlign w:val="center"/>
            <w:hideMark/>
          </w:tcPr>
          <w:p w14:paraId="6F0E20A4" w14:textId="77777777" w:rsidR="00722946" w:rsidRDefault="00722946" w:rsidP="00C44DF3">
            <w:pPr>
              <w:rPr>
                <w:rFonts w:ascii="Calibri" w:hAnsi="Calibri"/>
                <w:sz w:val="22"/>
                <w:szCs w:val="22"/>
                <w:lang w:eastAsia="en-US"/>
              </w:rPr>
            </w:pPr>
            <w:r>
              <w:t> </w:t>
            </w:r>
          </w:p>
        </w:tc>
      </w:tr>
      <w:tr w:rsidR="0006108E" w14:paraId="12F49483" w14:textId="77777777" w:rsidTr="00F31EF4">
        <w:trPr>
          <w:jc w:val="center"/>
        </w:trPr>
        <w:tc>
          <w:tcPr>
            <w:tcW w:w="3405" w:type="dxa"/>
            <w:tcBorders>
              <w:top w:val="single" w:sz="4" w:space="0" w:color="auto"/>
            </w:tcBorders>
            <w:vAlign w:val="center"/>
            <w:hideMark/>
          </w:tcPr>
          <w:p w14:paraId="07F35884" w14:textId="77777777" w:rsidR="00722946" w:rsidRDefault="00722946" w:rsidP="00C44DF3"/>
        </w:tc>
        <w:tc>
          <w:tcPr>
            <w:tcW w:w="175" w:type="dxa"/>
            <w:gridSpan w:val="2"/>
            <w:tcBorders>
              <w:top w:val="single" w:sz="4" w:space="0" w:color="auto"/>
            </w:tcBorders>
            <w:vAlign w:val="center"/>
            <w:hideMark/>
          </w:tcPr>
          <w:p w14:paraId="1D978809" w14:textId="77777777" w:rsidR="00722946" w:rsidRDefault="00722946" w:rsidP="00C44DF3">
            <w:pPr>
              <w:rPr>
                <w:sz w:val="20"/>
              </w:rPr>
            </w:pPr>
          </w:p>
        </w:tc>
        <w:tc>
          <w:tcPr>
            <w:tcW w:w="1655" w:type="dxa"/>
            <w:tcBorders>
              <w:top w:val="single" w:sz="4" w:space="0" w:color="auto"/>
            </w:tcBorders>
            <w:vAlign w:val="center"/>
            <w:hideMark/>
          </w:tcPr>
          <w:p w14:paraId="594A9111" w14:textId="77777777" w:rsidR="00722946" w:rsidRDefault="00722946" w:rsidP="00C44DF3">
            <w:pPr>
              <w:rPr>
                <w:sz w:val="20"/>
              </w:rPr>
            </w:pPr>
          </w:p>
        </w:tc>
        <w:tc>
          <w:tcPr>
            <w:tcW w:w="70" w:type="dxa"/>
            <w:vAlign w:val="center"/>
            <w:hideMark/>
          </w:tcPr>
          <w:p w14:paraId="1CAC242D" w14:textId="77777777" w:rsidR="00722946" w:rsidRDefault="00722946" w:rsidP="00C44DF3">
            <w:pPr>
              <w:rPr>
                <w:sz w:val="20"/>
              </w:rPr>
            </w:pPr>
          </w:p>
        </w:tc>
      </w:tr>
    </w:tbl>
    <w:p w14:paraId="5D5B0980" w14:textId="77777777" w:rsidR="00722946" w:rsidRPr="0049266B" w:rsidRDefault="00722946" w:rsidP="0049266B">
      <w:pPr>
        <w:kinsoku w:val="0"/>
        <w:overflowPunct w:val="0"/>
        <w:autoSpaceDE w:val="0"/>
        <w:autoSpaceDN w:val="0"/>
        <w:adjustRightInd w:val="0"/>
        <w:ind w:left="673" w:right="112"/>
        <w:jc w:val="both"/>
        <w:rPr>
          <w:rFonts w:ascii="Arial" w:eastAsiaTheme="minorHAnsi" w:hAnsi="Arial" w:cs="Arial"/>
          <w:szCs w:val="24"/>
          <w:lang w:eastAsia="en-US"/>
        </w:rPr>
      </w:pPr>
    </w:p>
    <w:p w14:paraId="0526A124" w14:textId="3925F0F2" w:rsidR="00417A70" w:rsidRDefault="00722946" w:rsidP="0049266B">
      <w:pPr>
        <w:kinsoku w:val="0"/>
        <w:overflowPunct w:val="0"/>
        <w:autoSpaceDE w:val="0"/>
        <w:autoSpaceDN w:val="0"/>
        <w:adjustRightInd w:val="0"/>
        <w:spacing w:before="1"/>
        <w:ind w:left="673" w:right="113"/>
        <w:jc w:val="both"/>
        <w:rPr>
          <w:rFonts w:ascii="Arial" w:eastAsiaTheme="minorHAnsi" w:hAnsi="Arial" w:cs="Arial"/>
          <w:szCs w:val="24"/>
          <w:lang w:eastAsia="en-US"/>
        </w:rPr>
      </w:pPr>
      <w:r>
        <w:rPr>
          <w:rFonts w:ascii="Arial" w:eastAsiaTheme="minorHAnsi" w:hAnsi="Arial" w:cs="Arial"/>
          <w:szCs w:val="24"/>
          <w:lang w:eastAsia="en-US"/>
        </w:rPr>
        <w:t>The HLH Board will continue to work with our senior team to find mitigating measures to address the gap</w:t>
      </w:r>
      <w:r w:rsidR="0006108E">
        <w:rPr>
          <w:rFonts w:ascii="Arial" w:eastAsiaTheme="minorHAnsi" w:hAnsi="Arial" w:cs="Arial"/>
          <w:szCs w:val="24"/>
          <w:lang w:eastAsia="en-US"/>
        </w:rPr>
        <w:t xml:space="preserve">, </w:t>
      </w:r>
      <w:r>
        <w:rPr>
          <w:rFonts w:ascii="Arial" w:eastAsiaTheme="minorHAnsi" w:hAnsi="Arial" w:cs="Arial"/>
          <w:szCs w:val="24"/>
          <w:lang w:eastAsia="en-US"/>
        </w:rPr>
        <w:t>I hope that you agree that we have a strong track record of increasing income and delivering savings</w:t>
      </w:r>
      <w:r w:rsidR="0006108E">
        <w:rPr>
          <w:rFonts w:ascii="Arial" w:eastAsiaTheme="minorHAnsi" w:hAnsi="Arial" w:cs="Arial"/>
          <w:szCs w:val="24"/>
          <w:lang w:eastAsia="en-US"/>
        </w:rPr>
        <w:t>.</w:t>
      </w:r>
      <w:r>
        <w:rPr>
          <w:rFonts w:ascii="Arial" w:eastAsiaTheme="minorHAnsi" w:hAnsi="Arial" w:cs="Arial"/>
          <w:szCs w:val="24"/>
          <w:lang w:eastAsia="en-US"/>
        </w:rPr>
        <w:t xml:space="preserve"> </w:t>
      </w:r>
      <w:r w:rsidR="00FB6825">
        <w:rPr>
          <w:rFonts w:ascii="Arial" w:eastAsia="Arial" w:hAnsi="Arial" w:cs="Arial"/>
        </w:rPr>
        <w:t xml:space="preserve">Despite </w:t>
      </w:r>
      <w:r w:rsidR="00F23A04">
        <w:rPr>
          <w:rFonts w:ascii="Arial" w:eastAsia="Arial" w:hAnsi="Arial" w:cs="Arial"/>
        </w:rPr>
        <w:t xml:space="preserve">some </w:t>
      </w:r>
      <w:r w:rsidR="00FB6825">
        <w:rPr>
          <w:rFonts w:ascii="Arial" w:eastAsia="Arial" w:hAnsi="Arial" w:cs="Arial"/>
        </w:rPr>
        <w:t xml:space="preserve">income </w:t>
      </w:r>
      <w:r w:rsidR="00F23A04">
        <w:rPr>
          <w:rFonts w:ascii="Arial" w:eastAsia="Arial" w:hAnsi="Arial" w:cs="Arial"/>
        </w:rPr>
        <w:t xml:space="preserve">streams </w:t>
      </w:r>
      <w:r w:rsidR="00FB6825">
        <w:rPr>
          <w:rFonts w:ascii="Arial" w:eastAsia="Arial" w:hAnsi="Arial" w:cs="Arial"/>
        </w:rPr>
        <w:t xml:space="preserve">projected to return to pre-pandemic levels in FY 23/24, underlying pressures mean that the Charity’s financial position is unsustainable without a comprehensive review of the current </w:t>
      </w:r>
      <w:r w:rsidR="00F31EF4">
        <w:rPr>
          <w:rFonts w:ascii="Arial" w:eastAsia="Arial" w:hAnsi="Arial" w:cs="Arial"/>
        </w:rPr>
        <w:t>Service Delivery Contract (</w:t>
      </w:r>
      <w:r w:rsidR="00FB6825">
        <w:rPr>
          <w:rFonts w:ascii="Arial" w:eastAsia="Arial" w:hAnsi="Arial" w:cs="Arial"/>
        </w:rPr>
        <w:t>SDC</w:t>
      </w:r>
      <w:r w:rsidR="00F31EF4">
        <w:rPr>
          <w:rFonts w:ascii="Arial" w:eastAsia="Arial" w:hAnsi="Arial" w:cs="Arial"/>
        </w:rPr>
        <w:t>)</w:t>
      </w:r>
      <w:r w:rsidR="00FB6825">
        <w:rPr>
          <w:rFonts w:ascii="Arial" w:eastAsia="Arial" w:hAnsi="Arial" w:cs="Arial"/>
        </w:rPr>
        <w:t xml:space="preserve">. </w:t>
      </w:r>
      <w:r w:rsidR="00FB6825">
        <w:rPr>
          <w:rFonts w:ascii="Arial" w:eastAsiaTheme="minorHAnsi" w:hAnsi="Arial" w:cs="Arial"/>
          <w:szCs w:val="24"/>
          <w:lang w:eastAsia="en-US"/>
        </w:rPr>
        <w:t>G</w:t>
      </w:r>
      <w:r>
        <w:rPr>
          <w:rFonts w:ascii="Arial" w:eastAsiaTheme="minorHAnsi" w:hAnsi="Arial" w:cs="Arial"/>
          <w:szCs w:val="24"/>
          <w:lang w:eastAsia="en-US"/>
        </w:rPr>
        <w:t>iven the scale of the deficit, it is likely that the projected gap could require service reductions. In thes</w:t>
      </w:r>
      <w:r w:rsidR="00D32146">
        <w:rPr>
          <w:rFonts w:ascii="Arial" w:eastAsiaTheme="minorHAnsi" w:hAnsi="Arial" w:cs="Arial"/>
          <w:szCs w:val="24"/>
          <w:lang w:eastAsia="en-US"/>
        </w:rPr>
        <w:t>e</w:t>
      </w:r>
      <w:r>
        <w:rPr>
          <w:rFonts w:ascii="Arial" w:eastAsiaTheme="minorHAnsi" w:hAnsi="Arial" w:cs="Arial"/>
          <w:szCs w:val="24"/>
          <w:lang w:eastAsia="en-US"/>
        </w:rPr>
        <w:t xml:space="preserve"> circumstances, a </w:t>
      </w:r>
      <w:r w:rsidR="00D32146">
        <w:rPr>
          <w:rFonts w:ascii="Arial" w:eastAsiaTheme="minorHAnsi" w:hAnsi="Arial" w:cs="Arial"/>
          <w:szCs w:val="24"/>
          <w:lang w:eastAsia="en-US"/>
        </w:rPr>
        <w:t xml:space="preserve">joint </w:t>
      </w:r>
      <w:r>
        <w:rPr>
          <w:rFonts w:ascii="Arial" w:eastAsiaTheme="minorHAnsi" w:hAnsi="Arial" w:cs="Arial"/>
          <w:szCs w:val="24"/>
          <w:lang w:eastAsia="en-US"/>
        </w:rPr>
        <w:t>review of the SDC will be required in order to reduce Public Service Obligations</w:t>
      </w:r>
      <w:r w:rsidR="00D32146">
        <w:rPr>
          <w:rFonts w:ascii="Arial" w:eastAsiaTheme="minorHAnsi" w:hAnsi="Arial" w:cs="Arial"/>
          <w:szCs w:val="24"/>
          <w:lang w:eastAsia="en-US"/>
        </w:rPr>
        <w:t xml:space="preserve">. </w:t>
      </w:r>
      <w:r>
        <w:rPr>
          <w:rFonts w:ascii="Arial" w:eastAsiaTheme="minorHAnsi" w:hAnsi="Arial" w:cs="Arial"/>
          <w:szCs w:val="24"/>
          <w:lang w:eastAsia="en-US"/>
        </w:rPr>
        <w:t xml:space="preserve">   </w:t>
      </w:r>
    </w:p>
    <w:p w14:paraId="1EBC99A6" w14:textId="77777777" w:rsidR="00417A70" w:rsidRDefault="00417A70" w:rsidP="0049266B">
      <w:pPr>
        <w:kinsoku w:val="0"/>
        <w:overflowPunct w:val="0"/>
        <w:autoSpaceDE w:val="0"/>
        <w:autoSpaceDN w:val="0"/>
        <w:adjustRightInd w:val="0"/>
        <w:spacing w:before="1"/>
        <w:ind w:left="673" w:right="113"/>
        <w:jc w:val="both"/>
        <w:rPr>
          <w:rFonts w:ascii="Arial" w:eastAsiaTheme="minorHAnsi" w:hAnsi="Arial" w:cs="Arial"/>
          <w:szCs w:val="24"/>
          <w:lang w:eastAsia="en-US"/>
        </w:rPr>
      </w:pPr>
    </w:p>
    <w:p w14:paraId="14A0F567" w14:textId="77F5978A" w:rsidR="00D32146" w:rsidRPr="0049266B" w:rsidRDefault="00D32146" w:rsidP="00D32146">
      <w:pPr>
        <w:kinsoku w:val="0"/>
        <w:overflowPunct w:val="0"/>
        <w:autoSpaceDE w:val="0"/>
        <w:autoSpaceDN w:val="0"/>
        <w:adjustRightInd w:val="0"/>
        <w:spacing w:before="127"/>
        <w:ind w:left="673" w:right="114"/>
        <w:jc w:val="both"/>
        <w:rPr>
          <w:rFonts w:ascii="Arial" w:eastAsiaTheme="minorHAnsi" w:hAnsi="Arial" w:cs="Arial"/>
          <w:szCs w:val="24"/>
          <w:lang w:eastAsia="en-US"/>
        </w:rPr>
      </w:pPr>
      <w:r>
        <w:rPr>
          <w:rFonts w:ascii="Arial" w:hAnsi="Arial" w:cs="Arial"/>
        </w:rPr>
        <w:t xml:space="preserve">Given </w:t>
      </w:r>
      <w:r w:rsidR="0006108E">
        <w:rPr>
          <w:rFonts w:ascii="Arial" w:hAnsi="Arial" w:cs="Arial"/>
        </w:rPr>
        <w:t>C</w:t>
      </w:r>
      <w:r>
        <w:rPr>
          <w:rFonts w:ascii="Arial" w:hAnsi="Arial" w:cs="Arial"/>
        </w:rPr>
        <w:t>ounci</w:t>
      </w:r>
      <w:r w:rsidR="0006108E">
        <w:rPr>
          <w:rFonts w:ascii="Arial" w:hAnsi="Arial" w:cs="Arial"/>
        </w:rPr>
        <w:t>l</w:t>
      </w:r>
      <w:r>
        <w:rPr>
          <w:rFonts w:ascii="Arial" w:hAnsi="Arial" w:cs="Arial"/>
        </w:rPr>
        <w:t xml:space="preserve">lor </w:t>
      </w:r>
      <w:proofErr w:type="spellStart"/>
      <w:r>
        <w:rPr>
          <w:rFonts w:ascii="Arial" w:hAnsi="Arial" w:cs="Arial"/>
        </w:rPr>
        <w:t>Lobban’s</w:t>
      </w:r>
      <w:proofErr w:type="spellEnd"/>
      <w:r>
        <w:rPr>
          <w:rFonts w:ascii="Arial" w:hAnsi="Arial" w:cs="Arial"/>
        </w:rPr>
        <w:t xml:space="preserve"> view at our meeting in January that </w:t>
      </w:r>
      <w:r w:rsidRPr="0049266B">
        <w:rPr>
          <w:rFonts w:ascii="Arial" w:eastAsiaTheme="minorHAnsi" w:hAnsi="Arial" w:cs="Arial"/>
          <w:szCs w:val="24"/>
          <w:lang w:eastAsia="en-US"/>
        </w:rPr>
        <w:t>work</w:t>
      </w:r>
      <w:r w:rsidR="0006108E">
        <w:rPr>
          <w:rFonts w:ascii="Arial" w:eastAsiaTheme="minorHAnsi" w:hAnsi="Arial" w:cs="Arial"/>
          <w:spacing w:val="66"/>
          <w:szCs w:val="24"/>
          <w:lang w:eastAsia="en-US"/>
        </w:rPr>
        <w:t xml:space="preserve"> </w:t>
      </w:r>
      <w:r w:rsidRPr="0049266B">
        <w:rPr>
          <w:rFonts w:ascii="Arial" w:eastAsiaTheme="minorHAnsi" w:hAnsi="Arial" w:cs="Arial"/>
          <w:szCs w:val="24"/>
          <w:lang w:eastAsia="en-US"/>
        </w:rPr>
        <w:t>was</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overdue</w:t>
      </w:r>
      <w:r w:rsidRPr="0049266B">
        <w:rPr>
          <w:rFonts w:ascii="Arial" w:eastAsiaTheme="minorHAnsi" w:hAnsi="Arial" w:cs="Arial"/>
          <w:spacing w:val="66"/>
          <w:szCs w:val="24"/>
          <w:lang w:eastAsia="en-US"/>
        </w:rPr>
        <w:t xml:space="preserve"> </w:t>
      </w:r>
      <w:r w:rsidRPr="0049266B">
        <w:rPr>
          <w:rFonts w:ascii="Arial" w:eastAsiaTheme="minorHAnsi" w:hAnsi="Arial" w:cs="Arial"/>
          <w:szCs w:val="24"/>
          <w:lang w:eastAsia="en-US"/>
        </w:rPr>
        <w:t>on</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a</w:t>
      </w:r>
      <w:r w:rsidRPr="0049266B">
        <w:rPr>
          <w:rFonts w:ascii="Arial" w:eastAsiaTheme="minorHAnsi" w:hAnsi="Arial" w:cs="Arial"/>
          <w:spacing w:val="66"/>
          <w:szCs w:val="24"/>
          <w:lang w:eastAsia="en-US"/>
        </w:rPr>
        <w:t xml:space="preserve"> </w:t>
      </w:r>
      <w:r w:rsidRPr="0049266B">
        <w:rPr>
          <w:rFonts w:ascii="Arial" w:eastAsiaTheme="minorHAnsi" w:hAnsi="Arial" w:cs="Arial"/>
          <w:szCs w:val="24"/>
          <w:lang w:eastAsia="en-US"/>
        </w:rPr>
        <w:t>review</w:t>
      </w:r>
      <w:r w:rsidRPr="0049266B">
        <w:rPr>
          <w:rFonts w:ascii="Arial" w:eastAsiaTheme="minorHAnsi" w:hAnsi="Arial" w:cs="Arial"/>
          <w:spacing w:val="66"/>
          <w:szCs w:val="24"/>
          <w:lang w:eastAsia="en-US"/>
        </w:rPr>
        <w:t xml:space="preserve"> </w:t>
      </w:r>
      <w:r w:rsidRPr="0049266B">
        <w:rPr>
          <w:rFonts w:ascii="Arial" w:eastAsiaTheme="minorHAnsi" w:hAnsi="Arial" w:cs="Arial"/>
          <w:szCs w:val="24"/>
          <w:lang w:eastAsia="en-US"/>
        </w:rPr>
        <w:t>of</w:t>
      </w:r>
      <w:r w:rsidRPr="0049266B">
        <w:rPr>
          <w:rFonts w:ascii="Arial" w:eastAsiaTheme="minorHAnsi" w:hAnsi="Arial" w:cs="Arial"/>
          <w:spacing w:val="65"/>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contract</w:t>
      </w:r>
      <w:r w:rsidRPr="0049266B">
        <w:rPr>
          <w:rFonts w:ascii="Arial" w:eastAsiaTheme="minorHAnsi" w:hAnsi="Arial" w:cs="Arial"/>
          <w:spacing w:val="65"/>
          <w:szCs w:val="24"/>
          <w:lang w:eastAsia="en-US"/>
        </w:rPr>
        <w:t xml:space="preserve"> </w:t>
      </w:r>
      <w:r w:rsidRPr="0049266B">
        <w:rPr>
          <w:rFonts w:ascii="Arial" w:eastAsiaTheme="minorHAnsi" w:hAnsi="Arial" w:cs="Arial"/>
          <w:szCs w:val="24"/>
          <w:lang w:eastAsia="en-US"/>
        </w:rPr>
        <w:t>between</w:t>
      </w:r>
      <w:r w:rsidRPr="0049266B">
        <w:rPr>
          <w:rFonts w:ascii="Arial" w:eastAsiaTheme="minorHAnsi" w:hAnsi="Arial" w:cs="Arial"/>
          <w:spacing w:val="65"/>
          <w:szCs w:val="24"/>
          <w:lang w:eastAsia="en-US"/>
        </w:rPr>
        <w:t xml:space="preserve"> </w:t>
      </w:r>
      <w:r w:rsidRPr="0049266B">
        <w:rPr>
          <w:rFonts w:ascii="Arial" w:eastAsiaTheme="minorHAnsi" w:hAnsi="Arial" w:cs="Arial"/>
          <w:szCs w:val="24"/>
          <w:lang w:eastAsia="en-US"/>
        </w:rPr>
        <w:t>us</w:t>
      </w:r>
      <w:r>
        <w:rPr>
          <w:rFonts w:ascii="Arial" w:eastAsiaTheme="minorHAnsi" w:hAnsi="Arial" w:cs="Arial"/>
          <w:szCs w:val="24"/>
          <w:lang w:eastAsia="en-US"/>
        </w:rPr>
        <w:t xml:space="preserve">, I am keen that the work commences as soon as possible. </w:t>
      </w:r>
      <w:r w:rsidRPr="0049266B">
        <w:rPr>
          <w:rFonts w:ascii="Arial" w:eastAsiaTheme="minorHAnsi" w:hAnsi="Arial" w:cs="Arial"/>
          <w:szCs w:val="24"/>
          <w:lang w:eastAsia="en-US"/>
        </w:rPr>
        <w:t>A comprehensive</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review</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of</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5"/>
          <w:szCs w:val="24"/>
          <w:lang w:eastAsia="en-US"/>
        </w:rPr>
        <w:t xml:space="preserve"> </w:t>
      </w:r>
      <w:r w:rsidR="00F31EF4">
        <w:rPr>
          <w:rFonts w:ascii="Arial" w:eastAsiaTheme="minorHAnsi" w:hAnsi="Arial" w:cs="Arial"/>
          <w:szCs w:val="24"/>
          <w:lang w:eastAsia="en-US"/>
        </w:rPr>
        <w:t>SDC</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is</w:t>
      </w:r>
      <w:r w:rsidRPr="0049266B">
        <w:rPr>
          <w:rFonts w:ascii="Arial" w:eastAsiaTheme="minorHAnsi" w:hAnsi="Arial" w:cs="Arial"/>
          <w:spacing w:val="4"/>
          <w:szCs w:val="24"/>
          <w:lang w:eastAsia="en-US"/>
        </w:rPr>
        <w:t xml:space="preserve"> </w:t>
      </w:r>
      <w:r w:rsidRPr="0049266B">
        <w:rPr>
          <w:rFonts w:ascii="Arial" w:eastAsiaTheme="minorHAnsi" w:hAnsi="Arial" w:cs="Arial"/>
          <w:szCs w:val="24"/>
          <w:lang w:eastAsia="en-US"/>
        </w:rPr>
        <w:t>key</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to</w:t>
      </w:r>
      <w:r w:rsidRPr="0049266B">
        <w:rPr>
          <w:rFonts w:ascii="Arial" w:eastAsiaTheme="minorHAnsi" w:hAnsi="Arial" w:cs="Arial"/>
          <w:spacing w:val="6"/>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future</w:t>
      </w:r>
      <w:r w:rsidRPr="0049266B">
        <w:rPr>
          <w:rFonts w:ascii="Arial" w:eastAsiaTheme="minorHAnsi" w:hAnsi="Arial" w:cs="Arial"/>
          <w:spacing w:val="5"/>
          <w:szCs w:val="24"/>
          <w:lang w:eastAsia="en-US"/>
        </w:rPr>
        <w:t xml:space="preserve"> </w:t>
      </w:r>
      <w:r w:rsidRPr="0049266B">
        <w:rPr>
          <w:rFonts w:ascii="Arial" w:eastAsiaTheme="minorHAnsi" w:hAnsi="Arial" w:cs="Arial"/>
          <w:szCs w:val="24"/>
          <w:lang w:eastAsia="en-US"/>
        </w:rPr>
        <w:t>sustainability</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of HLH</w:t>
      </w:r>
      <w:r>
        <w:rPr>
          <w:rFonts w:ascii="Arial" w:eastAsiaTheme="minorHAnsi" w:hAnsi="Arial" w:cs="Arial"/>
          <w:szCs w:val="24"/>
          <w:lang w:eastAsia="en-US"/>
        </w:rPr>
        <w:t>. To reiterate, t</w:t>
      </w:r>
      <w:r w:rsidRPr="0049266B">
        <w:rPr>
          <w:rFonts w:ascii="Arial" w:eastAsiaTheme="minorHAnsi" w:hAnsi="Arial" w:cs="Arial"/>
          <w:szCs w:val="24"/>
          <w:lang w:eastAsia="en-US"/>
        </w:rPr>
        <w:t>his</w:t>
      </w:r>
      <w:r w:rsidRPr="0049266B">
        <w:rPr>
          <w:rFonts w:ascii="Arial" w:eastAsiaTheme="minorHAnsi" w:hAnsi="Arial" w:cs="Arial"/>
          <w:spacing w:val="35"/>
          <w:szCs w:val="24"/>
          <w:lang w:eastAsia="en-US"/>
        </w:rPr>
        <w:t xml:space="preserve"> </w:t>
      </w:r>
      <w:r w:rsidRPr="0049266B">
        <w:rPr>
          <w:rFonts w:ascii="Arial" w:eastAsiaTheme="minorHAnsi" w:hAnsi="Arial" w:cs="Arial"/>
          <w:szCs w:val="24"/>
          <w:lang w:eastAsia="en-US"/>
        </w:rPr>
        <w:t>review</w:t>
      </w:r>
      <w:r w:rsidRPr="0049266B">
        <w:rPr>
          <w:rFonts w:ascii="Arial" w:eastAsiaTheme="minorHAnsi" w:hAnsi="Arial" w:cs="Arial"/>
          <w:spacing w:val="38"/>
          <w:szCs w:val="24"/>
          <w:lang w:eastAsia="en-US"/>
        </w:rPr>
        <w:t xml:space="preserve"> </w:t>
      </w:r>
      <w:r w:rsidRPr="0049266B">
        <w:rPr>
          <w:rFonts w:ascii="Arial" w:eastAsiaTheme="minorHAnsi" w:hAnsi="Arial" w:cs="Arial"/>
          <w:szCs w:val="24"/>
          <w:lang w:eastAsia="en-US"/>
        </w:rPr>
        <w:t>is particularly</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important</w:t>
      </w:r>
      <w:r w:rsidRPr="0049266B">
        <w:rPr>
          <w:rFonts w:ascii="Arial" w:eastAsiaTheme="minorHAnsi" w:hAnsi="Arial" w:cs="Arial"/>
          <w:spacing w:val="34"/>
          <w:szCs w:val="24"/>
          <w:lang w:eastAsia="en-US"/>
        </w:rPr>
        <w:t xml:space="preserve"> </w:t>
      </w:r>
      <w:r w:rsidRPr="0049266B">
        <w:rPr>
          <w:rFonts w:ascii="Arial" w:eastAsiaTheme="minorHAnsi" w:hAnsi="Arial" w:cs="Arial"/>
          <w:szCs w:val="24"/>
          <w:lang w:eastAsia="en-US"/>
        </w:rPr>
        <w:t>if</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we</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are</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to</w:t>
      </w:r>
      <w:r w:rsidRPr="0049266B">
        <w:rPr>
          <w:rFonts w:ascii="Arial" w:eastAsiaTheme="minorHAnsi" w:hAnsi="Arial" w:cs="Arial"/>
          <w:spacing w:val="32"/>
          <w:szCs w:val="24"/>
          <w:lang w:eastAsia="en-US"/>
        </w:rPr>
        <w:t xml:space="preserve"> </w:t>
      </w:r>
      <w:r w:rsidRPr="0049266B">
        <w:rPr>
          <w:rFonts w:ascii="Arial" w:eastAsiaTheme="minorHAnsi" w:hAnsi="Arial" w:cs="Arial"/>
          <w:szCs w:val="24"/>
          <w:lang w:eastAsia="en-US"/>
        </w:rPr>
        <w:t>try</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to</w:t>
      </w:r>
      <w:r w:rsidRPr="0049266B">
        <w:rPr>
          <w:rFonts w:ascii="Arial" w:eastAsiaTheme="minorHAnsi" w:hAnsi="Arial" w:cs="Arial"/>
          <w:spacing w:val="32"/>
          <w:szCs w:val="24"/>
          <w:lang w:eastAsia="en-US"/>
        </w:rPr>
        <w:t xml:space="preserve"> </w:t>
      </w:r>
      <w:r w:rsidRPr="0049266B">
        <w:rPr>
          <w:rFonts w:ascii="Arial" w:eastAsiaTheme="minorHAnsi" w:hAnsi="Arial" w:cs="Arial"/>
          <w:szCs w:val="24"/>
          <w:lang w:eastAsia="en-US"/>
        </w:rPr>
        <w:t>avoid</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32"/>
          <w:szCs w:val="24"/>
          <w:lang w:eastAsia="en-US"/>
        </w:rPr>
        <w:t xml:space="preserve"> </w:t>
      </w:r>
      <w:r w:rsidRPr="0049266B">
        <w:rPr>
          <w:rFonts w:ascii="Arial" w:eastAsiaTheme="minorHAnsi" w:hAnsi="Arial" w:cs="Arial"/>
          <w:szCs w:val="24"/>
          <w:lang w:eastAsia="en-US"/>
        </w:rPr>
        <w:t>situation</w:t>
      </w:r>
      <w:r w:rsidRPr="0049266B">
        <w:rPr>
          <w:rFonts w:ascii="Arial" w:eastAsiaTheme="minorHAnsi" w:hAnsi="Arial" w:cs="Arial"/>
          <w:spacing w:val="32"/>
          <w:szCs w:val="24"/>
          <w:lang w:eastAsia="en-US"/>
        </w:rPr>
        <w:t xml:space="preserve"> </w:t>
      </w:r>
      <w:r w:rsidRPr="0049266B">
        <w:rPr>
          <w:rFonts w:ascii="Arial" w:eastAsiaTheme="minorHAnsi" w:hAnsi="Arial" w:cs="Arial"/>
          <w:szCs w:val="24"/>
          <w:lang w:eastAsia="en-US"/>
        </w:rPr>
        <w:t>where</w:t>
      </w:r>
      <w:r w:rsidRPr="0049266B">
        <w:rPr>
          <w:rFonts w:ascii="Arial" w:eastAsiaTheme="minorHAnsi" w:hAnsi="Arial" w:cs="Arial"/>
          <w:spacing w:val="29"/>
          <w:szCs w:val="24"/>
          <w:lang w:eastAsia="en-US"/>
        </w:rPr>
        <w:t xml:space="preserve"> </w:t>
      </w:r>
      <w:r w:rsidRPr="0049266B">
        <w:rPr>
          <w:rFonts w:ascii="Arial" w:eastAsiaTheme="minorHAnsi" w:hAnsi="Arial" w:cs="Arial"/>
          <w:szCs w:val="24"/>
          <w:lang w:eastAsia="en-US"/>
        </w:rPr>
        <w:t>HLH</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needs</w:t>
      </w:r>
      <w:r w:rsidRPr="0049266B">
        <w:rPr>
          <w:rFonts w:ascii="Arial" w:eastAsiaTheme="minorHAnsi" w:hAnsi="Arial" w:cs="Arial"/>
          <w:spacing w:val="31"/>
          <w:szCs w:val="24"/>
          <w:lang w:eastAsia="en-US"/>
        </w:rPr>
        <w:t xml:space="preserve"> </w:t>
      </w:r>
      <w:r w:rsidRPr="0049266B">
        <w:rPr>
          <w:rFonts w:ascii="Arial" w:eastAsiaTheme="minorHAnsi" w:hAnsi="Arial" w:cs="Arial"/>
          <w:szCs w:val="24"/>
          <w:lang w:eastAsia="en-US"/>
        </w:rPr>
        <w:t>a</w:t>
      </w:r>
      <w:r w:rsidRPr="0049266B">
        <w:rPr>
          <w:rFonts w:ascii="Arial" w:eastAsiaTheme="minorHAnsi" w:hAnsi="Arial" w:cs="Arial"/>
          <w:spacing w:val="32"/>
          <w:szCs w:val="24"/>
          <w:lang w:eastAsia="en-US"/>
        </w:rPr>
        <w:t xml:space="preserve"> </w:t>
      </w:r>
      <w:r w:rsidRPr="0049266B">
        <w:rPr>
          <w:rFonts w:ascii="Arial" w:eastAsiaTheme="minorHAnsi" w:hAnsi="Arial" w:cs="Arial"/>
          <w:szCs w:val="24"/>
          <w:lang w:eastAsia="en-US"/>
        </w:rPr>
        <w:t>letter</w:t>
      </w:r>
      <w:r w:rsidRPr="0049266B">
        <w:rPr>
          <w:rFonts w:ascii="Arial" w:eastAsiaTheme="minorHAnsi" w:hAnsi="Arial" w:cs="Arial"/>
          <w:spacing w:val="30"/>
          <w:szCs w:val="24"/>
          <w:lang w:eastAsia="en-US"/>
        </w:rPr>
        <w:t xml:space="preserve"> </w:t>
      </w:r>
      <w:r w:rsidRPr="0049266B">
        <w:rPr>
          <w:rFonts w:ascii="Arial" w:eastAsiaTheme="minorHAnsi" w:hAnsi="Arial" w:cs="Arial"/>
          <w:szCs w:val="24"/>
          <w:lang w:eastAsia="en-US"/>
        </w:rPr>
        <w:t>of comfort, which</w:t>
      </w:r>
      <w:r w:rsidRPr="0049266B">
        <w:rPr>
          <w:rFonts w:ascii="Arial" w:eastAsiaTheme="minorHAnsi" w:hAnsi="Arial" w:cs="Arial"/>
          <w:spacing w:val="-1"/>
          <w:szCs w:val="24"/>
          <w:lang w:eastAsia="en-US"/>
        </w:rPr>
        <w:t xml:space="preserve"> </w:t>
      </w:r>
      <w:r>
        <w:rPr>
          <w:rFonts w:ascii="Arial" w:eastAsiaTheme="minorHAnsi" w:hAnsi="Arial" w:cs="Arial"/>
          <w:spacing w:val="-1"/>
          <w:szCs w:val="24"/>
          <w:lang w:eastAsia="en-US"/>
        </w:rPr>
        <w:t xml:space="preserve">I know </w:t>
      </w:r>
      <w:r w:rsidRPr="0049266B">
        <w:rPr>
          <w:rFonts w:ascii="Arial" w:eastAsiaTheme="minorHAnsi" w:hAnsi="Arial" w:cs="Arial"/>
          <w:szCs w:val="24"/>
          <w:lang w:eastAsia="en-US"/>
        </w:rPr>
        <w:t>both</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parties would</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prefer to avoid</w:t>
      </w:r>
      <w:r>
        <w:rPr>
          <w:rFonts w:ascii="Arial" w:eastAsiaTheme="minorHAnsi" w:hAnsi="Arial" w:cs="Arial"/>
          <w:szCs w:val="24"/>
          <w:lang w:eastAsia="en-US"/>
        </w:rPr>
        <w:t>.</w:t>
      </w:r>
    </w:p>
    <w:p w14:paraId="6F550990" w14:textId="7DF33067" w:rsidR="00D32146" w:rsidRPr="0049266B" w:rsidRDefault="00D32146" w:rsidP="0006108E">
      <w:pPr>
        <w:kinsoku w:val="0"/>
        <w:overflowPunct w:val="0"/>
        <w:autoSpaceDE w:val="0"/>
        <w:autoSpaceDN w:val="0"/>
        <w:adjustRightInd w:val="0"/>
        <w:ind w:left="673" w:right="111"/>
        <w:jc w:val="both"/>
        <w:rPr>
          <w:rFonts w:ascii="Arial" w:eastAsiaTheme="minorHAnsi" w:hAnsi="Arial" w:cs="Arial"/>
          <w:sz w:val="2"/>
          <w:szCs w:val="2"/>
          <w:lang w:eastAsia="en-US"/>
        </w:rPr>
      </w:pPr>
    </w:p>
    <w:p w14:paraId="44E92CE8" w14:textId="77777777" w:rsidR="000C789F" w:rsidRDefault="000C789F" w:rsidP="00D32146">
      <w:pPr>
        <w:kinsoku w:val="0"/>
        <w:overflowPunct w:val="0"/>
        <w:autoSpaceDE w:val="0"/>
        <w:autoSpaceDN w:val="0"/>
        <w:adjustRightInd w:val="0"/>
        <w:spacing w:before="2"/>
        <w:ind w:left="442"/>
        <w:rPr>
          <w:rFonts w:ascii="Calibri" w:eastAsiaTheme="minorHAnsi" w:hAnsi="Calibri" w:cs="Calibri"/>
          <w:sz w:val="20"/>
          <w:lang w:eastAsia="en-US"/>
        </w:rPr>
      </w:pPr>
    </w:p>
    <w:p w14:paraId="7BD8DA56" w14:textId="07C8FEF2" w:rsidR="00D32146" w:rsidRPr="0049266B" w:rsidRDefault="00D32146" w:rsidP="00D32146">
      <w:pPr>
        <w:kinsoku w:val="0"/>
        <w:overflowPunct w:val="0"/>
        <w:autoSpaceDE w:val="0"/>
        <w:autoSpaceDN w:val="0"/>
        <w:adjustRightInd w:val="0"/>
        <w:spacing w:before="2"/>
        <w:ind w:left="442"/>
        <w:rPr>
          <w:rFonts w:ascii="Arial" w:eastAsiaTheme="minorHAnsi" w:hAnsi="Arial" w:cs="Arial"/>
          <w:color w:val="17365D"/>
          <w:sz w:val="14"/>
          <w:szCs w:val="14"/>
          <w:lang w:eastAsia="en-US"/>
        </w:rPr>
      </w:pPr>
      <w:r w:rsidRPr="0049266B">
        <w:rPr>
          <w:rFonts w:ascii="Arial" w:eastAsiaTheme="minorHAnsi" w:hAnsi="Arial" w:cs="Arial"/>
          <w:color w:val="17365D"/>
          <w:sz w:val="14"/>
          <w:szCs w:val="14"/>
          <w:lang w:eastAsia="en-US"/>
        </w:rPr>
        <w:t>Mark</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Tate,</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Chair,</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High</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Life</w:t>
      </w:r>
      <w:r w:rsidRPr="0049266B">
        <w:rPr>
          <w:rFonts w:ascii="Arial" w:eastAsiaTheme="minorHAnsi" w:hAnsi="Arial" w:cs="Arial"/>
          <w:color w:val="17365D"/>
          <w:spacing w:val="-2"/>
          <w:sz w:val="14"/>
          <w:szCs w:val="14"/>
          <w:lang w:eastAsia="en-US"/>
        </w:rPr>
        <w:t xml:space="preserve"> </w:t>
      </w:r>
      <w:r w:rsidRPr="0049266B">
        <w:rPr>
          <w:rFonts w:ascii="Arial" w:eastAsiaTheme="minorHAnsi" w:hAnsi="Arial" w:cs="Arial"/>
          <w:color w:val="17365D"/>
          <w:sz w:val="14"/>
          <w:szCs w:val="14"/>
          <w:lang w:eastAsia="en-US"/>
        </w:rPr>
        <w:t>Highland</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Registered office</w:t>
      </w:r>
      <w:r w:rsidRPr="0049266B">
        <w:rPr>
          <w:rFonts w:ascii="Arial" w:eastAsiaTheme="minorHAnsi" w:hAnsi="Arial" w:cs="Arial"/>
          <w:color w:val="30849B"/>
          <w:spacing w:val="-1"/>
          <w:sz w:val="14"/>
          <w:szCs w:val="14"/>
          <w:lang w:eastAsia="en-US"/>
        </w:rPr>
        <w:t xml:space="preserve"> </w:t>
      </w:r>
      <w:r w:rsidRPr="0049266B">
        <w:rPr>
          <w:rFonts w:ascii="Arial" w:eastAsiaTheme="minorHAnsi" w:hAnsi="Arial" w:cs="Arial"/>
          <w:color w:val="17365D"/>
          <w:sz w:val="14"/>
          <w:szCs w:val="14"/>
          <w:lang w:eastAsia="en-US"/>
        </w:rPr>
        <w:t>12–13</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Ardross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Street,</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Inverness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IV3</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5NS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Telephone</w:t>
      </w:r>
      <w:r w:rsidRPr="0049266B">
        <w:rPr>
          <w:rFonts w:ascii="Arial" w:eastAsiaTheme="minorHAnsi" w:hAnsi="Arial" w:cs="Arial"/>
          <w:color w:val="30849B"/>
          <w:spacing w:val="2"/>
          <w:sz w:val="14"/>
          <w:szCs w:val="14"/>
          <w:lang w:eastAsia="en-US"/>
        </w:rPr>
        <w:t xml:space="preserve"> </w:t>
      </w:r>
      <w:r w:rsidRPr="0049266B">
        <w:rPr>
          <w:rFonts w:ascii="Arial" w:eastAsiaTheme="minorHAnsi" w:hAnsi="Arial" w:cs="Arial"/>
          <w:color w:val="17365D"/>
          <w:sz w:val="14"/>
          <w:szCs w:val="14"/>
          <w:lang w:eastAsia="en-US"/>
        </w:rPr>
        <w:t>01349</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781700</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 xml:space="preserve">Email </w:t>
      </w:r>
      <w:hyperlink r:id="rId9" w:history="1">
        <w:r w:rsidRPr="0049266B">
          <w:rPr>
            <w:rFonts w:ascii="Arial" w:eastAsiaTheme="minorHAnsi" w:hAnsi="Arial" w:cs="Arial"/>
            <w:color w:val="17365D"/>
            <w:sz w:val="14"/>
            <w:szCs w:val="14"/>
            <w:lang w:eastAsia="en-US"/>
          </w:rPr>
          <w:t>info@highlifehighland.com</w:t>
        </w:r>
      </w:hyperlink>
    </w:p>
    <w:p w14:paraId="493D2089" w14:textId="77777777" w:rsidR="00D32146" w:rsidRPr="0049266B" w:rsidRDefault="00D32146" w:rsidP="00D32146">
      <w:pPr>
        <w:kinsoku w:val="0"/>
        <w:overflowPunct w:val="0"/>
        <w:autoSpaceDE w:val="0"/>
        <w:autoSpaceDN w:val="0"/>
        <w:adjustRightInd w:val="0"/>
        <w:spacing w:before="10"/>
        <w:rPr>
          <w:rFonts w:ascii="Arial" w:eastAsiaTheme="minorHAnsi" w:hAnsi="Arial" w:cs="Arial"/>
          <w:sz w:val="13"/>
          <w:szCs w:val="13"/>
          <w:lang w:eastAsia="en-US"/>
        </w:rPr>
      </w:pPr>
    </w:p>
    <w:p w14:paraId="4915F505" w14:textId="77777777" w:rsidR="00D32146" w:rsidRPr="0049266B" w:rsidRDefault="00D32146" w:rsidP="00D32146">
      <w:pPr>
        <w:kinsoku w:val="0"/>
        <w:overflowPunct w:val="0"/>
        <w:autoSpaceDE w:val="0"/>
        <w:autoSpaceDN w:val="0"/>
        <w:adjustRightInd w:val="0"/>
        <w:spacing w:before="1"/>
        <w:ind w:left="673"/>
        <w:rPr>
          <w:rFonts w:ascii="Arial" w:eastAsiaTheme="minorHAnsi" w:hAnsi="Arial" w:cs="Arial"/>
          <w:color w:val="17365D"/>
          <w:sz w:val="12"/>
          <w:szCs w:val="12"/>
          <w:lang w:eastAsia="en-US"/>
        </w:rPr>
      </w:pPr>
      <w:r w:rsidRPr="0049266B">
        <w:rPr>
          <w:rFonts w:ascii="Arial" w:eastAsiaTheme="minorHAnsi" w:hAnsi="Arial" w:cs="Arial"/>
          <w:color w:val="17365D"/>
          <w:sz w:val="12"/>
          <w:szCs w:val="12"/>
          <w:lang w:eastAsia="en-US"/>
        </w:rPr>
        <w:t>High Life Highland is</w:t>
      </w:r>
      <w:r w:rsidRPr="0049266B">
        <w:rPr>
          <w:rFonts w:ascii="Arial" w:eastAsiaTheme="minorHAnsi" w:hAnsi="Arial" w:cs="Arial"/>
          <w:color w:val="17365D"/>
          <w:spacing w:val="-3"/>
          <w:sz w:val="12"/>
          <w:szCs w:val="12"/>
          <w:lang w:eastAsia="en-US"/>
        </w:rPr>
        <w:t xml:space="preserve"> </w:t>
      </w:r>
      <w:r w:rsidRPr="0049266B">
        <w:rPr>
          <w:rFonts w:ascii="Arial" w:eastAsiaTheme="minorHAnsi" w:hAnsi="Arial" w:cs="Arial"/>
          <w:color w:val="17365D"/>
          <w:sz w:val="12"/>
          <w:szCs w:val="12"/>
          <w:lang w:eastAsia="en-US"/>
        </w:rPr>
        <w:t>a company limited</w:t>
      </w:r>
      <w:r w:rsidRPr="0049266B">
        <w:rPr>
          <w:rFonts w:ascii="Arial" w:eastAsiaTheme="minorHAnsi" w:hAnsi="Arial" w:cs="Arial"/>
          <w:color w:val="17365D"/>
          <w:spacing w:val="-2"/>
          <w:sz w:val="12"/>
          <w:szCs w:val="12"/>
          <w:lang w:eastAsia="en-US"/>
        </w:rPr>
        <w:t xml:space="preserve"> </w:t>
      </w:r>
      <w:r w:rsidRPr="0049266B">
        <w:rPr>
          <w:rFonts w:ascii="Arial" w:eastAsiaTheme="minorHAnsi" w:hAnsi="Arial" w:cs="Arial"/>
          <w:color w:val="17365D"/>
          <w:sz w:val="12"/>
          <w:szCs w:val="12"/>
          <w:lang w:eastAsia="en-US"/>
        </w:rPr>
        <w:t>by guarantee</w:t>
      </w:r>
      <w:r w:rsidRPr="0049266B">
        <w:rPr>
          <w:rFonts w:ascii="Arial" w:eastAsiaTheme="minorHAnsi" w:hAnsi="Arial" w:cs="Arial"/>
          <w:color w:val="17365D"/>
          <w:spacing w:val="-2"/>
          <w:sz w:val="12"/>
          <w:szCs w:val="12"/>
          <w:lang w:eastAsia="en-US"/>
        </w:rPr>
        <w:t xml:space="preserve"> </w:t>
      </w:r>
      <w:r w:rsidRPr="0049266B">
        <w:rPr>
          <w:rFonts w:ascii="Arial" w:eastAsiaTheme="minorHAnsi" w:hAnsi="Arial" w:cs="Arial"/>
          <w:color w:val="17365D"/>
          <w:sz w:val="12"/>
          <w:szCs w:val="12"/>
          <w:lang w:eastAsia="en-US"/>
        </w:rPr>
        <w:t>registered in Scotland No. SC407011</w:t>
      </w:r>
      <w:r w:rsidRPr="0049266B">
        <w:rPr>
          <w:rFonts w:ascii="Arial" w:eastAsiaTheme="minorHAnsi" w:hAnsi="Arial" w:cs="Arial"/>
          <w:color w:val="17365D"/>
          <w:spacing w:val="-2"/>
          <w:sz w:val="12"/>
          <w:szCs w:val="12"/>
          <w:lang w:eastAsia="en-US"/>
        </w:rPr>
        <w:t xml:space="preserve"> </w:t>
      </w:r>
      <w:r w:rsidRPr="0049266B">
        <w:rPr>
          <w:rFonts w:ascii="Arial" w:eastAsiaTheme="minorHAnsi" w:hAnsi="Arial" w:cs="Arial"/>
          <w:color w:val="17365D"/>
          <w:sz w:val="12"/>
          <w:szCs w:val="12"/>
          <w:lang w:eastAsia="en-US"/>
        </w:rPr>
        <w:t>and</w:t>
      </w:r>
      <w:r w:rsidRPr="0049266B">
        <w:rPr>
          <w:rFonts w:ascii="Arial" w:eastAsiaTheme="minorHAnsi" w:hAnsi="Arial" w:cs="Arial"/>
          <w:color w:val="17365D"/>
          <w:spacing w:val="-1"/>
          <w:sz w:val="12"/>
          <w:szCs w:val="12"/>
          <w:lang w:eastAsia="en-US"/>
        </w:rPr>
        <w:t xml:space="preserve"> </w:t>
      </w:r>
      <w:r w:rsidRPr="0049266B">
        <w:rPr>
          <w:rFonts w:ascii="Arial" w:eastAsiaTheme="minorHAnsi" w:hAnsi="Arial" w:cs="Arial"/>
          <w:color w:val="17365D"/>
          <w:sz w:val="12"/>
          <w:szCs w:val="12"/>
          <w:lang w:eastAsia="en-US"/>
        </w:rPr>
        <w:t>is a registered Scottish charity</w:t>
      </w:r>
      <w:r w:rsidRPr="0049266B">
        <w:rPr>
          <w:rFonts w:ascii="Arial" w:eastAsiaTheme="minorHAnsi" w:hAnsi="Arial" w:cs="Arial"/>
          <w:color w:val="17365D"/>
          <w:spacing w:val="7"/>
          <w:sz w:val="12"/>
          <w:szCs w:val="12"/>
          <w:lang w:eastAsia="en-US"/>
        </w:rPr>
        <w:t xml:space="preserve"> </w:t>
      </w:r>
      <w:r w:rsidRPr="0049266B">
        <w:rPr>
          <w:rFonts w:ascii="Arial" w:eastAsiaTheme="minorHAnsi" w:hAnsi="Arial" w:cs="Arial"/>
          <w:color w:val="17365D"/>
          <w:sz w:val="12"/>
          <w:szCs w:val="12"/>
          <w:lang w:eastAsia="en-US"/>
        </w:rPr>
        <w:t>No. SC042593.</w:t>
      </w:r>
    </w:p>
    <w:p w14:paraId="6A65A511" w14:textId="77777777" w:rsidR="00D32146" w:rsidRPr="0049266B" w:rsidRDefault="00D32146" w:rsidP="00D32146">
      <w:pPr>
        <w:kinsoku w:val="0"/>
        <w:overflowPunct w:val="0"/>
        <w:autoSpaceDE w:val="0"/>
        <w:autoSpaceDN w:val="0"/>
        <w:adjustRightInd w:val="0"/>
        <w:spacing w:before="1"/>
        <w:ind w:left="673"/>
        <w:rPr>
          <w:rFonts w:ascii="Arial" w:eastAsiaTheme="minorHAnsi" w:hAnsi="Arial" w:cs="Arial"/>
          <w:color w:val="17365D"/>
          <w:sz w:val="12"/>
          <w:szCs w:val="12"/>
          <w:lang w:eastAsia="en-US"/>
        </w:rPr>
        <w:sectPr w:rsidR="00D32146" w:rsidRPr="0049266B" w:rsidSect="000152F3">
          <w:pgSz w:w="11910" w:h="16840"/>
          <w:pgMar w:top="539" w:right="851" w:bottom="278" w:left="851" w:header="720" w:footer="720" w:gutter="0"/>
          <w:cols w:space="720"/>
          <w:noEndnote/>
        </w:sectPr>
      </w:pPr>
    </w:p>
    <w:p w14:paraId="587A7EBA" w14:textId="77777777" w:rsidR="00D32146" w:rsidRPr="0049266B" w:rsidRDefault="00D32146" w:rsidP="00D32146">
      <w:pPr>
        <w:kinsoku w:val="0"/>
        <w:overflowPunct w:val="0"/>
        <w:autoSpaceDE w:val="0"/>
        <w:autoSpaceDN w:val="0"/>
        <w:adjustRightInd w:val="0"/>
        <w:rPr>
          <w:rFonts w:ascii="Arial" w:eastAsiaTheme="minorHAnsi" w:hAnsi="Arial" w:cs="Arial"/>
          <w:sz w:val="20"/>
          <w:lang w:eastAsia="en-US"/>
        </w:rPr>
      </w:pPr>
    </w:p>
    <w:p w14:paraId="11732BDC" w14:textId="48EAFC19" w:rsidR="00D32146" w:rsidRDefault="00D32146" w:rsidP="0006108E">
      <w:pPr>
        <w:kinsoku w:val="0"/>
        <w:overflowPunct w:val="0"/>
        <w:autoSpaceDE w:val="0"/>
        <w:autoSpaceDN w:val="0"/>
        <w:adjustRightInd w:val="0"/>
        <w:ind w:left="107"/>
        <w:rPr>
          <w:rFonts w:ascii="Arial" w:hAnsi="Arial" w:cs="Arial"/>
        </w:rPr>
      </w:pPr>
      <w:r w:rsidRPr="0049266B">
        <w:rPr>
          <w:rFonts w:ascii="Arial" w:eastAsiaTheme="minorHAnsi" w:hAnsi="Arial" w:cs="Arial"/>
          <w:noProof/>
          <w:sz w:val="20"/>
          <w:lang w:eastAsia="en-US"/>
        </w:rPr>
        <w:drawing>
          <wp:inline distT="0" distB="0" distL="0" distR="0" wp14:anchorId="5E155397" wp14:editId="7334B58C">
            <wp:extent cx="1800225" cy="914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14879C81" w14:textId="1FA0B82E" w:rsidR="00417A70" w:rsidRPr="00C44DF3" w:rsidRDefault="00D32146" w:rsidP="00F31EF4">
      <w:pPr>
        <w:ind w:left="720"/>
        <w:jc w:val="both"/>
        <w:rPr>
          <w:rFonts w:ascii="Arial" w:hAnsi="Arial" w:cs="Arial"/>
        </w:rPr>
      </w:pPr>
      <w:r>
        <w:rPr>
          <w:rFonts w:ascii="Arial" w:hAnsi="Arial" w:cs="Arial"/>
        </w:rPr>
        <w:t>As we discussed in January, i</w:t>
      </w:r>
      <w:r w:rsidR="00417A70" w:rsidRPr="00C44DF3">
        <w:rPr>
          <w:rFonts w:ascii="Arial" w:hAnsi="Arial" w:cs="Arial"/>
        </w:rPr>
        <w:t>n anticipation of the SDC review</w:t>
      </w:r>
      <w:r w:rsidR="00417A70">
        <w:rPr>
          <w:rFonts w:ascii="Arial" w:hAnsi="Arial" w:cs="Arial"/>
        </w:rPr>
        <w:t>,</w:t>
      </w:r>
      <w:r w:rsidR="00417A70" w:rsidRPr="00C44DF3">
        <w:rPr>
          <w:rFonts w:ascii="Arial" w:hAnsi="Arial" w:cs="Arial"/>
        </w:rPr>
        <w:t xml:space="preserve"> HLH has set up </w:t>
      </w:r>
      <w:r w:rsidR="00417A70">
        <w:rPr>
          <w:rFonts w:ascii="Arial" w:hAnsi="Arial" w:cs="Arial"/>
        </w:rPr>
        <w:t>a</w:t>
      </w:r>
      <w:r w:rsidR="00417A70" w:rsidRPr="00C44DF3">
        <w:rPr>
          <w:rFonts w:ascii="Arial" w:hAnsi="Arial" w:cs="Arial"/>
        </w:rPr>
        <w:t xml:space="preserve"> Redesign team, consisting of </w:t>
      </w:r>
      <w:r w:rsidR="00F31EF4">
        <w:rPr>
          <w:rFonts w:ascii="Arial" w:hAnsi="Arial" w:cs="Arial"/>
        </w:rPr>
        <w:t>B</w:t>
      </w:r>
      <w:r w:rsidR="00417A70">
        <w:rPr>
          <w:rFonts w:ascii="Arial" w:hAnsi="Arial" w:cs="Arial"/>
        </w:rPr>
        <w:t xml:space="preserve">oard members and senior officers. In approaching the review, the following scope and outcomes reflect initial scope and desired outcomes from an HLH perspective. Whilst we appreciate that the Council will have a view in terms of the scope and outcomes, HLH is proposing the following </w:t>
      </w:r>
      <w:r>
        <w:rPr>
          <w:rFonts w:ascii="Arial" w:hAnsi="Arial" w:cs="Arial"/>
        </w:rPr>
        <w:t>as a baseline for</w:t>
      </w:r>
      <w:r w:rsidR="00417A70">
        <w:rPr>
          <w:rFonts w:ascii="Arial" w:hAnsi="Arial" w:cs="Arial"/>
        </w:rPr>
        <w:t xml:space="preserve"> our approach </w:t>
      </w:r>
      <w:r>
        <w:rPr>
          <w:rFonts w:ascii="Arial" w:hAnsi="Arial" w:cs="Arial"/>
        </w:rPr>
        <w:t xml:space="preserve">in </w:t>
      </w:r>
      <w:r w:rsidR="00417A70">
        <w:rPr>
          <w:rFonts w:ascii="Arial" w:hAnsi="Arial" w:cs="Arial"/>
        </w:rPr>
        <w:t xml:space="preserve">respect of the review: </w:t>
      </w:r>
    </w:p>
    <w:p w14:paraId="58BA51F5" w14:textId="77777777" w:rsidR="00417A70" w:rsidRDefault="00417A70" w:rsidP="00417A70">
      <w:pPr>
        <w:rPr>
          <w:b/>
          <w:bCs/>
        </w:rPr>
      </w:pPr>
    </w:p>
    <w:p w14:paraId="7EE6FAEB" w14:textId="73C689BC" w:rsidR="00417A70" w:rsidRPr="00F31EF4" w:rsidRDefault="00417A70" w:rsidP="00417A70">
      <w:pPr>
        <w:rPr>
          <w:rFonts w:ascii="Arial" w:hAnsi="Arial" w:cs="Arial"/>
          <w:b/>
          <w:bCs/>
          <w:szCs w:val="24"/>
        </w:rPr>
      </w:pPr>
      <w:r>
        <w:rPr>
          <w:rFonts w:ascii="Arial" w:hAnsi="Arial" w:cs="Arial"/>
          <w:b/>
          <w:bCs/>
        </w:rPr>
        <w:tab/>
      </w:r>
      <w:r w:rsidRPr="00F31EF4">
        <w:rPr>
          <w:rFonts w:ascii="Arial" w:hAnsi="Arial" w:cs="Arial"/>
          <w:b/>
          <w:bCs/>
          <w:szCs w:val="24"/>
        </w:rPr>
        <w:t xml:space="preserve">Scope and Outcomes </w:t>
      </w:r>
    </w:p>
    <w:p w14:paraId="7E34FE2E" w14:textId="77777777" w:rsidR="00417A70" w:rsidRPr="00F31EF4" w:rsidRDefault="00417A70" w:rsidP="00417A70">
      <w:pPr>
        <w:rPr>
          <w:rFonts w:ascii="Arial" w:hAnsi="Arial" w:cs="Arial"/>
          <w:b/>
          <w:bCs/>
          <w:szCs w:val="24"/>
        </w:rPr>
      </w:pPr>
    </w:p>
    <w:p w14:paraId="520831CE" w14:textId="0957733C" w:rsidR="00417A70" w:rsidRPr="00F31EF4" w:rsidRDefault="00417A70" w:rsidP="00417A70">
      <w:pPr>
        <w:rPr>
          <w:rFonts w:ascii="Arial" w:hAnsi="Arial" w:cs="Arial"/>
          <w:b/>
          <w:bCs/>
          <w:szCs w:val="24"/>
        </w:rPr>
      </w:pPr>
      <w:r w:rsidRPr="00F31EF4">
        <w:rPr>
          <w:rFonts w:ascii="Arial" w:hAnsi="Arial" w:cs="Arial"/>
          <w:b/>
          <w:bCs/>
          <w:szCs w:val="24"/>
        </w:rPr>
        <w:tab/>
        <w:t>Scope</w:t>
      </w:r>
    </w:p>
    <w:p w14:paraId="1F6B98DC" w14:textId="77777777" w:rsidR="00417A70" w:rsidRPr="00F31EF4" w:rsidRDefault="00417A70" w:rsidP="00417A70">
      <w:pPr>
        <w:rPr>
          <w:rFonts w:ascii="Arial" w:hAnsi="Arial" w:cs="Arial"/>
          <w:b/>
          <w:bCs/>
          <w:szCs w:val="24"/>
        </w:rPr>
      </w:pPr>
    </w:p>
    <w:p w14:paraId="7DD3EE69"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Overall arrangement and Legal Framework (overview/check that the arrangement is still valid/fit for purpose)</w:t>
      </w:r>
    </w:p>
    <w:p w14:paraId="466E1EB7"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 xml:space="preserve">Resourcing both the review and delivery of any emergent change management programme  </w:t>
      </w:r>
    </w:p>
    <w:p w14:paraId="099D33F7"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 xml:space="preserve">Funding formula – Unsustainable in present format, pressing need for </w:t>
      </w:r>
      <w:proofErr w:type="spellStart"/>
      <w:r w:rsidRPr="00F31EF4">
        <w:rPr>
          <w:rFonts w:ascii="Arial" w:eastAsia="Times New Roman" w:hAnsi="Arial" w:cs="Arial"/>
          <w:sz w:val="24"/>
          <w:szCs w:val="24"/>
        </w:rPr>
        <w:t>reveiw</w:t>
      </w:r>
      <w:proofErr w:type="spellEnd"/>
      <w:r w:rsidRPr="00F31EF4">
        <w:rPr>
          <w:rFonts w:ascii="Arial" w:eastAsia="Times New Roman" w:hAnsi="Arial" w:cs="Arial"/>
          <w:sz w:val="24"/>
          <w:szCs w:val="24"/>
        </w:rPr>
        <w:t xml:space="preserve">  </w:t>
      </w:r>
    </w:p>
    <w:p w14:paraId="6EDF4A44"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Responsibility for costs - need to review to check that current arrangement is still the most cost effective for THC (</w:t>
      </w:r>
      <w:proofErr w:type="gramStart"/>
      <w:r w:rsidRPr="00F31EF4">
        <w:rPr>
          <w:rFonts w:ascii="Arial" w:eastAsia="Times New Roman" w:hAnsi="Arial" w:cs="Arial"/>
          <w:sz w:val="24"/>
          <w:szCs w:val="24"/>
        </w:rPr>
        <w:t>e.g.</w:t>
      </w:r>
      <w:proofErr w:type="gramEnd"/>
      <w:r w:rsidRPr="00F31EF4">
        <w:rPr>
          <w:rFonts w:ascii="Arial" w:eastAsia="Times New Roman" w:hAnsi="Arial" w:cs="Arial"/>
          <w:sz w:val="24"/>
          <w:szCs w:val="24"/>
        </w:rPr>
        <w:t xml:space="preserve"> property, service and utility costs)</w:t>
      </w:r>
    </w:p>
    <w:p w14:paraId="0731141C"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PSOs - overall services, does the Council want HLH to deliver the same range/number of services</w:t>
      </w:r>
    </w:p>
    <w:p w14:paraId="00DD1DF7" w14:textId="77777777" w:rsidR="00417A70" w:rsidRPr="00F31EF4" w:rsidRDefault="00417A70" w:rsidP="00F31EF4">
      <w:pPr>
        <w:pStyle w:val="ListParagraph"/>
        <w:numPr>
          <w:ilvl w:val="0"/>
          <w:numId w:val="10"/>
        </w:numPr>
        <w:spacing w:after="0" w:line="240" w:lineRule="auto"/>
        <w:ind w:left="1134" w:hanging="425"/>
        <w:contextualSpacing w:val="0"/>
        <w:rPr>
          <w:rFonts w:ascii="Arial" w:eastAsia="Times New Roman" w:hAnsi="Arial" w:cs="Arial"/>
          <w:sz w:val="24"/>
          <w:szCs w:val="24"/>
        </w:rPr>
      </w:pPr>
      <w:r w:rsidRPr="00F31EF4">
        <w:rPr>
          <w:rFonts w:ascii="Arial" w:eastAsia="Times New Roman" w:hAnsi="Arial" w:cs="Arial"/>
          <w:sz w:val="24"/>
          <w:szCs w:val="24"/>
        </w:rPr>
        <w:t>Service levels within PSOs (individual buildings and number of staff delivering services)</w:t>
      </w:r>
    </w:p>
    <w:p w14:paraId="3DD32B27" w14:textId="77777777" w:rsidR="00417A70" w:rsidRPr="00F31EF4" w:rsidRDefault="00417A70" w:rsidP="00F31EF4">
      <w:pPr>
        <w:pStyle w:val="ListParagraph"/>
        <w:numPr>
          <w:ilvl w:val="1"/>
          <w:numId w:val="10"/>
        </w:numPr>
        <w:spacing w:after="0" w:line="240" w:lineRule="auto"/>
        <w:ind w:left="720" w:firstLine="414"/>
        <w:contextualSpacing w:val="0"/>
        <w:rPr>
          <w:rFonts w:ascii="Arial" w:eastAsia="Times New Roman" w:hAnsi="Arial" w:cs="Arial"/>
          <w:sz w:val="24"/>
          <w:szCs w:val="24"/>
        </w:rPr>
      </w:pPr>
      <w:r w:rsidRPr="00F31EF4">
        <w:rPr>
          <w:rFonts w:ascii="Arial" w:eastAsia="Times New Roman" w:hAnsi="Arial" w:cs="Arial"/>
          <w:sz w:val="24"/>
          <w:szCs w:val="24"/>
        </w:rPr>
        <w:t>Council decision making (what does it want to consult on)</w:t>
      </w:r>
    </w:p>
    <w:p w14:paraId="692B4744" w14:textId="77777777" w:rsidR="00417A70" w:rsidRPr="00F31EF4" w:rsidRDefault="00417A70" w:rsidP="00F31EF4">
      <w:pPr>
        <w:pStyle w:val="ListParagraph"/>
        <w:numPr>
          <w:ilvl w:val="1"/>
          <w:numId w:val="10"/>
        </w:numPr>
        <w:spacing w:after="0" w:line="240" w:lineRule="auto"/>
        <w:ind w:left="720" w:firstLine="414"/>
        <w:contextualSpacing w:val="0"/>
        <w:rPr>
          <w:rFonts w:ascii="Arial" w:eastAsia="Times New Roman" w:hAnsi="Arial" w:cs="Arial"/>
          <w:sz w:val="24"/>
          <w:szCs w:val="24"/>
        </w:rPr>
      </w:pPr>
      <w:r w:rsidRPr="00F31EF4">
        <w:rPr>
          <w:rFonts w:ascii="Arial" w:eastAsia="Times New Roman" w:hAnsi="Arial" w:cs="Arial"/>
          <w:sz w:val="24"/>
          <w:szCs w:val="24"/>
        </w:rPr>
        <w:t>Equalities Impact Assessments</w:t>
      </w:r>
    </w:p>
    <w:p w14:paraId="3C59E7AD" w14:textId="77777777" w:rsidR="00417A70" w:rsidRPr="00F31EF4" w:rsidRDefault="00417A70" w:rsidP="00F31EF4">
      <w:pPr>
        <w:pStyle w:val="ListParagraph"/>
        <w:numPr>
          <w:ilvl w:val="1"/>
          <w:numId w:val="10"/>
        </w:numPr>
        <w:spacing w:after="0" w:line="240" w:lineRule="auto"/>
        <w:ind w:left="720" w:firstLine="414"/>
        <w:contextualSpacing w:val="0"/>
        <w:rPr>
          <w:rFonts w:ascii="Arial" w:eastAsia="Times New Roman" w:hAnsi="Arial" w:cs="Arial"/>
          <w:sz w:val="24"/>
          <w:szCs w:val="24"/>
        </w:rPr>
      </w:pPr>
      <w:r w:rsidRPr="00F31EF4">
        <w:rPr>
          <w:rFonts w:ascii="Arial" w:eastAsia="Times New Roman" w:hAnsi="Arial" w:cs="Arial"/>
          <w:sz w:val="24"/>
          <w:szCs w:val="24"/>
        </w:rPr>
        <w:t>Project management around service reductions</w:t>
      </w:r>
    </w:p>
    <w:p w14:paraId="6019A7DF" w14:textId="77777777" w:rsidR="00417A70" w:rsidRPr="00F31EF4" w:rsidRDefault="00417A70" w:rsidP="00F31EF4">
      <w:pPr>
        <w:pStyle w:val="ListParagraph"/>
        <w:spacing w:after="0" w:line="240" w:lineRule="auto"/>
        <w:ind w:firstLine="414"/>
        <w:contextualSpacing w:val="0"/>
        <w:rPr>
          <w:rFonts w:ascii="Arial" w:eastAsia="Times New Roman" w:hAnsi="Arial" w:cs="Arial"/>
          <w:sz w:val="24"/>
          <w:szCs w:val="24"/>
        </w:rPr>
      </w:pPr>
    </w:p>
    <w:p w14:paraId="5677D062" w14:textId="450B72E8" w:rsidR="00417A70" w:rsidRPr="00F31EF4" w:rsidRDefault="00417A70" w:rsidP="00F31EF4">
      <w:pPr>
        <w:ind w:left="720" w:hanging="11"/>
        <w:rPr>
          <w:rFonts w:ascii="Arial" w:hAnsi="Arial" w:cs="Arial"/>
          <w:b/>
          <w:bCs/>
          <w:szCs w:val="24"/>
        </w:rPr>
      </w:pPr>
      <w:r w:rsidRPr="00F31EF4">
        <w:rPr>
          <w:rFonts w:ascii="Arial" w:hAnsi="Arial" w:cs="Arial"/>
          <w:b/>
          <w:bCs/>
          <w:szCs w:val="24"/>
        </w:rPr>
        <w:tab/>
        <w:t xml:space="preserve">Outcomes </w:t>
      </w:r>
    </w:p>
    <w:p w14:paraId="6344184E" w14:textId="77777777" w:rsidR="00417A70" w:rsidRPr="00F31EF4" w:rsidRDefault="00417A70" w:rsidP="00F31EF4">
      <w:pPr>
        <w:ind w:left="720" w:hanging="11"/>
        <w:rPr>
          <w:rFonts w:ascii="Arial" w:hAnsi="Arial" w:cs="Arial"/>
          <w:b/>
          <w:bCs/>
          <w:szCs w:val="24"/>
        </w:rPr>
      </w:pPr>
    </w:p>
    <w:p w14:paraId="4D82297A" w14:textId="77777777" w:rsidR="00417A70" w:rsidRPr="00F31EF4" w:rsidRDefault="00417A70" w:rsidP="00F31EF4">
      <w:pPr>
        <w:pStyle w:val="ListParagraph"/>
        <w:numPr>
          <w:ilvl w:val="0"/>
          <w:numId w:val="9"/>
        </w:numPr>
        <w:spacing w:after="0" w:line="240" w:lineRule="auto"/>
        <w:ind w:left="1276" w:hanging="567"/>
        <w:contextualSpacing w:val="0"/>
        <w:rPr>
          <w:rFonts w:ascii="Arial" w:eastAsia="Times New Roman" w:hAnsi="Arial" w:cs="Arial"/>
          <w:sz w:val="24"/>
          <w:szCs w:val="24"/>
        </w:rPr>
      </w:pPr>
      <w:r w:rsidRPr="00F31EF4">
        <w:rPr>
          <w:rFonts w:ascii="Arial" w:eastAsia="Times New Roman" w:hAnsi="Arial" w:cs="Arial"/>
          <w:sz w:val="24"/>
          <w:szCs w:val="24"/>
        </w:rPr>
        <w:t xml:space="preserve">HLH Sustainability - HLH needs </w:t>
      </w:r>
      <w:r w:rsidRPr="00F31EF4">
        <w:rPr>
          <w:rFonts w:ascii="Arial" w:eastAsia="Times New Roman" w:hAnsi="Arial" w:cs="Arial"/>
          <w:b/>
          <w:bCs/>
          <w:i/>
          <w:iCs/>
          <w:sz w:val="24"/>
          <w:szCs w:val="24"/>
        </w:rPr>
        <w:t>financial sustainability</w:t>
      </w:r>
      <w:r w:rsidRPr="00F31EF4">
        <w:rPr>
          <w:rFonts w:ascii="Arial" w:eastAsia="Times New Roman" w:hAnsi="Arial" w:cs="Arial"/>
          <w:sz w:val="24"/>
          <w:szCs w:val="24"/>
        </w:rPr>
        <w:t xml:space="preserve"> and the ability to operate at </w:t>
      </w:r>
      <w:proofErr w:type="spellStart"/>
      <w:r w:rsidRPr="00F31EF4">
        <w:rPr>
          <w:rFonts w:ascii="Arial" w:eastAsia="Times New Roman" w:hAnsi="Arial" w:cs="Arial"/>
          <w:sz w:val="24"/>
          <w:szCs w:val="24"/>
        </w:rPr>
        <w:t>arms length</w:t>
      </w:r>
      <w:proofErr w:type="spellEnd"/>
      <w:r w:rsidRPr="00F31EF4">
        <w:rPr>
          <w:rFonts w:ascii="Arial" w:eastAsia="Times New Roman" w:hAnsi="Arial" w:cs="Arial"/>
          <w:sz w:val="24"/>
          <w:szCs w:val="24"/>
        </w:rPr>
        <w:t xml:space="preserve"> to the Council (to protect charitable status)</w:t>
      </w:r>
    </w:p>
    <w:p w14:paraId="72814BB4" w14:textId="77777777" w:rsidR="00F31EF4" w:rsidRPr="00F31EF4" w:rsidRDefault="00417A70" w:rsidP="00F31EF4">
      <w:pPr>
        <w:pStyle w:val="ListParagraph"/>
        <w:numPr>
          <w:ilvl w:val="0"/>
          <w:numId w:val="9"/>
        </w:numPr>
        <w:spacing w:after="0" w:line="240" w:lineRule="auto"/>
        <w:ind w:left="1276" w:hanging="567"/>
        <w:contextualSpacing w:val="0"/>
        <w:rPr>
          <w:rFonts w:ascii="Arial" w:eastAsia="Times New Roman" w:hAnsi="Arial" w:cs="Arial"/>
          <w:sz w:val="24"/>
          <w:szCs w:val="24"/>
        </w:rPr>
      </w:pPr>
      <w:r w:rsidRPr="00F31EF4">
        <w:rPr>
          <w:rFonts w:ascii="Arial" w:eastAsia="Times New Roman" w:hAnsi="Arial" w:cs="Arial"/>
          <w:sz w:val="24"/>
          <w:szCs w:val="24"/>
        </w:rPr>
        <w:t xml:space="preserve">THC Sustainability - THC needs to have a service level which is </w:t>
      </w:r>
      <w:r w:rsidRPr="00F31EF4">
        <w:rPr>
          <w:rFonts w:ascii="Arial" w:eastAsia="Times New Roman" w:hAnsi="Arial" w:cs="Arial"/>
          <w:b/>
          <w:bCs/>
          <w:i/>
          <w:iCs/>
          <w:sz w:val="24"/>
          <w:szCs w:val="24"/>
        </w:rPr>
        <w:t>affordable</w:t>
      </w:r>
      <w:r w:rsidRPr="00F31EF4">
        <w:rPr>
          <w:rFonts w:ascii="Arial" w:eastAsia="Times New Roman" w:hAnsi="Arial" w:cs="Arial"/>
          <w:sz w:val="24"/>
          <w:szCs w:val="24"/>
        </w:rPr>
        <w:t xml:space="preserve"> and can change over time</w:t>
      </w:r>
    </w:p>
    <w:p w14:paraId="2A17D31C" w14:textId="416FA106" w:rsidR="00417A70" w:rsidRPr="00F31EF4" w:rsidRDefault="00417A70" w:rsidP="00F31EF4">
      <w:pPr>
        <w:pStyle w:val="ListParagraph"/>
        <w:numPr>
          <w:ilvl w:val="0"/>
          <w:numId w:val="9"/>
        </w:numPr>
        <w:spacing w:after="0" w:line="240" w:lineRule="auto"/>
        <w:ind w:left="1276" w:hanging="567"/>
        <w:contextualSpacing w:val="0"/>
        <w:rPr>
          <w:rFonts w:ascii="Arial" w:eastAsia="Times New Roman" w:hAnsi="Arial" w:cs="Arial"/>
        </w:rPr>
      </w:pPr>
      <w:r w:rsidRPr="00F31EF4">
        <w:rPr>
          <w:rFonts w:ascii="Arial" w:hAnsi="Arial" w:cs="Arial"/>
          <w:sz w:val="24"/>
          <w:szCs w:val="24"/>
        </w:rPr>
        <w:t>THC and HLH together need to be able to develop services together - capital and service development to meet changing needs in communities</w:t>
      </w:r>
      <w:r w:rsidRPr="00F31EF4">
        <w:rPr>
          <w:rFonts w:ascii="Arial" w:hAnsi="Arial" w:cs="Arial"/>
        </w:rPr>
        <w:t>.</w:t>
      </w:r>
    </w:p>
    <w:p w14:paraId="7A1FDAEF" w14:textId="77777777" w:rsidR="0049266B" w:rsidRPr="0049266B" w:rsidRDefault="0049266B" w:rsidP="00F31EF4">
      <w:pPr>
        <w:kinsoku w:val="0"/>
        <w:overflowPunct w:val="0"/>
        <w:autoSpaceDE w:val="0"/>
        <w:autoSpaceDN w:val="0"/>
        <w:adjustRightInd w:val="0"/>
        <w:ind w:left="720" w:hanging="11"/>
        <w:rPr>
          <w:rFonts w:ascii="Arial" w:eastAsiaTheme="minorHAnsi" w:hAnsi="Arial" w:cs="Arial"/>
          <w:szCs w:val="24"/>
          <w:lang w:eastAsia="en-US"/>
        </w:rPr>
      </w:pPr>
    </w:p>
    <w:p w14:paraId="5D5875ED" w14:textId="765A2B2D" w:rsidR="0049266B" w:rsidRPr="00F31EF4" w:rsidRDefault="0049266B" w:rsidP="00F31EF4">
      <w:pPr>
        <w:kinsoku w:val="0"/>
        <w:overflowPunct w:val="0"/>
        <w:autoSpaceDE w:val="0"/>
        <w:autoSpaceDN w:val="0"/>
        <w:adjustRightInd w:val="0"/>
        <w:spacing w:line="20" w:lineRule="exact"/>
        <w:ind w:left="720" w:hanging="11"/>
        <w:rPr>
          <w:rFonts w:ascii="Arial" w:eastAsiaTheme="minorHAnsi" w:hAnsi="Arial" w:cs="Arial"/>
          <w:sz w:val="2"/>
          <w:szCs w:val="2"/>
          <w:highlight w:val="yellow"/>
          <w:lang w:eastAsia="en-US"/>
        </w:rPr>
      </w:pPr>
    </w:p>
    <w:p w14:paraId="433D7A5B" w14:textId="77777777" w:rsidR="00F31EF4" w:rsidRPr="0049266B" w:rsidRDefault="00F31EF4" w:rsidP="00F31EF4">
      <w:pPr>
        <w:kinsoku w:val="0"/>
        <w:overflowPunct w:val="0"/>
        <w:autoSpaceDE w:val="0"/>
        <w:autoSpaceDN w:val="0"/>
        <w:adjustRightInd w:val="0"/>
        <w:ind w:left="673" w:right="108"/>
        <w:jc w:val="both"/>
        <w:rPr>
          <w:rFonts w:ascii="Arial" w:eastAsiaTheme="minorHAnsi" w:hAnsi="Arial" w:cs="Arial"/>
          <w:szCs w:val="24"/>
          <w:lang w:eastAsia="en-US"/>
        </w:rPr>
      </w:pPr>
      <w:r>
        <w:rPr>
          <w:rFonts w:ascii="Arial" w:eastAsiaTheme="minorHAnsi" w:hAnsi="Arial" w:cs="Arial"/>
          <w:spacing w:val="2"/>
          <w:szCs w:val="24"/>
          <w:lang w:eastAsia="en-US"/>
        </w:rPr>
        <w:t xml:space="preserve">I am aware that given the challenges faced by the Council, </w:t>
      </w:r>
      <w:r w:rsidRPr="0006108E">
        <w:rPr>
          <w:rFonts w:ascii="Arial" w:hAnsi="Arial" w:cs="Arial"/>
        </w:rPr>
        <w:t>it is probable that th</w:t>
      </w:r>
      <w:r>
        <w:rPr>
          <w:rFonts w:ascii="Arial" w:hAnsi="Arial" w:cs="Arial"/>
        </w:rPr>
        <w:t>is</w:t>
      </w:r>
      <w:r w:rsidRPr="0006108E">
        <w:rPr>
          <w:rFonts w:ascii="Arial" w:hAnsi="Arial" w:cs="Arial"/>
        </w:rPr>
        <w:t xml:space="preserve"> review has </w:t>
      </w:r>
      <w:r>
        <w:rPr>
          <w:rFonts w:ascii="Arial" w:hAnsi="Arial" w:cs="Arial"/>
        </w:rPr>
        <w:t xml:space="preserve">quite understandably </w:t>
      </w:r>
      <w:r w:rsidRPr="0006108E">
        <w:rPr>
          <w:rFonts w:ascii="Arial" w:hAnsi="Arial" w:cs="Arial"/>
        </w:rPr>
        <w:t xml:space="preserve">been superseded by other priorities, not least budget planning.  </w:t>
      </w:r>
      <w:r>
        <w:rPr>
          <w:rFonts w:ascii="Arial" w:hAnsi="Arial" w:cs="Arial"/>
        </w:rPr>
        <w:t xml:space="preserve">However, </w:t>
      </w:r>
      <w:r w:rsidRPr="0006108E">
        <w:rPr>
          <w:rFonts w:ascii="Arial" w:hAnsi="Arial" w:cs="Arial"/>
        </w:rPr>
        <w:t>I</w:t>
      </w:r>
      <w:r>
        <w:rPr>
          <w:rFonts w:ascii="Arial" w:hAnsi="Arial" w:cs="Arial"/>
        </w:rPr>
        <w:t xml:space="preserve"> hope that this</w:t>
      </w:r>
      <w:r w:rsidRPr="0006108E">
        <w:rPr>
          <w:rFonts w:ascii="Arial" w:hAnsi="Arial" w:cs="Arial"/>
        </w:rPr>
        <w:t xml:space="preserve"> request for a commitment to </w:t>
      </w:r>
      <w:r>
        <w:rPr>
          <w:rFonts w:ascii="Arial" w:hAnsi="Arial" w:cs="Arial"/>
        </w:rPr>
        <w:t xml:space="preserve">early </w:t>
      </w:r>
      <w:r w:rsidRPr="0006108E">
        <w:rPr>
          <w:rFonts w:ascii="Arial" w:hAnsi="Arial" w:cs="Arial"/>
        </w:rPr>
        <w:t xml:space="preserve">diarised engagement </w:t>
      </w:r>
      <w:r>
        <w:rPr>
          <w:rFonts w:ascii="Arial" w:hAnsi="Arial" w:cs="Arial"/>
        </w:rPr>
        <w:t>can</w:t>
      </w:r>
      <w:r w:rsidRPr="0006108E">
        <w:rPr>
          <w:rFonts w:ascii="Arial" w:hAnsi="Arial" w:cs="Arial"/>
        </w:rPr>
        <w:t xml:space="preserve"> trigger progress and allow for constructive collaboration early in the bud</w:t>
      </w:r>
      <w:r>
        <w:rPr>
          <w:rFonts w:ascii="Arial" w:hAnsi="Arial" w:cs="Arial"/>
        </w:rPr>
        <w:t>g</w:t>
      </w:r>
      <w:r w:rsidRPr="0006108E">
        <w:rPr>
          <w:rFonts w:ascii="Arial" w:hAnsi="Arial" w:cs="Arial"/>
        </w:rPr>
        <w:t>et cycle</w:t>
      </w:r>
      <w:r>
        <w:rPr>
          <w:rFonts w:ascii="Arial" w:hAnsi="Arial" w:cs="Arial"/>
        </w:rPr>
        <w:t>.</w:t>
      </w:r>
      <w:r w:rsidRPr="0006108E">
        <w:rPr>
          <w:rFonts w:ascii="Arial" w:eastAsiaTheme="minorHAnsi" w:hAnsi="Arial" w:cs="Arial"/>
          <w:szCs w:val="24"/>
          <w:lang w:eastAsia="en-US"/>
        </w:rPr>
        <w:t xml:space="preserve"> </w:t>
      </w:r>
      <w:r>
        <w:rPr>
          <w:rFonts w:ascii="Arial" w:eastAsiaTheme="minorHAnsi" w:hAnsi="Arial" w:cs="Arial"/>
          <w:szCs w:val="24"/>
          <w:lang w:eastAsia="en-US"/>
        </w:rPr>
        <w:t xml:space="preserve"> </w:t>
      </w:r>
      <w:r w:rsidRPr="0049266B">
        <w:rPr>
          <w:rFonts w:ascii="Arial" w:eastAsiaTheme="minorHAnsi" w:hAnsi="Arial" w:cs="Arial"/>
          <w:szCs w:val="24"/>
          <w:lang w:eastAsia="en-US"/>
        </w:rPr>
        <w:t>Thank</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you</w:t>
      </w:r>
      <w:r w:rsidRPr="0049266B">
        <w:rPr>
          <w:rFonts w:ascii="Arial" w:eastAsiaTheme="minorHAnsi" w:hAnsi="Arial" w:cs="Arial"/>
          <w:spacing w:val="2"/>
          <w:szCs w:val="24"/>
          <w:lang w:eastAsia="en-US"/>
        </w:rPr>
        <w:t xml:space="preserve"> </w:t>
      </w:r>
      <w:r>
        <w:rPr>
          <w:rFonts w:ascii="Arial" w:eastAsiaTheme="minorHAnsi" w:hAnsi="Arial" w:cs="Arial"/>
          <w:spacing w:val="2"/>
          <w:szCs w:val="24"/>
          <w:lang w:eastAsia="en-US"/>
        </w:rPr>
        <w:t xml:space="preserve">again </w:t>
      </w:r>
      <w:r w:rsidRPr="0049266B">
        <w:rPr>
          <w:rFonts w:ascii="Arial" w:eastAsiaTheme="minorHAnsi" w:hAnsi="Arial" w:cs="Arial"/>
          <w:szCs w:val="24"/>
          <w:lang w:eastAsia="en-US"/>
        </w:rPr>
        <w:t>for</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the</w:t>
      </w:r>
      <w:r w:rsidRPr="0049266B">
        <w:rPr>
          <w:rFonts w:ascii="Arial" w:eastAsiaTheme="minorHAnsi" w:hAnsi="Arial" w:cs="Arial"/>
          <w:spacing w:val="3"/>
          <w:szCs w:val="24"/>
          <w:lang w:eastAsia="en-US"/>
        </w:rPr>
        <w:t xml:space="preserve"> </w:t>
      </w:r>
      <w:r w:rsidRPr="0049266B">
        <w:rPr>
          <w:rFonts w:ascii="Arial" w:eastAsiaTheme="minorHAnsi" w:hAnsi="Arial" w:cs="Arial"/>
          <w:szCs w:val="24"/>
          <w:lang w:eastAsia="en-US"/>
        </w:rPr>
        <w:t>positive</w:t>
      </w:r>
      <w:r w:rsidRPr="0049266B">
        <w:rPr>
          <w:rFonts w:ascii="Arial" w:eastAsiaTheme="minorHAnsi" w:hAnsi="Arial" w:cs="Arial"/>
          <w:spacing w:val="3"/>
          <w:szCs w:val="24"/>
          <w:lang w:eastAsia="en-US"/>
        </w:rPr>
        <w:t xml:space="preserve"> </w:t>
      </w:r>
      <w:r w:rsidRPr="0049266B">
        <w:rPr>
          <w:rFonts w:ascii="Arial" w:eastAsiaTheme="minorHAnsi" w:hAnsi="Arial" w:cs="Arial"/>
          <w:szCs w:val="24"/>
          <w:lang w:eastAsia="en-US"/>
        </w:rPr>
        <w:t>approach</w:t>
      </w:r>
      <w:r w:rsidRPr="0049266B">
        <w:rPr>
          <w:rFonts w:ascii="Arial" w:eastAsiaTheme="minorHAnsi" w:hAnsi="Arial" w:cs="Arial"/>
          <w:spacing w:val="8"/>
          <w:szCs w:val="24"/>
          <w:lang w:eastAsia="en-US"/>
        </w:rPr>
        <w:t xml:space="preserve"> </w:t>
      </w:r>
      <w:r w:rsidRPr="0049266B">
        <w:rPr>
          <w:rFonts w:ascii="Arial" w:eastAsiaTheme="minorHAnsi" w:hAnsi="Arial" w:cs="Arial"/>
          <w:szCs w:val="24"/>
          <w:lang w:eastAsia="en-US"/>
        </w:rPr>
        <w:t>to</w:t>
      </w:r>
      <w:r w:rsidRPr="0049266B">
        <w:rPr>
          <w:rFonts w:ascii="Arial" w:eastAsiaTheme="minorHAnsi" w:hAnsi="Arial" w:cs="Arial"/>
          <w:spacing w:val="3"/>
          <w:szCs w:val="24"/>
          <w:lang w:eastAsia="en-US"/>
        </w:rPr>
        <w:t xml:space="preserve"> </w:t>
      </w:r>
      <w:r w:rsidRPr="0049266B">
        <w:rPr>
          <w:rFonts w:ascii="Arial" w:eastAsiaTheme="minorHAnsi" w:hAnsi="Arial" w:cs="Arial"/>
          <w:szCs w:val="24"/>
          <w:lang w:eastAsia="en-US"/>
        </w:rPr>
        <w:t>th</w:t>
      </w:r>
      <w:r>
        <w:rPr>
          <w:rFonts w:ascii="Arial" w:eastAsiaTheme="minorHAnsi" w:hAnsi="Arial" w:cs="Arial"/>
          <w:spacing w:val="2"/>
          <w:szCs w:val="24"/>
          <w:lang w:eastAsia="en-US"/>
        </w:rPr>
        <w:t>is years’ budget process</w:t>
      </w:r>
      <w:r w:rsidRPr="0006108E" w:rsidDel="0006108E">
        <w:rPr>
          <w:rFonts w:ascii="Arial" w:eastAsiaTheme="minorHAnsi" w:hAnsi="Arial" w:cs="Arial"/>
          <w:szCs w:val="24"/>
          <w:lang w:eastAsia="en-US"/>
        </w:rPr>
        <w:t xml:space="preserve"> </w:t>
      </w:r>
      <w:r>
        <w:rPr>
          <w:rFonts w:ascii="Arial" w:eastAsiaTheme="minorHAnsi" w:hAnsi="Arial" w:cs="Arial"/>
          <w:szCs w:val="24"/>
          <w:lang w:eastAsia="en-US"/>
        </w:rPr>
        <w:t xml:space="preserve">and for your ongoing support to High Life Highland. Although we operate at </w:t>
      </w:r>
      <w:proofErr w:type="spellStart"/>
      <w:r>
        <w:rPr>
          <w:rFonts w:ascii="Arial" w:eastAsiaTheme="minorHAnsi" w:hAnsi="Arial" w:cs="Arial"/>
          <w:szCs w:val="24"/>
          <w:lang w:eastAsia="en-US"/>
        </w:rPr>
        <w:t>arms length</w:t>
      </w:r>
      <w:proofErr w:type="spellEnd"/>
      <w:r>
        <w:rPr>
          <w:rFonts w:ascii="Arial" w:eastAsiaTheme="minorHAnsi" w:hAnsi="Arial" w:cs="Arial"/>
          <w:szCs w:val="24"/>
          <w:lang w:eastAsia="en-US"/>
        </w:rPr>
        <w:t xml:space="preserve">, I would like to finish with a recent quote from a senior council official ‘Highlife Highland is the Council and the Council is High Life Highland’, the HLH Board agree with this view and hope that the symbiotic nature of our relationship can be reflected in our collaborative approach to the review. </w:t>
      </w:r>
    </w:p>
    <w:p w14:paraId="288BBA98" w14:textId="77777777" w:rsidR="00F31EF4" w:rsidRPr="0049266B" w:rsidRDefault="00F31EF4" w:rsidP="00F31EF4">
      <w:pPr>
        <w:kinsoku w:val="0"/>
        <w:overflowPunct w:val="0"/>
        <w:autoSpaceDE w:val="0"/>
        <w:autoSpaceDN w:val="0"/>
        <w:adjustRightInd w:val="0"/>
        <w:spacing w:before="1"/>
        <w:rPr>
          <w:rFonts w:ascii="Arial" w:eastAsiaTheme="minorHAnsi" w:hAnsi="Arial" w:cs="Arial"/>
          <w:szCs w:val="24"/>
          <w:lang w:eastAsia="en-US"/>
        </w:rPr>
      </w:pPr>
    </w:p>
    <w:p w14:paraId="13822247" w14:textId="1C5066FB" w:rsidR="00F31EF4" w:rsidRPr="0049266B" w:rsidRDefault="00F31EF4" w:rsidP="00F31EF4">
      <w:pPr>
        <w:kinsoku w:val="0"/>
        <w:overflowPunct w:val="0"/>
        <w:autoSpaceDE w:val="0"/>
        <w:autoSpaceDN w:val="0"/>
        <w:adjustRightInd w:val="0"/>
        <w:ind w:left="673"/>
        <w:jc w:val="both"/>
        <w:rPr>
          <w:rFonts w:ascii="Arial" w:eastAsiaTheme="minorHAnsi" w:hAnsi="Arial" w:cs="Arial"/>
          <w:szCs w:val="24"/>
          <w:lang w:eastAsia="en-US"/>
        </w:rPr>
      </w:pPr>
      <w:r w:rsidRPr="0049266B">
        <w:rPr>
          <w:rFonts w:ascii="Arial" w:eastAsiaTheme="minorHAnsi" w:hAnsi="Arial" w:cs="Arial"/>
          <w:szCs w:val="24"/>
          <w:lang w:eastAsia="en-US"/>
        </w:rPr>
        <w:t xml:space="preserve">Yours </w:t>
      </w:r>
      <w:r w:rsidR="00CE7FE7">
        <w:rPr>
          <w:rFonts w:ascii="Arial" w:eastAsiaTheme="minorHAnsi" w:hAnsi="Arial" w:cs="Arial"/>
          <w:szCs w:val="24"/>
          <w:lang w:eastAsia="en-US"/>
        </w:rPr>
        <w:t>s</w:t>
      </w:r>
      <w:r w:rsidRPr="0049266B">
        <w:rPr>
          <w:rFonts w:ascii="Arial" w:eastAsiaTheme="minorHAnsi" w:hAnsi="Arial" w:cs="Arial"/>
          <w:szCs w:val="24"/>
          <w:lang w:eastAsia="en-US"/>
        </w:rPr>
        <w:t>incerely</w:t>
      </w:r>
    </w:p>
    <w:p w14:paraId="2C550F25" w14:textId="77777777" w:rsidR="00F31EF4" w:rsidRPr="0049266B" w:rsidRDefault="00F31EF4" w:rsidP="00F31EF4">
      <w:pPr>
        <w:kinsoku w:val="0"/>
        <w:overflowPunct w:val="0"/>
        <w:autoSpaceDE w:val="0"/>
        <w:autoSpaceDN w:val="0"/>
        <w:adjustRightInd w:val="0"/>
        <w:spacing w:before="11"/>
        <w:rPr>
          <w:rFonts w:ascii="Arial" w:eastAsiaTheme="minorHAnsi" w:hAnsi="Arial" w:cs="Arial"/>
          <w:sz w:val="12"/>
          <w:szCs w:val="12"/>
          <w:lang w:eastAsia="en-US"/>
        </w:rPr>
      </w:pPr>
    </w:p>
    <w:p w14:paraId="5632C57A" w14:textId="77777777" w:rsidR="00F31EF4" w:rsidRPr="0049266B" w:rsidRDefault="00F31EF4" w:rsidP="00F31EF4">
      <w:pPr>
        <w:kinsoku w:val="0"/>
        <w:overflowPunct w:val="0"/>
        <w:autoSpaceDE w:val="0"/>
        <w:autoSpaceDN w:val="0"/>
        <w:adjustRightInd w:val="0"/>
        <w:ind w:left="713"/>
        <w:rPr>
          <w:rFonts w:ascii="Arial" w:eastAsiaTheme="minorHAnsi" w:hAnsi="Arial" w:cs="Arial"/>
          <w:sz w:val="20"/>
          <w:lang w:eastAsia="en-US"/>
        </w:rPr>
      </w:pPr>
      <w:r w:rsidRPr="0049266B">
        <w:rPr>
          <w:rFonts w:ascii="Arial" w:eastAsiaTheme="minorHAnsi" w:hAnsi="Arial" w:cs="Arial"/>
          <w:noProof/>
          <w:sz w:val="20"/>
          <w:lang w:eastAsia="en-US"/>
        </w:rPr>
        <w:drawing>
          <wp:inline distT="0" distB="0" distL="0" distR="0" wp14:anchorId="5CA6DCC0" wp14:editId="086F8898">
            <wp:extent cx="135255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p w14:paraId="74CEAB4A" w14:textId="77777777" w:rsidR="00F31EF4" w:rsidRPr="0049266B" w:rsidRDefault="00F31EF4" w:rsidP="00F31EF4">
      <w:pPr>
        <w:kinsoku w:val="0"/>
        <w:overflowPunct w:val="0"/>
        <w:autoSpaceDE w:val="0"/>
        <w:autoSpaceDN w:val="0"/>
        <w:adjustRightInd w:val="0"/>
        <w:spacing w:before="7"/>
        <w:rPr>
          <w:rFonts w:ascii="Arial" w:eastAsiaTheme="minorHAnsi" w:hAnsi="Arial" w:cs="Arial"/>
          <w:szCs w:val="24"/>
          <w:lang w:eastAsia="en-US"/>
        </w:rPr>
      </w:pPr>
    </w:p>
    <w:p w14:paraId="378E2B25" w14:textId="77777777" w:rsidR="00F31EF4" w:rsidRPr="0049266B" w:rsidRDefault="00F31EF4" w:rsidP="00F31EF4">
      <w:pPr>
        <w:kinsoku w:val="0"/>
        <w:overflowPunct w:val="0"/>
        <w:autoSpaceDE w:val="0"/>
        <w:autoSpaceDN w:val="0"/>
        <w:adjustRightInd w:val="0"/>
        <w:ind w:left="673"/>
        <w:jc w:val="both"/>
        <w:rPr>
          <w:rFonts w:ascii="Arial" w:eastAsiaTheme="minorHAnsi" w:hAnsi="Arial" w:cs="Arial"/>
          <w:szCs w:val="24"/>
          <w:lang w:eastAsia="en-US"/>
        </w:rPr>
      </w:pPr>
      <w:r w:rsidRPr="0049266B">
        <w:rPr>
          <w:rFonts w:ascii="Arial" w:eastAsiaTheme="minorHAnsi" w:hAnsi="Arial" w:cs="Arial"/>
          <w:szCs w:val="24"/>
          <w:lang w:eastAsia="en-US"/>
        </w:rPr>
        <w:t>Mark Tate</w:t>
      </w:r>
    </w:p>
    <w:p w14:paraId="641A0E9E" w14:textId="77777777" w:rsidR="00F31EF4" w:rsidRPr="0049266B" w:rsidRDefault="00F31EF4" w:rsidP="00F31EF4">
      <w:pPr>
        <w:kinsoku w:val="0"/>
        <w:overflowPunct w:val="0"/>
        <w:autoSpaceDE w:val="0"/>
        <w:autoSpaceDN w:val="0"/>
        <w:adjustRightInd w:val="0"/>
        <w:spacing w:before="1"/>
        <w:ind w:left="673"/>
        <w:jc w:val="both"/>
        <w:rPr>
          <w:rFonts w:ascii="Arial" w:eastAsiaTheme="minorHAnsi" w:hAnsi="Arial" w:cs="Arial"/>
          <w:szCs w:val="24"/>
          <w:lang w:eastAsia="en-US"/>
        </w:rPr>
      </w:pPr>
      <w:r w:rsidRPr="0049266B">
        <w:rPr>
          <w:rFonts w:ascii="Arial" w:eastAsiaTheme="minorHAnsi" w:hAnsi="Arial" w:cs="Arial"/>
          <w:szCs w:val="24"/>
          <w:lang w:eastAsia="en-US"/>
        </w:rPr>
        <w:t>Chair, High Life Highland</w:t>
      </w:r>
    </w:p>
    <w:p w14:paraId="56AFBDFB" w14:textId="77777777" w:rsidR="00F31EF4" w:rsidRPr="0049266B" w:rsidRDefault="00F31EF4" w:rsidP="00F31EF4">
      <w:pPr>
        <w:kinsoku w:val="0"/>
        <w:overflowPunct w:val="0"/>
        <w:autoSpaceDE w:val="0"/>
        <w:autoSpaceDN w:val="0"/>
        <w:adjustRightInd w:val="0"/>
        <w:rPr>
          <w:rFonts w:ascii="Arial" w:eastAsiaTheme="minorHAnsi" w:hAnsi="Arial" w:cs="Arial"/>
          <w:szCs w:val="24"/>
          <w:lang w:eastAsia="en-US"/>
        </w:rPr>
      </w:pPr>
    </w:p>
    <w:p w14:paraId="2F182651" w14:textId="77777777" w:rsidR="00F31EF4" w:rsidRDefault="00F31EF4" w:rsidP="00F31EF4">
      <w:pPr>
        <w:kinsoku w:val="0"/>
        <w:overflowPunct w:val="0"/>
        <w:autoSpaceDE w:val="0"/>
        <w:autoSpaceDN w:val="0"/>
        <w:adjustRightInd w:val="0"/>
        <w:ind w:left="673"/>
        <w:jc w:val="both"/>
        <w:rPr>
          <w:rFonts w:ascii="Arial" w:eastAsiaTheme="minorHAnsi" w:hAnsi="Arial" w:cs="Arial"/>
          <w:spacing w:val="65"/>
          <w:szCs w:val="24"/>
          <w:lang w:eastAsia="en-US"/>
        </w:rPr>
      </w:pPr>
      <w:r w:rsidRPr="0049266B">
        <w:rPr>
          <w:rFonts w:ascii="Arial" w:eastAsiaTheme="minorHAnsi" w:hAnsi="Arial" w:cs="Arial"/>
          <w:szCs w:val="24"/>
          <w:lang w:eastAsia="en-US"/>
        </w:rPr>
        <w:t>Copies</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(by</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e-mail) to:</w:t>
      </w:r>
      <w:r w:rsidRPr="0049266B">
        <w:rPr>
          <w:rFonts w:ascii="Arial" w:eastAsiaTheme="minorHAnsi" w:hAnsi="Arial" w:cs="Arial"/>
          <w:spacing w:val="65"/>
          <w:szCs w:val="24"/>
          <w:lang w:eastAsia="en-US"/>
        </w:rPr>
        <w:t xml:space="preserve"> </w:t>
      </w:r>
    </w:p>
    <w:p w14:paraId="4C82CCFD" w14:textId="77777777" w:rsidR="00F31EF4" w:rsidRDefault="00F31EF4" w:rsidP="00F31EF4">
      <w:pPr>
        <w:kinsoku w:val="0"/>
        <w:overflowPunct w:val="0"/>
        <w:autoSpaceDE w:val="0"/>
        <w:autoSpaceDN w:val="0"/>
        <w:adjustRightInd w:val="0"/>
        <w:ind w:left="673"/>
        <w:jc w:val="both"/>
        <w:rPr>
          <w:rFonts w:ascii="Arial" w:eastAsiaTheme="minorHAnsi" w:hAnsi="Arial" w:cs="Arial"/>
          <w:szCs w:val="24"/>
          <w:lang w:eastAsia="en-US"/>
        </w:rPr>
      </w:pPr>
      <w:r w:rsidRPr="0049266B">
        <w:rPr>
          <w:rFonts w:ascii="Arial" w:eastAsiaTheme="minorHAnsi" w:hAnsi="Arial" w:cs="Arial"/>
          <w:szCs w:val="24"/>
          <w:lang w:eastAsia="en-US"/>
        </w:rPr>
        <w:t>Councillor Bill Lobban</w:t>
      </w:r>
    </w:p>
    <w:p w14:paraId="50FEDE66" w14:textId="77777777" w:rsidR="00F31EF4" w:rsidRPr="0049266B" w:rsidRDefault="00F31EF4" w:rsidP="00F31EF4">
      <w:pPr>
        <w:kinsoku w:val="0"/>
        <w:overflowPunct w:val="0"/>
        <w:autoSpaceDE w:val="0"/>
        <w:autoSpaceDN w:val="0"/>
        <w:adjustRightInd w:val="0"/>
        <w:ind w:left="673"/>
        <w:jc w:val="both"/>
        <w:rPr>
          <w:rFonts w:ascii="Arial" w:eastAsiaTheme="minorHAnsi" w:hAnsi="Arial" w:cs="Arial"/>
          <w:szCs w:val="24"/>
          <w:lang w:eastAsia="en-US"/>
        </w:rPr>
      </w:pPr>
      <w:r w:rsidRPr="0049266B">
        <w:rPr>
          <w:rFonts w:ascii="Arial" w:eastAsiaTheme="minorHAnsi" w:hAnsi="Arial" w:cs="Arial"/>
          <w:szCs w:val="24"/>
          <w:lang w:eastAsia="en-US"/>
        </w:rPr>
        <w:t>Kate</w:t>
      </w:r>
      <w:r w:rsidRPr="0049266B">
        <w:rPr>
          <w:rFonts w:ascii="Arial" w:eastAsiaTheme="minorHAnsi" w:hAnsi="Arial" w:cs="Arial"/>
          <w:spacing w:val="-1"/>
          <w:szCs w:val="24"/>
          <w:lang w:eastAsia="en-US"/>
        </w:rPr>
        <w:t xml:space="preserve"> </w:t>
      </w:r>
      <w:r w:rsidRPr="0049266B">
        <w:rPr>
          <w:rFonts w:ascii="Arial" w:eastAsiaTheme="minorHAnsi" w:hAnsi="Arial" w:cs="Arial"/>
          <w:szCs w:val="24"/>
          <w:lang w:eastAsia="en-US"/>
        </w:rPr>
        <w:t>Lackie, THC Chief</w:t>
      </w:r>
      <w:r w:rsidRPr="0049266B">
        <w:rPr>
          <w:rFonts w:ascii="Arial" w:eastAsiaTheme="minorHAnsi" w:hAnsi="Arial" w:cs="Arial"/>
          <w:spacing w:val="-2"/>
          <w:szCs w:val="24"/>
          <w:lang w:eastAsia="en-US"/>
        </w:rPr>
        <w:t xml:space="preserve"> </w:t>
      </w:r>
      <w:r w:rsidRPr="0049266B">
        <w:rPr>
          <w:rFonts w:ascii="Arial" w:eastAsiaTheme="minorHAnsi" w:hAnsi="Arial" w:cs="Arial"/>
          <w:szCs w:val="24"/>
          <w:lang w:eastAsia="en-US"/>
        </w:rPr>
        <w:t>Executive</w:t>
      </w:r>
    </w:p>
    <w:p w14:paraId="2F9B04EB" w14:textId="69187925"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6AEC6F1C" w14:textId="0B6F69E1"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4C3D9502" w14:textId="718A575F"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6346DC0F" w14:textId="307511BA"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1635E417" w14:textId="2C7BFFD4"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2C1227B5" w14:textId="4F8A0D5D"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7E2F94FA" w14:textId="0273461E"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1B5593CA" w14:textId="3D136A47"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2CE0F19F" w14:textId="4CA233B5"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05A68385" w14:textId="601033D8"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68A1DDF4" w14:textId="24CCB67B"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5C81422E" w14:textId="65D4D313"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30B25D1D" w14:textId="45AAF9E0" w:rsidR="00F31EF4"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2187E542" w14:textId="77777777" w:rsidR="00F31EF4" w:rsidRPr="0049266B" w:rsidRDefault="00F31EF4" w:rsidP="00F31EF4">
      <w:pPr>
        <w:kinsoku w:val="0"/>
        <w:overflowPunct w:val="0"/>
        <w:autoSpaceDE w:val="0"/>
        <w:autoSpaceDN w:val="0"/>
        <w:adjustRightInd w:val="0"/>
        <w:spacing w:before="1"/>
        <w:ind w:left="720" w:hanging="11"/>
        <w:rPr>
          <w:rFonts w:ascii="Calibri" w:eastAsiaTheme="minorHAnsi" w:hAnsi="Calibri" w:cs="Calibri"/>
          <w:sz w:val="20"/>
          <w:lang w:eastAsia="en-US"/>
        </w:rPr>
      </w:pPr>
    </w:p>
    <w:p w14:paraId="1EE826B9" w14:textId="77777777" w:rsidR="0049266B" w:rsidRPr="0049266B" w:rsidRDefault="0049266B" w:rsidP="0049266B">
      <w:pPr>
        <w:kinsoku w:val="0"/>
        <w:overflowPunct w:val="0"/>
        <w:autoSpaceDE w:val="0"/>
        <w:autoSpaceDN w:val="0"/>
        <w:adjustRightInd w:val="0"/>
        <w:spacing w:before="2"/>
        <w:ind w:left="442"/>
        <w:rPr>
          <w:rFonts w:ascii="Arial" w:eastAsiaTheme="minorHAnsi" w:hAnsi="Arial" w:cs="Arial"/>
          <w:color w:val="17365D"/>
          <w:sz w:val="14"/>
          <w:szCs w:val="14"/>
          <w:lang w:eastAsia="en-US"/>
        </w:rPr>
      </w:pPr>
      <w:r w:rsidRPr="0049266B">
        <w:rPr>
          <w:rFonts w:ascii="Arial" w:eastAsiaTheme="minorHAnsi" w:hAnsi="Arial" w:cs="Arial"/>
          <w:color w:val="17365D"/>
          <w:sz w:val="14"/>
          <w:szCs w:val="14"/>
          <w:lang w:eastAsia="en-US"/>
        </w:rPr>
        <w:t>Mark</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Tate,</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Chair,</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High</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Life</w:t>
      </w:r>
      <w:r w:rsidRPr="0049266B">
        <w:rPr>
          <w:rFonts w:ascii="Arial" w:eastAsiaTheme="minorHAnsi" w:hAnsi="Arial" w:cs="Arial"/>
          <w:color w:val="17365D"/>
          <w:spacing w:val="-2"/>
          <w:sz w:val="14"/>
          <w:szCs w:val="14"/>
          <w:lang w:eastAsia="en-US"/>
        </w:rPr>
        <w:t xml:space="preserve"> </w:t>
      </w:r>
      <w:r w:rsidRPr="0049266B">
        <w:rPr>
          <w:rFonts w:ascii="Arial" w:eastAsiaTheme="minorHAnsi" w:hAnsi="Arial" w:cs="Arial"/>
          <w:color w:val="17365D"/>
          <w:sz w:val="14"/>
          <w:szCs w:val="14"/>
          <w:lang w:eastAsia="en-US"/>
        </w:rPr>
        <w:t>Highland</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Registered office</w:t>
      </w:r>
      <w:r w:rsidRPr="0049266B">
        <w:rPr>
          <w:rFonts w:ascii="Arial" w:eastAsiaTheme="minorHAnsi" w:hAnsi="Arial" w:cs="Arial"/>
          <w:color w:val="30849B"/>
          <w:spacing w:val="-1"/>
          <w:sz w:val="14"/>
          <w:szCs w:val="14"/>
          <w:lang w:eastAsia="en-US"/>
        </w:rPr>
        <w:t xml:space="preserve"> </w:t>
      </w:r>
      <w:r w:rsidRPr="0049266B">
        <w:rPr>
          <w:rFonts w:ascii="Arial" w:eastAsiaTheme="minorHAnsi" w:hAnsi="Arial" w:cs="Arial"/>
          <w:color w:val="17365D"/>
          <w:sz w:val="14"/>
          <w:szCs w:val="14"/>
          <w:lang w:eastAsia="en-US"/>
        </w:rPr>
        <w:t>12–13</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Ardross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Street,</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Inverness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IV3</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5NS</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Telephone</w:t>
      </w:r>
      <w:r w:rsidRPr="0049266B">
        <w:rPr>
          <w:rFonts w:ascii="Arial" w:eastAsiaTheme="minorHAnsi" w:hAnsi="Arial" w:cs="Arial"/>
          <w:color w:val="30849B"/>
          <w:spacing w:val="2"/>
          <w:sz w:val="14"/>
          <w:szCs w:val="14"/>
          <w:lang w:eastAsia="en-US"/>
        </w:rPr>
        <w:t xml:space="preserve"> </w:t>
      </w:r>
      <w:r w:rsidRPr="0049266B">
        <w:rPr>
          <w:rFonts w:ascii="Arial" w:eastAsiaTheme="minorHAnsi" w:hAnsi="Arial" w:cs="Arial"/>
          <w:color w:val="17365D"/>
          <w:sz w:val="14"/>
          <w:szCs w:val="14"/>
          <w:lang w:eastAsia="en-US"/>
        </w:rPr>
        <w:t>01349</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17365D"/>
          <w:sz w:val="14"/>
          <w:szCs w:val="14"/>
          <w:lang w:eastAsia="en-US"/>
        </w:rPr>
        <w:t>781700</w:t>
      </w:r>
      <w:r w:rsidRPr="0049266B">
        <w:rPr>
          <w:rFonts w:ascii="Arial" w:eastAsiaTheme="minorHAnsi" w:hAnsi="Arial" w:cs="Arial"/>
          <w:color w:val="17365D"/>
          <w:spacing w:val="-1"/>
          <w:sz w:val="14"/>
          <w:szCs w:val="14"/>
          <w:lang w:eastAsia="en-US"/>
        </w:rPr>
        <w:t xml:space="preserve"> </w:t>
      </w:r>
      <w:r w:rsidRPr="0049266B">
        <w:rPr>
          <w:rFonts w:ascii="Arial" w:eastAsiaTheme="minorHAnsi" w:hAnsi="Arial" w:cs="Arial"/>
          <w:color w:val="30849B"/>
          <w:sz w:val="14"/>
          <w:szCs w:val="14"/>
          <w:lang w:eastAsia="en-US"/>
        </w:rPr>
        <w:t xml:space="preserve">Email </w:t>
      </w:r>
      <w:hyperlink r:id="rId11" w:history="1">
        <w:r w:rsidRPr="0049266B">
          <w:rPr>
            <w:rFonts w:ascii="Arial" w:eastAsiaTheme="minorHAnsi" w:hAnsi="Arial" w:cs="Arial"/>
            <w:color w:val="17365D"/>
            <w:sz w:val="14"/>
            <w:szCs w:val="14"/>
            <w:lang w:eastAsia="en-US"/>
          </w:rPr>
          <w:t>info@highlifehighland.com</w:t>
        </w:r>
      </w:hyperlink>
    </w:p>
    <w:p w14:paraId="4B223ECE" w14:textId="77777777" w:rsidR="0049266B" w:rsidRPr="0049266B" w:rsidRDefault="0049266B" w:rsidP="0049266B">
      <w:pPr>
        <w:kinsoku w:val="0"/>
        <w:overflowPunct w:val="0"/>
        <w:autoSpaceDE w:val="0"/>
        <w:autoSpaceDN w:val="0"/>
        <w:adjustRightInd w:val="0"/>
        <w:spacing w:before="10"/>
        <w:rPr>
          <w:rFonts w:ascii="Arial" w:eastAsiaTheme="minorHAnsi" w:hAnsi="Arial" w:cs="Arial"/>
          <w:sz w:val="13"/>
          <w:szCs w:val="13"/>
          <w:lang w:eastAsia="en-US"/>
        </w:rPr>
      </w:pPr>
    </w:p>
    <w:p w14:paraId="7BD03621" w14:textId="77777777" w:rsidR="0049266B" w:rsidRPr="00CE7FE7" w:rsidRDefault="0049266B" w:rsidP="0049266B">
      <w:pPr>
        <w:kinsoku w:val="0"/>
        <w:overflowPunct w:val="0"/>
        <w:autoSpaceDE w:val="0"/>
        <w:autoSpaceDN w:val="0"/>
        <w:adjustRightInd w:val="0"/>
        <w:spacing w:before="1"/>
        <w:ind w:left="673"/>
        <w:rPr>
          <w:rFonts w:ascii="Arial" w:eastAsiaTheme="minorHAnsi" w:hAnsi="Arial" w:cs="Arial"/>
          <w:color w:val="17365D"/>
          <w:sz w:val="12"/>
          <w:szCs w:val="12"/>
          <w:lang w:eastAsia="en-US"/>
        </w:rPr>
      </w:pPr>
      <w:r w:rsidRPr="00CE7FE7">
        <w:rPr>
          <w:rFonts w:ascii="Arial" w:eastAsiaTheme="minorHAnsi" w:hAnsi="Arial" w:cs="Arial"/>
          <w:color w:val="17365D"/>
          <w:sz w:val="12"/>
          <w:szCs w:val="12"/>
          <w:lang w:eastAsia="en-US"/>
        </w:rPr>
        <w:t>High Life Highland is</w:t>
      </w:r>
      <w:r w:rsidRPr="00CE7FE7">
        <w:rPr>
          <w:rFonts w:ascii="Arial" w:eastAsiaTheme="minorHAnsi" w:hAnsi="Arial" w:cs="Arial"/>
          <w:color w:val="17365D"/>
          <w:spacing w:val="-3"/>
          <w:sz w:val="12"/>
          <w:szCs w:val="12"/>
          <w:lang w:eastAsia="en-US"/>
        </w:rPr>
        <w:t xml:space="preserve"> </w:t>
      </w:r>
      <w:r w:rsidRPr="00CE7FE7">
        <w:rPr>
          <w:rFonts w:ascii="Arial" w:eastAsiaTheme="minorHAnsi" w:hAnsi="Arial" w:cs="Arial"/>
          <w:color w:val="17365D"/>
          <w:sz w:val="12"/>
          <w:szCs w:val="12"/>
          <w:lang w:eastAsia="en-US"/>
        </w:rPr>
        <w:t>a company limited</w:t>
      </w:r>
      <w:r w:rsidRPr="00CE7FE7">
        <w:rPr>
          <w:rFonts w:ascii="Arial" w:eastAsiaTheme="minorHAnsi" w:hAnsi="Arial" w:cs="Arial"/>
          <w:color w:val="17365D"/>
          <w:spacing w:val="-2"/>
          <w:sz w:val="12"/>
          <w:szCs w:val="12"/>
          <w:lang w:eastAsia="en-US"/>
        </w:rPr>
        <w:t xml:space="preserve"> </w:t>
      </w:r>
      <w:r w:rsidRPr="00CE7FE7">
        <w:rPr>
          <w:rFonts w:ascii="Arial" w:eastAsiaTheme="minorHAnsi" w:hAnsi="Arial" w:cs="Arial"/>
          <w:color w:val="17365D"/>
          <w:sz w:val="12"/>
          <w:szCs w:val="12"/>
          <w:lang w:eastAsia="en-US"/>
        </w:rPr>
        <w:t>by guarantee</w:t>
      </w:r>
      <w:r w:rsidRPr="00CE7FE7">
        <w:rPr>
          <w:rFonts w:ascii="Arial" w:eastAsiaTheme="minorHAnsi" w:hAnsi="Arial" w:cs="Arial"/>
          <w:color w:val="17365D"/>
          <w:spacing w:val="-2"/>
          <w:sz w:val="12"/>
          <w:szCs w:val="12"/>
          <w:lang w:eastAsia="en-US"/>
        </w:rPr>
        <w:t xml:space="preserve"> </w:t>
      </w:r>
      <w:r w:rsidRPr="00CE7FE7">
        <w:rPr>
          <w:rFonts w:ascii="Arial" w:eastAsiaTheme="minorHAnsi" w:hAnsi="Arial" w:cs="Arial"/>
          <w:color w:val="17365D"/>
          <w:sz w:val="12"/>
          <w:szCs w:val="12"/>
          <w:lang w:eastAsia="en-US"/>
        </w:rPr>
        <w:t>registered in Scotland No. SC407011</w:t>
      </w:r>
      <w:r w:rsidRPr="00CE7FE7">
        <w:rPr>
          <w:rFonts w:ascii="Arial" w:eastAsiaTheme="minorHAnsi" w:hAnsi="Arial" w:cs="Arial"/>
          <w:color w:val="17365D"/>
          <w:spacing w:val="-2"/>
          <w:sz w:val="12"/>
          <w:szCs w:val="12"/>
          <w:lang w:eastAsia="en-US"/>
        </w:rPr>
        <w:t xml:space="preserve"> </w:t>
      </w:r>
      <w:r w:rsidRPr="00CE7FE7">
        <w:rPr>
          <w:rFonts w:ascii="Arial" w:eastAsiaTheme="minorHAnsi" w:hAnsi="Arial" w:cs="Arial"/>
          <w:color w:val="17365D"/>
          <w:sz w:val="12"/>
          <w:szCs w:val="12"/>
          <w:lang w:eastAsia="en-US"/>
        </w:rPr>
        <w:t>and</w:t>
      </w:r>
      <w:r w:rsidRPr="00CE7FE7">
        <w:rPr>
          <w:rFonts w:ascii="Arial" w:eastAsiaTheme="minorHAnsi" w:hAnsi="Arial" w:cs="Arial"/>
          <w:color w:val="17365D"/>
          <w:spacing w:val="-1"/>
          <w:sz w:val="12"/>
          <w:szCs w:val="12"/>
          <w:lang w:eastAsia="en-US"/>
        </w:rPr>
        <w:t xml:space="preserve"> </w:t>
      </w:r>
      <w:r w:rsidRPr="00CE7FE7">
        <w:rPr>
          <w:rFonts w:ascii="Arial" w:eastAsiaTheme="minorHAnsi" w:hAnsi="Arial" w:cs="Arial"/>
          <w:color w:val="17365D"/>
          <w:sz w:val="12"/>
          <w:szCs w:val="12"/>
          <w:lang w:eastAsia="en-US"/>
        </w:rPr>
        <w:t>is a registered Scottish charity</w:t>
      </w:r>
      <w:r w:rsidRPr="00CE7FE7">
        <w:rPr>
          <w:rFonts w:ascii="Arial" w:eastAsiaTheme="minorHAnsi" w:hAnsi="Arial" w:cs="Arial"/>
          <w:color w:val="17365D"/>
          <w:spacing w:val="7"/>
          <w:sz w:val="12"/>
          <w:szCs w:val="12"/>
          <w:lang w:eastAsia="en-US"/>
        </w:rPr>
        <w:t xml:space="preserve"> </w:t>
      </w:r>
      <w:r w:rsidRPr="00CE7FE7">
        <w:rPr>
          <w:rFonts w:ascii="Arial" w:eastAsiaTheme="minorHAnsi" w:hAnsi="Arial" w:cs="Arial"/>
          <w:color w:val="17365D"/>
          <w:sz w:val="12"/>
          <w:szCs w:val="12"/>
          <w:lang w:eastAsia="en-US"/>
        </w:rPr>
        <w:t>No. SC042593.</w:t>
      </w:r>
    </w:p>
    <w:p w14:paraId="7DB99342" w14:textId="77777777" w:rsidR="0049266B" w:rsidRPr="00F31EF4" w:rsidRDefault="0049266B" w:rsidP="00F31EF4">
      <w:pPr>
        <w:kinsoku w:val="0"/>
        <w:overflowPunct w:val="0"/>
        <w:autoSpaceDE w:val="0"/>
        <w:autoSpaceDN w:val="0"/>
        <w:adjustRightInd w:val="0"/>
        <w:spacing w:before="1"/>
        <w:rPr>
          <w:rFonts w:ascii="Arial" w:eastAsiaTheme="minorHAnsi" w:hAnsi="Arial" w:cs="Arial"/>
          <w:color w:val="17365D"/>
          <w:sz w:val="12"/>
          <w:szCs w:val="12"/>
          <w:highlight w:val="yellow"/>
          <w:lang w:eastAsia="en-US"/>
        </w:rPr>
        <w:sectPr w:rsidR="0049266B" w:rsidRPr="00F31EF4" w:rsidSect="0049266B">
          <w:pgSz w:w="11910" w:h="16840"/>
          <w:pgMar w:top="540" w:right="1020" w:bottom="280" w:left="460" w:header="720" w:footer="720" w:gutter="0"/>
          <w:cols w:space="720"/>
          <w:noEndnote/>
        </w:sectPr>
      </w:pPr>
    </w:p>
    <w:p w14:paraId="027F2999" w14:textId="590A9FE9" w:rsidR="00B07720" w:rsidRPr="00F31EF4" w:rsidRDefault="00B07720" w:rsidP="00F31EF4">
      <w:pPr>
        <w:kinsoku w:val="0"/>
        <w:overflowPunct w:val="0"/>
        <w:autoSpaceDE w:val="0"/>
        <w:autoSpaceDN w:val="0"/>
        <w:adjustRightInd w:val="0"/>
        <w:rPr>
          <w:rFonts w:ascii="Arial" w:eastAsiaTheme="minorHAnsi" w:hAnsi="Arial" w:cs="Arial"/>
          <w:sz w:val="20"/>
          <w:highlight w:val="yellow"/>
          <w:lang w:eastAsia="en-US"/>
        </w:rPr>
      </w:pPr>
    </w:p>
    <w:sectPr w:rsidR="00B07720" w:rsidRPr="00F31EF4" w:rsidSect="00A703A5">
      <w:pgSz w:w="11906" w:h="16838"/>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C5B0" w14:textId="77777777" w:rsidR="00890E32" w:rsidRDefault="00890E32" w:rsidP="00890E32">
      <w:r>
        <w:separator/>
      </w:r>
    </w:p>
  </w:endnote>
  <w:endnote w:type="continuationSeparator" w:id="0">
    <w:p w14:paraId="0295DDC9" w14:textId="77777777" w:rsidR="00890E32" w:rsidRDefault="00890E32" w:rsidP="008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CFC" w14:textId="77777777" w:rsidR="00890E32" w:rsidRDefault="00890E32" w:rsidP="00890E32">
      <w:r>
        <w:separator/>
      </w:r>
    </w:p>
  </w:footnote>
  <w:footnote w:type="continuationSeparator" w:id="0">
    <w:p w14:paraId="600FEBEF" w14:textId="77777777" w:rsidR="00890E32" w:rsidRDefault="00890E32" w:rsidP="0089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A3E0B93"/>
    <w:multiLevelType w:val="hybridMultilevel"/>
    <w:tmpl w:val="53567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C23C77"/>
    <w:multiLevelType w:val="hybridMultilevel"/>
    <w:tmpl w:val="1BD87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A737EB"/>
    <w:multiLevelType w:val="hybridMultilevel"/>
    <w:tmpl w:val="082CF0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F5945"/>
    <w:multiLevelType w:val="hybridMultilevel"/>
    <w:tmpl w:val="082CF0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54CAA"/>
    <w:multiLevelType w:val="hybridMultilevel"/>
    <w:tmpl w:val="B5DC2C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D739A6"/>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A54E2"/>
    <w:multiLevelType w:val="multilevel"/>
    <w:tmpl w:val="26A617E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7B6932CF"/>
    <w:multiLevelType w:val="hybridMultilevel"/>
    <w:tmpl w:val="E5CED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3801B6"/>
    <w:multiLevelType w:val="hybridMultilevel"/>
    <w:tmpl w:val="082CF09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117C1B"/>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0"/>
    <w:lvlOverride w:ilvl="0">
      <w:startOverride w:val="1"/>
    </w:lvlOverride>
  </w:num>
  <w:num w:numId="6">
    <w:abstractNumId w:val="11"/>
  </w:num>
  <w:num w:numId="7">
    <w:abstractNumId w:val="3"/>
  </w:num>
  <w:num w:numId="8">
    <w:abstractNumId w:val="6"/>
  </w:num>
  <w:num w:numId="9">
    <w:abstractNumId w:val="9"/>
  </w:num>
  <w:num w:numId="10">
    <w:abstractNumId w:val="2"/>
  </w:num>
  <w:num w:numId="11">
    <w:abstractNumId w:val="10"/>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5ECF"/>
    <w:rsid w:val="00006750"/>
    <w:rsid w:val="000152F3"/>
    <w:rsid w:val="000171D0"/>
    <w:rsid w:val="00022FC7"/>
    <w:rsid w:val="00025285"/>
    <w:rsid w:val="00036878"/>
    <w:rsid w:val="0003752C"/>
    <w:rsid w:val="00044C06"/>
    <w:rsid w:val="000465E7"/>
    <w:rsid w:val="000565A6"/>
    <w:rsid w:val="0006108E"/>
    <w:rsid w:val="00062D72"/>
    <w:rsid w:val="0008384A"/>
    <w:rsid w:val="000845E9"/>
    <w:rsid w:val="000938E4"/>
    <w:rsid w:val="00095132"/>
    <w:rsid w:val="00096B74"/>
    <w:rsid w:val="000B1166"/>
    <w:rsid w:val="000B339E"/>
    <w:rsid w:val="000B3CD9"/>
    <w:rsid w:val="000B641D"/>
    <w:rsid w:val="000C5004"/>
    <w:rsid w:val="000C789F"/>
    <w:rsid w:val="000D39C2"/>
    <w:rsid w:val="000D5DE0"/>
    <w:rsid w:val="000D721D"/>
    <w:rsid w:val="000E18CA"/>
    <w:rsid w:val="000E6B5F"/>
    <w:rsid w:val="000E7F04"/>
    <w:rsid w:val="000F0479"/>
    <w:rsid w:val="000F140A"/>
    <w:rsid w:val="000F4756"/>
    <w:rsid w:val="001007D1"/>
    <w:rsid w:val="001018A7"/>
    <w:rsid w:val="001115E3"/>
    <w:rsid w:val="00112AA5"/>
    <w:rsid w:val="00117E64"/>
    <w:rsid w:val="001269D2"/>
    <w:rsid w:val="00127194"/>
    <w:rsid w:val="00130A7A"/>
    <w:rsid w:val="001328A9"/>
    <w:rsid w:val="00132BFC"/>
    <w:rsid w:val="00134DE0"/>
    <w:rsid w:val="0014665F"/>
    <w:rsid w:val="00153138"/>
    <w:rsid w:val="0015693A"/>
    <w:rsid w:val="0015786D"/>
    <w:rsid w:val="00173FFB"/>
    <w:rsid w:val="001750EF"/>
    <w:rsid w:val="00175615"/>
    <w:rsid w:val="00181B1C"/>
    <w:rsid w:val="001868D7"/>
    <w:rsid w:val="00191642"/>
    <w:rsid w:val="00193FE5"/>
    <w:rsid w:val="001A2559"/>
    <w:rsid w:val="001A7E3C"/>
    <w:rsid w:val="001B2C23"/>
    <w:rsid w:val="001D1A0B"/>
    <w:rsid w:val="001D488A"/>
    <w:rsid w:val="001E3463"/>
    <w:rsid w:val="001F42CF"/>
    <w:rsid w:val="00205711"/>
    <w:rsid w:val="002144D9"/>
    <w:rsid w:val="002456AA"/>
    <w:rsid w:val="00254613"/>
    <w:rsid w:val="002579EB"/>
    <w:rsid w:val="00263D40"/>
    <w:rsid w:val="00264D4B"/>
    <w:rsid w:val="00272C6F"/>
    <w:rsid w:val="002762E1"/>
    <w:rsid w:val="00283441"/>
    <w:rsid w:val="00285EEC"/>
    <w:rsid w:val="002A7712"/>
    <w:rsid w:val="002A7849"/>
    <w:rsid w:val="002B6DFC"/>
    <w:rsid w:val="002C653A"/>
    <w:rsid w:val="002D1047"/>
    <w:rsid w:val="002D27D0"/>
    <w:rsid w:val="002D3A47"/>
    <w:rsid w:val="002E7BD0"/>
    <w:rsid w:val="002F06C9"/>
    <w:rsid w:val="002F3C93"/>
    <w:rsid w:val="002F4AFC"/>
    <w:rsid w:val="002F5657"/>
    <w:rsid w:val="002F7E38"/>
    <w:rsid w:val="003037E5"/>
    <w:rsid w:val="00322420"/>
    <w:rsid w:val="003228CB"/>
    <w:rsid w:val="003307AB"/>
    <w:rsid w:val="00334457"/>
    <w:rsid w:val="00336862"/>
    <w:rsid w:val="00347C19"/>
    <w:rsid w:val="003525C5"/>
    <w:rsid w:val="003702A9"/>
    <w:rsid w:val="00372468"/>
    <w:rsid w:val="003729B7"/>
    <w:rsid w:val="00373F17"/>
    <w:rsid w:val="00375106"/>
    <w:rsid w:val="00377E9E"/>
    <w:rsid w:val="00380DFE"/>
    <w:rsid w:val="0038233B"/>
    <w:rsid w:val="00394EBE"/>
    <w:rsid w:val="003A1E31"/>
    <w:rsid w:val="003A43C1"/>
    <w:rsid w:val="003A5B8B"/>
    <w:rsid w:val="003B3442"/>
    <w:rsid w:val="003B5E6A"/>
    <w:rsid w:val="003B693D"/>
    <w:rsid w:val="003C26E9"/>
    <w:rsid w:val="003C7969"/>
    <w:rsid w:val="003F4B89"/>
    <w:rsid w:val="003F7779"/>
    <w:rsid w:val="00405ABA"/>
    <w:rsid w:val="00410832"/>
    <w:rsid w:val="00411514"/>
    <w:rsid w:val="00417A70"/>
    <w:rsid w:val="0042659A"/>
    <w:rsid w:val="00427E12"/>
    <w:rsid w:val="00442568"/>
    <w:rsid w:val="00442F00"/>
    <w:rsid w:val="004445E0"/>
    <w:rsid w:val="004477D8"/>
    <w:rsid w:val="004535E3"/>
    <w:rsid w:val="00453E3F"/>
    <w:rsid w:val="00457D63"/>
    <w:rsid w:val="004602DD"/>
    <w:rsid w:val="0046660F"/>
    <w:rsid w:val="0047294C"/>
    <w:rsid w:val="004757B4"/>
    <w:rsid w:val="00476E83"/>
    <w:rsid w:val="004801D1"/>
    <w:rsid w:val="004871C4"/>
    <w:rsid w:val="00491C76"/>
    <w:rsid w:val="0049266B"/>
    <w:rsid w:val="004949A0"/>
    <w:rsid w:val="004A1367"/>
    <w:rsid w:val="004A651A"/>
    <w:rsid w:val="004B0DA4"/>
    <w:rsid w:val="004B55E6"/>
    <w:rsid w:val="004B7F43"/>
    <w:rsid w:val="004C0156"/>
    <w:rsid w:val="004C428E"/>
    <w:rsid w:val="004C4DCB"/>
    <w:rsid w:val="004D05D2"/>
    <w:rsid w:val="004E1B47"/>
    <w:rsid w:val="004E4360"/>
    <w:rsid w:val="004E5EEA"/>
    <w:rsid w:val="004F73A1"/>
    <w:rsid w:val="00501A21"/>
    <w:rsid w:val="005020C1"/>
    <w:rsid w:val="0050262C"/>
    <w:rsid w:val="00505074"/>
    <w:rsid w:val="00505D66"/>
    <w:rsid w:val="00510055"/>
    <w:rsid w:val="00510BD4"/>
    <w:rsid w:val="00511CF7"/>
    <w:rsid w:val="00512279"/>
    <w:rsid w:val="00513F2A"/>
    <w:rsid w:val="00516AFE"/>
    <w:rsid w:val="00535529"/>
    <w:rsid w:val="005430ED"/>
    <w:rsid w:val="00544CB5"/>
    <w:rsid w:val="00547C9E"/>
    <w:rsid w:val="00550B6F"/>
    <w:rsid w:val="00555CBC"/>
    <w:rsid w:val="00555F9F"/>
    <w:rsid w:val="005570E5"/>
    <w:rsid w:val="00557B38"/>
    <w:rsid w:val="00560ED8"/>
    <w:rsid w:val="0056302B"/>
    <w:rsid w:val="0056354F"/>
    <w:rsid w:val="00564C21"/>
    <w:rsid w:val="005702C2"/>
    <w:rsid w:val="00575599"/>
    <w:rsid w:val="00590975"/>
    <w:rsid w:val="00591FB0"/>
    <w:rsid w:val="0059575D"/>
    <w:rsid w:val="005A0125"/>
    <w:rsid w:val="005A5188"/>
    <w:rsid w:val="005A6313"/>
    <w:rsid w:val="005C1B4A"/>
    <w:rsid w:val="005C7961"/>
    <w:rsid w:val="005D341E"/>
    <w:rsid w:val="005D635E"/>
    <w:rsid w:val="005E18A0"/>
    <w:rsid w:val="005E34CA"/>
    <w:rsid w:val="005F468A"/>
    <w:rsid w:val="00602197"/>
    <w:rsid w:val="0060267F"/>
    <w:rsid w:val="006066A0"/>
    <w:rsid w:val="006151A2"/>
    <w:rsid w:val="00616ACA"/>
    <w:rsid w:val="00623F45"/>
    <w:rsid w:val="00633802"/>
    <w:rsid w:val="00642419"/>
    <w:rsid w:val="00644777"/>
    <w:rsid w:val="00646FE5"/>
    <w:rsid w:val="00650EE5"/>
    <w:rsid w:val="006549BB"/>
    <w:rsid w:val="006566FB"/>
    <w:rsid w:val="00656E3B"/>
    <w:rsid w:val="00667289"/>
    <w:rsid w:val="00671739"/>
    <w:rsid w:val="00672158"/>
    <w:rsid w:val="00676532"/>
    <w:rsid w:val="006800DE"/>
    <w:rsid w:val="00680BD2"/>
    <w:rsid w:val="00683A34"/>
    <w:rsid w:val="00687179"/>
    <w:rsid w:val="00687B2E"/>
    <w:rsid w:val="0069472D"/>
    <w:rsid w:val="00694D00"/>
    <w:rsid w:val="006A13E0"/>
    <w:rsid w:val="006B118A"/>
    <w:rsid w:val="006B1EA8"/>
    <w:rsid w:val="006C2604"/>
    <w:rsid w:val="006D0D6A"/>
    <w:rsid w:val="006D2F92"/>
    <w:rsid w:val="006D77E9"/>
    <w:rsid w:val="006E01CB"/>
    <w:rsid w:val="006E4820"/>
    <w:rsid w:val="006E4CB1"/>
    <w:rsid w:val="006E6ED7"/>
    <w:rsid w:val="006F03D8"/>
    <w:rsid w:val="00706DE7"/>
    <w:rsid w:val="0071340A"/>
    <w:rsid w:val="00713A86"/>
    <w:rsid w:val="00717494"/>
    <w:rsid w:val="00722946"/>
    <w:rsid w:val="007247DE"/>
    <w:rsid w:val="00727863"/>
    <w:rsid w:val="007361EA"/>
    <w:rsid w:val="007369D1"/>
    <w:rsid w:val="007369DB"/>
    <w:rsid w:val="0074043C"/>
    <w:rsid w:val="0074489B"/>
    <w:rsid w:val="00746937"/>
    <w:rsid w:val="007571DC"/>
    <w:rsid w:val="00760EE3"/>
    <w:rsid w:val="00770027"/>
    <w:rsid w:val="00775287"/>
    <w:rsid w:val="0078241B"/>
    <w:rsid w:val="00782766"/>
    <w:rsid w:val="00783889"/>
    <w:rsid w:val="007902AF"/>
    <w:rsid w:val="00791E52"/>
    <w:rsid w:val="00791E6B"/>
    <w:rsid w:val="00794AE7"/>
    <w:rsid w:val="00794DAF"/>
    <w:rsid w:val="00794E6A"/>
    <w:rsid w:val="00795410"/>
    <w:rsid w:val="00795E1E"/>
    <w:rsid w:val="00796E99"/>
    <w:rsid w:val="007A1C8A"/>
    <w:rsid w:val="007A7B37"/>
    <w:rsid w:val="007B4229"/>
    <w:rsid w:val="007C38F5"/>
    <w:rsid w:val="007C3ECB"/>
    <w:rsid w:val="007C65C4"/>
    <w:rsid w:val="007D5F47"/>
    <w:rsid w:val="007F1D8A"/>
    <w:rsid w:val="007F5A5A"/>
    <w:rsid w:val="007F6312"/>
    <w:rsid w:val="00800392"/>
    <w:rsid w:val="00807049"/>
    <w:rsid w:val="00813F0D"/>
    <w:rsid w:val="00824844"/>
    <w:rsid w:val="00831645"/>
    <w:rsid w:val="008502E0"/>
    <w:rsid w:val="0086279D"/>
    <w:rsid w:val="00867241"/>
    <w:rsid w:val="008746B9"/>
    <w:rsid w:val="0087608A"/>
    <w:rsid w:val="00885726"/>
    <w:rsid w:val="00890E32"/>
    <w:rsid w:val="00891252"/>
    <w:rsid w:val="0089793E"/>
    <w:rsid w:val="008A2AF0"/>
    <w:rsid w:val="008C34CF"/>
    <w:rsid w:val="008C5CBC"/>
    <w:rsid w:val="008D49B9"/>
    <w:rsid w:val="008D5A97"/>
    <w:rsid w:val="008D6311"/>
    <w:rsid w:val="008D7F86"/>
    <w:rsid w:val="008E2388"/>
    <w:rsid w:val="008F690D"/>
    <w:rsid w:val="008F6C17"/>
    <w:rsid w:val="00904090"/>
    <w:rsid w:val="009100A8"/>
    <w:rsid w:val="00915A55"/>
    <w:rsid w:val="00920D2A"/>
    <w:rsid w:val="00936F07"/>
    <w:rsid w:val="00946663"/>
    <w:rsid w:val="00965624"/>
    <w:rsid w:val="0097188D"/>
    <w:rsid w:val="00972BE8"/>
    <w:rsid w:val="00972D1B"/>
    <w:rsid w:val="0097363F"/>
    <w:rsid w:val="00975ADA"/>
    <w:rsid w:val="009765A8"/>
    <w:rsid w:val="00983788"/>
    <w:rsid w:val="009852D1"/>
    <w:rsid w:val="0099059A"/>
    <w:rsid w:val="009A3584"/>
    <w:rsid w:val="009B2B8F"/>
    <w:rsid w:val="009B43DD"/>
    <w:rsid w:val="009B4AC1"/>
    <w:rsid w:val="009D68C0"/>
    <w:rsid w:val="009E02FD"/>
    <w:rsid w:val="009E2F9F"/>
    <w:rsid w:val="009E5217"/>
    <w:rsid w:val="009E6C0C"/>
    <w:rsid w:val="009F421A"/>
    <w:rsid w:val="00A03EED"/>
    <w:rsid w:val="00A213FE"/>
    <w:rsid w:val="00A27CC6"/>
    <w:rsid w:val="00A30E32"/>
    <w:rsid w:val="00A3480A"/>
    <w:rsid w:val="00A3716E"/>
    <w:rsid w:val="00A5234A"/>
    <w:rsid w:val="00A52FE2"/>
    <w:rsid w:val="00A54A90"/>
    <w:rsid w:val="00A5580F"/>
    <w:rsid w:val="00A56BB9"/>
    <w:rsid w:val="00A57B49"/>
    <w:rsid w:val="00A63E2A"/>
    <w:rsid w:val="00A6400D"/>
    <w:rsid w:val="00A67816"/>
    <w:rsid w:val="00A703A5"/>
    <w:rsid w:val="00A802AB"/>
    <w:rsid w:val="00A80F57"/>
    <w:rsid w:val="00A81B12"/>
    <w:rsid w:val="00A84B1C"/>
    <w:rsid w:val="00A84C65"/>
    <w:rsid w:val="00A90AA3"/>
    <w:rsid w:val="00A95142"/>
    <w:rsid w:val="00AA2E40"/>
    <w:rsid w:val="00AA7491"/>
    <w:rsid w:val="00AB41A0"/>
    <w:rsid w:val="00AC525F"/>
    <w:rsid w:val="00AC5D26"/>
    <w:rsid w:val="00AD2C69"/>
    <w:rsid w:val="00AE2366"/>
    <w:rsid w:val="00AE3C3C"/>
    <w:rsid w:val="00AE58DA"/>
    <w:rsid w:val="00AE6A25"/>
    <w:rsid w:val="00AF42BB"/>
    <w:rsid w:val="00AF61F9"/>
    <w:rsid w:val="00B0058D"/>
    <w:rsid w:val="00B0608D"/>
    <w:rsid w:val="00B07274"/>
    <w:rsid w:val="00B07720"/>
    <w:rsid w:val="00B10582"/>
    <w:rsid w:val="00B26FF4"/>
    <w:rsid w:val="00B53EBA"/>
    <w:rsid w:val="00B55C17"/>
    <w:rsid w:val="00B57E9E"/>
    <w:rsid w:val="00B62969"/>
    <w:rsid w:val="00B73684"/>
    <w:rsid w:val="00B80080"/>
    <w:rsid w:val="00B94FCD"/>
    <w:rsid w:val="00BA6AC8"/>
    <w:rsid w:val="00BB09CC"/>
    <w:rsid w:val="00BB3744"/>
    <w:rsid w:val="00BC5E66"/>
    <w:rsid w:val="00BC77E0"/>
    <w:rsid w:val="00BD3298"/>
    <w:rsid w:val="00BE38E5"/>
    <w:rsid w:val="00BE3CFC"/>
    <w:rsid w:val="00BF29A1"/>
    <w:rsid w:val="00C028E2"/>
    <w:rsid w:val="00C0380C"/>
    <w:rsid w:val="00C038D2"/>
    <w:rsid w:val="00C16CC8"/>
    <w:rsid w:val="00C2095D"/>
    <w:rsid w:val="00C229FF"/>
    <w:rsid w:val="00C35CF2"/>
    <w:rsid w:val="00C647DC"/>
    <w:rsid w:val="00C654E0"/>
    <w:rsid w:val="00C712B7"/>
    <w:rsid w:val="00C81418"/>
    <w:rsid w:val="00C81E36"/>
    <w:rsid w:val="00C87506"/>
    <w:rsid w:val="00C922FE"/>
    <w:rsid w:val="00C95D32"/>
    <w:rsid w:val="00CA466D"/>
    <w:rsid w:val="00CE0B75"/>
    <w:rsid w:val="00CE449C"/>
    <w:rsid w:val="00CE6F65"/>
    <w:rsid w:val="00CE7FE7"/>
    <w:rsid w:val="00CF1FE9"/>
    <w:rsid w:val="00CF32A7"/>
    <w:rsid w:val="00CF6038"/>
    <w:rsid w:val="00D05FB8"/>
    <w:rsid w:val="00D11D04"/>
    <w:rsid w:val="00D32146"/>
    <w:rsid w:val="00D3777F"/>
    <w:rsid w:val="00D43B41"/>
    <w:rsid w:val="00D44F23"/>
    <w:rsid w:val="00D47262"/>
    <w:rsid w:val="00D50203"/>
    <w:rsid w:val="00D54E5F"/>
    <w:rsid w:val="00D60919"/>
    <w:rsid w:val="00D60C65"/>
    <w:rsid w:val="00D64B7A"/>
    <w:rsid w:val="00D727FB"/>
    <w:rsid w:val="00D72FF6"/>
    <w:rsid w:val="00D73DF3"/>
    <w:rsid w:val="00D766DD"/>
    <w:rsid w:val="00D85E3C"/>
    <w:rsid w:val="00DA32B8"/>
    <w:rsid w:val="00DA3DEC"/>
    <w:rsid w:val="00DA7A98"/>
    <w:rsid w:val="00DB17AC"/>
    <w:rsid w:val="00DB4266"/>
    <w:rsid w:val="00DB4949"/>
    <w:rsid w:val="00DB4F5B"/>
    <w:rsid w:val="00DB65C2"/>
    <w:rsid w:val="00DC4440"/>
    <w:rsid w:val="00DD6C23"/>
    <w:rsid w:val="00DE1174"/>
    <w:rsid w:val="00DE5498"/>
    <w:rsid w:val="00DF00B6"/>
    <w:rsid w:val="00DF07E7"/>
    <w:rsid w:val="00DF3993"/>
    <w:rsid w:val="00DF3ED7"/>
    <w:rsid w:val="00E05D4D"/>
    <w:rsid w:val="00E12E4A"/>
    <w:rsid w:val="00E25EB2"/>
    <w:rsid w:val="00E42EAC"/>
    <w:rsid w:val="00E4510B"/>
    <w:rsid w:val="00E454C1"/>
    <w:rsid w:val="00E461C2"/>
    <w:rsid w:val="00E53486"/>
    <w:rsid w:val="00E5383A"/>
    <w:rsid w:val="00E55373"/>
    <w:rsid w:val="00E55A03"/>
    <w:rsid w:val="00E57A3C"/>
    <w:rsid w:val="00E6244C"/>
    <w:rsid w:val="00E66B5A"/>
    <w:rsid w:val="00E672E0"/>
    <w:rsid w:val="00E72386"/>
    <w:rsid w:val="00E724A3"/>
    <w:rsid w:val="00E72A3A"/>
    <w:rsid w:val="00E74F9E"/>
    <w:rsid w:val="00E763EF"/>
    <w:rsid w:val="00E8478C"/>
    <w:rsid w:val="00E97A89"/>
    <w:rsid w:val="00EA73DB"/>
    <w:rsid w:val="00EB2B61"/>
    <w:rsid w:val="00EB433D"/>
    <w:rsid w:val="00EE3EB9"/>
    <w:rsid w:val="00EF4209"/>
    <w:rsid w:val="00EF68F7"/>
    <w:rsid w:val="00F040EC"/>
    <w:rsid w:val="00F110B2"/>
    <w:rsid w:val="00F157DD"/>
    <w:rsid w:val="00F21D1C"/>
    <w:rsid w:val="00F23A04"/>
    <w:rsid w:val="00F262FD"/>
    <w:rsid w:val="00F31EF4"/>
    <w:rsid w:val="00F34945"/>
    <w:rsid w:val="00F34AD4"/>
    <w:rsid w:val="00F36416"/>
    <w:rsid w:val="00F410E6"/>
    <w:rsid w:val="00F42C38"/>
    <w:rsid w:val="00F45AB5"/>
    <w:rsid w:val="00F50517"/>
    <w:rsid w:val="00F514DE"/>
    <w:rsid w:val="00F54564"/>
    <w:rsid w:val="00F662ED"/>
    <w:rsid w:val="00F735AA"/>
    <w:rsid w:val="00F80CF1"/>
    <w:rsid w:val="00F815BD"/>
    <w:rsid w:val="00F8573B"/>
    <w:rsid w:val="00F86153"/>
    <w:rsid w:val="00F932EC"/>
    <w:rsid w:val="00F95C33"/>
    <w:rsid w:val="00FA2B10"/>
    <w:rsid w:val="00FA736E"/>
    <w:rsid w:val="00FA7997"/>
    <w:rsid w:val="00FB0020"/>
    <w:rsid w:val="00FB3196"/>
    <w:rsid w:val="00FB3600"/>
    <w:rsid w:val="00FB6807"/>
    <w:rsid w:val="00FB6825"/>
    <w:rsid w:val="00FC3820"/>
    <w:rsid w:val="00FC54E4"/>
    <w:rsid w:val="00FD2BCE"/>
    <w:rsid w:val="00FF0A61"/>
    <w:rsid w:val="00FF274E"/>
    <w:rsid w:val="00FF48F6"/>
    <w:rsid w:val="00F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38BF0FE6-23CE-4039-8E13-2ACA6D3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semiHidden/>
    <w:unhideWhenUsed/>
    <w:rsid w:val="003525C5"/>
    <w:rPr>
      <w:sz w:val="20"/>
    </w:rPr>
  </w:style>
  <w:style w:type="character" w:customStyle="1" w:styleId="CommentTextChar">
    <w:name w:val="Comment Text Char"/>
    <w:basedOn w:val="DefaultParagraphFont"/>
    <w:link w:val="CommentText"/>
    <w:uiPriority w:val="99"/>
    <w:semiHidden/>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5"/>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paragraph" w:styleId="BodyText">
    <w:name w:val="Body Text"/>
    <w:basedOn w:val="Normal"/>
    <w:link w:val="BodyTextChar"/>
    <w:uiPriority w:val="1"/>
    <w:qFormat/>
    <w:rsid w:val="0049266B"/>
    <w:pPr>
      <w:autoSpaceDE w:val="0"/>
      <w:autoSpaceDN w:val="0"/>
      <w:adjustRightInd w:val="0"/>
    </w:pPr>
    <w:rPr>
      <w:rFonts w:ascii="Arial" w:eastAsiaTheme="minorHAnsi" w:hAnsi="Arial" w:cs="Arial"/>
      <w:szCs w:val="24"/>
      <w:lang w:eastAsia="en-US"/>
    </w:rPr>
  </w:style>
  <w:style w:type="character" w:customStyle="1" w:styleId="BodyTextChar">
    <w:name w:val="Body Text Char"/>
    <w:basedOn w:val="DefaultParagraphFont"/>
    <w:link w:val="BodyText"/>
    <w:uiPriority w:val="1"/>
    <w:rsid w:val="0049266B"/>
  </w:style>
  <w:style w:type="paragraph" w:styleId="Revision">
    <w:name w:val="Revision"/>
    <w:hidden/>
    <w:uiPriority w:val="99"/>
    <w:semiHidden/>
    <w:rsid w:val="00F34AD4"/>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291864470">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053164769">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ighlifehighland.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highlifehigh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11</cp:revision>
  <dcterms:created xsi:type="dcterms:W3CDTF">2023-02-27T09:41:00Z</dcterms:created>
  <dcterms:modified xsi:type="dcterms:W3CDTF">2023-03-01T14:54:00Z</dcterms:modified>
</cp:coreProperties>
</file>