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5670"/>
        <w:gridCol w:w="3794"/>
      </w:tblGrid>
      <w:tr w:rsidR="00B84929" w:rsidRPr="0089449E" w14:paraId="15CDD99F" w14:textId="77777777" w:rsidTr="002B5B88">
        <w:trPr>
          <w:cantSplit/>
          <w:trHeight w:val="993"/>
        </w:trPr>
        <w:tc>
          <w:tcPr>
            <w:tcW w:w="5670" w:type="dxa"/>
          </w:tcPr>
          <w:p w14:paraId="03A2B296" w14:textId="77777777" w:rsidR="00DE1E6C" w:rsidRPr="00FD060B" w:rsidRDefault="00B84929" w:rsidP="002B7DC4">
            <w:pPr>
              <w:pStyle w:val="BodyText"/>
              <w:jc w:val="left"/>
              <w:rPr>
                <w:rFonts w:ascii="Arial" w:hAnsi="Arial" w:cs="Arial"/>
                <w:szCs w:val="24"/>
              </w:rPr>
            </w:pPr>
            <w:r w:rsidRPr="00FD060B">
              <w:rPr>
                <w:rFonts w:ascii="Arial" w:hAnsi="Arial" w:cs="Arial"/>
                <w:szCs w:val="24"/>
              </w:rPr>
              <w:t xml:space="preserve">HIGH LIFE HIGHLAND </w:t>
            </w:r>
          </w:p>
          <w:p w14:paraId="13A9CA7C" w14:textId="1BD25255" w:rsidR="002B7DC4" w:rsidRPr="00FD060B" w:rsidRDefault="00E261C1" w:rsidP="002B7DC4">
            <w:pPr>
              <w:pStyle w:val="BodyText"/>
              <w:jc w:val="left"/>
              <w:rPr>
                <w:rFonts w:ascii="Arial" w:hAnsi="Arial" w:cs="Arial"/>
                <w:szCs w:val="24"/>
              </w:rPr>
            </w:pPr>
            <w:r w:rsidRPr="00E261C1">
              <w:rPr>
                <w:rFonts w:ascii="Arial" w:hAnsi="Arial" w:cs="Arial"/>
                <w:szCs w:val="24"/>
              </w:rPr>
              <w:t>REPORT TO BOARD OF DIRECTORS</w:t>
            </w:r>
          </w:p>
          <w:p w14:paraId="73C9AE0B" w14:textId="1A081B8E" w:rsidR="002B7DC4" w:rsidRPr="00FD060B" w:rsidRDefault="001A0882" w:rsidP="002B5B88">
            <w:pPr>
              <w:pStyle w:val="BodyText"/>
              <w:jc w:val="left"/>
              <w:rPr>
                <w:rFonts w:ascii="Arial" w:hAnsi="Arial" w:cs="Arial"/>
                <w:szCs w:val="24"/>
              </w:rPr>
            </w:pPr>
            <w:r>
              <w:rPr>
                <w:rFonts w:ascii="Arial" w:hAnsi="Arial" w:cs="Arial"/>
                <w:szCs w:val="24"/>
              </w:rPr>
              <w:t>13</w:t>
            </w:r>
            <w:r w:rsidR="002B5B88">
              <w:rPr>
                <w:rFonts w:ascii="Arial" w:hAnsi="Arial" w:cs="Arial"/>
                <w:szCs w:val="24"/>
              </w:rPr>
              <w:t xml:space="preserve"> </w:t>
            </w:r>
            <w:r w:rsidR="00C14EDF">
              <w:rPr>
                <w:rFonts w:ascii="Arial" w:hAnsi="Arial" w:cs="Arial"/>
                <w:szCs w:val="24"/>
              </w:rPr>
              <w:t>June</w:t>
            </w:r>
            <w:r w:rsidR="002B5B88">
              <w:rPr>
                <w:rFonts w:ascii="Arial" w:hAnsi="Arial" w:cs="Arial"/>
                <w:szCs w:val="24"/>
              </w:rPr>
              <w:t xml:space="preserve"> </w:t>
            </w:r>
            <w:r w:rsidR="00543072" w:rsidRPr="00051018">
              <w:rPr>
                <w:rFonts w:ascii="Arial" w:hAnsi="Arial" w:cs="Arial"/>
                <w:szCs w:val="24"/>
              </w:rPr>
              <w:t>202</w:t>
            </w:r>
            <w:r w:rsidR="00D215CB">
              <w:rPr>
                <w:rFonts w:ascii="Arial" w:hAnsi="Arial" w:cs="Arial"/>
                <w:szCs w:val="24"/>
              </w:rPr>
              <w:t>3</w:t>
            </w:r>
          </w:p>
          <w:p w14:paraId="1B26C247" w14:textId="77777777"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794" w:type="dxa"/>
          </w:tcPr>
          <w:p w14:paraId="7641CD7E" w14:textId="115A34A2" w:rsidR="002B5B88" w:rsidRDefault="00B84929" w:rsidP="00357835">
            <w:pPr>
              <w:rPr>
                <w:rFonts w:ascii="Arial" w:hAnsi="Arial" w:cs="Arial"/>
                <w:szCs w:val="24"/>
              </w:rPr>
            </w:pPr>
            <w:r w:rsidRPr="001A0882">
              <w:rPr>
                <w:rFonts w:ascii="Arial" w:hAnsi="Arial" w:cs="Arial"/>
                <w:szCs w:val="24"/>
              </w:rPr>
              <w:t xml:space="preserve">AGENDA ITEM  </w:t>
            </w:r>
            <w:r w:rsidR="005C78F3">
              <w:rPr>
                <w:rFonts w:ascii="Arial" w:hAnsi="Arial" w:cs="Arial"/>
                <w:szCs w:val="24"/>
              </w:rPr>
              <w:t>11</w:t>
            </w:r>
          </w:p>
          <w:p w14:paraId="38F7CF06" w14:textId="4C5419CC" w:rsidR="00B84929" w:rsidRPr="0089449E" w:rsidRDefault="00B84929" w:rsidP="00357835">
            <w:pPr>
              <w:rPr>
                <w:rFonts w:ascii="Arial" w:hAnsi="Arial" w:cs="Arial"/>
                <w:szCs w:val="24"/>
              </w:rPr>
            </w:pPr>
            <w:r w:rsidRPr="00300B66">
              <w:rPr>
                <w:rFonts w:ascii="Arial" w:hAnsi="Arial" w:cs="Arial"/>
                <w:szCs w:val="24"/>
              </w:rPr>
              <w:t xml:space="preserve">REPORT </w:t>
            </w:r>
            <w:r w:rsidRPr="003E46DE">
              <w:rPr>
                <w:rFonts w:ascii="Arial" w:hAnsi="Arial" w:cs="Arial"/>
                <w:szCs w:val="24"/>
              </w:rPr>
              <w:t>No HLH</w:t>
            </w:r>
            <w:r w:rsidR="002B5B88">
              <w:rPr>
                <w:rFonts w:ascii="Arial" w:hAnsi="Arial" w:cs="Arial"/>
                <w:szCs w:val="24"/>
              </w:rPr>
              <w:t xml:space="preserve">/ </w:t>
            </w:r>
            <w:r w:rsidRPr="003E46DE">
              <w:rPr>
                <w:rFonts w:ascii="Arial" w:hAnsi="Arial" w:cs="Arial"/>
                <w:szCs w:val="24"/>
              </w:rPr>
              <w:t xml:space="preserve"> </w:t>
            </w:r>
            <w:r w:rsidR="00937A7E" w:rsidRPr="003E46DE">
              <w:rPr>
                <w:rFonts w:ascii="Arial" w:hAnsi="Arial" w:cs="Arial"/>
                <w:szCs w:val="24"/>
              </w:rPr>
              <w:t xml:space="preserve">  </w:t>
            </w:r>
            <w:r w:rsidRPr="003E46DE">
              <w:rPr>
                <w:rFonts w:ascii="Arial" w:hAnsi="Arial" w:cs="Arial"/>
                <w:szCs w:val="24"/>
              </w:rPr>
              <w:t>/</w:t>
            </w:r>
            <w:r w:rsidR="000B0B74" w:rsidRPr="003E46DE">
              <w:rPr>
                <w:rFonts w:ascii="Arial" w:hAnsi="Arial" w:cs="Arial"/>
                <w:szCs w:val="24"/>
              </w:rPr>
              <w:t>2</w:t>
            </w:r>
            <w:r w:rsidR="00D215CB">
              <w:rPr>
                <w:rFonts w:ascii="Arial" w:hAnsi="Arial" w:cs="Arial"/>
                <w:szCs w:val="24"/>
              </w:rPr>
              <w:t>3</w:t>
            </w:r>
          </w:p>
        </w:tc>
      </w:tr>
    </w:tbl>
    <w:p w14:paraId="15226455" w14:textId="5273027F" w:rsidR="0039450A" w:rsidRPr="00475BD7" w:rsidRDefault="0098644A" w:rsidP="00DE1E6C">
      <w:pPr>
        <w:pStyle w:val="Heading2"/>
        <w:rPr>
          <w:rFonts w:ascii="Arial" w:hAnsi="Arial" w:cs="Arial"/>
          <w:b/>
          <w:szCs w:val="24"/>
          <w:u w:val="none"/>
        </w:rPr>
      </w:pPr>
      <w:r>
        <w:rPr>
          <w:rFonts w:ascii="Arial" w:hAnsi="Arial" w:cs="Arial"/>
          <w:b/>
          <w:caps/>
          <w:szCs w:val="24"/>
          <w:u w:val="none"/>
        </w:rPr>
        <w:t xml:space="preserve">ANNUAL </w:t>
      </w:r>
      <w:r w:rsidRPr="00DC2D03">
        <w:rPr>
          <w:rFonts w:ascii="Arial" w:hAnsi="Arial" w:cs="Arial"/>
          <w:b/>
          <w:caps/>
          <w:szCs w:val="24"/>
          <w:u w:val="none"/>
        </w:rPr>
        <w:t xml:space="preserve">Health </w:t>
      </w:r>
      <w:r w:rsidRPr="00475BD7">
        <w:rPr>
          <w:rFonts w:ascii="Arial" w:hAnsi="Arial" w:cs="Arial"/>
          <w:b/>
          <w:caps/>
          <w:szCs w:val="24"/>
          <w:u w:val="none"/>
        </w:rPr>
        <w:t>and Safety</w:t>
      </w:r>
      <w:r w:rsidR="00776278" w:rsidRPr="00475BD7">
        <w:rPr>
          <w:rFonts w:ascii="Arial" w:hAnsi="Arial" w:cs="Arial"/>
          <w:b/>
          <w:caps/>
          <w:szCs w:val="24"/>
          <w:u w:val="none"/>
        </w:rPr>
        <w:t xml:space="preserve"> And</w:t>
      </w:r>
      <w:r w:rsidRPr="00475BD7">
        <w:rPr>
          <w:rFonts w:ascii="Arial" w:hAnsi="Arial" w:cs="Arial"/>
          <w:b/>
          <w:caps/>
          <w:szCs w:val="24"/>
          <w:u w:val="none"/>
        </w:rPr>
        <w:t xml:space="preserve"> </w:t>
      </w:r>
      <w:r w:rsidR="00776278" w:rsidRPr="00475BD7">
        <w:rPr>
          <w:rFonts w:ascii="Arial" w:hAnsi="Arial" w:cs="Arial"/>
          <w:b/>
          <w:caps/>
          <w:szCs w:val="24"/>
          <w:u w:val="none"/>
        </w:rPr>
        <w:t>Environme</w:t>
      </w:r>
      <w:r w:rsidR="007834DC">
        <w:rPr>
          <w:rFonts w:ascii="Arial" w:hAnsi="Arial" w:cs="Arial"/>
          <w:b/>
          <w:caps/>
          <w:szCs w:val="24"/>
          <w:u w:val="none"/>
        </w:rPr>
        <w:t>N</w:t>
      </w:r>
      <w:r w:rsidR="00776278" w:rsidRPr="00475BD7">
        <w:rPr>
          <w:rFonts w:ascii="Arial" w:hAnsi="Arial" w:cs="Arial"/>
          <w:b/>
          <w:caps/>
          <w:szCs w:val="24"/>
          <w:u w:val="none"/>
        </w:rPr>
        <w:t xml:space="preserve">tal Compliance </w:t>
      </w:r>
      <w:r w:rsidRPr="00475BD7">
        <w:rPr>
          <w:rFonts w:ascii="Arial" w:hAnsi="Arial" w:cs="Arial"/>
          <w:b/>
          <w:caps/>
          <w:szCs w:val="24"/>
          <w:u w:val="none"/>
        </w:rPr>
        <w:t>Report</w:t>
      </w:r>
      <w:r w:rsidRPr="00475BD7">
        <w:rPr>
          <w:rFonts w:ascii="Arial" w:hAnsi="Arial" w:cs="Arial"/>
          <w:b/>
          <w:szCs w:val="24"/>
          <w:u w:val="none"/>
        </w:rPr>
        <w:t xml:space="preserve">   </w:t>
      </w:r>
      <w:r w:rsidR="00DE1E6C" w:rsidRPr="00475BD7">
        <w:rPr>
          <w:rFonts w:ascii="Arial" w:hAnsi="Arial" w:cs="Arial"/>
          <w:b/>
          <w:szCs w:val="24"/>
          <w:u w:val="none"/>
        </w:rPr>
        <w:t xml:space="preserve">-   </w:t>
      </w:r>
      <w:r w:rsidR="0039450A" w:rsidRPr="00475BD7">
        <w:rPr>
          <w:rFonts w:ascii="Arial" w:hAnsi="Arial" w:cs="Arial"/>
          <w:b/>
          <w:szCs w:val="24"/>
          <w:u w:val="none"/>
        </w:rPr>
        <w:t xml:space="preserve">Report </w:t>
      </w:r>
      <w:r w:rsidR="00A8159A" w:rsidRPr="00475BD7">
        <w:rPr>
          <w:rFonts w:ascii="Arial" w:hAnsi="Arial" w:cs="Arial"/>
          <w:b/>
          <w:szCs w:val="24"/>
          <w:u w:val="none"/>
        </w:rPr>
        <w:t>by</w:t>
      </w:r>
      <w:r w:rsidR="002B7DC4" w:rsidRPr="00475BD7">
        <w:rPr>
          <w:rFonts w:ascii="Arial" w:hAnsi="Arial" w:cs="Arial"/>
          <w:b/>
          <w:szCs w:val="24"/>
          <w:u w:val="none"/>
        </w:rPr>
        <w:t xml:space="preserve"> Chief Executive</w:t>
      </w:r>
    </w:p>
    <w:p w14:paraId="636FD3DD" w14:textId="77777777" w:rsidR="0039450A" w:rsidRPr="0089449E" w:rsidRDefault="0039450A" w:rsidP="00D91FC7">
      <w:pPr>
        <w:pStyle w:val="Heading1"/>
        <w:jc w:val="left"/>
        <w:rPr>
          <w:rFonts w:ascii="Arial" w:hAnsi="Arial" w:cs="Arial"/>
          <w:szCs w:val="24"/>
        </w:rPr>
      </w:pPr>
      <w:r w:rsidRPr="00475BD7">
        <w:rPr>
          <w:rFonts w:ascii="Arial" w:hAnsi="Arial" w:cs="Arial"/>
          <w:szCs w:val="24"/>
        </w:rPr>
        <w:fldChar w:fldCharType="begin"/>
      </w:r>
      <w:r w:rsidRPr="00475BD7">
        <w:rPr>
          <w:rFonts w:ascii="Arial" w:hAnsi="Arial" w:cs="Arial"/>
          <w:szCs w:val="24"/>
        </w:rPr>
        <w:instrText xml:space="preserve">  </w:instrText>
      </w:r>
      <w:r w:rsidRPr="00475BD7">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14:paraId="6EE3202E" w14:textId="77777777">
        <w:trPr>
          <w:cantSplit/>
        </w:trPr>
        <w:tc>
          <w:tcPr>
            <w:tcW w:w="9464" w:type="dxa"/>
          </w:tcPr>
          <w:p w14:paraId="541FADF6" w14:textId="77777777" w:rsidR="00B93C09" w:rsidRDefault="00B93C09" w:rsidP="00416BFF">
            <w:pPr>
              <w:pStyle w:val="Heading2"/>
              <w:rPr>
                <w:rFonts w:ascii="Arial" w:hAnsi="Arial" w:cs="Arial"/>
                <w:b/>
                <w:szCs w:val="24"/>
                <w:u w:val="none"/>
              </w:rPr>
            </w:pPr>
          </w:p>
          <w:p w14:paraId="5E6186B0" w14:textId="77777777" w:rsidR="00630000" w:rsidRPr="0089449E" w:rsidRDefault="00630000" w:rsidP="00630000">
            <w:pPr>
              <w:pStyle w:val="Heading2"/>
              <w:rPr>
                <w:rFonts w:ascii="Arial" w:hAnsi="Arial" w:cs="Arial"/>
                <w:b/>
                <w:szCs w:val="24"/>
                <w:u w:val="none"/>
              </w:rPr>
            </w:pPr>
            <w:r w:rsidRPr="0089449E">
              <w:rPr>
                <w:rFonts w:ascii="Arial" w:hAnsi="Arial" w:cs="Arial"/>
                <w:b/>
                <w:szCs w:val="24"/>
                <w:u w:val="none"/>
              </w:rPr>
              <w:t>Summary</w:t>
            </w:r>
          </w:p>
          <w:p w14:paraId="5E790359" w14:textId="77777777" w:rsidR="00630000" w:rsidRPr="0089449E" w:rsidRDefault="00630000" w:rsidP="00630000">
            <w:pPr>
              <w:rPr>
                <w:rFonts w:ascii="Arial" w:hAnsi="Arial" w:cs="Arial"/>
              </w:rPr>
            </w:pPr>
          </w:p>
          <w:p w14:paraId="63825F5F" w14:textId="45258AE0" w:rsidR="00630000" w:rsidRPr="00475BD7" w:rsidRDefault="00630000" w:rsidP="00630000">
            <w:pPr>
              <w:jc w:val="both"/>
              <w:rPr>
                <w:rFonts w:ascii="Arial" w:hAnsi="Arial" w:cs="Arial"/>
              </w:rPr>
            </w:pPr>
            <w:r w:rsidRPr="00F00371">
              <w:rPr>
                <w:rFonts w:ascii="Arial" w:hAnsi="Arial" w:cs="Arial"/>
              </w:rPr>
              <w:t xml:space="preserve">An </w:t>
            </w:r>
            <w:r>
              <w:rPr>
                <w:rFonts w:ascii="Arial" w:hAnsi="Arial" w:cs="Arial"/>
              </w:rPr>
              <w:t>important element of the g</w:t>
            </w:r>
            <w:r w:rsidRPr="00475BD7">
              <w:rPr>
                <w:rFonts w:ascii="Arial" w:hAnsi="Arial" w:cs="Arial"/>
              </w:rPr>
              <w:t>overnance structure relating to the c</w:t>
            </w:r>
            <w:r w:rsidR="002B5B88">
              <w:rPr>
                <w:rFonts w:ascii="Arial" w:hAnsi="Arial" w:cs="Arial"/>
              </w:rPr>
              <w:t>harity</w:t>
            </w:r>
            <w:r w:rsidRPr="00475BD7">
              <w:rPr>
                <w:rFonts w:ascii="Arial" w:hAnsi="Arial" w:cs="Arial"/>
              </w:rPr>
              <w:t>’s Health and Safety and Environmental Compliance performance is the annual Health and Safety and Environmental Compliance Report.</w:t>
            </w:r>
          </w:p>
          <w:p w14:paraId="1B91AAE3" w14:textId="77777777" w:rsidR="00630000" w:rsidRPr="00475BD7" w:rsidRDefault="00630000" w:rsidP="00630000">
            <w:pPr>
              <w:jc w:val="both"/>
              <w:rPr>
                <w:rFonts w:ascii="Arial" w:hAnsi="Arial" w:cs="Arial"/>
              </w:rPr>
            </w:pPr>
          </w:p>
          <w:p w14:paraId="3E55851B" w14:textId="67F8DF21" w:rsidR="00630000" w:rsidRPr="00475BD7" w:rsidRDefault="00630000" w:rsidP="00630000">
            <w:pPr>
              <w:jc w:val="both"/>
              <w:rPr>
                <w:rFonts w:ascii="Arial" w:hAnsi="Arial" w:cs="Arial"/>
              </w:rPr>
            </w:pPr>
            <w:r w:rsidRPr="00475BD7">
              <w:rPr>
                <w:rFonts w:ascii="Arial" w:hAnsi="Arial" w:cs="Arial"/>
              </w:rPr>
              <w:t xml:space="preserve">This report informs </w:t>
            </w:r>
            <w:r w:rsidR="00E261C1" w:rsidRPr="00E261C1">
              <w:rPr>
                <w:rFonts w:ascii="Arial" w:hAnsi="Arial" w:cs="Arial"/>
              </w:rPr>
              <w:t xml:space="preserve">Directors </w:t>
            </w:r>
            <w:r w:rsidRPr="00475BD7">
              <w:rPr>
                <w:rFonts w:ascii="Arial" w:hAnsi="Arial" w:cs="Arial"/>
              </w:rPr>
              <w:t>about the performance of High Life Highland in terms of health and safety and environmental compliance</w:t>
            </w:r>
            <w:r>
              <w:rPr>
                <w:rFonts w:ascii="Arial" w:hAnsi="Arial" w:cs="Arial"/>
              </w:rPr>
              <w:t xml:space="preserve"> for the reporting period </w:t>
            </w:r>
            <w:r w:rsidR="00543072">
              <w:rPr>
                <w:rFonts w:ascii="Arial" w:hAnsi="Arial" w:cs="Arial"/>
              </w:rPr>
              <w:t>202</w:t>
            </w:r>
            <w:r w:rsidR="00D215CB">
              <w:rPr>
                <w:rFonts w:ascii="Arial" w:hAnsi="Arial" w:cs="Arial"/>
              </w:rPr>
              <w:t>2</w:t>
            </w:r>
            <w:r w:rsidR="00543072">
              <w:rPr>
                <w:rFonts w:ascii="Arial" w:hAnsi="Arial" w:cs="Arial"/>
              </w:rPr>
              <w:t>-2</w:t>
            </w:r>
            <w:r w:rsidR="00D215CB">
              <w:rPr>
                <w:rFonts w:ascii="Arial" w:hAnsi="Arial" w:cs="Arial"/>
              </w:rPr>
              <w:t>3</w:t>
            </w:r>
            <w:r w:rsidRPr="00475BD7">
              <w:rPr>
                <w:rFonts w:ascii="Arial" w:hAnsi="Arial" w:cs="Arial"/>
              </w:rPr>
              <w:t>.</w:t>
            </w:r>
          </w:p>
          <w:p w14:paraId="71E030F3" w14:textId="77777777" w:rsidR="00630000" w:rsidRDefault="00630000" w:rsidP="00630000">
            <w:pPr>
              <w:jc w:val="both"/>
              <w:rPr>
                <w:rFonts w:ascii="Arial" w:hAnsi="Arial" w:cs="Arial"/>
              </w:rPr>
            </w:pPr>
          </w:p>
          <w:p w14:paraId="40C2D9CE" w14:textId="5BCA23A9" w:rsidR="00630000" w:rsidRDefault="00630000" w:rsidP="00630000">
            <w:pPr>
              <w:jc w:val="both"/>
              <w:rPr>
                <w:rFonts w:ascii="Arial" w:hAnsi="Arial" w:cs="Arial"/>
              </w:rPr>
            </w:pPr>
            <w:r>
              <w:rPr>
                <w:rFonts w:ascii="Arial" w:hAnsi="Arial" w:cs="Arial"/>
              </w:rPr>
              <w:t xml:space="preserve">It is recommended that </w:t>
            </w:r>
            <w:r w:rsidR="00E261C1" w:rsidRPr="00E261C1">
              <w:rPr>
                <w:rFonts w:ascii="Arial" w:hAnsi="Arial" w:cs="Arial"/>
              </w:rPr>
              <w:t xml:space="preserve">Directors comment on and </w:t>
            </w:r>
            <w:r w:rsidR="002E2D2E">
              <w:rPr>
                <w:rFonts w:ascii="Arial" w:hAnsi="Arial" w:cs="Arial"/>
              </w:rPr>
              <w:t>note</w:t>
            </w:r>
            <w:r>
              <w:rPr>
                <w:rFonts w:ascii="Arial" w:hAnsi="Arial" w:cs="Arial"/>
              </w:rPr>
              <w:t xml:space="preserve">: </w:t>
            </w:r>
          </w:p>
          <w:p w14:paraId="0E2A93AC" w14:textId="77777777" w:rsidR="00630000" w:rsidRPr="00300B66" w:rsidRDefault="00630000" w:rsidP="00630000">
            <w:pPr>
              <w:jc w:val="both"/>
              <w:rPr>
                <w:rFonts w:ascii="Arial" w:hAnsi="Arial" w:cs="Arial"/>
                <w:szCs w:val="24"/>
              </w:rPr>
            </w:pPr>
          </w:p>
          <w:p w14:paraId="126FED2D" w14:textId="10E3CCCF" w:rsidR="00630000" w:rsidRPr="007669A9" w:rsidRDefault="00630000" w:rsidP="00630000">
            <w:pPr>
              <w:numPr>
                <w:ilvl w:val="0"/>
                <w:numId w:val="5"/>
              </w:numPr>
              <w:jc w:val="both"/>
              <w:rPr>
                <w:rFonts w:ascii="Arial" w:hAnsi="Arial" w:cs="Arial"/>
                <w:szCs w:val="24"/>
              </w:rPr>
            </w:pPr>
            <w:r w:rsidRPr="00300B66">
              <w:rPr>
                <w:rFonts w:ascii="Arial" w:hAnsi="Arial" w:cs="Arial"/>
              </w:rPr>
              <w:t xml:space="preserve">that there </w:t>
            </w:r>
            <w:r w:rsidRPr="007669A9">
              <w:rPr>
                <w:rFonts w:ascii="Arial" w:hAnsi="Arial" w:cs="Arial"/>
              </w:rPr>
              <w:t xml:space="preserve">were </w:t>
            </w:r>
            <w:r w:rsidR="00C21128" w:rsidRPr="007669A9">
              <w:rPr>
                <w:rFonts w:ascii="Arial" w:hAnsi="Arial" w:cs="Arial"/>
              </w:rPr>
              <w:t xml:space="preserve">no </w:t>
            </w:r>
            <w:r w:rsidRPr="007669A9">
              <w:rPr>
                <w:rFonts w:ascii="Arial" w:hAnsi="Arial" w:cs="Arial"/>
              </w:rPr>
              <w:t xml:space="preserve">notifications for improvement or enforcement actions during the </w:t>
            </w:r>
            <w:r w:rsidRPr="007669A9">
              <w:rPr>
                <w:rFonts w:ascii="Arial" w:hAnsi="Arial" w:cs="Arial"/>
                <w:szCs w:val="24"/>
              </w:rPr>
              <w:t>reporting period;</w:t>
            </w:r>
          </w:p>
          <w:p w14:paraId="6AEA99F5" w14:textId="4B514B0F" w:rsidR="00630000" w:rsidRPr="007669A9" w:rsidRDefault="00630000" w:rsidP="00630000">
            <w:pPr>
              <w:numPr>
                <w:ilvl w:val="0"/>
                <w:numId w:val="5"/>
              </w:numPr>
              <w:jc w:val="both"/>
              <w:rPr>
                <w:rFonts w:ascii="Arial" w:hAnsi="Arial" w:cs="Arial"/>
                <w:szCs w:val="24"/>
              </w:rPr>
            </w:pPr>
            <w:r w:rsidRPr="007669A9">
              <w:rPr>
                <w:rFonts w:ascii="Arial" w:hAnsi="Arial" w:cs="Arial"/>
                <w:szCs w:val="24"/>
              </w:rPr>
              <w:t xml:space="preserve">that there were </w:t>
            </w:r>
            <w:r w:rsidR="004F6764" w:rsidRPr="007669A9">
              <w:rPr>
                <w:rFonts w:ascii="Arial" w:hAnsi="Arial" w:cs="Arial"/>
              </w:rPr>
              <w:t>no</w:t>
            </w:r>
            <w:r w:rsidR="00D215CB" w:rsidRPr="007669A9">
              <w:rPr>
                <w:rFonts w:ascii="Arial" w:hAnsi="Arial" w:cs="Arial"/>
              </w:rPr>
              <w:t xml:space="preserve"> </w:t>
            </w:r>
            <w:r w:rsidRPr="007669A9">
              <w:rPr>
                <w:rFonts w:ascii="Arial" w:hAnsi="Arial" w:cs="Arial"/>
                <w:szCs w:val="24"/>
              </w:rPr>
              <w:t>environmental incidents requiring SEPA notification during the reporting period;</w:t>
            </w:r>
          </w:p>
          <w:p w14:paraId="45213833" w14:textId="77777777" w:rsidR="00630000" w:rsidRPr="00475BD7" w:rsidRDefault="00630000" w:rsidP="00630000">
            <w:pPr>
              <w:numPr>
                <w:ilvl w:val="0"/>
                <w:numId w:val="5"/>
              </w:numPr>
              <w:jc w:val="both"/>
              <w:rPr>
                <w:rFonts w:ascii="Arial" w:hAnsi="Arial" w:cs="Arial"/>
                <w:szCs w:val="24"/>
              </w:rPr>
            </w:pPr>
            <w:r w:rsidRPr="00475BD7">
              <w:rPr>
                <w:rFonts w:ascii="Arial" w:hAnsi="Arial" w:cs="Arial"/>
                <w:szCs w:val="24"/>
              </w:rPr>
              <w:t xml:space="preserve">the low number and low severity of </w:t>
            </w:r>
            <w:r>
              <w:rPr>
                <w:rFonts w:ascii="Arial" w:hAnsi="Arial" w:cs="Arial"/>
                <w:szCs w:val="24"/>
              </w:rPr>
              <w:t xml:space="preserve">accidents or </w:t>
            </w:r>
            <w:r w:rsidRPr="00475BD7">
              <w:rPr>
                <w:rFonts w:ascii="Arial" w:hAnsi="Arial" w:cs="Arial"/>
                <w:szCs w:val="24"/>
              </w:rPr>
              <w:t xml:space="preserve">incidents over the </w:t>
            </w:r>
            <w:r>
              <w:rPr>
                <w:rFonts w:ascii="Arial" w:hAnsi="Arial" w:cs="Arial"/>
                <w:szCs w:val="24"/>
              </w:rPr>
              <w:t xml:space="preserve">reporting </w:t>
            </w:r>
            <w:r w:rsidRPr="00475BD7">
              <w:rPr>
                <w:rFonts w:ascii="Arial" w:hAnsi="Arial" w:cs="Arial"/>
                <w:szCs w:val="24"/>
              </w:rPr>
              <w:t>period</w:t>
            </w:r>
            <w:r>
              <w:rPr>
                <w:rFonts w:ascii="Arial" w:hAnsi="Arial" w:cs="Arial"/>
                <w:szCs w:val="24"/>
              </w:rPr>
              <w:t>,</w:t>
            </w:r>
            <w:r w:rsidRPr="00475BD7">
              <w:rPr>
                <w:rFonts w:ascii="Arial" w:hAnsi="Arial" w:cs="Arial"/>
                <w:szCs w:val="24"/>
              </w:rPr>
              <w:t xml:space="preserve"> reflecting continuing good practice across the c</w:t>
            </w:r>
            <w:r w:rsidR="002E2D2E">
              <w:rPr>
                <w:rFonts w:ascii="Arial" w:hAnsi="Arial" w:cs="Arial"/>
                <w:szCs w:val="24"/>
              </w:rPr>
              <w:t>harit</w:t>
            </w:r>
            <w:r w:rsidRPr="00475BD7">
              <w:rPr>
                <w:rFonts w:ascii="Arial" w:hAnsi="Arial" w:cs="Arial"/>
                <w:szCs w:val="24"/>
              </w:rPr>
              <w:t>y</w:t>
            </w:r>
            <w:r w:rsidR="000619EA">
              <w:rPr>
                <w:rFonts w:ascii="Arial" w:hAnsi="Arial" w:cs="Arial"/>
                <w:szCs w:val="24"/>
              </w:rPr>
              <w:t xml:space="preserve"> and the operational restrictions through the year</w:t>
            </w:r>
            <w:r w:rsidRPr="00475BD7">
              <w:rPr>
                <w:rFonts w:ascii="Arial" w:hAnsi="Arial" w:cs="Arial"/>
                <w:szCs w:val="24"/>
              </w:rPr>
              <w:t xml:space="preserve">; </w:t>
            </w:r>
          </w:p>
          <w:p w14:paraId="2675E175" w14:textId="0E34DDBF" w:rsidR="00630000" w:rsidRPr="00C5387A" w:rsidRDefault="00630000" w:rsidP="00630000">
            <w:pPr>
              <w:numPr>
                <w:ilvl w:val="0"/>
                <w:numId w:val="5"/>
              </w:numPr>
              <w:jc w:val="both"/>
              <w:rPr>
                <w:rFonts w:ascii="Arial" w:hAnsi="Arial" w:cs="Arial"/>
                <w:szCs w:val="24"/>
              </w:rPr>
            </w:pPr>
            <w:r w:rsidRPr="00475BD7">
              <w:rPr>
                <w:rFonts w:ascii="Arial" w:hAnsi="Arial" w:cs="Arial"/>
                <w:szCs w:val="24"/>
              </w:rPr>
              <w:t xml:space="preserve">that the Health and Safety </w:t>
            </w:r>
            <w:r>
              <w:rPr>
                <w:rFonts w:ascii="Arial" w:hAnsi="Arial" w:cs="Arial"/>
                <w:szCs w:val="24"/>
              </w:rPr>
              <w:t>and Environmental Compliance Committee c</w:t>
            </w:r>
            <w:r w:rsidRPr="00C5387A">
              <w:rPr>
                <w:rFonts w:ascii="Arial" w:hAnsi="Arial" w:cs="Arial"/>
                <w:szCs w:val="24"/>
              </w:rPr>
              <w:t>ontinues to meet quarterly</w:t>
            </w:r>
            <w:r w:rsidR="00292D22">
              <w:rPr>
                <w:rFonts w:ascii="Arial" w:hAnsi="Arial" w:cs="Arial"/>
                <w:szCs w:val="24"/>
              </w:rPr>
              <w:t xml:space="preserve"> with </w:t>
            </w:r>
            <w:r w:rsidR="002E2D2E">
              <w:rPr>
                <w:rFonts w:ascii="Arial" w:hAnsi="Arial" w:cs="Arial"/>
                <w:szCs w:val="24"/>
              </w:rPr>
              <w:t>o</w:t>
            </w:r>
            <w:r w:rsidR="00292D22">
              <w:rPr>
                <w:rFonts w:ascii="Arial" w:hAnsi="Arial" w:cs="Arial"/>
                <w:szCs w:val="24"/>
              </w:rPr>
              <w:t xml:space="preserve">fficers and the </w:t>
            </w:r>
            <w:r w:rsidR="0014342D">
              <w:rPr>
                <w:rFonts w:ascii="Arial" w:hAnsi="Arial" w:cs="Arial"/>
                <w:szCs w:val="24"/>
              </w:rPr>
              <w:t>C</w:t>
            </w:r>
            <w:r w:rsidR="00292D22">
              <w:rPr>
                <w:rFonts w:ascii="Arial" w:hAnsi="Arial" w:cs="Arial"/>
                <w:szCs w:val="24"/>
              </w:rPr>
              <w:t>harity’s external Health and Safety advisers</w:t>
            </w:r>
            <w:r w:rsidRPr="00C5387A">
              <w:rPr>
                <w:rFonts w:ascii="Arial" w:hAnsi="Arial" w:cs="Arial"/>
                <w:szCs w:val="24"/>
              </w:rPr>
              <w:t xml:space="preserve"> to review Health and Safety performance</w:t>
            </w:r>
            <w:r w:rsidR="00292D22">
              <w:rPr>
                <w:rFonts w:ascii="Arial" w:hAnsi="Arial" w:cs="Arial"/>
                <w:szCs w:val="24"/>
              </w:rPr>
              <w:t>,</w:t>
            </w:r>
            <w:r w:rsidRPr="00C5387A">
              <w:rPr>
                <w:rFonts w:ascii="Arial" w:hAnsi="Arial" w:cs="Arial"/>
                <w:szCs w:val="24"/>
              </w:rPr>
              <w:t xml:space="preserve"> and on reviewing </w:t>
            </w:r>
            <w:r>
              <w:rPr>
                <w:rFonts w:ascii="Arial" w:hAnsi="Arial" w:cs="Arial"/>
                <w:szCs w:val="24"/>
              </w:rPr>
              <w:t xml:space="preserve">the </w:t>
            </w:r>
            <w:r w:rsidRPr="00C5387A">
              <w:rPr>
                <w:rFonts w:ascii="Arial" w:hAnsi="Arial" w:cs="Arial"/>
                <w:szCs w:val="24"/>
              </w:rPr>
              <w:t xml:space="preserve">accident and incident trend data </w:t>
            </w:r>
            <w:r>
              <w:rPr>
                <w:rFonts w:ascii="Arial" w:hAnsi="Arial" w:cs="Arial"/>
                <w:szCs w:val="24"/>
              </w:rPr>
              <w:t xml:space="preserve">it </w:t>
            </w:r>
            <w:r w:rsidRPr="00C5387A">
              <w:rPr>
                <w:rFonts w:ascii="Arial" w:hAnsi="Arial" w:cs="Arial"/>
                <w:szCs w:val="24"/>
              </w:rPr>
              <w:t xml:space="preserve">concluded that there are </w:t>
            </w:r>
            <w:r w:rsidR="00CE7ACB">
              <w:rPr>
                <w:rFonts w:ascii="Arial" w:hAnsi="Arial" w:cs="Arial"/>
                <w:szCs w:val="24"/>
              </w:rPr>
              <w:t>no</w:t>
            </w:r>
            <w:r w:rsidR="00D215CB" w:rsidRPr="00D215CB">
              <w:rPr>
                <w:rFonts w:ascii="Arial" w:hAnsi="Arial" w:cs="Arial"/>
                <w:color w:val="FF0000"/>
              </w:rPr>
              <w:t xml:space="preserve"> </w:t>
            </w:r>
            <w:r w:rsidRPr="00C5387A">
              <w:rPr>
                <w:rFonts w:ascii="Arial" w:hAnsi="Arial" w:cs="Arial"/>
                <w:szCs w:val="24"/>
              </w:rPr>
              <w:t>issues arising from this requir</w:t>
            </w:r>
            <w:r>
              <w:rPr>
                <w:rFonts w:ascii="Arial" w:hAnsi="Arial" w:cs="Arial"/>
                <w:szCs w:val="24"/>
              </w:rPr>
              <w:t>ing</w:t>
            </w:r>
            <w:r w:rsidRPr="00C5387A">
              <w:rPr>
                <w:rFonts w:ascii="Arial" w:hAnsi="Arial" w:cs="Arial"/>
                <w:szCs w:val="24"/>
              </w:rPr>
              <w:t xml:space="preserve"> c</w:t>
            </w:r>
            <w:r w:rsidR="002E2D2E">
              <w:rPr>
                <w:rFonts w:ascii="Arial" w:hAnsi="Arial" w:cs="Arial"/>
                <w:szCs w:val="24"/>
              </w:rPr>
              <w:t>harity-</w:t>
            </w:r>
            <w:r w:rsidRPr="00C5387A">
              <w:rPr>
                <w:rFonts w:ascii="Arial" w:hAnsi="Arial" w:cs="Arial"/>
                <w:szCs w:val="24"/>
              </w:rPr>
              <w:t>wide action;</w:t>
            </w:r>
          </w:p>
          <w:p w14:paraId="135712AF" w14:textId="1C04B10F" w:rsidR="003E4D85" w:rsidRDefault="007E0D06" w:rsidP="00630000">
            <w:pPr>
              <w:numPr>
                <w:ilvl w:val="0"/>
                <w:numId w:val="5"/>
              </w:numPr>
              <w:jc w:val="both"/>
              <w:rPr>
                <w:rFonts w:ascii="Arial" w:hAnsi="Arial" w:cs="Arial"/>
                <w:szCs w:val="24"/>
              </w:rPr>
            </w:pPr>
            <w:r>
              <w:rPr>
                <w:rFonts w:ascii="Arial" w:hAnsi="Arial" w:cs="Arial"/>
                <w:szCs w:val="24"/>
              </w:rPr>
              <w:t xml:space="preserve">that the external safety audit was completed by </w:t>
            </w:r>
            <w:r w:rsidR="00105D40">
              <w:rPr>
                <w:rFonts w:ascii="Arial" w:hAnsi="Arial" w:cs="Arial"/>
                <w:szCs w:val="24"/>
              </w:rPr>
              <w:t xml:space="preserve">QLM </w:t>
            </w:r>
            <w:r w:rsidR="00051018">
              <w:rPr>
                <w:rFonts w:ascii="Arial" w:hAnsi="Arial" w:cs="Arial"/>
                <w:szCs w:val="24"/>
              </w:rPr>
              <w:t>d</w:t>
            </w:r>
            <w:r w:rsidR="00105D40">
              <w:rPr>
                <w:rFonts w:ascii="Arial" w:hAnsi="Arial" w:cs="Arial"/>
                <w:szCs w:val="24"/>
              </w:rPr>
              <w:t xml:space="preserve">uring </w:t>
            </w:r>
            <w:r w:rsidR="00AC3D00" w:rsidRPr="00AC3D00">
              <w:rPr>
                <w:rFonts w:ascii="Arial" w:hAnsi="Arial" w:cs="Arial"/>
                <w:szCs w:val="24"/>
              </w:rPr>
              <w:t>October</w:t>
            </w:r>
            <w:r w:rsidR="00105D40">
              <w:rPr>
                <w:rFonts w:ascii="Arial" w:hAnsi="Arial" w:cs="Arial"/>
                <w:szCs w:val="24"/>
              </w:rPr>
              <w:t xml:space="preserve"> 202</w:t>
            </w:r>
            <w:r w:rsidR="00D215CB">
              <w:rPr>
                <w:rFonts w:ascii="Arial" w:hAnsi="Arial" w:cs="Arial"/>
                <w:szCs w:val="24"/>
              </w:rPr>
              <w:t>2</w:t>
            </w:r>
            <w:r w:rsidR="00105D40">
              <w:rPr>
                <w:rFonts w:ascii="Arial" w:hAnsi="Arial" w:cs="Arial"/>
                <w:szCs w:val="24"/>
              </w:rPr>
              <w:t xml:space="preserve"> with an action plan created for risk reduction</w:t>
            </w:r>
            <w:r w:rsidR="002E2D2E">
              <w:rPr>
                <w:rFonts w:ascii="Arial" w:hAnsi="Arial" w:cs="Arial"/>
                <w:szCs w:val="24"/>
              </w:rPr>
              <w:t>;</w:t>
            </w:r>
            <w:r w:rsidR="002962C0">
              <w:rPr>
                <w:rFonts w:ascii="Arial" w:hAnsi="Arial" w:cs="Arial"/>
                <w:szCs w:val="24"/>
              </w:rPr>
              <w:t xml:space="preserve"> </w:t>
            </w:r>
            <w:r w:rsidR="00AC3D00">
              <w:rPr>
                <w:rFonts w:ascii="Arial" w:hAnsi="Arial" w:cs="Arial"/>
                <w:szCs w:val="24"/>
              </w:rPr>
              <w:t>and</w:t>
            </w:r>
          </w:p>
          <w:p w14:paraId="0E747A80" w14:textId="529E46D5" w:rsidR="00630000" w:rsidRDefault="003E4D85" w:rsidP="00630000">
            <w:pPr>
              <w:numPr>
                <w:ilvl w:val="0"/>
                <w:numId w:val="5"/>
              </w:numPr>
              <w:jc w:val="both"/>
              <w:rPr>
                <w:rFonts w:ascii="Arial" w:hAnsi="Arial" w:cs="Arial"/>
                <w:szCs w:val="24"/>
              </w:rPr>
            </w:pPr>
            <w:r w:rsidRPr="00357835">
              <w:rPr>
                <w:rFonts w:ascii="Arial" w:hAnsi="Arial" w:cs="Arial"/>
                <w:szCs w:val="24"/>
              </w:rPr>
              <w:t xml:space="preserve">that </w:t>
            </w:r>
            <w:r w:rsidR="00292D22">
              <w:rPr>
                <w:rFonts w:ascii="Arial" w:hAnsi="Arial" w:cs="Arial"/>
                <w:szCs w:val="24"/>
              </w:rPr>
              <w:t xml:space="preserve">there </w:t>
            </w:r>
            <w:r>
              <w:rPr>
                <w:rFonts w:ascii="Arial" w:hAnsi="Arial" w:cs="Arial"/>
                <w:szCs w:val="24"/>
              </w:rPr>
              <w:t xml:space="preserve">were </w:t>
            </w:r>
            <w:r w:rsidR="00AC3D00">
              <w:rPr>
                <w:rFonts w:ascii="Arial" w:hAnsi="Arial" w:cs="Arial"/>
                <w:szCs w:val="24"/>
              </w:rPr>
              <w:t>no</w:t>
            </w:r>
            <w:r w:rsidR="00C21128" w:rsidRPr="00357835">
              <w:rPr>
                <w:rFonts w:ascii="Arial" w:hAnsi="Arial" w:cs="Arial"/>
                <w:szCs w:val="24"/>
              </w:rPr>
              <w:t xml:space="preserve"> </w:t>
            </w:r>
            <w:r w:rsidRPr="00357835">
              <w:rPr>
                <w:rFonts w:ascii="Arial" w:hAnsi="Arial" w:cs="Arial"/>
                <w:szCs w:val="24"/>
              </w:rPr>
              <w:t>union safety audit</w:t>
            </w:r>
            <w:r>
              <w:rPr>
                <w:rFonts w:ascii="Arial" w:hAnsi="Arial" w:cs="Arial"/>
                <w:szCs w:val="24"/>
              </w:rPr>
              <w:t xml:space="preserve">s </w:t>
            </w:r>
            <w:r w:rsidRPr="00357835">
              <w:rPr>
                <w:rFonts w:ascii="Arial" w:hAnsi="Arial" w:cs="Arial"/>
                <w:szCs w:val="24"/>
              </w:rPr>
              <w:t xml:space="preserve">completed </w:t>
            </w:r>
            <w:r>
              <w:rPr>
                <w:rFonts w:ascii="Arial" w:hAnsi="Arial" w:cs="Arial"/>
                <w:szCs w:val="24"/>
              </w:rPr>
              <w:t>with</w:t>
            </w:r>
            <w:r w:rsidRPr="00357835">
              <w:rPr>
                <w:rFonts w:ascii="Arial" w:hAnsi="Arial" w:cs="Arial"/>
                <w:szCs w:val="24"/>
              </w:rPr>
              <w:t>in the reporting period</w:t>
            </w:r>
            <w:r w:rsidR="00AC3D00">
              <w:rPr>
                <w:rFonts w:ascii="Arial" w:hAnsi="Arial" w:cs="Arial"/>
                <w:szCs w:val="24"/>
              </w:rPr>
              <w:t>.</w:t>
            </w:r>
          </w:p>
          <w:p w14:paraId="0F84A60E" w14:textId="77777777" w:rsidR="0039450A" w:rsidRPr="0089449E" w:rsidRDefault="0039450A" w:rsidP="00FD060B">
            <w:pPr>
              <w:ind w:left="720"/>
              <w:jc w:val="both"/>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r>
    </w:tbl>
    <w:p w14:paraId="1A566E4A" w14:textId="77777777" w:rsidR="0097099E" w:rsidRDefault="0097099E" w:rsidP="00416BFF">
      <w:pPr>
        <w:jc w:val="both"/>
        <w:rPr>
          <w:rFonts w:ascii="Arial" w:hAnsi="Arial" w:cs="Arial"/>
          <w:szCs w:val="24"/>
        </w:rPr>
      </w:pPr>
    </w:p>
    <w:p w14:paraId="00D1BDD1" w14:textId="77777777" w:rsidR="00B93C09" w:rsidRPr="0089449E" w:rsidRDefault="00B93C09"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14:paraId="29D3FF6A" w14:textId="77777777">
        <w:tc>
          <w:tcPr>
            <w:tcW w:w="817" w:type="dxa"/>
          </w:tcPr>
          <w:p w14:paraId="096B9F7F" w14:textId="77777777"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14:paraId="00D270D5" w14:textId="77777777" w:rsidR="00A53534" w:rsidRPr="0089449E" w:rsidRDefault="00A53534" w:rsidP="006D4204">
            <w:pPr>
              <w:rPr>
                <w:rFonts w:ascii="Arial" w:hAnsi="Arial" w:cs="Arial"/>
                <w:b/>
              </w:rPr>
            </w:pPr>
            <w:r w:rsidRPr="0089449E">
              <w:rPr>
                <w:rFonts w:ascii="Arial" w:hAnsi="Arial" w:cs="Arial"/>
                <w:b/>
              </w:rPr>
              <w:t>Business Plan Contribution</w:t>
            </w:r>
          </w:p>
          <w:p w14:paraId="243F4202" w14:textId="77777777" w:rsidR="00A53534" w:rsidRPr="0089449E" w:rsidRDefault="00A53534" w:rsidP="006D4204">
            <w:pPr>
              <w:rPr>
                <w:rFonts w:ascii="Arial" w:hAnsi="Arial" w:cs="Arial"/>
                <w:szCs w:val="24"/>
              </w:rPr>
            </w:pPr>
          </w:p>
        </w:tc>
      </w:tr>
      <w:tr w:rsidR="00A53534" w:rsidRPr="0089449E" w14:paraId="3E89CC69" w14:textId="77777777">
        <w:tc>
          <w:tcPr>
            <w:tcW w:w="817" w:type="dxa"/>
          </w:tcPr>
          <w:p w14:paraId="44FA4113" w14:textId="77777777"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14:paraId="4F9F5F40" w14:textId="1B4B11E1"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sidR="002B5B88">
              <w:rPr>
                <w:rFonts w:ascii="Arial" w:hAnsi="Arial" w:cs="Arial"/>
              </w:rPr>
              <w:t>b</w:t>
            </w:r>
            <w:r>
              <w:rPr>
                <w:rFonts w:ascii="Arial" w:hAnsi="Arial" w:cs="Arial"/>
              </w:rPr>
              <w:t xml:space="preserve">usiness </w:t>
            </w:r>
            <w:r w:rsidR="002B5B88">
              <w:rPr>
                <w:rFonts w:ascii="Arial" w:hAnsi="Arial" w:cs="Arial"/>
              </w:rPr>
              <w:t>ou</w:t>
            </w:r>
            <w:r>
              <w:rPr>
                <w:rFonts w:ascii="Arial" w:hAnsi="Arial" w:cs="Arial"/>
              </w:rPr>
              <w:t>tcomes from the High Life Highland (HLH) Business Plan:</w:t>
            </w:r>
          </w:p>
          <w:p w14:paraId="301602ED" w14:textId="77777777" w:rsidR="00B26FE3" w:rsidRDefault="00B26FE3" w:rsidP="00540480">
            <w:pPr>
              <w:jc w:val="both"/>
              <w:rPr>
                <w:rFonts w:ascii="Arial" w:hAnsi="Arial" w:cs="Arial"/>
              </w:rPr>
            </w:pPr>
          </w:p>
          <w:p w14:paraId="577B0E6B" w14:textId="77777777" w:rsidR="0014342D" w:rsidRPr="00D215CB" w:rsidRDefault="0014342D" w:rsidP="0014342D">
            <w:pPr>
              <w:pStyle w:val="ListParagraph"/>
              <w:numPr>
                <w:ilvl w:val="0"/>
                <w:numId w:val="23"/>
              </w:numPr>
              <w:spacing w:after="0" w:line="240" w:lineRule="auto"/>
              <w:jc w:val="both"/>
              <w:rPr>
                <w:rFonts w:ascii="Arial" w:hAnsi="Arial" w:cs="Arial"/>
                <w:b/>
                <w:bCs/>
                <w:sz w:val="24"/>
                <w:szCs w:val="24"/>
              </w:rPr>
            </w:pPr>
            <w:r w:rsidRPr="00D215CB">
              <w:rPr>
                <w:rFonts w:ascii="Arial" w:hAnsi="Arial" w:cs="Arial"/>
                <w:b/>
                <w:bCs/>
                <w:sz w:val="24"/>
                <w:szCs w:val="24"/>
              </w:rPr>
              <w:t>Seek to continuously improve standards of health and safety.</w:t>
            </w:r>
          </w:p>
          <w:p w14:paraId="26E51449" w14:textId="77777777" w:rsidR="0014342D" w:rsidRPr="00D215CB" w:rsidRDefault="0014342D" w:rsidP="0014342D">
            <w:pPr>
              <w:pStyle w:val="ListParagraph"/>
              <w:numPr>
                <w:ilvl w:val="0"/>
                <w:numId w:val="23"/>
              </w:numPr>
              <w:spacing w:after="0" w:line="240" w:lineRule="auto"/>
              <w:jc w:val="both"/>
              <w:rPr>
                <w:rFonts w:ascii="Arial" w:hAnsi="Arial" w:cs="Arial"/>
                <w:b/>
                <w:bCs/>
                <w:sz w:val="24"/>
                <w:szCs w:val="24"/>
              </w:rPr>
            </w:pPr>
            <w:r w:rsidRPr="00D215CB">
              <w:rPr>
                <w:rFonts w:ascii="Arial" w:hAnsi="Arial" w:cs="Arial"/>
                <w:b/>
                <w:bCs/>
                <w:sz w:val="24"/>
                <w:szCs w:val="24"/>
              </w:rPr>
              <w:t>Commit to the Scottish Government’s zero carbon targets and maintain the highest standards in environmental compliance.</w:t>
            </w:r>
          </w:p>
          <w:p w14:paraId="3D480033" w14:textId="77777777" w:rsidR="0014342D" w:rsidRDefault="0014342D" w:rsidP="0014342D">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Use research and market analysis to develop and improve services to meet customer needs.</w:t>
            </w:r>
          </w:p>
          <w:p w14:paraId="0E3C698A" w14:textId="77777777" w:rsidR="0014342D" w:rsidRPr="00D215CB" w:rsidRDefault="0014342D" w:rsidP="0014342D">
            <w:pPr>
              <w:pStyle w:val="ListParagraph"/>
              <w:numPr>
                <w:ilvl w:val="0"/>
                <w:numId w:val="23"/>
              </w:numPr>
              <w:spacing w:after="0" w:line="240" w:lineRule="auto"/>
              <w:jc w:val="both"/>
              <w:rPr>
                <w:rFonts w:ascii="Arial" w:hAnsi="Arial" w:cs="Arial"/>
                <w:b/>
                <w:bCs/>
                <w:sz w:val="24"/>
                <w:szCs w:val="24"/>
              </w:rPr>
            </w:pPr>
            <w:r w:rsidRPr="00D215CB">
              <w:rPr>
                <w:rFonts w:ascii="Arial" w:hAnsi="Arial" w:cs="Arial"/>
                <w:b/>
                <w:bCs/>
                <w:sz w:val="24"/>
                <w:szCs w:val="24"/>
              </w:rPr>
              <w:t>Increase employee satisfaction, engagement and development to improve staff recruitment and retention.</w:t>
            </w:r>
          </w:p>
          <w:p w14:paraId="3EA991C6" w14:textId="77777777" w:rsidR="0014342D" w:rsidRPr="00D215CB" w:rsidRDefault="0014342D" w:rsidP="0014342D">
            <w:pPr>
              <w:pStyle w:val="ListParagraph"/>
              <w:numPr>
                <w:ilvl w:val="0"/>
                <w:numId w:val="23"/>
              </w:numPr>
              <w:spacing w:after="0" w:line="240" w:lineRule="auto"/>
              <w:jc w:val="both"/>
              <w:rPr>
                <w:rFonts w:ascii="Arial" w:hAnsi="Arial" w:cs="Arial"/>
                <w:b/>
                <w:bCs/>
                <w:sz w:val="24"/>
                <w:szCs w:val="24"/>
              </w:rPr>
            </w:pPr>
            <w:r w:rsidRPr="00D215CB">
              <w:rPr>
                <w:rFonts w:ascii="Arial" w:hAnsi="Arial" w:cs="Arial"/>
                <w:b/>
                <w:bCs/>
                <w:sz w:val="24"/>
                <w:szCs w:val="24"/>
              </w:rPr>
              <w:t>Improve the financial sustainability of the company.</w:t>
            </w:r>
          </w:p>
          <w:p w14:paraId="0A4A2D14" w14:textId="77777777" w:rsidR="0014342D" w:rsidRPr="00D215CB" w:rsidRDefault="0014342D" w:rsidP="0014342D">
            <w:pPr>
              <w:pStyle w:val="ListParagraph"/>
              <w:numPr>
                <w:ilvl w:val="0"/>
                <w:numId w:val="23"/>
              </w:numPr>
              <w:spacing w:after="0" w:line="240" w:lineRule="auto"/>
              <w:jc w:val="both"/>
              <w:rPr>
                <w:rFonts w:ascii="Arial" w:hAnsi="Arial" w:cs="Arial"/>
                <w:b/>
                <w:bCs/>
                <w:sz w:val="24"/>
                <w:szCs w:val="24"/>
              </w:rPr>
            </w:pPr>
            <w:r w:rsidRPr="00D215CB">
              <w:rPr>
                <w:rFonts w:ascii="Arial" w:hAnsi="Arial" w:cs="Arial"/>
                <w:b/>
                <w:bCs/>
                <w:sz w:val="24"/>
                <w:szCs w:val="24"/>
              </w:rPr>
              <w:t>Value and strengthen the relationship with THC.</w:t>
            </w:r>
          </w:p>
          <w:p w14:paraId="5AB00B11" w14:textId="77777777" w:rsidR="0014342D" w:rsidRDefault="0014342D" w:rsidP="0014342D">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Develop and deliver the HLH Corporate Programme and seek to attract capital investment.</w:t>
            </w:r>
          </w:p>
          <w:p w14:paraId="2EA56ADC" w14:textId="77777777" w:rsidR="0014342D" w:rsidRDefault="0014342D" w:rsidP="0014342D">
            <w:pPr>
              <w:pStyle w:val="ListParagraph"/>
              <w:numPr>
                <w:ilvl w:val="0"/>
                <w:numId w:val="23"/>
              </w:numPr>
              <w:tabs>
                <w:tab w:val="left" w:pos="0"/>
              </w:tabs>
              <w:spacing w:after="0" w:line="240" w:lineRule="auto"/>
              <w:jc w:val="both"/>
              <w:rPr>
                <w:rFonts w:ascii="Arial" w:hAnsi="Arial" w:cs="Arial"/>
                <w:bCs/>
                <w:sz w:val="24"/>
                <w:szCs w:val="24"/>
              </w:rPr>
            </w:pPr>
            <w:r>
              <w:rPr>
                <w:rFonts w:ascii="Arial" w:hAnsi="Arial" w:cs="Arial"/>
                <w:sz w:val="24"/>
                <w:szCs w:val="24"/>
              </w:rPr>
              <w:lastRenderedPageBreak/>
              <w:t>Use research and market analysis to develop and deliver proactive marketing and promotion of HLH and its services.</w:t>
            </w:r>
          </w:p>
          <w:p w14:paraId="1B01520A" w14:textId="77777777" w:rsidR="0014342D" w:rsidRDefault="0014342D" w:rsidP="0014342D">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Initiate and implement an ICT digital transformation strategy across the charity.</w:t>
            </w:r>
          </w:p>
          <w:p w14:paraId="1CB5147D" w14:textId="77777777" w:rsidR="0014342D" w:rsidRPr="00D215CB" w:rsidRDefault="0014342D" w:rsidP="0014342D">
            <w:pPr>
              <w:pStyle w:val="ListParagraph"/>
              <w:numPr>
                <w:ilvl w:val="0"/>
                <w:numId w:val="23"/>
              </w:numPr>
              <w:spacing w:after="0" w:line="240" w:lineRule="auto"/>
              <w:jc w:val="both"/>
              <w:rPr>
                <w:rFonts w:ascii="Arial" w:hAnsi="Arial" w:cs="Arial"/>
                <w:b/>
                <w:bCs/>
                <w:sz w:val="24"/>
                <w:szCs w:val="24"/>
              </w:rPr>
            </w:pPr>
            <w:r w:rsidRPr="00D215CB">
              <w:rPr>
                <w:rFonts w:ascii="Arial" w:hAnsi="Arial" w:cs="Arial"/>
                <w:b/>
                <w:bCs/>
                <w:sz w:val="24"/>
                <w:szCs w:val="24"/>
              </w:rPr>
              <w:t>Develop and strengthen relationships with customers, key stakeholders and partners.</w:t>
            </w:r>
          </w:p>
          <w:p w14:paraId="69DFC47E" w14:textId="77777777" w:rsidR="0014342D" w:rsidRDefault="0014342D" w:rsidP="0014342D">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Deliver targeted programmes which support and enhance the physical and mental health and wellbeing of the population and which contribute to the prevention agenda.</w:t>
            </w:r>
          </w:p>
          <w:p w14:paraId="488201BF" w14:textId="77777777" w:rsidR="002A11C0" w:rsidRPr="0089449E" w:rsidRDefault="002A11C0" w:rsidP="002A11C0">
            <w:pPr>
              <w:pStyle w:val="ListParagraph"/>
              <w:spacing w:after="0" w:line="240" w:lineRule="auto"/>
              <w:ind w:left="819"/>
              <w:jc w:val="both"/>
              <w:rPr>
                <w:rFonts w:ascii="Arial" w:hAnsi="Arial" w:cs="Arial"/>
                <w:b/>
              </w:rPr>
            </w:pPr>
          </w:p>
        </w:tc>
      </w:tr>
      <w:tr w:rsidR="00E84A51" w:rsidRPr="007214D1" w14:paraId="13FF54B7" w14:textId="77777777" w:rsidTr="00ED749B">
        <w:tc>
          <w:tcPr>
            <w:tcW w:w="817" w:type="dxa"/>
          </w:tcPr>
          <w:p w14:paraId="4773B1AF" w14:textId="77777777" w:rsidR="00E84A51" w:rsidRPr="007214D1" w:rsidRDefault="00E84A51" w:rsidP="00ED749B">
            <w:pPr>
              <w:rPr>
                <w:rFonts w:ascii="Arial" w:hAnsi="Arial" w:cs="Arial"/>
                <w:b/>
                <w:szCs w:val="24"/>
              </w:rPr>
            </w:pPr>
            <w:r>
              <w:rPr>
                <w:rFonts w:ascii="Arial" w:hAnsi="Arial" w:cs="Arial"/>
                <w:b/>
                <w:szCs w:val="24"/>
              </w:rPr>
              <w:lastRenderedPageBreak/>
              <w:t>2</w:t>
            </w:r>
            <w:r w:rsidRPr="007214D1">
              <w:rPr>
                <w:rFonts w:ascii="Arial" w:hAnsi="Arial" w:cs="Arial"/>
                <w:b/>
                <w:szCs w:val="24"/>
              </w:rPr>
              <w:t>.</w:t>
            </w:r>
          </w:p>
        </w:tc>
        <w:tc>
          <w:tcPr>
            <w:tcW w:w="8647" w:type="dxa"/>
          </w:tcPr>
          <w:p w14:paraId="3C7462BD" w14:textId="77777777" w:rsidR="00E84A51" w:rsidRDefault="00E84A51" w:rsidP="00ED749B">
            <w:pPr>
              <w:pStyle w:val="Heading3"/>
              <w:jc w:val="left"/>
              <w:rPr>
                <w:rFonts w:ascii="Arial" w:hAnsi="Arial" w:cs="Arial"/>
                <w:b/>
                <w:szCs w:val="24"/>
                <w:u w:val="none"/>
              </w:rPr>
            </w:pPr>
            <w:r w:rsidRPr="007214D1">
              <w:rPr>
                <w:rFonts w:ascii="Arial" w:hAnsi="Arial" w:cs="Arial"/>
                <w:b/>
                <w:szCs w:val="24"/>
                <w:u w:val="none"/>
              </w:rPr>
              <w:t>Background</w:t>
            </w:r>
          </w:p>
          <w:p w14:paraId="57FCB02B" w14:textId="77777777" w:rsidR="00E84A51" w:rsidRPr="00632477" w:rsidRDefault="00E84A51" w:rsidP="00ED749B"/>
        </w:tc>
      </w:tr>
      <w:tr w:rsidR="00E84A51" w:rsidRPr="007214D1" w14:paraId="7F22BCB7" w14:textId="77777777" w:rsidTr="00ED749B">
        <w:tc>
          <w:tcPr>
            <w:tcW w:w="817" w:type="dxa"/>
          </w:tcPr>
          <w:p w14:paraId="4561A3F5" w14:textId="77777777" w:rsidR="00E84A51" w:rsidRDefault="00E84A51" w:rsidP="00ED749B">
            <w:pPr>
              <w:rPr>
                <w:rFonts w:ascii="Arial" w:hAnsi="Arial" w:cs="Arial"/>
                <w:szCs w:val="24"/>
              </w:rPr>
            </w:pPr>
            <w:r>
              <w:rPr>
                <w:rFonts w:ascii="Arial" w:hAnsi="Arial" w:cs="Arial"/>
                <w:szCs w:val="24"/>
              </w:rPr>
              <w:t>2</w:t>
            </w:r>
            <w:r w:rsidRPr="007214D1">
              <w:rPr>
                <w:rFonts w:ascii="Arial" w:hAnsi="Arial" w:cs="Arial"/>
                <w:szCs w:val="24"/>
              </w:rPr>
              <w:t xml:space="preserve">.1 </w:t>
            </w:r>
          </w:p>
          <w:p w14:paraId="4DDBBFAD" w14:textId="77777777" w:rsidR="00E84A51" w:rsidRPr="007214D1" w:rsidRDefault="00E84A51" w:rsidP="00ED749B">
            <w:pPr>
              <w:rPr>
                <w:rFonts w:ascii="Arial" w:hAnsi="Arial" w:cs="Arial"/>
                <w:b/>
                <w:szCs w:val="24"/>
              </w:rPr>
            </w:pPr>
          </w:p>
        </w:tc>
        <w:tc>
          <w:tcPr>
            <w:tcW w:w="8647" w:type="dxa"/>
          </w:tcPr>
          <w:p w14:paraId="0255293E" w14:textId="77777777" w:rsidR="00E84A51" w:rsidRDefault="00581BA8" w:rsidP="00ED749B">
            <w:pPr>
              <w:jc w:val="both"/>
              <w:rPr>
                <w:rFonts w:ascii="Arial" w:hAnsi="Arial" w:cs="Arial"/>
                <w:szCs w:val="24"/>
              </w:rPr>
            </w:pPr>
            <w:r>
              <w:rPr>
                <w:rFonts w:ascii="Arial" w:hAnsi="Arial" w:cs="Arial"/>
                <w:szCs w:val="24"/>
              </w:rPr>
              <w:t xml:space="preserve">The HLH </w:t>
            </w:r>
            <w:r w:rsidR="00E84A51">
              <w:rPr>
                <w:rFonts w:ascii="Arial" w:hAnsi="Arial" w:cs="Arial"/>
                <w:szCs w:val="24"/>
              </w:rPr>
              <w:t>Health and Safety Policy Statement requires annual and exception reporting</w:t>
            </w:r>
            <w:r w:rsidR="00FF26BE">
              <w:rPr>
                <w:rFonts w:ascii="Arial" w:hAnsi="Arial" w:cs="Arial"/>
                <w:szCs w:val="24"/>
              </w:rPr>
              <w:t>,</w:t>
            </w:r>
            <w:r w:rsidR="00E84A51">
              <w:rPr>
                <w:rFonts w:ascii="Arial" w:hAnsi="Arial" w:cs="Arial"/>
                <w:szCs w:val="24"/>
              </w:rPr>
              <w:t xml:space="preserve"> to the HLH Board on health and safety performance</w:t>
            </w:r>
            <w:r w:rsidR="00937A7E">
              <w:rPr>
                <w:rFonts w:ascii="Arial" w:hAnsi="Arial" w:cs="Arial"/>
                <w:szCs w:val="24"/>
              </w:rPr>
              <w:t>.</w:t>
            </w:r>
          </w:p>
          <w:p w14:paraId="181BD763" w14:textId="77777777" w:rsidR="00AC006E" w:rsidRPr="007214D1" w:rsidRDefault="00AC006E" w:rsidP="00ED749B">
            <w:pPr>
              <w:jc w:val="both"/>
              <w:rPr>
                <w:rFonts w:ascii="Arial" w:hAnsi="Arial" w:cs="Arial"/>
                <w:szCs w:val="24"/>
              </w:rPr>
            </w:pPr>
          </w:p>
        </w:tc>
      </w:tr>
      <w:tr w:rsidR="00E84A51" w:rsidRPr="007214D1" w14:paraId="00C41185" w14:textId="77777777" w:rsidTr="00ED749B">
        <w:tc>
          <w:tcPr>
            <w:tcW w:w="817" w:type="dxa"/>
          </w:tcPr>
          <w:p w14:paraId="72AEC1D2" w14:textId="77777777" w:rsidR="00E84A51" w:rsidRPr="00EC60A4" w:rsidRDefault="00E84A51" w:rsidP="00ED749B">
            <w:pPr>
              <w:rPr>
                <w:rFonts w:ascii="Arial" w:hAnsi="Arial" w:cs="Arial"/>
                <w:szCs w:val="24"/>
              </w:rPr>
            </w:pPr>
            <w:r>
              <w:rPr>
                <w:rFonts w:ascii="Arial" w:hAnsi="Arial" w:cs="Arial"/>
                <w:szCs w:val="24"/>
              </w:rPr>
              <w:t>2</w:t>
            </w:r>
            <w:r w:rsidRPr="00EC60A4">
              <w:rPr>
                <w:rFonts w:ascii="Arial" w:hAnsi="Arial" w:cs="Arial"/>
                <w:szCs w:val="24"/>
              </w:rPr>
              <w:t>.2</w:t>
            </w:r>
          </w:p>
        </w:tc>
        <w:tc>
          <w:tcPr>
            <w:tcW w:w="8647" w:type="dxa"/>
          </w:tcPr>
          <w:p w14:paraId="354E938B" w14:textId="36C1BC97" w:rsidR="003E4A6E" w:rsidRPr="00475BD7" w:rsidRDefault="00E84A51" w:rsidP="003E4A6E">
            <w:pPr>
              <w:widowControl w:val="0"/>
              <w:suppressAutoHyphens/>
              <w:jc w:val="both"/>
              <w:rPr>
                <w:rFonts w:ascii="Arial" w:hAnsi="Arial" w:cs="Arial"/>
                <w:szCs w:val="24"/>
              </w:rPr>
            </w:pPr>
            <w:r w:rsidRPr="00475BD7">
              <w:rPr>
                <w:rFonts w:ascii="Arial" w:hAnsi="Arial" w:cs="Arial"/>
                <w:szCs w:val="24"/>
              </w:rPr>
              <w:t xml:space="preserve">At the </w:t>
            </w:r>
            <w:r w:rsidR="003E4A6E" w:rsidRPr="00475BD7">
              <w:rPr>
                <w:rFonts w:ascii="Arial" w:hAnsi="Arial" w:cs="Arial"/>
                <w:szCs w:val="24"/>
              </w:rPr>
              <w:t xml:space="preserve">HLH Board </w:t>
            </w:r>
            <w:r w:rsidRPr="00475BD7">
              <w:rPr>
                <w:rFonts w:ascii="Arial" w:hAnsi="Arial" w:cs="Arial"/>
                <w:szCs w:val="24"/>
              </w:rPr>
              <w:t xml:space="preserve">meeting on the </w:t>
            </w:r>
            <w:r w:rsidR="003E4A6E" w:rsidRPr="00475BD7">
              <w:rPr>
                <w:rFonts w:ascii="Arial" w:hAnsi="Arial" w:cs="Arial"/>
                <w:szCs w:val="24"/>
              </w:rPr>
              <w:t xml:space="preserve">23 April 2014 </w:t>
            </w:r>
            <w:r w:rsidRPr="00475BD7">
              <w:rPr>
                <w:rFonts w:ascii="Arial" w:hAnsi="Arial" w:cs="Arial"/>
                <w:szCs w:val="24"/>
              </w:rPr>
              <w:t xml:space="preserve">Directors </w:t>
            </w:r>
            <w:r w:rsidR="003E4A6E" w:rsidRPr="00475BD7">
              <w:rPr>
                <w:rFonts w:ascii="Arial" w:hAnsi="Arial" w:cs="Arial"/>
              </w:rPr>
              <w:t>agreed to delegate to the Health and Safety Strategic Group</w:t>
            </w:r>
            <w:r w:rsidR="006D2F9F">
              <w:rPr>
                <w:rFonts w:ascii="Arial" w:hAnsi="Arial" w:cs="Arial"/>
              </w:rPr>
              <w:t xml:space="preserve">, now the Health and Safety and Environmental Compliance Committee </w:t>
            </w:r>
            <w:r w:rsidR="002E2D2E">
              <w:rPr>
                <w:rFonts w:ascii="Arial" w:hAnsi="Arial" w:cs="Arial"/>
              </w:rPr>
              <w:t>(</w:t>
            </w:r>
            <w:r w:rsidR="006D2F9F">
              <w:rPr>
                <w:rFonts w:ascii="Arial" w:hAnsi="Arial" w:cs="Arial"/>
              </w:rPr>
              <w:t>as of 14 Jun</w:t>
            </w:r>
            <w:r w:rsidR="00292D22">
              <w:rPr>
                <w:rFonts w:ascii="Arial" w:hAnsi="Arial" w:cs="Arial"/>
              </w:rPr>
              <w:t>e</w:t>
            </w:r>
            <w:r w:rsidR="006D2F9F">
              <w:rPr>
                <w:rFonts w:ascii="Arial" w:hAnsi="Arial" w:cs="Arial"/>
              </w:rPr>
              <w:t xml:space="preserve"> </w:t>
            </w:r>
            <w:r w:rsidR="00292D22">
              <w:rPr>
                <w:rFonts w:ascii="Arial" w:hAnsi="Arial" w:cs="Arial"/>
              </w:rPr>
              <w:t>20</w:t>
            </w:r>
            <w:r w:rsidR="006D2F9F">
              <w:rPr>
                <w:rFonts w:ascii="Arial" w:hAnsi="Arial" w:cs="Arial"/>
              </w:rPr>
              <w:t>18</w:t>
            </w:r>
            <w:r w:rsidR="002E2D2E">
              <w:rPr>
                <w:rFonts w:ascii="Arial" w:hAnsi="Arial" w:cs="Arial"/>
              </w:rPr>
              <w:t>)</w:t>
            </w:r>
            <w:r w:rsidR="00484645">
              <w:rPr>
                <w:rFonts w:ascii="Arial" w:hAnsi="Arial" w:cs="Arial"/>
              </w:rPr>
              <w:t>,</w:t>
            </w:r>
            <w:r w:rsidR="006D2F9F">
              <w:rPr>
                <w:rFonts w:ascii="Arial" w:hAnsi="Arial" w:cs="Arial"/>
              </w:rPr>
              <w:t xml:space="preserve"> </w:t>
            </w:r>
            <w:r w:rsidR="00484645">
              <w:rPr>
                <w:rFonts w:ascii="Arial" w:hAnsi="Arial" w:cs="Arial"/>
              </w:rPr>
              <w:t>t</w:t>
            </w:r>
            <w:r w:rsidR="003E4A6E" w:rsidRPr="00475BD7">
              <w:rPr>
                <w:rFonts w:ascii="Arial" w:hAnsi="Arial" w:cs="Arial"/>
              </w:rPr>
              <w:t xml:space="preserve">he decision on the final layout of the </w:t>
            </w:r>
            <w:r w:rsidR="003E4A6E" w:rsidRPr="008924BB">
              <w:rPr>
                <w:rFonts w:ascii="Arial" w:hAnsi="Arial" w:cs="Arial"/>
              </w:rPr>
              <w:t>tables in the appendi</w:t>
            </w:r>
            <w:r w:rsidR="00812365">
              <w:rPr>
                <w:rFonts w:ascii="Arial" w:hAnsi="Arial" w:cs="Arial"/>
              </w:rPr>
              <w:t>ces</w:t>
            </w:r>
            <w:r w:rsidR="003E4A6E" w:rsidRPr="008924BB">
              <w:rPr>
                <w:rFonts w:ascii="Arial" w:hAnsi="Arial" w:cs="Arial"/>
              </w:rPr>
              <w:t xml:space="preserve"> to th</w:t>
            </w:r>
            <w:r w:rsidR="001A5646" w:rsidRPr="008924BB">
              <w:rPr>
                <w:rFonts w:ascii="Arial" w:hAnsi="Arial" w:cs="Arial"/>
              </w:rPr>
              <w:t>is</w:t>
            </w:r>
            <w:r w:rsidR="003E4A6E" w:rsidRPr="008924BB">
              <w:rPr>
                <w:rFonts w:ascii="Arial" w:hAnsi="Arial" w:cs="Arial"/>
              </w:rPr>
              <w:t xml:space="preserve"> report. The </w:t>
            </w:r>
            <w:r w:rsidR="006D2F9F">
              <w:rPr>
                <w:rFonts w:ascii="Arial" w:hAnsi="Arial" w:cs="Arial"/>
              </w:rPr>
              <w:t>Committee</w:t>
            </w:r>
            <w:r w:rsidR="003E4A6E" w:rsidRPr="008924BB">
              <w:rPr>
                <w:rFonts w:ascii="Arial" w:hAnsi="Arial" w:cs="Arial"/>
              </w:rPr>
              <w:t xml:space="preserve"> </w:t>
            </w:r>
            <w:r w:rsidR="007211EB" w:rsidRPr="008924BB">
              <w:rPr>
                <w:rFonts w:ascii="Arial" w:hAnsi="Arial" w:cs="Arial"/>
                <w:szCs w:val="24"/>
              </w:rPr>
              <w:t xml:space="preserve">reviewed </w:t>
            </w:r>
            <w:r w:rsidR="003E4A6E" w:rsidRPr="008924BB">
              <w:rPr>
                <w:rFonts w:ascii="Arial" w:hAnsi="Arial" w:cs="Arial"/>
                <w:szCs w:val="24"/>
              </w:rPr>
              <w:t xml:space="preserve">and agreed </w:t>
            </w:r>
            <w:r w:rsidR="007211EB" w:rsidRPr="007669A9">
              <w:rPr>
                <w:rFonts w:ascii="Arial" w:hAnsi="Arial" w:cs="Arial"/>
                <w:szCs w:val="24"/>
              </w:rPr>
              <w:t>the information in</w:t>
            </w:r>
            <w:r w:rsidR="004E3977" w:rsidRPr="007669A9">
              <w:rPr>
                <w:rFonts w:ascii="Arial" w:hAnsi="Arial" w:cs="Arial"/>
                <w:szCs w:val="24"/>
              </w:rPr>
              <w:t xml:space="preserve"> </w:t>
            </w:r>
            <w:r w:rsidR="00640734" w:rsidRPr="007669A9">
              <w:rPr>
                <w:rFonts w:ascii="Arial" w:hAnsi="Arial" w:cs="Arial"/>
                <w:szCs w:val="24"/>
              </w:rPr>
              <w:t>this report and accompanying appendices</w:t>
            </w:r>
            <w:r w:rsidR="007211EB" w:rsidRPr="007669A9">
              <w:rPr>
                <w:rFonts w:ascii="Arial" w:hAnsi="Arial" w:cs="Arial"/>
                <w:b/>
                <w:szCs w:val="24"/>
              </w:rPr>
              <w:t xml:space="preserve"> </w:t>
            </w:r>
            <w:r w:rsidR="007211EB" w:rsidRPr="007669A9">
              <w:rPr>
                <w:rFonts w:ascii="Arial" w:hAnsi="Arial" w:cs="Arial"/>
                <w:szCs w:val="24"/>
              </w:rPr>
              <w:t xml:space="preserve">at its meeting held on </w:t>
            </w:r>
            <w:r w:rsidR="00D215CB" w:rsidRPr="007669A9">
              <w:rPr>
                <w:rFonts w:ascii="Arial" w:hAnsi="Arial" w:cs="Arial"/>
              </w:rPr>
              <w:t xml:space="preserve">29 </w:t>
            </w:r>
            <w:r w:rsidR="00DA78D8" w:rsidRPr="007669A9">
              <w:rPr>
                <w:rFonts w:ascii="Arial" w:hAnsi="Arial" w:cs="Arial"/>
                <w:szCs w:val="24"/>
              </w:rPr>
              <w:t xml:space="preserve">May </w:t>
            </w:r>
            <w:r w:rsidR="00DA78D8">
              <w:rPr>
                <w:rFonts w:ascii="Arial" w:hAnsi="Arial" w:cs="Arial"/>
                <w:szCs w:val="24"/>
              </w:rPr>
              <w:t>202</w:t>
            </w:r>
            <w:r w:rsidR="00D215CB">
              <w:rPr>
                <w:rFonts w:ascii="Arial" w:hAnsi="Arial" w:cs="Arial"/>
                <w:szCs w:val="24"/>
              </w:rPr>
              <w:t>3</w:t>
            </w:r>
            <w:r w:rsidR="007211EB" w:rsidRPr="00357835">
              <w:rPr>
                <w:rFonts w:ascii="Arial" w:hAnsi="Arial" w:cs="Arial"/>
                <w:szCs w:val="24"/>
              </w:rPr>
              <w:t>.</w:t>
            </w:r>
            <w:r w:rsidR="007211EB" w:rsidRPr="00475BD7">
              <w:rPr>
                <w:rFonts w:ascii="Arial" w:hAnsi="Arial" w:cs="Arial"/>
                <w:szCs w:val="24"/>
              </w:rPr>
              <w:t xml:space="preserve"> </w:t>
            </w:r>
          </w:p>
          <w:p w14:paraId="227F17E3" w14:textId="77777777" w:rsidR="00923B3D" w:rsidRPr="00475BD7" w:rsidRDefault="00923B3D" w:rsidP="003E4A6E">
            <w:pPr>
              <w:widowControl w:val="0"/>
              <w:suppressAutoHyphens/>
              <w:jc w:val="both"/>
              <w:rPr>
                <w:rFonts w:ascii="Arial" w:hAnsi="Arial" w:cs="Arial"/>
                <w:szCs w:val="24"/>
              </w:rPr>
            </w:pPr>
          </w:p>
        </w:tc>
      </w:tr>
      <w:tr w:rsidR="00E84A51" w:rsidRPr="007214D1" w14:paraId="16716C87" w14:textId="77777777" w:rsidTr="00ED749B">
        <w:tc>
          <w:tcPr>
            <w:tcW w:w="817" w:type="dxa"/>
          </w:tcPr>
          <w:p w14:paraId="7CE0DBAD" w14:textId="77777777" w:rsidR="00E84A51" w:rsidRPr="006C22B1" w:rsidRDefault="00E84A51" w:rsidP="00ED749B">
            <w:pPr>
              <w:rPr>
                <w:rFonts w:ascii="Arial" w:hAnsi="Arial" w:cs="Arial"/>
                <w:b/>
                <w:szCs w:val="24"/>
              </w:rPr>
            </w:pPr>
            <w:r w:rsidRPr="006C22B1">
              <w:rPr>
                <w:rFonts w:ascii="Arial" w:hAnsi="Arial" w:cs="Arial"/>
                <w:b/>
                <w:szCs w:val="24"/>
              </w:rPr>
              <w:t>3.</w:t>
            </w:r>
          </w:p>
        </w:tc>
        <w:tc>
          <w:tcPr>
            <w:tcW w:w="8647" w:type="dxa"/>
          </w:tcPr>
          <w:p w14:paraId="59587D2D" w14:textId="77777777" w:rsidR="00E84A51" w:rsidRPr="00475BD7" w:rsidRDefault="00E84A51" w:rsidP="00ED749B">
            <w:pPr>
              <w:rPr>
                <w:rFonts w:ascii="Arial" w:hAnsi="Arial" w:cs="Arial"/>
                <w:b/>
                <w:szCs w:val="24"/>
              </w:rPr>
            </w:pPr>
            <w:r w:rsidRPr="00475BD7">
              <w:rPr>
                <w:rFonts w:ascii="Arial" w:hAnsi="Arial" w:cs="Arial"/>
                <w:b/>
                <w:szCs w:val="24"/>
              </w:rPr>
              <w:t xml:space="preserve">Health and Safety </w:t>
            </w:r>
            <w:r w:rsidR="007C67A1" w:rsidRPr="00475BD7">
              <w:rPr>
                <w:rFonts w:ascii="Arial" w:hAnsi="Arial" w:cs="Arial"/>
                <w:b/>
                <w:szCs w:val="24"/>
              </w:rPr>
              <w:t xml:space="preserve">and Environmental Compliance </w:t>
            </w:r>
            <w:r w:rsidRPr="00475BD7">
              <w:rPr>
                <w:rFonts w:ascii="Arial" w:hAnsi="Arial" w:cs="Arial"/>
                <w:b/>
                <w:szCs w:val="24"/>
              </w:rPr>
              <w:t>Performance</w:t>
            </w:r>
          </w:p>
          <w:p w14:paraId="32C6F9FF" w14:textId="77777777" w:rsidR="00E84A51" w:rsidRPr="00475BD7" w:rsidRDefault="00E84A51" w:rsidP="00ED749B">
            <w:pPr>
              <w:rPr>
                <w:rFonts w:ascii="Arial" w:hAnsi="Arial" w:cs="Arial"/>
                <w:b/>
                <w:szCs w:val="24"/>
              </w:rPr>
            </w:pPr>
          </w:p>
        </w:tc>
      </w:tr>
      <w:tr w:rsidR="007C67A1" w:rsidRPr="007F1CC2" w14:paraId="5CBE376C" w14:textId="77777777" w:rsidTr="00ED749B">
        <w:tc>
          <w:tcPr>
            <w:tcW w:w="817" w:type="dxa"/>
          </w:tcPr>
          <w:p w14:paraId="185D360F" w14:textId="77777777" w:rsidR="00776278" w:rsidRPr="00D91FC7" w:rsidRDefault="00776278" w:rsidP="00ED749B">
            <w:pPr>
              <w:rPr>
                <w:rFonts w:ascii="Arial" w:hAnsi="Arial" w:cs="Arial"/>
                <w:szCs w:val="24"/>
              </w:rPr>
            </w:pPr>
            <w:r w:rsidRPr="00D91FC7">
              <w:rPr>
                <w:rFonts w:ascii="Arial" w:hAnsi="Arial" w:cs="Arial"/>
                <w:szCs w:val="24"/>
              </w:rPr>
              <w:t>3.1</w:t>
            </w:r>
          </w:p>
        </w:tc>
        <w:tc>
          <w:tcPr>
            <w:tcW w:w="8647" w:type="dxa"/>
          </w:tcPr>
          <w:p w14:paraId="4AEFAE12" w14:textId="13EE0179" w:rsidR="007C67A1" w:rsidRPr="00475BD7" w:rsidRDefault="00AC1B74" w:rsidP="007C67A1">
            <w:pPr>
              <w:jc w:val="both"/>
              <w:rPr>
                <w:rFonts w:ascii="Arial" w:hAnsi="Arial" w:cs="Arial"/>
                <w:szCs w:val="24"/>
              </w:rPr>
            </w:pPr>
            <w:r w:rsidRPr="00475BD7">
              <w:rPr>
                <w:rFonts w:ascii="Arial" w:hAnsi="Arial" w:cs="Arial"/>
                <w:szCs w:val="24"/>
              </w:rPr>
              <w:t>T</w:t>
            </w:r>
            <w:r w:rsidRPr="00475BD7">
              <w:rPr>
                <w:rFonts w:ascii="Arial" w:hAnsi="Arial" w:cs="Arial"/>
              </w:rPr>
              <w:t xml:space="preserve">here </w:t>
            </w:r>
            <w:r w:rsidRPr="007669A9">
              <w:rPr>
                <w:rFonts w:ascii="Arial" w:hAnsi="Arial" w:cs="Arial"/>
              </w:rPr>
              <w:t xml:space="preserve">were </w:t>
            </w:r>
            <w:r w:rsidR="00AC3D00" w:rsidRPr="007669A9">
              <w:rPr>
                <w:rFonts w:ascii="Arial" w:hAnsi="Arial" w:cs="Arial"/>
              </w:rPr>
              <w:t xml:space="preserve">no </w:t>
            </w:r>
            <w:r w:rsidRPr="007669A9">
              <w:rPr>
                <w:rFonts w:ascii="Arial" w:hAnsi="Arial" w:cs="Arial"/>
              </w:rPr>
              <w:t>enforcing officer notifications for improvement,</w:t>
            </w:r>
            <w:r w:rsidR="00877E8A" w:rsidRPr="007669A9">
              <w:rPr>
                <w:rFonts w:ascii="Arial" w:hAnsi="Arial" w:cs="Arial"/>
              </w:rPr>
              <w:t xml:space="preserve"> </w:t>
            </w:r>
            <w:r w:rsidRPr="007669A9">
              <w:rPr>
                <w:rFonts w:ascii="Arial" w:hAnsi="Arial" w:cs="Arial"/>
              </w:rPr>
              <w:t xml:space="preserve">or enforcement </w:t>
            </w:r>
            <w:r w:rsidR="00D91FC7" w:rsidRPr="007669A9">
              <w:rPr>
                <w:rFonts w:ascii="Arial" w:hAnsi="Arial" w:cs="Arial"/>
              </w:rPr>
              <w:t xml:space="preserve">action during </w:t>
            </w:r>
            <w:r w:rsidR="006D2F9F" w:rsidRPr="007669A9">
              <w:rPr>
                <w:rFonts w:ascii="Arial" w:hAnsi="Arial" w:cs="Arial"/>
              </w:rPr>
              <w:t>the reporting period</w:t>
            </w:r>
            <w:r w:rsidR="00581BA8" w:rsidRPr="007669A9">
              <w:rPr>
                <w:rFonts w:ascii="Arial" w:hAnsi="Arial" w:cs="Arial"/>
              </w:rPr>
              <w:t xml:space="preserve">. </w:t>
            </w:r>
            <w:r w:rsidR="007C67A1" w:rsidRPr="007669A9">
              <w:rPr>
                <w:rFonts w:ascii="Arial" w:hAnsi="Arial" w:cs="Arial"/>
                <w:szCs w:val="24"/>
              </w:rPr>
              <w:t xml:space="preserve">There were </w:t>
            </w:r>
            <w:r w:rsidR="00AC3D00" w:rsidRPr="007669A9">
              <w:rPr>
                <w:rFonts w:ascii="Arial" w:hAnsi="Arial" w:cs="Arial"/>
              </w:rPr>
              <w:t xml:space="preserve">no </w:t>
            </w:r>
            <w:r w:rsidR="007C67A1" w:rsidRPr="007669A9">
              <w:rPr>
                <w:rFonts w:ascii="Arial" w:hAnsi="Arial" w:cs="Arial"/>
                <w:szCs w:val="24"/>
              </w:rPr>
              <w:t xml:space="preserve">environmental </w:t>
            </w:r>
            <w:r w:rsidR="007C67A1" w:rsidRPr="00475BD7">
              <w:rPr>
                <w:rFonts w:ascii="Arial" w:hAnsi="Arial" w:cs="Arial"/>
                <w:szCs w:val="24"/>
              </w:rPr>
              <w:t xml:space="preserve">incidents </w:t>
            </w:r>
            <w:r w:rsidRPr="00475BD7">
              <w:rPr>
                <w:rFonts w:ascii="Arial" w:hAnsi="Arial" w:cs="Arial"/>
                <w:szCs w:val="24"/>
              </w:rPr>
              <w:t xml:space="preserve">requiring reporting </w:t>
            </w:r>
            <w:r w:rsidR="007C67A1" w:rsidRPr="00475BD7">
              <w:rPr>
                <w:rFonts w:ascii="Arial" w:hAnsi="Arial" w:cs="Arial"/>
                <w:szCs w:val="24"/>
              </w:rPr>
              <w:t xml:space="preserve">to SEPA </w:t>
            </w:r>
            <w:r w:rsidR="006D2F9F">
              <w:rPr>
                <w:rFonts w:ascii="Arial" w:hAnsi="Arial" w:cs="Arial"/>
                <w:szCs w:val="24"/>
              </w:rPr>
              <w:t>during the reporting period.</w:t>
            </w:r>
            <w:r w:rsidR="007C67A1" w:rsidRPr="00475BD7">
              <w:rPr>
                <w:rFonts w:ascii="Arial" w:hAnsi="Arial" w:cs="Arial"/>
                <w:szCs w:val="24"/>
              </w:rPr>
              <w:t xml:space="preserve"> </w:t>
            </w:r>
          </w:p>
          <w:p w14:paraId="67F5D376" w14:textId="77777777" w:rsidR="00776278" w:rsidRPr="00475BD7" w:rsidRDefault="00776278" w:rsidP="00776278">
            <w:pPr>
              <w:jc w:val="both"/>
              <w:rPr>
                <w:rFonts w:ascii="Arial" w:hAnsi="Arial" w:cs="Arial"/>
                <w:szCs w:val="24"/>
              </w:rPr>
            </w:pPr>
          </w:p>
        </w:tc>
      </w:tr>
      <w:tr w:rsidR="00E84A51" w:rsidRPr="00B53125" w14:paraId="6A0E7AB5" w14:textId="77777777" w:rsidTr="00ED749B">
        <w:tc>
          <w:tcPr>
            <w:tcW w:w="817" w:type="dxa"/>
          </w:tcPr>
          <w:p w14:paraId="0861171C" w14:textId="77777777" w:rsidR="00E84A51" w:rsidRPr="00E47778" w:rsidRDefault="007C67A1" w:rsidP="00ED749B">
            <w:pPr>
              <w:rPr>
                <w:rFonts w:ascii="Arial" w:hAnsi="Arial" w:cs="Arial"/>
                <w:szCs w:val="24"/>
              </w:rPr>
            </w:pPr>
            <w:r w:rsidRPr="00E47778">
              <w:rPr>
                <w:rFonts w:ascii="Arial" w:hAnsi="Arial" w:cs="Arial"/>
                <w:szCs w:val="24"/>
              </w:rPr>
              <w:t>3.2</w:t>
            </w:r>
          </w:p>
        </w:tc>
        <w:tc>
          <w:tcPr>
            <w:tcW w:w="8647" w:type="dxa"/>
          </w:tcPr>
          <w:p w14:paraId="0FC03DBB" w14:textId="77777777" w:rsidR="007211EB" w:rsidRPr="00E47778" w:rsidRDefault="007211EB" w:rsidP="00ED749B">
            <w:pPr>
              <w:jc w:val="both"/>
              <w:rPr>
                <w:rFonts w:ascii="Arial" w:hAnsi="Arial" w:cs="Arial"/>
                <w:szCs w:val="24"/>
              </w:rPr>
            </w:pPr>
            <w:r w:rsidRPr="00E47778">
              <w:rPr>
                <w:rFonts w:ascii="Arial" w:hAnsi="Arial" w:cs="Arial"/>
                <w:szCs w:val="24"/>
              </w:rPr>
              <w:t xml:space="preserve">Having analysed the information in </w:t>
            </w:r>
            <w:r w:rsidR="003D1BCC" w:rsidRPr="00E47778">
              <w:rPr>
                <w:rFonts w:ascii="Arial" w:hAnsi="Arial" w:cs="Arial"/>
                <w:szCs w:val="24"/>
              </w:rPr>
              <w:t>the appendices,</w:t>
            </w:r>
            <w:r w:rsidRPr="00E47778">
              <w:rPr>
                <w:rFonts w:ascii="Arial" w:hAnsi="Arial" w:cs="Arial"/>
                <w:szCs w:val="24"/>
              </w:rPr>
              <w:t xml:space="preserve"> the Health and Safety </w:t>
            </w:r>
            <w:r w:rsidR="00F6019F" w:rsidRPr="00E47778">
              <w:rPr>
                <w:rFonts w:ascii="Arial" w:hAnsi="Arial" w:cs="Arial"/>
                <w:szCs w:val="24"/>
              </w:rPr>
              <w:t xml:space="preserve">and Environmental Compliance </w:t>
            </w:r>
            <w:r w:rsidR="006D2F9F" w:rsidRPr="00E47778">
              <w:rPr>
                <w:rFonts w:ascii="Arial" w:hAnsi="Arial" w:cs="Arial"/>
                <w:szCs w:val="24"/>
              </w:rPr>
              <w:t xml:space="preserve">Committee </w:t>
            </w:r>
            <w:r w:rsidRPr="00E47778">
              <w:rPr>
                <w:rFonts w:ascii="Arial" w:hAnsi="Arial" w:cs="Arial"/>
                <w:szCs w:val="24"/>
              </w:rPr>
              <w:t xml:space="preserve">identified the following information as being important to report to the HLH Board: </w:t>
            </w:r>
          </w:p>
          <w:p w14:paraId="5D0CD705" w14:textId="77777777" w:rsidR="00937A7E" w:rsidRPr="00E47778" w:rsidRDefault="00937A7E" w:rsidP="00ED749B">
            <w:pPr>
              <w:jc w:val="both"/>
              <w:rPr>
                <w:rFonts w:ascii="Arial" w:hAnsi="Arial" w:cs="Arial"/>
                <w:szCs w:val="24"/>
              </w:rPr>
            </w:pPr>
          </w:p>
          <w:p w14:paraId="50A1BB79" w14:textId="3D62A8D8" w:rsidR="00E84A51" w:rsidRPr="00E47778" w:rsidRDefault="00937A7E" w:rsidP="00FC7E10">
            <w:pPr>
              <w:numPr>
                <w:ilvl w:val="0"/>
                <w:numId w:val="2"/>
              </w:numPr>
              <w:jc w:val="both"/>
              <w:rPr>
                <w:rFonts w:ascii="Arial" w:hAnsi="Arial" w:cs="Arial"/>
                <w:szCs w:val="24"/>
              </w:rPr>
            </w:pPr>
            <w:r w:rsidRPr="00E47778">
              <w:rPr>
                <w:rFonts w:ascii="Arial" w:hAnsi="Arial" w:cs="Arial"/>
                <w:szCs w:val="24"/>
              </w:rPr>
              <w:t>t</w:t>
            </w:r>
            <w:r w:rsidR="00E84A51" w:rsidRPr="00E47778">
              <w:rPr>
                <w:rFonts w:ascii="Arial" w:hAnsi="Arial" w:cs="Arial"/>
                <w:szCs w:val="24"/>
              </w:rPr>
              <w:t xml:space="preserve">here are no trends </w:t>
            </w:r>
            <w:r w:rsidR="007211EB" w:rsidRPr="00E47778">
              <w:rPr>
                <w:rFonts w:ascii="Arial" w:hAnsi="Arial" w:cs="Arial"/>
                <w:szCs w:val="24"/>
              </w:rPr>
              <w:t>indicating</w:t>
            </w:r>
            <w:r w:rsidR="00E84A51" w:rsidRPr="00E47778">
              <w:rPr>
                <w:rFonts w:ascii="Arial" w:hAnsi="Arial" w:cs="Arial"/>
                <w:szCs w:val="24"/>
              </w:rPr>
              <w:t xml:space="preserve"> that any </w:t>
            </w:r>
            <w:r w:rsidR="002E2D2E">
              <w:rPr>
                <w:rFonts w:ascii="Arial" w:hAnsi="Arial" w:cs="Arial"/>
                <w:szCs w:val="24"/>
              </w:rPr>
              <w:t>c</w:t>
            </w:r>
            <w:r w:rsidR="00292D22">
              <w:rPr>
                <w:rFonts w:ascii="Arial" w:hAnsi="Arial" w:cs="Arial"/>
                <w:szCs w:val="24"/>
              </w:rPr>
              <w:t>harity-</w:t>
            </w:r>
            <w:r w:rsidR="007211EB" w:rsidRPr="00E47778">
              <w:rPr>
                <w:rFonts w:ascii="Arial" w:hAnsi="Arial" w:cs="Arial"/>
                <w:szCs w:val="24"/>
              </w:rPr>
              <w:t>wide actions are required</w:t>
            </w:r>
            <w:r w:rsidR="00EB42AE">
              <w:rPr>
                <w:rFonts w:ascii="Arial" w:hAnsi="Arial" w:cs="Arial"/>
                <w:szCs w:val="24"/>
              </w:rPr>
              <w:t>, however the Committee have seen an increase in</w:t>
            </w:r>
            <w:r w:rsidR="00D70358">
              <w:rPr>
                <w:rFonts w:ascii="Arial" w:hAnsi="Arial" w:cs="Arial"/>
                <w:szCs w:val="24"/>
              </w:rPr>
              <w:t xml:space="preserve"> incidents recorded under</w:t>
            </w:r>
            <w:r w:rsidR="00EB42AE">
              <w:rPr>
                <w:rFonts w:ascii="Arial" w:hAnsi="Arial" w:cs="Arial"/>
                <w:szCs w:val="24"/>
              </w:rPr>
              <w:t xml:space="preserve"> </w:t>
            </w:r>
            <w:r w:rsidR="00EB42AE" w:rsidRPr="00EB42AE">
              <w:rPr>
                <w:rFonts w:ascii="Arial" w:hAnsi="Arial" w:cs="Arial"/>
                <w:szCs w:val="24"/>
              </w:rPr>
              <w:t>“Act of Violence”</w:t>
            </w:r>
            <w:r w:rsidR="00BB7798">
              <w:rPr>
                <w:rFonts w:ascii="Arial" w:hAnsi="Arial" w:cs="Arial"/>
                <w:szCs w:val="24"/>
              </w:rPr>
              <w:t xml:space="preserve"> </w:t>
            </w:r>
            <w:r w:rsidR="00136DB9">
              <w:rPr>
                <w:rFonts w:ascii="Arial" w:hAnsi="Arial" w:cs="Arial"/>
                <w:szCs w:val="24"/>
              </w:rPr>
              <w:t xml:space="preserve">against HLH staff </w:t>
            </w:r>
            <w:r w:rsidR="00BB7798">
              <w:rPr>
                <w:rFonts w:ascii="Arial" w:hAnsi="Arial" w:cs="Arial"/>
                <w:szCs w:val="24"/>
              </w:rPr>
              <w:t xml:space="preserve">and will continue to monitor this </w:t>
            </w:r>
            <w:r w:rsidR="00B677A9">
              <w:rPr>
                <w:rFonts w:ascii="Arial" w:hAnsi="Arial" w:cs="Arial"/>
                <w:szCs w:val="24"/>
              </w:rPr>
              <w:t>closely</w:t>
            </w:r>
            <w:r w:rsidR="007211EB" w:rsidRPr="00E47778">
              <w:rPr>
                <w:rFonts w:ascii="Arial" w:hAnsi="Arial" w:cs="Arial"/>
                <w:szCs w:val="24"/>
              </w:rPr>
              <w:t>;</w:t>
            </w:r>
          </w:p>
          <w:p w14:paraId="67A1F6EF" w14:textId="1BDA46D2" w:rsidR="00102B25" w:rsidRPr="002E6536" w:rsidRDefault="000B0B74" w:rsidP="00FC7E10">
            <w:pPr>
              <w:pStyle w:val="NormalWeb"/>
              <w:numPr>
                <w:ilvl w:val="0"/>
                <w:numId w:val="2"/>
              </w:numPr>
              <w:spacing w:before="0" w:beforeAutospacing="0" w:after="0" w:afterAutospacing="0"/>
              <w:jc w:val="both"/>
              <w:rPr>
                <w:rFonts w:ascii="Arial" w:hAnsi="Arial" w:cs="Arial"/>
              </w:rPr>
            </w:pPr>
            <w:r w:rsidRPr="002E6536">
              <w:rPr>
                <w:rFonts w:ascii="Arial" w:hAnsi="Arial" w:cs="Arial"/>
              </w:rPr>
              <w:t xml:space="preserve">there were </w:t>
            </w:r>
            <w:r w:rsidR="00DB4FDB" w:rsidRPr="007203C0">
              <w:rPr>
                <w:rFonts w:ascii="Arial" w:hAnsi="Arial" w:cs="Arial"/>
              </w:rPr>
              <w:t>2</w:t>
            </w:r>
            <w:r w:rsidR="00FE237B">
              <w:rPr>
                <w:rFonts w:ascii="Arial" w:hAnsi="Arial" w:cs="Arial"/>
              </w:rPr>
              <w:t>4</w:t>
            </w:r>
            <w:r w:rsidR="00543072" w:rsidRPr="007203C0">
              <w:rPr>
                <w:rFonts w:ascii="Arial" w:hAnsi="Arial" w:cs="Arial"/>
              </w:rPr>
              <w:t xml:space="preserve"> </w:t>
            </w:r>
            <w:r w:rsidRPr="007203C0">
              <w:rPr>
                <w:rFonts w:ascii="Arial" w:hAnsi="Arial" w:cs="Arial"/>
              </w:rPr>
              <w:t>accidents</w:t>
            </w:r>
            <w:r w:rsidR="00207A21" w:rsidRPr="007203C0">
              <w:rPr>
                <w:rFonts w:ascii="Arial" w:hAnsi="Arial" w:cs="Arial"/>
              </w:rPr>
              <w:t xml:space="preserve"> / incidents</w:t>
            </w:r>
            <w:r w:rsidRPr="007203C0">
              <w:rPr>
                <w:rFonts w:ascii="Arial" w:hAnsi="Arial" w:cs="Arial"/>
              </w:rPr>
              <w:t xml:space="preserve"> reported which were </w:t>
            </w:r>
            <w:r w:rsidR="00207A21" w:rsidRPr="007203C0">
              <w:rPr>
                <w:rFonts w:ascii="Arial" w:hAnsi="Arial" w:cs="Arial"/>
              </w:rPr>
              <w:t xml:space="preserve">recorded as </w:t>
            </w:r>
            <w:r w:rsidRPr="007203C0">
              <w:rPr>
                <w:rFonts w:ascii="Arial" w:hAnsi="Arial" w:cs="Arial"/>
              </w:rPr>
              <w:t xml:space="preserve">an </w:t>
            </w:r>
            <w:r w:rsidR="00292D22" w:rsidRPr="007203C0">
              <w:rPr>
                <w:rFonts w:ascii="Arial" w:hAnsi="Arial" w:cs="Arial"/>
              </w:rPr>
              <w:t>“</w:t>
            </w:r>
            <w:r w:rsidRPr="007203C0">
              <w:rPr>
                <w:rFonts w:ascii="Arial" w:hAnsi="Arial" w:cs="Arial"/>
              </w:rPr>
              <w:t>Act of Violence</w:t>
            </w:r>
            <w:r w:rsidR="00292D22" w:rsidRPr="007203C0">
              <w:rPr>
                <w:rFonts w:ascii="Arial" w:hAnsi="Arial" w:cs="Arial"/>
              </w:rPr>
              <w:t>”</w:t>
            </w:r>
            <w:r w:rsidR="00207A21" w:rsidRPr="007203C0">
              <w:rPr>
                <w:rFonts w:ascii="Arial" w:hAnsi="Arial" w:cs="Arial"/>
              </w:rPr>
              <w:t xml:space="preserve">, </w:t>
            </w:r>
            <w:r w:rsidR="00DB4FDB" w:rsidRPr="007203C0">
              <w:rPr>
                <w:rFonts w:ascii="Arial" w:hAnsi="Arial" w:cs="Arial"/>
              </w:rPr>
              <w:t>1</w:t>
            </w:r>
            <w:r w:rsidR="00FE237B">
              <w:rPr>
                <w:rFonts w:ascii="Arial" w:hAnsi="Arial" w:cs="Arial"/>
              </w:rPr>
              <w:t>7</w:t>
            </w:r>
            <w:r w:rsidR="00D215CB" w:rsidRPr="007203C0">
              <w:rPr>
                <w:rFonts w:ascii="Arial" w:hAnsi="Arial" w:cs="Arial"/>
              </w:rPr>
              <w:t xml:space="preserve"> </w:t>
            </w:r>
            <w:r w:rsidR="00207A21" w:rsidRPr="007203C0">
              <w:rPr>
                <w:rFonts w:ascii="Arial" w:hAnsi="Arial" w:cs="Arial"/>
              </w:rPr>
              <w:t xml:space="preserve">were customer to customer and </w:t>
            </w:r>
            <w:r w:rsidR="00FE237B">
              <w:rPr>
                <w:rFonts w:ascii="Arial" w:hAnsi="Arial" w:cs="Arial"/>
              </w:rPr>
              <w:t>7</w:t>
            </w:r>
            <w:r w:rsidR="00D215CB" w:rsidRPr="007203C0">
              <w:rPr>
                <w:rFonts w:ascii="Arial" w:hAnsi="Arial" w:cs="Arial"/>
              </w:rPr>
              <w:t xml:space="preserve"> </w:t>
            </w:r>
            <w:r w:rsidR="00207A21" w:rsidRPr="007203C0">
              <w:rPr>
                <w:rFonts w:ascii="Arial" w:hAnsi="Arial" w:cs="Arial"/>
              </w:rPr>
              <w:t xml:space="preserve">were </w:t>
            </w:r>
            <w:r w:rsidR="00207A21" w:rsidRPr="002E6536">
              <w:rPr>
                <w:rFonts w:ascii="Arial" w:hAnsi="Arial" w:cs="Arial"/>
              </w:rPr>
              <w:t>against HLH staff</w:t>
            </w:r>
            <w:r w:rsidR="003D1BCC" w:rsidRPr="002E6536">
              <w:rPr>
                <w:rFonts w:ascii="Arial" w:hAnsi="Arial" w:cs="Arial"/>
              </w:rPr>
              <w:t xml:space="preserve">; </w:t>
            </w:r>
          </w:p>
          <w:p w14:paraId="4B8B10D4" w14:textId="744E938C" w:rsidR="007211EB" w:rsidRPr="00DB4FDB" w:rsidRDefault="00937A7E" w:rsidP="00DB4FDB">
            <w:pPr>
              <w:pStyle w:val="NormalWeb"/>
              <w:numPr>
                <w:ilvl w:val="0"/>
                <w:numId w:val="2"/>
              </w:numPr>
              <w:spacing w:before="0" w:beforeAutospacing="0" w:after="0" w:afterAutospacing="0"/>
              <w:jc w:val="both"/>
              <w:rPr>
                <w:rFonts w:ascii="Arial" w:hAnsi="Arial" w:cs="Arial"/>
              </w:rPr>
            </w:pPr>
            <w:r w:rsidRPr="00E47778">
              <w:rPr>
                <w:rFonts w:ascii="Arial" w:hAnsi="Arial" w:cs="Arial"/>
              </w:rPr>
              <w:t>t</w:t>
            </w:r>
            <w:r w:rsidR="00B53125" w:rsidRPr="00E47778">
              <w:rPr>
                <w:rFonts w:ascii="Arial" w:hAnsi="Arial" w:cs="Arial"/>
              </w:rPr>
              <w:t xml:space="preserve">here </w:t>
            </w:r>
            <w:r w:rsidR="00F6019F" w:rsidRPr="003A0353">
              <w:rPr>
                <w:rFonts w:ascii="Arial" w:hAnsi="Arial" w:cs="Arial"/>
              </w:rPr>
              <w:t xml:space="preserve">were </w:t>
            </w:r>
            <w:r w:rsidR="003A0353">
              <w:rPr>
                <w:rFonts w:ascii="Arial" w:hAnsi="Arial" w:cs="Arial"/>
              </w:rPr>
              <w:t xml:space="preserve">three </w:t>
            </w:r>
            <w:r w:rsidR="00B53125" w:rsidRPr="003A0353">
              <w:rPr>
                <w:rFonts w:ascii="Arial" w:hAnsi="Arial" w:cs="Arial"/>
              </w:rPr>
              <w:t>accident</w:t>
            </w:r>
            <w:r w:rsidR="00C74ED3" w:rsidRPr="003A0353">
              <w:rPr>
                <w:rFonts w:ascii="Arial" w:hAnsi="Arial" w:cs="Arial"/>
              </w:rPr>
              <w:t xml:space="preserve">s </w:t>
            </w:r>
            <w:r w:rsidR="00C74ED3" w:rsidRPr="00DB4FDB">
              <w:rPr>
                <w:rFonts w:ascii="Arial" w:hAnsi="Arial" w:cs="Arial"/>
              </w:rPr>
              <w:t xml:space="preserve">reported under RIDDOR </w:t>
            </w:r>
            <w:r w:rsidR="003C14D0" w:rsidRPr="00DB4FDB">
              <w:rPr>
                <w:rFonts w:ascii="Arial" w:hAnsi="Arial" w:cs="Arial"/>
              </w:rPr>
              <w:t>with</w:t>
            </w:r>
            <w:r w:rsidR="00824100" w:rsidRPr="00DB4FDB">
              <w:rPr>
                <w:rFonts w:ascii="Arial" w:hAnsi="Arial" w:cs="Arial"/>
              </w:rPr>
              <w:t xml:space="preserve">in </w:t>
            </w:r>
            <w:r w:rsidR="003C14D0" w:rsidRPr="00DB4FDB">
              <w:rPr>
                <w:rFonts w:ascii="Arial" w:hAnsi="Arial" w:cs="Arial"/>
              </w:rPr>
              <w:t>the reporting period</w:t>
            </w:r>
            <w:r w:rsidR="00C405C7" w:rsidRPr="00DB4FDB">
              <w:rPr>
                <w:rFonts w:ascii="Arial" w:hAnsi="Arial" w:cs="Arial"/>
              </w:rPr>
              <w:t xml:space="preserve">, </w:t>
            </w:r>
            <w:r w:rsidR="006A4234" w:rsidRPr="00DB4FDB">
              <w:rPr>
                <w:rFonts w:ascii="Arial" w:hAnsi="Arial" w:cs="Arial"/>
              </w:rPr>
              <w:t>all RIDDOR incidents have been dealt with appropriately</w:t>
            </w:r>
            <w:r w:rsidR="00292D22" w:rsidRPr="00DB4FDB">
              <w:rPr>
                <w:rFonts w:ascii="Arial" w:hAnsi="Arial" w:cs="Arial"/>
              </w:rPr>
              <w:t>.</w:t>
            </w:r>
            <w:r w:rsidR="006A4234" w:rsidRPr="00DB4FDB">
              <w:rPr>
                <w:rFonts w:ascii="Arial" w:hAnsi="Arial" w:cs="Arial"/>
              </w:rPr>
              <w:t xml:space="preserve"> </w:t>
            </w:r>
            <w:r w:rsidR="00207A21" w:rsidRPr="00DB4FDB">
              <w:rPr>
                <w:rFonts w:ascii="Arial" w:hAnsi="Arial" w:cs="Arial"/>
              </w:rPr>
              <w:t>All</w:t>
            </w:r>
            <w:r w:rsidR="00292D22" w:rsidRPr="00DB4FDB">
              <w:rPr>
                <w:rFonts w:ascii="Arial" w:hAnsi="Arial" w:cs="Arial"/>
              </w:rPr>
              <w:t xml:space="preserve"> incidents</w:t>
            </w:r>
            <w:r w:rsidR="006A4234" w:rsidRPr="00DB4FDB">
              <w:rPr>
                <w:rFonts w:ascii="Arial" w:hAnsi="Arial" w:cs="Arial"/>
              </w:rPr>
              <w:t xml:space="preserve"> have been reviewed and assessed, with no trends</w:t>
            </w:r>
            <w:r w:rsidR="00292D22" w:rsidRPr="00DB4FDB">
              <w:rPr>
                <w:rFonts w:ascii="Arial" w:hAnsi="Arial" w:cs="Arial"/>
              </w:rPr>
              <w:t xml:space="preserve"> identified</w:t>
            </w:r>
            <w:r w:rsidR="00F6019F" w:rsidRPr="00DB4FDB">
              <w:rPr>
                <w:rFonts w:ascii="Arial" w:hAnsi="Arial" w:cs="Arial"/>
              </w:rPr>
              <w:t xml:space="preserve"> (</w:t>
            </w:r>
            <w:r w:rsidR="00207A21" w:rsidRPr="00DB4FDB">
              <w:rPr>
                <w:rFonts w:ascii="Arial" w:hAnsi="Arial" w:cs="Arial"/>
              </w:rPr>
              <w:t>summary by service</w:t>
            </w:r>
            <w:r w:rsidR="006A4234" w:rsidRPr="00DB4FDB">
              <w:rPr>
                <w:rFonts w:ascii="Arial" w:hAnsi="Arial" w:cs="Arial"/>
              </w:rPr>
              <w:t xml:space="preserve"> </w:t>
            </w:r>
            <w:r w:rsidR="006D1FEC" w:rsidRPr="00DB4FDB">
              <w:rPr>
                <w:rFonts w:ascii="Arial" w:hAnsi="Arial" w:cs="Arial"/>
              </w:rPr>
              <w:t>contained</w:t>
            </w:r>
            <w:r w:rsidR="000F7DE0" w:rsidRPr="00DB4FDB">
              <w:rPr>
                <w:rFonts w:ascii="Arial" w:hAnsi="Arial" w:cs="Arial"/>
              </w:rPr>
              <w:t xml:space="preserve"> </w:t>
            </w:r>
            <w:r w:rsidR="006A4234" w:rsidRPr="00DB4FDB">
              <w:rPr>
                <w:rFonts w:ascii="Arial" w:hAnsi="Arial" w:cs="Arial"/>
              </w:rPr>
              <w:t xml:space="preserve">in </w:t>
            </w:r>
            <w:hyperlink r:id="rId11" w:history="1">
              <w:r w:rsidR="00B773AF" w:rsidRPr="005832A5">
                <w:rPr>
                  <w:rStyle w:val="Hyperlink"/>
                  <w:rFonts w:ascii="Arial" w:hAnsi="Arial" w:cs="Arial"/>
                  <w:b/>
                </w:rPr>
                <w:t>Appendix</w:t>
              </w:r>
              <w:r w:rsidR="00457E59" w:rsidRPr="005832A5">
                <w:rPr>
                  <w:rStyle w:val="Hyperlink"/>
                  <w:rFonts w:ascii="Arial" w:hAnsi="Arial" w:cs="Arial"/>
                  <w:b/>
                </w:rPr>
                <w:t xml:space="preserve"> A</w:t>
              </w:r>
            </w:hyperlink>
            <w:r w:rsidR="00F6019F" w:rsidRPr="00DB4FDB">
              <w:rPr>
                <w:rFonts w:ascii="Arial" w:hAnsi="Arial" w:cs="Arial"/>
                <w:b/>
              </w:rPr>
              <w:t>)</w:t>
            </w:r>
            <w:r w:rsidR="003D1BCC" w:rsidRPr="00DB4FDB">
              <w:rPr>
                <w:rFonts w:ascii="Arial" w:hAnsi="Arial" w:cs="Arial"/>
              </w:rPr>
              <w:t xml:space="preserve">; </w:t>
            </w:r>
          </w:p>
          <w:p w14:paraId="31118556" w14:textId="63F633CB" w:rsidR="00F51877" w:rsidRPr="00E47778" w:rsidRDefault="00D15E3E" w:rsidP="005F22BC">
            <w:pPr>
              <w:numPr>
                <w:ilvl w:val="0"/>
                <w:numId w:val="2"/>
              </w:numPr>
              <w:jc w:val="both"/>
              <w:rPr>
                <w:rFonts w:ascii="Arial" w:hAnsi="Arial" w:cs="Arial"/>
              </w:rPr>
            </w:pPr>
            <w:r w:rsidRPr="00E47778">
              <w:rPr>
                <w:rFonts w:ascii="Arial" w:hAnsi="Arial" w:cs="Arial"/>
                <w:szCs w:val="24"/>
              </w:rPr>
              <w:t xml:space="preserve">the </w:t>
            </w:r>
            <w:r w:rsidR="007E6284" w:rsidRPr="00E47778">
              <w:rPr>
                <w:rFonts w:ascii="Arial" w:hAnsi="Arial" w:cs="Arial"/>
                <w:szCs w:val="24"/>
              </w:rPr>
              <w:t>HLH</w:t>
            </w:r>
            <w:r w:rsidRPr="00E47778">
              <w:rPr>
                <w:rFonts w:ascii="Arial" w:hAnsi="Arial" w:cs="Arial"/>
                <w:szCs w:val="24"/>
              </w:rPr>
              <w:t xml:space="preserve"> online reporting system</w:t>
            </w:r>
            <w:r w:rsidR="00F6019F" w:rsidRPr="00E47778">
              <w:rPr>
                <w:rFonts w:ascii="Arial" w:hAnsi="Arial" w:cs="Arial"/>
                <w:szCs w:val="24"/>
              </w:rPr>
              <w:t xml:space="preserve"> </w:t>
            </w:r>
            <w:r w:rsidR="007E6284" w:rsidRPr="00E47778">
              <w:rPr>
                <w:rFonts w:ascii="Arial" w:hAnsi="Arial" w:cs="Arial"/>
                <w:szCs w:val="24"/>
              </w:rPr>
              <w:t xml:space="preserve">continued to be developed </w:t>
            </w:r>
            <w:r w:rsidRPr="00E47778">
              <w:rPr>
                <w:rFonts w:ascii="Arial" w:hAnsi="Arial" w:cs="Arial"/>
                <w:szCs w:val="24"/>
              </w:rPr>
              <w:t xml:space="preserve">to </w:t>
            </w:r>
            <w:r w:rsidR="007E6284" w:rsidRPr="00E47778">
              <w:rPr>
                <w:rFonts w:ascii="Arial" w:hAnsi="Arial" w:cs="Arial"/>
                <w:szCs w:val="24"/>
              </w:rPr>
              <w:t xml:space="preserve">help </w:t>
            </w:r>
            <w:r w:rsidR="00F6019F" w:rsidRPr="006067E2">
              <w:rPr>
                <w:rFonts w:ascii="Arial" w:hAnsi="Arial" w:cs="Arial"/>
                <w:szCs w:val="24"/>
              </w:rPr>
              <w:t xml:space="preserve">improve the analysis of accidents and incidents </w:t>
            </w:r>
            <w:r w:rsidR="003C14D0" w:rsidRPr="006067E2">
              <w:rPr>
                <w:rFonts w:ascii="Arial" w:hAnsi="Arial" w:cs="Arial"/>
                <w:szCs w:val="24"/>
              </w:rPr>
              <w:t>within the reporting period</w:t>
            </w:r>
            <w:r w:rsidR="00F82C42" w:rsidRPr="006067E2">
              <w:rPr>
                <w:rFonts w:ascii="Arial" w:hAnsi="Arial" w:cs="Arial"/>
                <w:szCs w:val="24"/>
              </w:rPr>
              <w:t>, an increase in the number of incidents have been recorded in comparison to 2019/20 and 2020/21 where COVID-19 restrictions were in place, the percentage of incidents against attendance remains stable</w:t>
            </w:r>
            <w:r w:rsidR="007D69A3" w:rsidRPr="006067E2">
              <w:rPr>
                <w:rFonts w:ascii="Arial" w:hAnsi="Arial" w:cs="Arial"/>
                <w:szCs w:val="24"/>
              </w:rPr>
              <w:t xml:space="preserve"> (details contained in </w:t>
            </w:r>
            <w:hyperlink r:id="rId12" w:history="1">
              <w:r w:rsidR="007D69A3" w:rsidRPr="00ED0984">
                <w:rPr>
                  <w:rStyle w:val="Hyperlink"/>
                  <w:rFonts w:ascii="Arial" w:hAnsi="Arial" w:cs="Arial"/>
                  <w:b/>
                  <w:bCs/>
                  <w:szCs w:val="24"/>
                </w:rPr>
                <w:t>Appendix B</w:t>
              </w:r>
            </w:hyperlink>
            <w:r w:rsidR="007D69A3" w:rsidRPr="006067E2">
              <w:rPr>
                <w:rFonts w:ascii="Arial" w:hAnsi="Arial" w:cs="Arial"/>
                <w:szCs w:val="24"/>
              </w:rPr>
              <w:t>)</w:t>
            </w:r>
            <w:r w:rsidR="00F6019F" w:rsidRPr="006067E2">
              <w:rPr>
                <w:rFonts w:ascii="Arial" w:hAnsi="Arial" w:cs="Arial"/>
              </w:rPr>
              <w:t>;</w:t>
            </w:r>
          </w:p>
          <w:p w14:paraId="0834F270" w14:textId="159FBCE5" w:rsidR="00457E59" w:rsidRPr="00E47778" w:rsidRDefault="00FF26BE" w:rsidP="005F22BC">
            <w:pPr>
              <w:numPr>
                <w:ilvl w:val="0"/>
                <w:numId w:val="2"/>
              </w:numPr>
              <w:jc w:val="both"/>
              <w:rPr>
                <w:rFonts w:ascii="Arial" w:hAnsi="Arial" w:cs="Arial"/>
              </w:rPr>
            </w:pPr>
            <w:r w:rsidRPr="00E47778">
              <w:rPr>
                <w:rFonts w:ascii="Arial" w:hAnsi="Arial" w:cs="Arial"/>
              </w:rPr>
              <w:t xml:space="preserve">due </w:t>
            </w:r>
            <w:r w:rsidR="006D1FEC" w:rsidRPr="00E47778">
              <w:rPr>
                <w:rFonts w:ascii="Arial" w:hAnsi="Arial" w:cs="Arial"/>
              </w:rPr>
              <w:t xml:space="preserve">to </w:t>
            </w:r>
            <w:r w:rsidR="003925BD" w:rsidRPr="00E47778">
              <w:rPr>
                <w:rFonts w:ascii="Arial" w:hAnsi="Arial" w:cs="Arial"/>
              </w:rPr>
              <w:t>seven</w:t>
            </w:r>
            <w:r w:rsidRPr="00E47778">
              <w:rPr>
                <w:rFonts w:ascii="Arial" w:hAnsi="Arial" w:cs="Arial"/>
              </w:rPr>
              <w:t xml:space="preserve"> </w:t>
            </w:r>
            <w:r w:rsidR="006D1FEC" w:rsidRPr="00E47778">
              <w:rPr>
                <w:rFonts w:ascii="Arial" w:hAnsi="Arial" w:cs="Arial"/>
              </w:rPr>
              <w:t>unrelated</w:t>
            </w:r>
            <w:r w:rsidRPr="00E47778">
              <w:rPr>
                <w:rFonts w:ascii="Arial" w:hAnsi="Arial" w:cs="Arial"/>
              </w:rPr>
              <w:t xml:space="preserve"> fi</w:t>
            </w:r>
            <w:r w:rsidR="00F6019F" w:rsidRPr="00E47778">
              <w:rPr>
                <w:rFonts w:ascii="Arial" w:hAnsi="Arial" w:cs="Arial"/>
              </w:rPr>
              <w:t xml:space="preserve">re incidents in HLH </w:t>
            </w:r>
            <w:r w:rsidRPr="00E47778">
              <w:rPr>
                <w:rFonts w:ascii="Arial" w:hAnsi="Arial" w:cs="Arial"/>
              </w:rPr>
              <w:t>facilities</w:t>
            </w:r>
            <w:r w:rsidR="007E6284" w:rsidRPr="00E47778">
              <w:rPr>
                <w:rFonts w:ascii="Arial" w:hAnsi="Arial" w:cs="Arial"/>
              </w:rPr>
              <w:t xml:space="preserve"> over 2017/18</w:t>
            </w:r>
            <w:r w:rsidRPr="00E47778">
              <w:rPr>
                <w:rFonts w:ascii="Arial" w:hAnsi="Arial" w:cs="Arial"/>
              </w:rPr>
              <w:t xml:space="preserve">, </w:t>
            </w:r>
            <w:r w:rsidR="007E6284" w:rsidRPr="00E47778">
              <w:rPr>
                <w:rFonts w:ascii="Arial" w:hAnsi="Arial" w:cs="Arial"/>
              </w:rPr>
              <w:t xml:space="preserve">close </w:t>
            </w:r>
            <w:r w:rsidR="0001534C" w:rsidRPr="00E47778">
              <w:rPr>
                <w:rFonts w:ascii="Arial" w:hAnsi="Arial" w:cs="Arial"/>
              </w:rPr>
              <w:t>monitoring</w:t>
            </w:r>
            <w:r w:rsidR="007E6284" w:rsidRPr="00E47778">
              <w:rPr>
                <w:rFonts w:ascii="Arial" w:hAnsi="Arial" w:cs="Arial"/>
              </w:rPr>
              <w:t xml:space="preserve"> of </w:t>
            </w:r>
            <w:r w:rsidR="00823186" w:rsidRPr="00E47778">
              <w:rPr>
                <w:rFonts w:ascii="Arial" w:hAnsi="Arial" w:cs="Arial"/>
              </w:rPr>
              <w:t>all</w:t>
            </w:r>
            <w:r w:rsidR="007E6284" w:rsidRPr="00E47778">
              <w:rPr>
                <w:rFonts w:ascii="Arial" w:hAnsi="Arial" w:cs="Arial"/>
              </w:rPr>
              <w:t xml:space="preserve"> incident</w:t>
            </w:r>
            <w:r w:rsidR="004D3B37">
              <w:rPr>
                <w:rFonts w:ascii="Arial" w:hAnsi="Arial" w:cs="Arial"/>
              </w:rPr>
              <w:t>s,</w:t>
            </w:r>
            <w:r w:rsidR="007E6284" w:rsidRPr="00E47778">
              <w:rPr>
                <w:rFonts w:ascii="Arial" w:hAnsi="Arial" w:cs="Arial"/>
              </w:rPr>
              <w:t xml:space="preserve"> that could have resulted in a fire </w:t>
            </w:r>
            <w:r w:rsidR="004D3B37">
              <w:rPr>
                <w:rFonts w:ascii="Arial" w:hAnsi="Arial" w:cs="Arial"/>
              </w:rPr>
              <w:t>within</w:t>
            </w:r>
            <w:r w:rsidR="007E6284" w:rsidRPr="00E47778">
              <w:rPr>
                <w:rFonts w:ascii="Arial" w:hAnsi="Arial" w:cs="Arial"/>
              </w:rPr>
              <w:t xml:space="preserve"> </w:t>
            </w:r>
            <w:r w:rsidR="003C14D0">
              <w:rPr>
                <w:rFonts w:ascii="Arial" w:hAnsi="Arial" w:cs="Arial"/>
              </w:rPr>
              <w:t>the reporting period</w:t>
            </w:r>
            <w:r w:rsidR="004D3B37">
              <w:rPr>
                <w:rFonts w:ascii="Arial" w:hAnsi="Arial" w:cs="Arial"/>
              </w:rPr>
              <w:t xml:space="preserve"> </w:t>
            </w:r>
            <w:r w:rsidR="004D3B37" w:rsidRPr="005D6FFE">
              <w:rPr>
                <w:rFonts w:ascii="Arial" w:hAnsi="Arial" w:cs="Arial"/>
              </w:rPr>
              <w:t xml:space="preserve">was carried out </w:t>
            </w:r>
            <w:r w:rsidR="007E6284" w:rsidRPr="002E6536">
              <w:rPr>
                <w:rFonts w:ascii="Arial" w:hAnsi="Arial" w:cs="Arial"/>
              </w:rPr>
              <w:t xml:space="preserve">with </w:t>
            </w:r>
            <w:r w:rsidR="003A0353">
              <w:rPr>
                <w:rFonts w:ascii="Arial" w:hAnsi="Arial" w:cs="Arial"/>
              </w:rPr>
              <w:t>three</w:t>
            </w:r>
            <w:r w:rsidR="00D215CB" w:rsidRPr="00D215CB">
              <w:rPr>
                <w:rFonts w:ascii="Arial" w:hAnsi="Arial" w:cs="Arial"/>
                <w:color w:val="FF0000"/>
              </w:rPr>
              <w:t xml:space="preserve"> </w:t>
            </w:r>
            <w:r w:rsidR="0001534C" w:rsidRPr="002E6536">
              <w:rPr>
                <w:rFonts w:ascii="Arial" w:hAnsi="Arial" w:cs="Arial"/>
              </w:rPr>
              <w:t>incident</w:t>
            </w:r>
            <w:r w:rsidR="00207A21" w:rsidRPr="002E6536">
              <w:rPr>
                <w:rFonts w:ascii="Arial" w:hAnsi="Arial" w:cs="Arial"/>
              </w:rPr>
              <w:t>s</w:t>
            </w:r>
            <w:r w:rsidR="0001534C" w:rsidRPr="005D6FFE">
              <w:rPr>
                <w:rFonts w:ascii="Arial" w:hAnsi="Arial" w:cs="Arial"/>
              </w:rPr>
              <w:t xml:space="preserve"> </w:t>
            </w:r>
            <w:r w:rsidR="005D6FFE">
              <w:rPr>
                <w:rFonts w:ascii="Arial" w:hAnsi="Arial" w:cs="Arial"/>
              </w:rPr>
              <w:t>recorded</w:t>
            </w:r>
            <w:r w:rsidR="00783226">
              <w:rPr>
                <w:rFonts w:ascii="Arial" w:hAnsi="Arial" w:cs="Arial"/>
              </w:rPr>
              <w:t xml:space="preserve"> over 202</w:t>
            </w:r>
            <w:r w:rsidR="00D215CB">
              <w:rPr>
                <w:rFonts w:ascii="Arial" w:hAnsi="Arial" w:cs="Arial"/>
              </w:rPr>
              <w:t>2</w:t>
            </w:r>
            <w:r w:rsidR="00783226">
              <w:rPr>
                <w:rFonts w:ascii="Arial" w:hAnsi="Arial" w:cs="Arial"/>
              </w:rPr>
              <w:t>/2</w:t>
            </w:r>
            <w:r w:rsidR="00D215CB">
              <w:rPr>
                <w:rFonts w:ascii="Arial" w:hAnsi="Arial" w:cs="Arial"/>
              </w:rPr>
              <w:t>3</w:t>
            </w:r>
            <w:r w:rsidR="002E6536">
              <w:rPr>
                <w:rFonts w:ascii="Arial" w:hAnsi="Arial" w:cs="Arial"/>
              </w:rPr>
              <w:t xml:space="preserve"> </w:t>
            </w:r>
            <w:r w:rsidR="002E6536" w:rsidRPr="002E6536">
              <w:rPr>
                <w:rFonts w:ascii="Arial" w:hAnsi="Arial" w:cs="Arial"/>
              </w:rPr>
              <w:t xml:space="preserve">(details contained in </w:t>
            </w:r>
            <w:hyperlink r:id="rId13" w:history="1">
              <w:r w:rsidR="002E6536" w:rsidRPr="00E906F0">
                <w:rPr>
                  <w:rStyle w:val="Hyperlink"/>
                  <w:rFonts w:ascii="Arial" w:hAnsi="Arial" w:cs="Arial"/>
                  <w:b/>
                  <w:bCs/>
                </w:rPr>
                <w:t>Appendix C</w:t>
              </w:r>
            </w:hyperlink>
            <w:r w:rsidR="002E6536" w:rsidRPr="002E6536">
              <w:rPr>
                <w:rFonts w:ascii="Arial" w:hAnsi="Arial" w:cs="Arial"/>
              </w:rPr>
              <w:t>)</w:t>
            </w:r>
            <w:r w:rsidRPr="00E47778">
              <w:rPr>
                <w:rFonts w:ascii="Arial" w:hAnsi="Arial" w:cs="Arial"/>
              </w:rPr>
              <w:t>.</w:t>
            </w:r>
          </w:p>
          <w:p w14:paraId="72455D05" w14:textId="77777777" w:rsidR="005F22BC" w:rsidRPr="00E47778" w:rsidRDefault="005F22BC" w:rsidP="00CF27F5">
            <w:pPr>
              <w:ind w:left="720"/>
              <w:jc w:val="both"/>
              <w:rPr>
                <w:rFonts w:ascii="Arial" w:hAnsi="Arial" w:cs="Arial"/>
              </w:rPr>
            </w:pPr>
          </w:p>
        </w:tc>
      </w:tr>
      <w:tr w:rsidR="00824100" w:rsidRPr="007214D1" w14:paraId="38727F4D" w14:textId="77777777" w:rsidTr="00ED749B">
        <w:tc>
          <w:tcPr>
            <w:tcW w:w="817" w:type="dxa"/>
          </w:tcPr>
          <w:p w14:paraId="48864F30" w14:textId="77777777" w:rsidR="00824100" w:rsidRDefault="00824100" w:rsidP="00ED749B">
            <w:pPr>
              <w:rPr>
                <w:rFonts w:ascii="Arial" w:hAnsi="Arial" w:cs="Arial"/>
                <w:szCs w:val="24"/>
              </w:rPr>
            </w:pPr>
            <w:r>
              <w:rPr>
                <w:rFonts w:ascii="Arial" w:hAnsi="Arial" w:cs="Arial"/>
                <w:szCs w:val="24"/>
              </w:rPr>
              <w:lastRenderedPageBreak/>
              <w:t>3.3</w:t>
            </w:r>
          </w:p>
        </w:tc>
        <w:tc>
          <w:tcPr>
            <w:tcW w:w="8647" w:type="dxa"/>
          </w:tcPr>
          <w:p w14:paraId="6398D1AE" w14:textId="55C8963C" w:rsidR="00824100" w:rsidRPr="00475BD7" w:rsidRDefault="007669A9" w:rsidP="00ED749B">
            <w:pPr>
              <w:jc w:val="both"/>
              <w:rPr>
                <w:rFonts w:ascii="Arial" w:hAnsi="Arial" w:cs="Arial"/>
                <w:szCs w:val="24"/>
              </w:rPr>
            </w:pPr>
            <w:r>
              <w:rPr>
                <w:rFonts w:ascii="Arial" w:hAnsi="Arial" w:cs="Arial"/>
                <w:szCs w:val="24"/>
              </w:rPr>
              <w:t>G</w:t>
            </w:r>
            <w:r w:rsidR="00824100" w:rsidRPr="00475BD7">
              <w:rPr>
                <w:rFonts w:ascii="Arial" w:hAnsi="Arial" w:cs="Arial"/>
                <w:szCs w:val="24"/>
              </w:rPr>
              <w:t xml:space="preserve">iven the size of HLH and the number of </w:t>
            </w:r>
            <w:r w:rsidR="00823186">
              <w:rPr>
                <w:rFonts w:ascii="Arial" w:hAnsi="Arial" w:cs="Arial"/>
                <w:szCs w:val="24"/>
              </w:rPr>
              <w:t xml:space="preserve">physical </w:t>
            </w:r>
            <w:r w:rsidR="00824100" w:rsidRPr="00475BD7">
              <w:rPr>
                <w:rFonts w:ascii="Arial" w:hAnsi="Arial" w:cs="Arial"/>
                <w:szCs w:val="24"/>
              </w:rPr>
              <w:t xml:space="preserve">visits </w:t>
            </w:r>
            <w:r w:rsidR="00824100" w:rsidRPr="008924BB">
              <w:rPr>
                <w:rFonts w:ascii="Arial" w:hAnsi="Arial" w:cs="Arial"/>
                <w:szCs w:val="24"/>
              </w:rPr>
              <w:t xml:space="preserve">to </w:t>
            </w:r>
            <w:r w:rsidR="00BC00D3" w:rsidRPr="008924BB">
              <w:rPr>
                <w:rFonts w:ascii="Arial" w:hAnsi="Arial" w:cs="Arial"/>
                <w:szCs w:val="24"/>
              </w:rPr>
              <w:t xml:space="preserve">our </w:t>
            </w:r>
            <w:r w:rsidR="00824100" w:rsidRPr="008924BB">
              <w:rPr>
                <w:rFonts w:ascii="Arial" w:hAnsi="Arial" w:cs="Arial"/>
                <w:szCs w:val="24"/>
              </w:rPr>
              <w:t>facilities the</w:t>
            </w:r>
            <w:r w:rsidR="00FF26BE">
              <w:rPr>
                <w:rFonts w:ascii="Arial" w:hAnsi="Arial" w:cs="Arial"/>
                <w:szCs w:val="24"/>
              </w:rPr>
              <w:t xml:space="preserve"> </w:t>
            </w:r>
            <w:r w:rsidR="00824100" w:rsidRPr="00475BD7">
              <w:rPr>
                <w:rFonts w:ascii="Arial" w:hAnsi="Arial" w:cs="Arial"/>
                <w:szCs w:val="24"/>
              </w:rPr>
              <w:t xml:space="preserve">very small number of </w:t>
            </w:r>
            <w:r w:rsidR="004D3B37">
              <w:rPr>
                <w:rFonts w:ascii="Arial" w:hAnsi="Arial" w:cs="Arial"/>
                <w:szCs w:val="24"/>
              </w:rPr>
              <w:t>accidents/</w:t>
            </w:r>
            <w:r w:rsidR="00824100" w:rsidRPr="00475BD7">
              <w:rPr>
                <w:rFonts w:ascii="Arial" w:hAnsi="Arial" w:cs="Arial"/>
                <w:szCs w:val="24"/>
              </w:rPr>
              <w:t>incidents</w:t>
            </w:r>
            <w:r w:rsidR="00FF26BE">
              <w:rPr>
                <w:rFonts w:ascii="Arial" w:hAnsi="Arial" w:cs="Arial"/>
                <w:szCs w:val="24"/>
              </w:rPr>
              <w:t xml:space="preserve"> reflects the </w:t>
            </w:r>
            <w:r w:rsidR="00824100" w:rsidRPr="00475BD7">
              <w:rPr>
                <w:rFonts w:ascii="Arial" w:hAnsi="Arial" w:cs="Arial"/>
                <w:szCs w:val="24"/>
              </w:rPr>
              <w:t xml:space="preserve">good practice </w:t>
            </w:r>
            <w:r w:rsidR="00102B25" w:rsidRPr="00475BD7">
              <w:rPr>
                <w:rFonts w:ascii="Arial" w:hAnsi="Arial" w:cs="Arial"/>
                <w:szCs w:val="24"/>
              </w:rPr>
              <w:t>across all areas of work</w:t>
            </w:r>
            <w:r w:rsidR="00824100" w:rsidRPr="00475BD7">
              <w:rPr>
                <w:rFonts w:ascii="Arial" w:hAnsi="Arial" w:cs="Arial"/>
                <w:szCs w:val="24"/>
              </w:rPr>
              <w:t xml:space="preserve">. </w:t>
            </w:r>
          </w:p>
          <w:p w14:paraId="78B0F9F7" w14:textId="77777777" w:rsidR="00824100" w:rsidRPr="001A5646" w:rsidRDefault="00824100" w:rsidP="00ED749B">
            <w:pPr>
              <w:jc w:val="both"/>
              <w:rPr>
                <w:rFonts w:ascii="Arial" w:hAnsi="Arial" w:cs="Arial"/>
                <w:szCs w:val="24"/>
              </w:rPr>
            </w:pPr>
          </w:p>
        </w:tc>
      </w:tr>
      <w:tr w:rsidR="00824100" w:rsidRPr="00824100" w14:paraId="7538B52E" w14:textId="77777777" w:rsidTr="00ED749B">
        <w:tc>
          <w:tcPr>
            <w:tcW w:w="817" w:type="dxa"/>
          </w:tcPr>
          <w:p w14:paraId="1B8A8F82" w14:textId="77777777" w:rsidR="00824100" w:rsidRPr="00824100" w:rsidRDefault="00824100" w:rsidP="00ED749B">
            <w:pPr>
              <w:rPr>
                <w:rFonts w:ascii="Arial" w:hAnsi="Arial" w:cs="Arial"/>
                <w:b/>
                <w:szCs w:val="24"/>
              </w:rPr>
            </w:pPr>
            <w:r w:rsidRPr="00824100">
              <w:rPr>
                <w:rFonts w:ascii="Arial" w:hAnsi="Arial" w:cs="Arial"/>
                <w:b/>
                <w:szCs w:val="24"/>
              </w:rPr>
              <w:t>4.</w:t>
            </w:r>
          </w:p>
        </w:tc>
        <w:tc>
          <w:tcPr>
            <w:tcW w:w="8647" w:type="dxa"/>
          </w:tcPr>
          <w:p w14:paraId="2DB01C3C" w14:textId="77777777" w:rsidR="00824100" w:rsidRDefault="00824100" w:rsidP="00ED749B">
            <w:pPr>
              <w:jc w:val="both"/>
              <w:rPr>
                <w:rFonts w:ascii="Arial" w:hAnsi="Arial" w:cs="Arial"/>
                <w:b/>
                <w:szCs w:val="24"/>
              </w:rPr>
            </w:pPr>
            <w:r w:rsidRPr="00824100">
              <w:rPr>
                <w:rFonts w:ascii="Arial" w:hAnsi="Arial" w:cs="Arial"/>
                <w:b/>
                <w:szCs w:val="24"/>
              </w:rPr>
              <w:t>Annual External Audit</w:t>
            </w:r>
          </w:p>
          <w:p w14:paraId="5837F181" w14:textId="77777777" w:rsidR="00824100" w:rsidRPr="00824100" w:rsidRDefault="00824100" w:rsidP="00ED749B">
            <w:pPr>
              <w:jc w:val="both"/>
              <w:rPr>
                <w:rFonts w:ascii="Arial" w:hAnsi="Arial" w:cs="Arial"/>
                <w:b/>
                <w:szCs w:val="24"/>
              </w:rPr>
            </w:pPr>
          </w:p>
        </w:tc>
      </w:tr>
      <w:tr w:rsidR="00E84A51" w:rsidRPr="007214D1" w14:paraId="05483171" w14:textId="77777777" w:rsidTr="00ED749B">
        <w:tc>
          <w:tcPr>
            <w:tcW w:w="817" w:type="dxa"/>
          </w:tcPr>
          <w:p w14:paraId="1B8BA551" w14:textId="77777777" w:rsidR="00E84A51" w:rsidRPr="00CD1DD7" w:rsidRDefault="00824100" w:rsidP="00ED749B">
            <w:pPr>
              <w:rPr>
                <w:rFonts w:ascii="Arial" w:hAnsi="Arial" w:cs="Arial"/>
                <w:szCs w:val="24"/>
              </w:rPr>
            </w:pPr>
            <w:r w:rsidRPr="00CD1DD7">
              <w:rPr>
                <w:rFonts w:ascii="Arial" w:hAnsi="Arial" w:cs="Arial"/>
                <w:szCs w:val="24"/>
              </w:rPr>
              <w:t>4.1</w:t>
            </w:r>
          </w:p>
        </w:tc>
        <w:tc>
          <w:tcPr>
            <w:tcW w:w="8647" w:type="dxa"/>
          </w:tcPr>
          <w:p w14:paraId="5751D4CA" w14:textId="25FCD904" w:rsidR="00263CD8" w:rsidRDefault="00263CD8" w:rsidP="006D2F9F">
            <w:pPr>
              <w:jc w:val="both"/>
              <w:rPr>
                <w:rFonts w:ascii="Arial" w:hAnsi="Arial" w:cs="Arial"/>
                <w:szCs w:val="24"/>
              </w:rPr>
            </w:pPr>
            <w:r w:rsidRPr="00263CD8">
              <w:rPr>
                <w:rFonts w:ascii="Arial" w:hAnsi="Arial" w:cs="Arial"/>
                <w:szCs w:val="24"/>
              </w:rPr>
              <w:t xml:space="preserve">The annual external safety audit </w:t>
            </w:r>
            <w:r>
              <w:rPr>
                <w:rFonts w:ascii="Arial" w:hAnsi="Arial" w:cs="Arial"/>
                <w:szCs w:val="24"/>
              </w:rPr>
              <w:t>for</w:t>
            </w:r>
            <w:r w:rsidRPr="00263CD8">
              <w:rPr>
                <w:rFonts w:ascii="Arial" w:hAnsi="Arial" w:cs="Arial"/>
                <w:szCs w:val="24"/>
              </w:rPr>
              <w:t xml:space="preserve"> 20</w:t>
            </w:r>
            <w:r>
              <w:rPr>
                <w:rFonts w:ascii="Arial" w:hAnsi="Arial" w:cs="Arial"/>
                <w:szCs w:val="24"/>
              </w:rPr>
              <w:t>2</w:t>
            </w:r>
            <w:r w:rsidR="00D215CB">
              <w:rPr>
                <w:rFonts w:ascii="Arial" w:hAnsi="Arial" w:cs="Arial"/>
                <w:szCs w:val="24"/>
              </w:rPr>
              <w:t>2</w:t>
            </w:r>
            <w:r w:rsidRPr="00263CD8">
              <w:rPr>
                <w:rFonts w:ascii="Arial" w:hAnsi="Arial" w:cs="Arial"/>
                <w:szCs w:val="24"/>
              </w:rPr>
              <w:t>/</w:t>
            </w:r>
            <w:r>
              <w:rPr>
                <w:rFonts w:ascii="Arial" w:hAnsi="Arial" w:cs="Arial"/>
                <w:szCs w:val="24"/>
              </w:rPr>
              <w:t>2</w:t>
            </w:r>
            <w:r w:rsidR="00D215CB">
              <w:rPr>
                <w:rFonts w:ascii="Arial" w:hAnsi="Arial" w:cs="Arial"/>
                <w:szCs w:val="24"/>
              </w:rPr>
              <w:t>3</w:t>
            </w:r>
            <w:r w:rsidRPr="00263CD8">
              <w:rPr>
                <w:rFonts w:ascii="Arial" w:hAnsi="Arial" w:cs="Arial"/>
                <w:szCs w:val="24"/>
              </w:rPr>
              <w:t xml:space="preserve"> examined the sites listed below</w:t>
            </w:r>
            <w:r>
              <w:rPr>
                <w:rFonts w:ascii="Arial" w:hAnsi="Arial" w:cs="Arial"/>
                <w:szCs w:val="24"/>
              </w:rPr>
              <w:t xml:space="preserve">, the audit was completed in </w:t>
            </w:r>
            <w:r w:rsidR="00AC3D00">
              <w:rPr>
                <w:rFonts w:ascii="Arial" w:hAnsi="Arial" w:cs="Arial"/>
                <w:szCs w:val="24"/>
              </w:rPr>
              <w:t xml:space="preserve">October </w:t>
            </w:r>
            <w:r>
              <w:rPr>
                <w:rFonts w:ascii="Arial" w:hAnsi="Arial" w:cs="Arial"/>
                <w:szCs w:val="24"/>
              </w:rPr>
              <w:t>202</w:t>
            </w:r>
            <w:r w:rsidR="00D215CB">
              <w:rPr>
                <w:rFonts w:ascii="Arial" w:hAnsi="Arial" w:cs="Arial"/>
                <w:szCs w:val="24"/>
              </w:rPr>
              <w:t>2</w:t>
            </w:r>
            <w:r>
              <w:rPr>
                <w:rFonts w:ascii="Arial" w:hAnsi="Arial" w:cs="Arial"/>
                <w:szCs w:val="24"/>
              </w:rPr>
              <w:t>, with the report issue</w:t>
            </w:r>
            <w:r w:rsidR="00D215CB">
              <w:rPr>
                <w:rFonts w:ascii="Arial" w:hAnsi="Arial" w:cs="Arial"/>
                <w:szCs w:val="24"/>
              </w:rPr>
              <w:t>d</w:t>
            </w:r>
            <w:r>
              <w:rPr>
                <w:rFonts w:ascii="Arial" w:hAnsi="Arial" w:cs="Arial"/>
                <w:szCs w:val="24"/>
              </w:rPr>
              <w:t xml:space="preserve"> to sites in </w:t>
            </w:r>
            <w:r w:rsidR="00AC3D00">
              <w:rPr>
                <w:rFonts w:ascii="Arial" w:hAnsi="Arial" w:cs="Arial"/>
                <w:szCs w:val="24"/>
              </w:rPr>
              <w:t xml:space="preserve">November </w:t>
            </w:r>
            <w:r>
              <w:rPr>
                <w:rFonts w:ascii="Arial" w:hAnsi="Arial" w:cs="Arial"/>
                <w:szCs w:val="24"/>
              </w:rPr>
              <w:t>2022</w:t>
            </w:r>
            <w:r w:rsidRPr="00263CD8">
              <w:rPr>
                <w:rFonts w:ascii="Arial" w:hAnsi="Arial" w:cs="Arial"/>
                <w:szCs w:val="24"/>
              </w:rPr>
              <w:t xml:space="preserve">. </w:t>
            </w:r>
          </w:p>
          <w:p w14:paraId="795D2458" w14:textId="77777777" w:rsidR="00263CD8" w:rsidRPr="00CD1DD7" w:rsidRDefault="00263CD8" w:rsidP="006D2F9F">
            <w:pPr>
              <w:jc w:val="both"/>
              <w:rPr>
                <w:rFonts w:ascii="Arial" w:hAnsi="Arial" w:cs="Arial"/>
                <w:szCs w:val="24"/>
              </w:rPr>
            </w:pPr>
          </w:p>
        </w:tc>
      </w:tr>
      <w:tr w:rsidR="00B773AF" w:rsidRPr="00475BD7" w14:paraId="47946E6B" w14:textId="77777777" w:rsidTr="00ED749B">
        <w:tc>
          <w:tcPr>
            <w:tcW w:w="817" w:type="dxa"/>
          </w:tcPr>
          <w:p w14:paraId="3D9D7E10" w14:textId="77777777" w:rsidR="00B773AF" w:rsidRDefault="00B773AF" w:rsidP="00B773AF">
            <w:pPr>
              <w:rPr>
                <w:rFonts w:ascii="Arial" w:hAnsi="Arial" w:cs="Arial"/>
                <w:szCs w:val="24"/>
              </w:rPr>
            </w:pPr>
            <w:r w:rsidRPr="00475BD7">
              <w:rPr>
                <w:rFonts w:ascii="Arial" w:hAnsi="Arial" w:cs="Arial"/>
                <w:szCs w:val="24"/>
              </w:rPr>
              <w:t>4.2</w:t>
            </w:r>
          </w:p>
          <w:p w14:paraId="5DFA06A0" w14:textId="77777777" w:rsidR="0073288B" w:rsidRDefault="0073288B" w:rsidP="00B773AF">
            <w:pPr>
              <w:rPr>
                <w:rFonts w:ascii="Arial" w:hAnsi="Arial" w:cs="Arial"/>
                <w:szCs w:val="24"/>
              </w:rPr>
            </w:pPr>
          </w:p>
          <w:p w14:paraId="5BDD07A8" w14:textId="77777777" w:rsidR="0073288B" w:rsidRDefault="0073288B" w:rsidP="00B773AF">
            <w:pPr>
              <w:rPr>
                <w:rFonts w:ascii="Arial" w:hAnsi="Arial" w:cs="Arial"/>
                <w:szCs w:val="24"/>
              </w:rPr>
            </w:pPr>
          </w:p>
          <w:p w14:paraId="497BA893" w14:textId="77777777" w:rsidR="0073288B" w:rsidRDefault="0073288B" w:rsidP="00B773AF">
            <w:pPr>
              <w:rPr>
                <w:rFonts w:ascii="Arial" w:hAnsi="Arial" w:cs="Arial"/>
                <w:szCs w:val="24"/>
              </w:rPr>
            </w:pPr>
          </w:p>
          <w:p w14:paraId="27FEE280" w14:textId="77777777" w:rsidR="0073288B" w:rsidRPr="007669A9" w:rsidRDefault="0073288B" w:rsidP="00B773AF">
            <w:pPr>
              <w:rPr>
                <w:rFonts w:ascii="Arial" w:hAnsi="Arial" w:cs="Arial"/>
                <w:sz w:val="20"/>
              </w:rPr>
            </w:pPr>
          </w:p>
          <w:p w14:paraId="65AD3A64" w14:textId="77777777" w:rsidR="00CF27F5" w:rsidRPr="007669A9" w:rsidRDefault="00CF27F5" w:rsidP="00B773AF">
            <w:pPr>
              <w:rPr>
                <w:rFonts w:ascii="Arial" w:hAnsi="Arial" w:cs="Arial"/>
                <w:sz w:val="32"/>
                <w:szCs w:val="32"/>
              </w:rPr>
            </w:pPr>
          </w:p>
          <w:p w14:paraId="41A607A3" w14:textId="637F9E81" w:rsidR="00CF27F5" w:rsidRDefault="00CF27F5" w:rsidP="00B773AF">
            <w:pPr>
              <w:rPr>
                <w:rFonts w:ascii="Arial" w:hAnsi="Arial" w:cs="Arial"/>
                <w:szCs w:val="24"/>
              </w:rPr>
            </w:pPr>
          </w:p>
          <w:p w14:paraId="31F0A497" w14:textId="77777777" w:rsidR="00DA5EDC" w:rsidRDefault="00DA5EDC" w:rsidP="00B773AF">
            <w:pPr>
              <w:rPr>
                <w:rFonts w:ascii="Arial" w:hAnsi="Arial" w:cs="Arial"/>
                <w:szCs w:val="24"/>
              </w:rPr>
            </w:pPr>
          </w:p>
          <w:p w14:paraId="2E590816" w14:textId="77777777" w:rsidR="007669A9" w:rsidRDefault="007669A9" w:rsidP="00B773AF">
            <w:pPr>
              <w:rPr>
                <w:rFonts w:ascii="Arial" w:hAnsi="Arial" w:cs="Arial"/>
                <w:szCs w:val="24"/>
              </w:rPr>
            </w:pPr>
          </w:p>
          <w:p w14:paraId="197FD4FB" w14:textId="77777777" w:rsidR="0073288B" w:rsidRDefault="0073288B" w:rsidP="00B773AF">
            <w:pPr>
              <w:rPr>
                <w:rFonts w:ascii="Arial" w:hAnsi="Arial" w:cs="Arial"/>
                <w:szCs w:val="24"/>
              </w:rPr>
            </w:pPr>
            <w:r>
              <w:rPr>
                <w:rFonts w:ascii="Arial" w:hAnsi="Arial" w:cs="Arial"/>
                <w:szCs w:val="24"/>
              </w:rPr>
              <w:t>4.3</w:t>
            </w:r>
          </w:p>
          <w:p w14:paraId="581A4FB7" w14:textId="77777777" w:rsidR="00B773AF" w:rsidRDefault="00B773AF" w:rsidP="00ED749B">
            <w:pPr>
              <w:rPr>
                <w:rFonts w:ascii="Arial" w:hAnsi="Arial" w:cs="Arial"/>
                <w:szCs w:val="24"/>
              </w:rPr>
            </w:pPr>
          </w:p>
          <w:p w14:paraId="0470F19B" w14:textId="77777777" w:rsidR="00C825CC" w:rsidRDefault="00C825CC" w:rsidP="00ED749B">
            <w:pPr>
              <w:rPr>
                <w:rFonts w:ascii="Arial" w:hAnsi="Arial" w:cs="Arial"/>
                <w:szCs w:val="24"/>
              </w:rPr>
            </w:pPr>
          </w:p>
          <w:p w14:paraId="7BF17DC7" w14:textId="55607199" w:rsidR="00C825CC" w:rsidRDefault="00C825CC" w:rsidP="00ED749B">
            <w:pPr>
              <w:rPr>
                <w:rFonts w:ascii="Arial" w:hAnsi="Arial" w:cs="Arial"/>
                <w:szCs w:val="24"/>
              </w:rPr>
            </w:pPr>
          </w:p>
          <w:p w14:paraId="6FF2E8E0" w14:textId="77777777" w:rsidR="007669A9" w:rsidRDefault="007669A9" w:rsidP="00ED749B">
            <w:pPr>
              <w:rPr>
                <w:rFonts w:ascii="Arial" w:hAnsi="Arial" w:cs="Arial"/>
                <w:szCs w:val="24"/>
              </w:rPr>
            </w:pPr>
          </w:p>
          <w:p w14:paraId="7A733D84" w14:textId="77777777" w:rsidR="00CF27F5" w:rsidRDefault="00CF27F5" w:rsidP="00ED749B">
            <w:pPr>
              <w:rPr>
                <w:rFonts w:ascii="Arial" w:hAnsi="Arial" w:cs="Arial"/>
                <w:szCs w:val="24"/>
              </w:rPr>
            </w:pPr>
          </w:p>
          <w:p w14:paraId="320BE578" w14:textId="77777777" w:rsidR="00C825CC" w:rsidRDefault="00C825CC" w:rsidP="00ED749B">
            <w:pPr>
              <w:rPr>
                <w:rFonts w:ascii="Arial" w:hAnsi="Arial" w:cs="Arial"/>
                <w:szCs w:val="24"/>
              </w:rPr>
            </w:pPr>
            <w:r>
              <w:rPr>
                <w:rFonts w:ascii="Arial" w:hAnsi="Arial" w:cs="Arial"/>
                <w:szCs w:val="24"/>
              </w:rPr>
              <w:t>4.4</w:t>
            </w:r>
          </w:p>
          <w:p w14:paraId="0D6EF175" w14:textId="77777777" w:rsidR="00CF27F5" w:rsidRDefault="00CF27F5" w:rsidP="00ED749B">
            <w:pPr>
              <w:rPr>
                <w:rFonts w:ascii="Arial" w:hAnsi="Arial" w:cs="Arial"/>
                <w:szCs w:val="24"/>
              </w:rPr>
            </w:pPr>
          </w:p>
          <w:p w14:paraId="7431C634" w14:textId="77777777" w:rsidR="00CF27F5" w:rsidRDefault="00CF27F5" w:rsidP="00ED749B">
            <w:pPr>
              <w:rPr>
                <w:rFonts w:ascii="Arial" w:hAnsi="Arial" w:cs="Arial"/>
                <w:szCs w:val="24"/>
              </w:rPr>
            </w:pPr>
          </w:p>
          <w:p w14:paraId="348DBBA4" w14:textId="77777777" w:rsidR="00CF27F5" w:rsidRDefault="00CF27F5" w:rsidP="00ED749B">
            <w:pPr>
              <w:rPr>
                <w:rFonts w:ascii="Arial" w:hAnsi="Arial" w:cs="Arial"/>
                <w:szCs w:val="24"/>
              </w:rPr>
            </w:pPr>
          </w:p>
          <w:p w14:paraId="3C645B12" w14:textId="54DCC199" w:rsidR="00CF27F5" w:rsidRPr="00475BD7" w:rsidRDefault="00CF27F5" w:rsidP="00ED749B">
            <w:pPr>
              <w:rPr>
                <w:rFonts w:ascii="Arial" w:hAnsi="Arial" w:cs="Arial"/>
                <w:szCs w:val="24"/>
              </w:rPr>
            </w:pPr>
          </w:p>
        </w:tc>
        <w:tc>
          <w:tcPr>
            <w:tcW w:w="8647" w:type="dxa"/>
          </w:tcPr>
          <w:p w14:paraId="710688DE" w14:textId="77777777" w:rsidR="00CF27F5" w:rsidRPr="00263CD8" w:rsidRDefault="00CF27F5" w:rsidP="00CF27F5">
            <w:pPr>
              <w:jc w:val="both"/>
              <w:rPr>
                <w:rFonts w:ascii="Arial" w:hAnsi="Arial" w:cs="Arial"/>
                <w:szCs w:val="24"/>
              </w:rPr>
            </w:pPr>
            <w:r w:rsidRPr="00263CD8">
              <w:rPr>
                <w:rFonts w:ascii="Arial" w:hAnsi="Arial" w:cs="Arial"/>
                <w:szCs w:val="24"/>
              </w:rPr>
              <w:t>Facilities Audited:</w:t>
            </w: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1701"/>
              <w:gridCol w:w="1843"/>
            </w:tblGrid>
            <w:tr w:rsidR="000A0749" w:rsidRPr="00263CD8" w14:paraId="4CF3CDA3" w14:textId="77777777" w:rsidTr="0094408E">
              <w:tc>
                <w:tcPr>
                  <w:tcW w:w="4737" w:type="dxa"/>
                  <w:shd w:val="clear" w:color="auto" w:fill="BFBFBF"/>
                </w:tcPr>
                <w:p w14:paraId="22BDA9DB" w14:textId="0B1A8385" w:rsidR="000A0749" w:rsidRPr="00263CD8" w:rsidRDefault="000A0749" w:rsidP="000A0749">
                  <w:pPr>
                    <w:jc w:val="center"/>
                    <w:rPr>
                      <w:rFonts w:ascii="Arial" w:eastAsia="Calibri" w:hAnsi="Arial"/>
                      <w:sz w:val="22"/>
                      <w:szCs w:val="22"/>
                      <w:lang w:eastAsia="en-US"/>
                    </w:rPr>
                  </w:pPr>
                  <w:r>
                    <w:rPr>
                      <w:rFonts w:ascii="Arial" w:hAnsi="Arial"/>
                    </w:rPr>
                    <w:t xml:space="preserve">2022- 2023 Audits </w:t>
                  </w:r>
                </w:p>
              </w:tc>
              <w:tc>
                <w:tcPr>
                  <w:tcW w:w="1701" w:type="dxa"/>
                  <w:shd w:val="clear" w:color="auto" w:fill="BFBFBF"/>
                </w:tcPr>
                <w:p w14:paraId="6129FE1D" w14:textId="13342C6F" w:rsidR="000A0749" w:rsidRPr="00263CD8" w:rsidRDefault="000A0749" w:rsidP="000A0749">
                  <w:pPr>
                    <w:jc w:val="center"/>
                    <w:rPr>
                      <w:rFonts w:ascii="Arial" w:eastAsia="Calibri" w:hAnsi="Arial" w:cs="Arial"/>
                      <w:sz w:val="22"/>
                      <w:szCs w:val="22"/>
                      <w:lang w:eastAsia="en-US"/>
                    </w:rPr>
                  </w:pPr>
                  <w:r w:rsidRPr="002A3D67">
                    <w:rPr>
                      <w:rFonts w:ascii="Arial" w:hAnsi="Arial" w:cs="Arial"/>
                    </w:rPr>
                    <w:t>Time</w:t>
                  </w:r>
                </w:p>
              </w:tc>
              <w:tc>
                <w:tcPr>
                  <w:tcW w:w="1843" w:type="dxa"/>
                  <w:shd w:val="clear" w:color="auto" w:fill="BFBFBF"/>
                </w:tcPr>
                <w:p w14:paraId="23068A49" w14:textId="53994AC1" w:rsidR="000A0749" w:rsidRPr="00263CD8" w:rsidRDefault="000A0749" w:rsidP="000A0749">
                  <w:pPr>
                    <w:jc w:val="center"/>
                    <w:rPr>
                      <w:rFonts w:ascii="Arial" w:eastAsia="Calibri" w:hAnsi="Arial" w:cs="Arial"/>
                      <w:sz w:val="22"/>
                      <w:szCs w:val="22"/>
                      <w:lang w:eastAsia="en-US"/>
                    </w:rPr>
                  </w:pPr>
                  <w:r w:rsidRPr="001325A4">
                    <w:rPr>
                      <w:rFonts w:ascii="Arial" w:hAnsi="Arial" w:cs="Arial"/>
                    </w:rPr>
                    <w:t>Service</w:t>
                  </w:r>
                </w:p>
              </w:tc>
            </w:tr>
            <w:tr w:rsidR="000A0749" w:rsidRPr="00263CD8" w14:paraId="53785C85" w14:textId="77777777" w:rsidTr="0094408E">
              <w:tc>
                <w:tcPr>
                  <w:tcW w:w="4737" w:type="dxa"/>
                  <w:shd w:val="clear" w:color="auto" w:fill="auto"/>
                </w:tcPr>
                <w:p w14:paraId="4024CC1E" w14:textId="3AD5C34D" w:rsidR="000A0749" w:rsidRPr="00263CD8" w:rsidRDefault="000A0749" w:rsidP="000A0749">
                  <w:pPr>
                    <w:rPr>
                      <w:rFonts w:ascii="Arial" w:eastAsia="Calibri" w:hAnsi="Arial"/>
                      <w:sz w:val="22"/>
                      <w:szCs w:val="22"/>
                      <w:lang w:eastAsia="en-US"/>
                    </w:rPr>
                  </w:pPr>
                  <w:r w:rsidRPr="00685982">
                    <w:rPr>
                      <w:rFonts w:ascii="Arial" w:hAnsi="Arial"/>
                    </w:rPr>
                    <w:t>Inverness Botanic Gardens and Nursery</w:t>
                  </w:r>
                </w:p>
              </w:tc>
              <w:tc>
                <w:tcPr>
                  <w:tcW w:w="1701" w:type="dxa"/>
                  <w:shd w:val="clear" w:color="auto" w:fill="auto"/>
                </w:tcPr>
                <w:p w14:paraId="5EB775EF" w14:textId="35B23E1C" w:rsidR="000A0749" w:rsidRPr="00263CD8" w:rsidRDefault="000A0749" w:rsidP="000A0749">
                  <w:pPr>
                    <w:jc w:val="center"/>
                    <w:rPr>
                      <w:rFonts w:ascii="Arial" w:eastAsia="Calibri" w:hAnsi="Arial" w:cs="Arial"/>
                      <w:sz w:val="22"/>
                      <w:szCs w:val="22"/>
                      <w:lang w:eastAsia="en-US"/>
                    </w:rPr>
                  </w:pPr>
                  <w:r w:rsidRPr="002A3D67">
                    <w:rPr>
                      <w:rFonts w:ascii="Arial" w:hAnsi="Arial" w:cs="Arial"/>
                    </w:rPr>
                    <w:t>Full Day</w:t>
                  </w:r>
                </w:p>
              </w:tc>
              <w:tc>
                <w:tcPr>
                  <w:tcW w:w="1843" w:type="dxa"/>
                  <w:shd w:val="clear" w:color="auto" w:fill="auto"/>
                </w:tcPr>
                <w:p w14:paraId="3F344643" w14:textId="1205898C" w:rsidR="000A0749" w:rsidRPr="00263CD8" w:rsidRDefault="000A0749" w:rsidP="000A0749">
                  <w:pPr>
                    <w:jc w:val="center"/>
                    <w:rPr>
                      <w:rFonts w:ascii="Arial" w:eastAsia="Calibri" w:hAnsi="Arial" w:cs="Arial"/>
                      <w:sz w:val="22"/>
                      <w:szCs w:val="22"/>
                      <w:lang w:eastAsia="en-US"/>
                    </w:rPr>
                  </w:pPr>
                  <w:r w:rsidRPr="001325A4">
                    <w:rPr>
                      <w:rFonts w:ascii="Arial" w:hAnsi="Arial" w:cs="Arial"/>
                    </w:rPr>
                    <w:t>Leisure</w:t>
                  </w:r>
                </w:p>
              </w:tc>
            </w:tr>
            <w:tr w:rsidR="000A0749" w:rsidRPr="00263CD8" w14:paraId="6E14012C" w14:textId="77777777" w:rsidTr="0094408E">
              <w:tc>
                <w:tcPr>
                  <w:tcW w:w="4737" w:type="dxa"/>
                  <w:shd w:val="clear" w:color="auto" w:fill="auto"/>
                </w:tcPr>
                <w:p w14:paraId="4B822E89" w14:textId="797A7D5F" w:rsidR="000A0749" w:rsidRPr="00263CD8" w:rsidRDefault="000A0749" w:rsidP="000A0749">
                  <w:pPr>
                    <w:rPr>
                      <w:rFonts w:ascii="Arial" w:eastAsia="Calibri" w:hAnsi="Arial"/>
                      <w:sz w:val="22"/>
                      <w:szCs w:val="22"/>
                      <w:lang w:eastAsia="en-US"/>
                    </w:rPr>
                  </w:pPr>
                  <w:r w:rsidRPr="00685982">
                    <w:rPr>
                      <w:rFonts w:ascii="Arial" w:hAnsi="Arial"/>
                    </w:rPr>
                    <w:t>Joss Street Hall</w:t>
                  </w:r>
                  <w:r>
                    <w:rPr>
                      <w:rFonts w:ascii="Arial" w:hAnsi="Arial"/>
                    </w:rPr>
                    <w:t xml:space="preserve"> </w:t>
                  </w:r>
                </w:p>
              </w:tc>
              <w:tc>
                <w:tcPr>
                  <w:tcW w:w="1701" w:type="dxa"/>
                  <w:shd w:val="clear" w:color="auto" w:fill="auto"/>
                </w:tcPr>
                <w:p w14:paraId="5C401DE7" w14:textId="6B28AA95" w:rsidR="000A0749" w:rsidRPr="00263CD8" w:rsidRDefault="000A0749" w:rsidP="000A0749">
                  <w:pPr>
                    <w:jc w:val="center"/>
                    <w:rPr>
                      <w:rFonts w:ascii="Arial" w:eastAsia="Calibri" w:hAnsi="Arial" w:cs="Arial"/>
                      <w:sz w:val="22"/>
                      <w:szCs w:val="22"/>
                      <w:lang w:eastAsia="en-US"/>
                    </w:rPr>
                  </w:pPr>
                  <w:r w:rsidRPr="002A3D67">
                    <w:rPr>
                      <w:rFonts w:ascii="Arial" w:hAnsi="Arial" w:cs="Arial"/>
                    </w:rPr>
                    <w:t>½ Day</w:t>
                  </w:r>
                </w:p>
              </w:tc>
              <w:tc>
                <w:tcPr>
                  <w:tcW w:w="1843" w:type="dxa"/>
                  <w:shd w:val="clear" w:color="auto" w:fill="auto"/>
                </w:tcPr>
                <w:p w14:paraId="22C8027C" w14:textId="122506C0" w:rsidR="000A0749" w:rsidRPr="00263CD8" w:rsidRDefault="000A0749" w:rsidP="000A0749">
                  <w:pPr>
                    <w:jc w:val="center"/>
                    <w:rPr>
                      <w:rFonts w:ascii="Arial" w:eastAsia="Calibri" w:hAnsi="Arial" w:cs="Arial"/>
                      <w:sz w:val="22"/>
                      <w:szCs w:val="22"/>
                      <w:lang w:eastAsia="en-US"/>
                    </w:rPr>
                  </w:pPr>
                  <w:r>
                    <w:rPr>
                      <w:rFonts w:ascii="Arial" w:hAnsi="Arial" w:cs="Arial"/>
                    </w:rPr>
                    <w:t>Youth</w:t>
                  </w:r>
                </w:p>
              </w:tc>
            </w:tr>
            <w:tr w:rsidR="000A0749" w:rsidRPr="00263CD8" w14:paraId="381F2375" w14:textId="77777777" w:rsidTr="0094408E">
              <w:tc>
                <w:tcPr>
                  <w:tcW w:w="4737" w:type="dxa"/>
                  <w:shd w:val="clear" w:color="auto" w:fill="auto"/>
                </w:tcPr>
                <w:p w14:paraId="107DE2AF" w14:textId="3180A787" w:rsidR="000A0749" w:rsidRPr="00263CD8" w:rsidRDefault="000A0749" w:rsidP="000A0749">
                  <w:pPr>
                    <w:rPr>
                      <w:rFonts w:ascii="Arial" w:eastAsia="Calibri" w:hAnsi="Arial"/>
                      <w:sz w:val="22"/>
                      <w:szCs w:val="22"/>
                      <w:lang w:eastAsia="en-US"/>
                    </w:rPr>
                  </w:pPr>
                  <w:r w:rsidRPr="002A3D67">
                    <w:rPr>
                      <w:rFonts w:ascii="Arial" w:hAnsi="Arial"/>
                    </w:rPr>
                    <w:t>Averon Leisure Centre</w:t>
                  </w:r>
                </w:p>
              </w:tc>
              <w:tc>
                <w:tcPr>
                  <w:tcW w:w="1701" w:type="dxa"/>
                  <w:shd w:val="clear" w:color="auto" w:fill="auto"/>
                </w:tcPr>
                <w:p w14:paraId="486E040D" w14:textId="2FA7AD3A" w:rsidR="000A0749" w:rsidRPr="00263CD8" w:rsidRDefault="000A0749" w:rsidP="000A0749">
                  <w:pPr>
                    <w:jc w:val="center"/>
                    <w:rPr>
                      <w:rFonts w:ascii="Arial" w:eastAsia="Calibri" w:hAnsi="Arial" w:cs="Arial"/>
                      <w:sz w:val="22"/>
                      <w:szCs w:val="22"/>
                      <w:lang w:eastAsia="en-US"/>
                    </w:rPr>
                  </w:pPr>
                  <w:r w:rsidRPr="002A3D67">
                    <w:rPr>
                      <w:rFonts w:ascii="Arial" w:hAnsi="Arial" w:cs="Arial"/>
                    </w:rPr>
                    <w:t>½ Day</w:t>
                  </w:r>
                </w:p>
              </w:tc>
              <w:tc>
                <w:tcPr>
                  <w:tcW w:w="1843" w:type="dxa"/>
                  <w:shd w:val="clear" w:color="auto" w:fill="auto"/>
                </w:tcPr>
                <w:p w14:paraId="3F9E5491" w14:textId="4EAD52FA" w:rsidR="000A0749" w:rsidRPr="00263CD8" w:rsidRDefault="000A0749" w:rsidP="000A0749">
                  <w:pPr>
                    <w:jc w:val="center"/>
                    <w:rPr>
                      <w:rFonts w:ascii="Arial" w:eastAsia="Calibri" w:hAnsi="Arial" w:cs="Arial"/>
                      <w:sz w:val="22"/>
                      <w:szCs w:val="22"/>
                      <w:lang w:eastAsia="en-US"/>
                    </w:rPr>
                  </w:pPr>
                  <w:r w:rsidRPr="002A3D67">
                    <w:rPr>
                      <w:rFonts w:ascii="Arial" w:hAnsi="Arial" w:cs="Arial"/>
                    </w:rPr>
                    <w:t>Leisure</w:t>
                  </w:r>
                </w:p>
              </w:tc>
            </w:tr>
            <w:tr w:rsidR="000A0749" w:rsidRPr="00263CD8" w14:paraId="6ECF4256" w14:textId="77777777" w:rsidTr="0094408E">
              <w:tc>
                <w:tcPr>
                  <w:tcW w:w="4737" w:type="dxa"/>
                  <w:shd w:val="clear" w:color="auto" w:fill="auto"/>
                </w:tcPr>
                <w:p w14:paraId="1D9FFEBF" w14:textId="6A55108B" w:rsidR="000A0749" w:rsidRPr="00263CD8" w:rsidRDefault="000A0749" w:rsidP="000A0749">
                  <w:pPr>
                    <w:rPr>
                      <w:rFonts w:ascii="Arial" w:eastAsia="Calibri" w:hAnsi="Arial"/>
                      <w:sz w:val="22"/>
                      <w:szCs w:val="22"/>
                      <w:lang w:eastAsia="en-US"/>
                    </w:rPr>
                  </w:pPr>
                  <w:r>
                    <w:rPr>
                      <w:rFonts w:ascii="Arial" w:hAnsi="Arial"/>
                    </w:rPr>
                    <w:t xml:space="preserve">Fort William Mobile Library </w:t>
                  </w:r>
                  <w:r>
                    <w:rPr>
                      <w:rFonts w:ascii="Arial" w:hAnsi="Arial"/>
                      <w:i/>
                      <w:iCs/>
                    </w:rPr>
                    <w:t>via MS Teams</w:t>
                  </w:r>
                </w:p>
              </w:tc>
              <w:tc>
                <w:tcPr>
                  <w:tcW w:w="1701" w:type="dxa"/>
                  <w:shd w:val="clear" w:color="auto" w:fill="auto"/>
                </w:tcPr>
                <w:p w14:paraId="1DFCA48E" w14:textId="5C688886" w:rsidR="000A0749" w:rsidRPr="00263CD8" w:rsidRDefault="000A0749" w:rsidP="000A0749">
                  <w:pPr>
                    <w:jc w:val="center"/>
                    <w:rPr>
                      <w:rFonts w:ascii="Arial" w:eastAsia="Calibri" w:hAnsi="Arial" w:cs="Arial"/>
                      <w:sz w:val="22"/>
                      <w:szCs w:val="22"/>
                      <w:lang w:eastAsia="en-US"/>
                    </w:rPr>
                  </w:pPr>
                  <w:r w:rsidRPr="002A3D67">
                    <w:rPr>
                      <w:rFonts w:ascii="Arial" w:hAnsi="Arial" w:cs="Arial"/>
                    </w:rPr>
                    <w:t>½ Day</w:t>
                  </w:r>
                </w:p>
              </w:tc>
              <w:tc>
                <w:tcPr>
                  <w:tcW w:w="1843" w:type="dxa"/>
                  <w:shd w:val="clear" w:color="auto" w:fill="auto"/>
                </w:tcPr>
                <w:p w14:paraId="004193C9" w14:textId="314A6954" w:rsidR="000A0749" w:rsidRPr="00263CD8" w:rsidRDefault="000A0749" w:rsidP="000A0749">
                  <w:pPr>
                    <w:jc w:val="center"/>
                    <w:rPr>
                      <w:rFonts w:ascii="Arial" w:eastAsia="Calibri" w:hAnsi="Arial" w:cs="Arial"/>
                      <w:sz w:val="22"/>
                      <w:szCs w:val="22"/>
                      <w:lang w:eastAsia="en-US"/>
                    </w:rPr>
                  </w:pPr>
                  <w:r w:rsidRPr="001325A4">
                    <w:rPr>
                      <w:rFonts w:ascii="Arial" w:hAnsi="Arial" w:cs="Arial"/>
                    </w:rPr>
                    <w:t>Libraries</w:t>
                  </w:r>
                </w:p>
              </w:tc>
            </w:tr>
            <w:tr w:rsidR="000A0749" w:rsidRPr="00263CD8" w14:paraId="11F708EF" w14:textId="77777777" w:rsidTr="0094408E">
              <w:tc>
                <w:tcPr>
                  <w:tcW w:w="4737" w:type="dxa"/>
                  <w:shd w:val="clear" w:color="auto" w:fill="auto"/>
                </w:tcPr>
                <w:p w14:paraId="2030BF8D" w14:textId="0EB77D88" w:rsidR="000A0749" w:rsidRPr="00263CD8" w:rsidRDefault="000A0749" w:rsidP="000A0749">
                  <w:pPr>
                    <w:rPr>
                      <w:rFonts w:ascii="Arial" w:eastAsia="Calibri" w:hAnsi="Arial"/>
                      <w:sz w:val="22"/>
                      <w:szCs w:val="22"/>
                      <w:lang w:eastAsia="en-US"/>
                    </w:rPr>
                  </w:pPr>
                  <w:r>
                    <w:rPr>
                      <w:rFonts w:ascii="Arial" w:hAnsi="Arial"/>
                    </w:rPr>
                    <w:t>Alness Youth Centre</w:t>
                  </w:r>
                </w:p>
              </w:tc>
              <w:tc>
                <w:tcPr>
                  <w:tcW w:w="1701" w:type="dxa"/>
                  <w:shd w:val="clear" w:color="auto" w:fill="auto"/>
                </w:tcPr>
                <w:p w14:paraId="09315214" w14:textId="30577EDB" w:rsidR="000A0749" w:rsidRPr="00263CD8" w:rsidRDefault="000A0749" w:rsidP="000A0749">
                  <w:pPr>
                    <w:jc w:val="center"/>
                    <w:rPr>
                      <w:rFonts w:ascii="Arial" w:eastAsia="Calibri" w:hAnsi="Arial" w:cs="Arial"/>
                      <w:sz w:val="22"/>
                      <w:szCs w:val="22"/>
                      <w:lang w:eastAsia="en-US"/>
                    </w:rPr>
                  </w:pPr>
                  <w:r w:rsidRPr="002A3D67">
                    <w:rPr>
                      <w:rFonts w:ascii="Arial" w:hAnsi="Arial" w:cs="Arial"/>
                    </w:rPr>
                    <w:t>½ Day</w:t>
                  </w:r>
                </w:p>
              </w:tc>
              <w:tc>
                <w:tcPr>
                  <w:tcW w:w="1843" w:type="dxa"/>
                  <w:shd w:val="clear" w:color="auto" w:fill="auto"/>
                </w:tcPr>
                <w:p w14:paraId="4426722D" w14:textId="27AA7718" w:rsidR="000A0749" w:rsidRPr="00263CD8" w:rsidRDefault="000A0749" w:rsidP="000A0749">
                  <w:pPr>
                    <w:jc w:val="center"/>
                    <w:rPr>
                      <w:rFonts w:ascii="Arial" w:eastAsia="Calibri" w:hAnsi="Arial" w:cs="Arial"/>
                      <w:sz w:val="22"/>
                      <w:szCs w:val="22"/>
                      <w:lang w:eastAsia="en-US"/>
                    </w:rPr>
                  </w:pPr>
                  <w:r w:rsidRPr="001325A4">
                    <w:rPr>
                      <w:rFonts w:ascii="Arial" w:hAnsi="Arial" w:cs="Arial"/>
                    </w:rPr>
                    <w:t>Youth</w:t>
                  </w:r>
                </w:p>
              </w:tc>
            </w:tr>
            <w:tr w:rsidR="00DA5EDC" w:rsidRPr="00263CD8" w14:paraId="271CE91D" w14:textId="77777777" w:rsidTr="0094408E">
              <w:tc>
                <w:tcPr>
                  <w:tcW w:w="4737" w:type="dxa"/>
                  <w:shd w:val="clear" w:color="auto" w:fill="auto"/>
                </w:tcPr>
                <w:p w14:paraId="2FF5541B" w14:textId="41CDE841" w:rsidR="00DA5EDC" w:rsidRDefault="00DA5EDC" w:rsidP="00DA5EDC">
                  <w:pPr>
                    <w:rPr>
                      <w:rFonts w:ascii="Arial" w:hAnsi="Arial"/>
                    </w:rPr>
                  </w:pPr>
                  <w:r>
                    <w:rPr>
                      <w:rFonts w:ascii="Arial" w:hAnsi="Arial"/>
                    </w:rPr>
                    <w:t>Dingwall LC</w:t>
                  </w:r>
                </w:p>
              </w:tc>
              <w:tc>
                <w:tcPr>
                  <w:tcW w:w="1701" w:type="dxa"/>
                  <w:shd w:val="clear" w:color="auto" w:fill="auto"/>
                </w:tcPr>
                <w:p w14:paraId="71A86D3E" w14:textId="1353D796" w:rsidR="00DA5EDC" w:rsidRPr="002A3D67" w:rsidRDefault="00DA5EDC" w:rsidP="00DA5EDC">
                  <w:pPr>
                    <w:jc w:val="center"/>
                    <w:rPr>
                      <w:rFonts w:ascii="Arial" w:hAnsi="Arial" w:cs="Arial"/>
                    </w:rPr>
                  </w:pPr>
                  <w:r w:rsidRPr="002A3D67">
                    <w:rPr>
                      <w:rFonts w:ascii="Arial" w:hAnsi="Arial" w:cs="Arial"/>
                    </w:rPr>
                    <w:t>Full Day</w:t>
                  </w:r>
                </w:p>
              </w:tc>
              <w:tc>
                <w:tcPr>
                  <w:tcW w:w="1843" w:type="dxa"/>
                  <w:shd w:val="clear" w:color="auto" w:fill="auto"/>
                </w:tcPr>
                <w:p w14:paraId="6573D0C4" w14:textId="12826465" w:rsidR="00DA5EDC" w:rsidRPr="001325A4" w:rsidRDefault="00DA5EDC" w:rsidP="00DA5EDC">
                  <w:pPr>
                    <w:jc w:val="center"/>
                    <w:rPr>
                      <w:rFonts w:ascii="Arial" w:hAnsi="Arial" w:cs="Arial"/>
                    </w:rPr>
                  </w:pPr>
                  <w:r w:rsidRPr="001325A4">
                    <w:rPr>
                      <w:rFonts w:ascii="Arial" w:hAnsi="Arial" w:cs="Arial"/>
                    </w:rPr>
                    <w:t>Leisure</w:t>
                  </w:r>
                </w:p>
              </w:tc>
            </w:tr>
          </w:tbl>
          <w:p w14:paraId="4D1E7178" w14:textId="77777777" w:rsidR="00CF27F5" w:rsidRPr="00263CD8" w:rsidRDefault="00CF27F5" w:rsidP="00CF27F5">
            <w:pPr>
              <w:jc w:val="both"/>
              <w:rPr>
                <w:rFonts w:ascii="Arial" w:hAnsi="Arial" w:cs="Arial"/>
                <w:szCs w:val="24"/>
              </w:rPr>
            </w:pPr>
          </w:p>
          <w:p w14:paraId="5F6A1F18" w14:textId="67766304" w:rsidR="00CF27F5" w:rsidRDefault="00054288" w:rsidP="00CF27F5">
            <w:pPr>
              <w:jc w:val="both"/>
              <w:rPr>
                <w:rFonts w:ascii="Arial" w:hAnsi="Arial" w:cs="Arial"/>
                <w:szCs w:val="24"/>
              </w:rPr>
            </w:pPr>
            <w:r>
              <w:rPr>
                <w:rFonts w:ascii="Arial" w:hAnsi="Arial" w:cs="Arial"/>
                <w:szCs w:val="24"/>
              </w:rPr>
              <w:t>D</w:t>
            </w:r>
            <w:r w:rsidR="00CF27F5" w:rsidRPr="00263CD8">
              <w:rPr>
                <w:rFonts w:ascii="Arial" w:hAnsi="Arial" w:cs="Arial"/>
                <w:szCs w:val="24"/>
              </w:rPr>
              <w:t>uring the audits</w:t>
            </w:r>
            <w:r w:rsidR="00CF27F5">
              <w:rPr>
                <w:rFonts w:ascii="Arial" w:hAnsi="Arial" w:cs="Arial"/>
                <w:szCs w:val="24"/>
              </w:rPr>
              <w:t xml:space="preserve"> </w:t>
            </w:r>
            <w:r>
              <w:rPr>
                <w:rFonts w:ascii="Arial" w:hAnsi="Arial" w:cs="Arial"/>
                <w:szCs w:val="24"/>
              </w:rPr>
              <w:t>a small number of actions were identified to reduce risk,</w:t>
            </w:r>
            <w:r w:rsidR="00CF27F5">
              <w:rPr>
                <w:rFonts w:ascii="Arial" w:hAnsi="Arial" w:cs="Arial"/>
                <w:szCs w:val="24"/>
              </w:rPr>
              <w:t xml:space="preserve"> the action within the reports continue to be monitored by the </w:t>
            </w:r>
            <w:r w:rsidR="00CF27F5" w:rsidRPr="00263CD8">
              <w:rPr>
                <w:rFonts w:ascii="Arial" w:hAnsi="Arial" w:cs="Arial"/>
                <w:szCs w:val="24"/>
              </w:rPr>
              <w:t>Health and Safety and Environmental Compliance Committee</w:t>
            </w:r>
            <w:r w:rsidR="00CF27F5">
              <w:rPr>
                <w:rFonts w:ascii="Arial" w:hAnsi="Arial" w:cs="Arial"/>
                <w:szCs w:val="24"/>
              </w:rPr>
              <w:t>.</w:t>
            </w:r>
            <w:r>
              <w:t xml:space="preserve"> </w:t>
            </w:r>
            <w:r w:rsidRPr="00054288">
              <w:rPr>
                <w:rFonts w:ascii="Arial" w:hAnsi="Arial" w:cs="Arial"/>
                <w:szCs w:val="24"/>
              </w:rPr>
              <w:t>A small number of actions related to issues that affect multiple properties or services across HLH that are being managed by the Health and Safety team</w:t>
            </w:r>
          </w:p>
          <w:p w14:paraId="0537C107" w14:textId="77777777" w:rsidR="00CF27F5" w:rsidRDefault="00CF27F5" w:rsidP="00CF27F5">
            <w:pPr>
              <w:jc w:val="both"/>
              <w:rPr>
                <w:rFonts w:ascii="Arial" w:hAnsi="Arial" w:cs="Arial"/>
                <w:szCs w:val="24"/>
              </w:rPr>
            </w:pPr>
          </w:p>
          <w:p w14:paraId="46F4CCD6" w14:textId="6AAFA2E8" w:rsidR="00CF27F5" w:rsidRDefault="00CF27F5" w:rsidP="00CF27F5">
            <w:pPr>
              <w:jc w:val="both"/>
              <w:rPr>
                <w:rFonts w:ascii="Arial" w:hAnsi="Arial" w:cs="Arial"/>
                <w:szCs w:val="24"/>
              </w:rPr>
            </w:pPr>
            <w:r w:rsidRPr="006067E2">
              <w:rPr>
                <w:rFonts w:ascii="Arial" w:hAnsi="Arial" w:cs="Arial"/>
                <w:szCs w:val="24"/>
              </w:rPr>
              <w:t xml:space="preserve">The completion of all action plans has been set for the end of </w:t>
            </w:r>
            <w:r w:rsidR="000A0749" w:rsidRPr="006067E2">
              <w:rPr>
                <w:rFonts w:ascii="Arial" w:hAnsi="Arial" w:cs="Arial"/>
                <w:szCs w:val="24"/>
              </w:rPr>
              <w:t xml:space="preserve">May </w:t>
            </w:r>
            <w:r w:rsidRPr="006067E2">
              <w:rPr>
                <w:rFonts w:ascii="Arial" w:hAnsi="Arial" w:cs="Arial"/>
                <w:szCs w:val="24"/>
              </w:rPr>
              <w:t>202</w:t>
            </w:r>
            <w:r w:rsidR="00D215CB" w:rsidRPr="006067E2">
              <w:rPr>
                <w:rFonts w:ascii="Arial" w:hAnsi="Arial" w:cs="Arial"/>
                <w:szCs w:val="24"/>
              </w:rPr>
              <w:t>3</w:t>
            </w:r>
            <w:r w:rsidRPr="006067E2">
              <w:rPr>
                <w:rFonts w:ascii="Arial" w:hAnsi="Arial" w:cs="Arial"/>
                <w:szCs w:val="24"/>
              </w:rPr>
              <w:t>,</w:t>
            </w:r>
            <w:r w:rsidR="00F82C42" w:rsidRPr="006067E2">
              <w:rPr>
                <w:rFonts w:ascii="Arial" w:hAnsi="Arial" w:cs="Arial"/>
                <w:szCs w:val="24"/>
              </w:rPr>
              <w:t xml:space="preserve"> each RPO will return evidence of completion to the</w:t>
            </w:r>
            <w:r w:rsidR="00F82C42" w:rsidRPr="006067E2">
              <w:t xml:space="preserve"> </w:t>
            </w:r>
            <w:r w:rsidR="00F82C42" w:rsidRPr="006067E2">
              <w:rPr>
                <w:rFonts w:ascii="Arial" w:hAnsi="Arial" w:cs="Arial"/>
                <w:szCs w:val="24"/>
              </w:rPr>
              <w:t xml:space="preserve">Health &amp; Safety team </w:t>
            </w:r>
            <w:r w:rsidR="00304890" w:rsidRPr="006067E2">
              <w:rPr>
                <w:rFonts w:ascii="Arial" w:hAnsi="Arial" w:cs="Arial"/>
                <w:szCs w:val="24"/>
              </w:rPr>
              <w:t>early</w:t>
            </w:r>
            <w:r w:rsidR="00F82C42" w:rsidRPr="006067E2">
              <w:rPr>
                <w:rFonts w:ascii="Arial" w:hAnsi="Arial" w:cs="Arial"/>
                <w:szCs w:val="24"/>
              </w:rPr>
              <w:t xml:space="preserve"> June 2023</w:t>
            </w:r>
            <w:r w:rsidR="008F4380" w:rsidRPr="006067E2">
              <w:rPr>
                <w:rFonts w:ascii="Arial" w:hAnsi="Arial" w:cs="Arial"/>
                <w:szCs w:val="24"/>
              </w:rPr>
              <w:t xml:space="preserve">.The team will </w:t>
            </w:r>
            <w:r w:rsidRPr="006067E2">
              <w:rPr>
                <w:rFonts w:ascii="Arial" w:hAnsi="Arial" w:cs="Arial"/>
                <w:szCs w:val="24"/>
              </w:rPr>
              <w:t>review each plan</w:t>
            </w:r>
            <w:r w:rsidR="008F4380" w:rsidRPr="006067E2">
              <w:rPr>
                <w:rFonts w:ascii="Arial" w:hAnsi="Arial" w:cs="Arial"/>
                <w:szCs w:val="24"/>
              </w:rPr>
              <w:t>s</w:t>
            </w:r>
            <w:r w:rsidR="00304890" w:rsidRPr="006067E2">
              <w:rPr>
                <w:rFonts w:ascii="Arial" w:hAnsi="Arial" w:cs="Arial"/>
                <w:szCs w:val="24"/>
              </w:rPr>
              <w:t xml:space="preserve"> </w:t>
            </w:r>
            <w:r w:rsidR="008F4380" w:rsidRPr="006067E2">
              <w:rPr>
                <w:rFonts w:ascii="Arial" w:hAnsi="Arial" w:cs="Arial"/>
                <w:szCs w:val="24"/>
              </w:rPr>
              <w:t xml:space="preserve">along with the </w:t>
            </w:r>
            <w:proofErr w:type="spellStart"/>
            <w:r w:rsidRPr="006067E2">
              <w:rPr>
                <w:rFonts w:ascii="Arial" w:hAnsi="Arial" w:cs="Arial"/>
                <w:szCs w:val="24"/>
              </w:rPr>
              <w:t>on site</w:t>
            </w:r>
            <w:proofErr w:type="spellEnd"/>
            <w:r w:rsidRPr="006067E2">
              <w:rPr>
                <w:rFonts w:ascii="Arial" w:hAnsi="Arial" w:cs="Arial"/>
                <w:szCs w:val="24"/>
              </w:rPr>
              <w:t xml:space="preserve"> RPO</w:t>
            </w:r>
            <w:r w:rsidR="00304890" w:rsidRPr="006067E2">
              <w:rPr>
                <w:rFonts w:ascii="Arial" w:hAnsi="Arial" w:cs="Arial"/>
                <w:szCs w:val="24"/>
              </w:rPr>
              <w:t xml:space="preserve"> by the end of July 2023, the</w:t>
            </w:r>
            <w:r w:rsidRPr="006067E2">
              <w:rPr>
                <w:rFonts w:ascii="Arial" w:hAnsi="Arial" w:cs="Arial"/>
                <w:szCs w:val="24"/>
              </w:rPr>
              <w:t xml:space="preserve"> evidence </w:t>
            </w:r>
            <w:r w:rsidR="00304890" w:rsidRPr="006067E2">
              <w:rPr>
                <w:rFonts w:ascii="Arial" w:hAnsi="Arial" w:cs="Arial"/>
                <w:szCs w:val="24"/>
              </w:rPr>
              <w:t xml:space="preserve">providing will </w:t>
            </w:r>
            <w:r w:rsidRPr="006067E2">
              <w:rPr>
                <w:rFonts w:ascii="Arial" w:hAnsi="Arial" w:cs="Arial"/>
                <w:szCs w:val="24"/>
              </w:rPr>
              <w:t xml:space="preserve">ensure that </w:t>
            </w:r>
            <w:r w:rsidR="00304890" w:rsidRPr="006067E2">
              <w:rPr>
                <w:rFonts w:ascii="Arial" w:hAnsi="Arial" w:cs="Arial"/>
                <w:szCs w:val="24"/>
              </w:rPr>
              <w:t>completion</w:t>
            </w:r>
            <w:r w:rsidRPr="006067E2">
              <w:rPr>
                <w:rFonts w:ascii="Arial" w:hAnsi="Arial" w:cs="Arial"/>
                <w:szCs w:val="24"/>
              </w:rPr>
              <w:t xml:space="preserve"> has been achieved </w:t>
            </w:r>
            <w:r w:rsidR="008F4380" w:rsidRPr="006067E2">
              <w:rPr>
                <w:rFonts w:ascii="Arial" w:hAnsi="Arial" w:cs="Arial"/>
                <w:szCs w:val="24"/>
              </w:rPr>
              <w:t>and</w:t>
            </w:r>
            <w:r w:rsidRPr="006067E2">
              <w:rPr>
                <w:rFonts w:ascii="Arial" w:hAnsi="Arial" w:cs="Arial"/>
                <w:szCs w:val="24"/>
              </w:rPr>
              <w:t xml:space="preserve"> the QLM Audit for 202</w:t>
            </w:r>
            <w:r w:rsidR="00D215CB" w:rsidRPr="006067E2">
              <w:rPr>
                <w:rFonts w:ascii="Arial" w:hAnsi="Arial" w:cs="Arial"/>
                <w:szCs w:val="24"/>
              </w:rPr>
              <w:t>2</w:t>
            </w:r>
            <w:r w:rsidRPr="006067E2">
              <w:rPr>
                <w:rFonts w:ascii="Arial" w:hAnsi="Arial" w:cs="Arial"/>
                <w:szCs w:val="24"/>
              </w:rPr>
              <w:t>/2</w:t>
            </w:r>
            <w:r w:rsidR="00D215CB" w:rsidRPr="006067E2">
              <w:rPr>
                <w:rFonts w:ascii="Arial" w:hAnsi="Arial" w:cs="Arial"/>
                <w:szCs w:val="24"/>
              </w:rPr>
              <w:t>3</w:t>
            </w:r>
            <w:r w:rsidRPr="006067E2">
              <w:rPr>
                <w:rFonts w:ascii="Arial" w:hAnsi="Arial" w:cs="Arial"/>
                <w:szCs w:val="24"/>
              </w:rPr>
              <w:t xml:space="preserve"> can be closed</w:t>
            </w:r>
            <w:r w:rsidR="008F4380" w:rsidRPr="006067E2">
              <w:rPr>
                <w:rFonts w:ascii="Arial" w:hAnsi="Arial" w:cs="Arial"/>
                <w:szCs w:val="24"/>
              </w:rPr>
              <w:t>. A further update report</w:t>
            </w:r>
            <w:r w:rsidR="006067E2" w:rsidRPr="006067E2">
              <w:rPr>
                <w:rFonts w:ascii="Arial" w:hAnsi="Arial" w:cs="Arial"/>
                <w:szCs w:val="24"/>
              </w:rPr>
              <w:t xml:space="preserve"> </w:t>
            </w:r>
            <w:r w:rsidRPr="006067E2">
              <w:rPr>
                <w:rFonts w:ascii="Arial" w:hAnsi="Arial" w:cs="Arial"/>
                <w:szCs w:val="24"/>
              </w:rPr>
              <w:t xml:space="preserve">will then be </w:t>
            </w:r>
            <w:r w:rsidR="008F4380" w:rsidRPr="006067E2">
              <w:rPr>
                <w:rFonts w:ascii="Arial" w:hAnsi="Arial" w:cs="Arial"/>
                <w:szCs w:val="24"/>
              </w:rPr>
              <w:t xml:space="preserve">presented </w:t>
            </w:r>
            <w:r w:rsidRPr="006067E2">
              <w:rPr>
                <w:rFonts w:ascii="Arial" w:hAnsi="Arial" w:cs="Arial"/>
                <w:szCs w:val="24"/>
              </w:rPr>
              <w:t xml:space="preserve">to the Health and Safety and Environmental Compliance </w:t>
            </w:r>
            <w:r w:rsidRPr="00963A09">
              <w:rPr>
                <w:rFonts w:ascii="Arial" w:hAnsi="Arial" w:cs="Arial"/>
                <w:szCs w:val="24"/>
              </w:rPr>
              <w:t>Committee at its November meeting</w:t>
            </w:r>
            <w:r w:rsidR="00D215CB" w:rsidRPr="00963A09">
              <w:rPr>
                <w:rFonts w:ascii="Arial" w:hAnsi="Arial" w:cs="Arial"/>
                <w:szCs w:val="24"/>
              </w:rPr>
              <w:t>.</w:t>
            </w:r>
          </w:p>
          <w:p w14:paraId="3862F66C" w14:textId="77777777" w:rsidR="00386D69" w:rsidRPr="00475BD7" w:rsidRDefault="00386D69" w:rsidP="0073288B">
            <w:pPr>
              <w:jc w:val="both"/>
              <w:rPr>
                <w:rFonts w:ascii="Arial" w:hAnsi="Arial" w:cs="Arial"/>
                <w:szCs w:val="24"/>
              </w:rPr>
            </w:pPr>
          </w:p>
        </w:tc>
      </w:tr>
      <w:tr w:rsidR="00B773AF" w:rsidRPr="00475BD7" w14:paraId="3680F26D" w14:textId="77777777" w:rsidTr="00ED749B">
        <w:tc>
          <w:tcPr>
            <w:tcW w:w="817" w:type="dxa"/>
          </w:tcPr>
          <w:p w14:paraId="245CC8E7" w14:textId="77777777" w:rsidR="00B773AF" w:rsidRDefault="00B773AF" w:rsidP="00B773AF">
            <w:pPr>
              <w:rPr>
                <w:rFonts w:ascii="Arial" w:hAnsi="Arial" w:cs="Arial"/>
                <w:b/>
                <w:szCs w:val="24"/>
              </w:rPr>
            </w:pPr>
            <w:r w:rsidRPr="00400E23">
              <w:rPr>
                <w:rFonts w:ascii="Arial" w:hAnsi="Arial" w:cs="Arial"/>
                <w:b/>
                <w:szCs w:val="24"/>
              </w:rPr>
              <w:t>5</w:t>
            </w:r>
            <w:r w:rsidR="00593253">
              <w:rPr>
                <w:rFonts w:ascii="Arial" w:hAnsi="Arial" w:cs="Arial"/>
                <w:b/>
                <w:szCs w:val="24"/>
              </w:rPr>
              <w:t>.</w:t>
            </w:r>
          </w:p>
          <w:p w14:paraId="16940B14" w14:textId="77777777" w:rsidR="00B773AF" w:rsidRDefault="00B773AF" w:rsidP="00ED749B">
            <w:pPr>
              <w:rPr>
                <w:rFonts w:ascii="Arial" w:hAnsi="Arial" w:cs="Arial"/>
                <w:szCs w:val="24"/>
              </w:rPr>
            </w:pPr>
          </w:p>
        </w:tc>
        <w:tc>
          <w:tcPr>
            <w:tcW w:w="8647" w:type="dxa"/>
          </w:tcPr>
          <w:p w14:paraId="4879CAD8" w14:textId="77777777" w:rsidR="00B773AF" w:rsidRPr="00457E59" w:rsidRDefault="00B773AF" w:rsidP="00B773AF">
            <w:pPr>
              <w:jc w:val="both"/>
              <w:rPr>
                <w:rFonts w:ascii="Arial" w:hAnsi="Arial" w:cs="Arial"/>
                <w:b/>
                <w:szCs w:val="24"/>
              </w:rPr>
            </w:pPr>
            <w:r w:rsidRPr="00457E59">
              <w:rPr>
                <w:rFonts w:ascii="Arial" w:hAnsi="Arial" w:cs="Arial"/>
                <w:b/>
                <w:szCs w:val="24"/>
              </w:rPr>
              <w:t>Safety Representatives Charter</w:t>
            </w:r>
          </w:p>
          <w:p w14:paraId="03678C60" w14:textId="77777777" w:rsidR="00B773AF" w:rsidRPr="00457E59" w:rsidRDefault="00B773AF" w:rsidP="00824100">
            <w:pPr>
              <w:jc w:val="both"/>
              <w:rPr>
                <w:rFonts w:ascii="Arial" w:hAnsi="Arial" w:cs="Arial"/>
                <w:szCs w:val="24"/>
              </w:rPr>
            </w:pPr>
          </w:p>
        </w:tc>
      </w:tr>
      <w:tr w:rsidR="003E4A6E" w:rsidRPr="00475BD7" w14:paraId="39803760" w14:textId="77777777" w:rsidTr="00ED749B">
        <w:tc>
          <w:tcPr>
            <w:tcW w:w="817" w:type="dxa"/>
          </w:tcPr>
          <w:p w14:paraId="0BE1183E" w14:textId="77777777" w:rsidR="00D266E0" w:rsidRPr="00400E23" w:rsidRDefault="00B773AF" w:rsidP="00B773AF">
            <w:pPr>
              <w:rPr>
                <w:rFonts w:ascii="Arial" w:hAnsi="Arial" w:cs="Arial"/>
                <w:b/>
                <w:szCs w:val="24"/>
              </w:rPr>
            </w:pPr>
            <w:r>
              <w:rPr>
                <w:rFonts w:ascii="Arial" w:hAnsi="Arial" w:cs="Arial"/>
                <w:szCs w:val="24"/>
              </w:rPr>
              <w:t>5.1</w:t>
            </w:r>
          </w:p>
        </w:tc>
        <w:tc>
          <w:tcPr>
            <w:tcW w:w="8647" w:type="dxa"/>
          </w:tcPr>
          <w:p w14:paraId="2F8C6EB7" w14:textId="6EBD0585" w:rsidR="00EA6E69" w:rsidRPr="00457E59" w:rsidRDefault="00EA6E69" w:rsidP="007669A9">
            <w:pPr>
              <w:jc w:val="both"/>
              <w:rPr>
                <w:rFonts w:ascii="Arial" w:hAnsi="Arial" w:cs="Arial"/>
                <w:szCs w:val="24"/>
              </w:rPr>
            </w:pPr>
            <w:r w:rsidRPr="00EA6E69">
              <w:rPr>
                <w:rFonts w:ascii="Arial" w:hAnsi="Arial" w:cs="Arial"/>
                <w:szCs w:val="24"/>
              </w:rPr>
              <w:t>In line with the Safety Representatives Charter agreed in June 2016</w:t>
            </w:r>
            <w:r w:rsidR="00054288">
              <w:rPr>
                <w:rFonts w:ascii="Arial" w:hAnsi="Arial" w:cs="Arial"/>
                <w:szCs w:val="24"/>
              </w:rPr>
              <w:t xml:space="preserve">, all </w:t>
            </w:r>
            <w:r w:rsidR="007669A9">
              <w:rPr>
                <w:rFonts w:ascii="Arial" w:hAnsi="Arial" w:cs="Arial"/>
                <w:szCs w:val="24"/>
              </w:rPr>
              <w:t>trade</w:t>
            </w:r>
            <w:r w:rsidR="00054288">
              <w:rPr>
                <w:rFonts w:ascii="Arial" w:hAnsi="Arial" w:cs="Arial"/>
                <w:szCs w:val="24"/>
              </w:rPr>
              <w:t xml:space="preserve"> </w:t>
            </w:r>
            <w:r w:rsidR="007669A9">
              <w:rPr>
                <w:rFonts w:ascii="Arial" w:hAnsi="Arial" w:cs="Arial"/>
                <w:szCs w:val="24"/>
              </w:rPr>
              <w:t>unions</w:t>
            </w:r>
            <w:r w:rsidR="00054288">
              <w:rPr>
                <w:rFonts w:ascii="Arial" w:hAnsi="Arial" w:cs="Arial"/>
                <w:szCs w:val="24"/>
              </w:rPr>
              <w:t xml:space="preserve"> have been </w:t>
            </w:r>
            <w:r w:rsidR="007669A9">
              <w:rPr>
                <w:rFonts w:ascii="Arial" w:hAnsi="Arial" w:cs="Arial"/>
                <w:szCs w:val="24"/>
              </w:rPr>
              <w:t>offered</w:t>
            </w:r>
            <w:r w:rsidR="00054288">
              <w:rPr>
                <w:rFonts w:ascii="Arial" w:hAnsi="Arial" w:cs="Arial"/>
                <w:szCs w:val="24"/>
              </w:rPr>
              <w:t xml:space="preserve"> the opportunity to </w:t>
            </w:r>
            <w:r w:rsidR="007669A9">
              <w:rPr>
                <w:rFonts w:ascii="Arial" w:hAnsi="Arial" w:cs="Arial"/>
                <w:szCs w:val="24"/>
              </w:rPr>
              <w:t>complete</w:t>
            </w:r>
            <w:r w:rsidR="00054288">
              <w:rPr>
                <w:rFonts w:ascii="Arial" w:hAnsi="Arial" w:cs="Arial"/>
                <w:szCs w:val="24"/>
              </w:rPr>
              <w:t xml:space="preserve"> a safety audit</w:t>
            </w:r>
            <w:r w:rsidRPr="00EA6E69">
              <w:rPr>
                <w:rFonts w:ascii="Arial" w:hAnsi="Arial" w:cs="Arial"/>
                <w:szCs w:val="24"/>
              </w:rPr>
              <w:t xml:space="preserve"> in 20</w:t>
            </w:r>
            <w:r>
              <w:rPr>
                <w:rFonts w:ascii="Arial" w:hAnsi="Arial" w:cs="Arial"/>
                <w:szCs w:val="24"/>
              </w:rPr>
              <w:t>2</w:t>
            </w:r>
            <w:r w:rsidR="00D215CB">
              <w:rPr>
                <w:rFonts w:ascii="Arial" w:hAnsi="Arial" w:cs="Arial"/>
                <w:szCs w:val="24"/>
              </w:rPr>
              <w:t>2</w:t>
            </w:r>
            <w:r w:rsidRPr="00EA6E69">
              <w:rPr>
                <w:rFonts w:ascii="Arial" w:hAnsi="Arial" w:cs="Arial"/>
                <w:szCs w:val="24"/>
              </w:rPr>
              <w:t>/</w:t>
            </w:r>
            <w:r>
              <w:rPr>
                <w:rFonts w:ascii="Arial" w:hAnsi="Arial" w:cs="Arial"/>
                <w:szCs w:val="24"/>
              </w:rPr>
              <w:t>2</w:t>
            </w:r>
            <w:r w:rsidR="00D215CB">
              <w:rPr>
                <w:rFonts w:ascii="Arial" w:hAnsi="Arial" w:cs="Arial"/>
                <w:szCs w:val="24"/>
              </w:rPr>
              <w:t>3</w:t>
            </w:r>
            <w:r w:rsidR="00054288">
              <w:rPr>
                <w:rFonts w:ascii="Arial" w:hAnsi="Arial" w:cs="Arial"/>
                <w:szCs w:val="24"/>
              </w:rPr>
              <w:t xml:space="preserve">, however no </w:t>
            </w:r>
            <w:r w:rsidR="007669A9">
              <w:rPr>
                <w:rFonts w:ascii="Arial" w:hAnsi="Arial" w:cs="Arial"/>
                <w:szCs w:val="24"/>
              </w:rPr>
              <w:t>audits</w:t>
            </w:r>
            <w:r w:rsidR="00054288">
              <w:rPr>
                <w:rFonts w:ascii="Arial" w:hAnsi="Arial" w:cs="Arial"/>
                <w:szCs w:val="24"/>
              </w:rPr>
              <w:t xml:space="preserve"> were</w:t>
            </w:r>
            <w:r w:rsidR="007669A9">
              <w:rPr>
                <w:rFonts w:ascii="Arial" w:hAnsi="Arial" w:cs="Arial"/>
                <w:szCs w:val="24"/>
              </w:rPr>
              <w:t xml:space="preserve"> completed.</w:t>
            </w:r>
          </w:p>
        </w:tc>
      </w:tr>
      <w:tr w:rsidR="00593253" w:rsidRPr="00593253" w14:paraId="10598C98" w14:textId="77777777" w:rsidTr="00ED749B">
        <w:tc>
          <w:tcPr>
            <w:tcW w:w="817" w:type="dxa"/>
          </w:tcPr>
          <w:p w14:paraId="4505381B" w14:textId="77777777" w:rsidR="00697EF3" w:rsidRPr="00D215CB" w:rsidRDefault="00697EF3" w:rsidP="008903B4">
            <w:pPr>
              <w:autoSpaceDE w:val="0"/>
              <w:autoSpaceDN w:val="0"/>
              <w:adjustRightInd w:val="0"/>
              <w:rPr>
                <w:rFonts w:ascii="Arial" w:hAnsi="Arial" w:cs="Arial"/>
                <w:color w:val="FF0000"/>
              </w:rPr>
            </w:pPr>
          </w:p>
        </w:tc>
        <w:tc>
          <w:tcPr>
            <w:tcW w:w="8647" w:type="dxa"/>
          </w:tcPr>
          <w:p w14:paraId="723257A7" w14:textId="0109263A" w:rsidR="00593253" w:rsidRPr="00D215CB" w:rsidRDefault="00593253" w:rsidP="002B2011">
            <w:pPr>
              <w:jc w:val="both"/>
              <w:rPr>
                <w:rFonts w:ascii="Arial" w:hAnsi="Arial" w:cs="Arial"/>
                <w:color w:val="FF0000"/>
                <w:highlight w:val="green"/>
              </w:rPr>
            </w:pPr>
          </w:p>
        </w:tc>
      </w:tr>
      <w:tr w:rsidR="00B93C09" w:rsidRPr="007214D1" w14:paraId="45DF922A" w14:textId="77777777" w:rsidTr="00ED749B">
        <w:tc>
          <w:tcPr>
            <w:tcW w:w="817" w:type="dxa"/>
          </w:tcPr>
          <w:p w14:paraId="56735E7C" w14:textId="141D3192" w:rsidR="00B93C09" w:rsidRPr="00B93C09" w:rsidRDefault="005A3770" w:rsidP="008903B4">
            <w:pPr>
              <w:autoSpaceDE w:val="0"/>
              <w:autoSpaceDN w:val="0"/>
              <w:adjustRightInd w:val="0"/>
              <w:rPr>
                <w:rFonts w:ascii="Arial" w:hAnsi="Arial" w:cs="Arial"/>
                <w:b/>
              </w:rPr>
            </w:pPr>
            <w:r>
              <w:rPr>
                <w:rFonts w:ascii="Arial" w:hAnsi="Arial" w:cs="Arial"/>
                <w:b/>
              </w:rPr>
              <w:t>6</w:t>
            </w:r>
            <w:r w:rsidR="00B93C09" w:rsidRPr="00B93C09">
              <w:rPr>
                <w:rFonts w:ascii="Arial" w:hAnsi="Arial" w:cs="Arial"/>
                <w:b/>
              </w:rPr>
              <w:t>.</w:t>
            </w:r>
          </w:p>
        </w:tc>
        <w:tc>
          <w:tcPr>
            <w:tcW w:w="8647" w:type="dxa"/>
          </w:tcPr>
          <w:p w14:paraId="22FCAEE3" w14:textId="77777777" w:rsidR="00400E23" w:rsidRDefault="00B93C09" w:rsidP="008903B4">
            <w:pPr>
              <w:autoSpaceDE w:val="0"/>
              <w:autoSpaceDN w:val="0"/>
              <w:adjustRightInd w:val="0"/>
              <w:jc w:val="both"/>
              <w:rPr>
                <w:rFonts w:ascii="Arial" w:hAnsi="Arial" w:cs="Arial"/>
                <w:b/>
              </w:rPr>
            </w:pPr>
            <w:r>
              <w:rPr>
                <w:rFonts w:ascii="Arial" w:hAnsi="Arial" w:cs="Arial"/>
                <w:b/>
              </w:rPr>
              <w:t>Implications</w:t>
            </w:r>
          </w:p>
          <w:p w14:paraId="52CE0D43" w14:textId="77777777" w:rsidR="00B93C09" w:rsidRPr="00AB2E5F" w:rsidRDefault="00B93C09" w:rsidP="008903B4">
            <w:pPr>
              <w:autoSpaceDE w:val="0"/>
              <w:autoSpaceDN w:val="0"/>
              <w:adjustRightInd w:val="0"/>
              <w:jc w:val="both"/>
              <w:rPr>
                <w:rFonts w:ascii="Arial" w:hAnsi="Arial" w:cs="Arial"/>
                <w:b/>
              </w:rPr>
            </w:pPr>
          </w:p>
        </w:tc>
      </w:tr>
      <w:tr w:rsidR="00B93C09" w:rsidRPr="004E71AA" w14:paraId="62857802" w14:textId="77777777" w:rsidTr="00ED749B">
        <w:tc>
          <w:tcPr>
            <w:tcW w:w="817" w:type="dxa"/>
          </w:tcPr>
          <w:p w14:paraId="2CF73265" w14:textId="7E4287D2" w:rsidR="00B93C09" w:rsidRDefault="005A3770" w:rsidP="008903B4">
            <w:pPr>
              <w:autoSpaceDE w:val="0"/>
              <w:autoSpaceDN w:val="0"/>
              <w:adjustRightInd w:val="0"/>
              <w:rPr>
                <w:rFonts w:ascii="Arial" w:hAnsi="Arial" w:cs="Arial"/>
              </w:rPr>
            </w:pPr>
            <w:r>
              <w:rPr>
                <w:rFonts w:ascii="Arial" w:hAnsi="Arial" w:cs="Arial"/>
              </w:rPr>
              <w:t>6</w:t>
            </w:r>
            <w:r w:rsidR="00B93C09">
              <w:rPr>
                <w:rFonts w:ascii="Arial" w:hAnsi="Arial" w:cs="Arial"/>
              </w:rPr>
              <w:t>.1</w:t>
            </w:r>
          </w:p>
        </w:tc>
        <w:tc>
          <w:tcPr>
            <w:tcW w:w="8647" w:type="dxa"/>
          </w:tcPr>
          <w:p w14:paraId="22551E11" w14:textId="77777777" w:rsidR="00B93C09" w:rsidRDefault="00B93C09" w:rsidP="008903B4">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366F2FB1" w14:textId="77777777" w:rsidR="00B93C09" w:rsidRDefault="00B93C09" w:rsidP="008903B4">
            <w:pPr>
              <w:autoSpaceDE w:val="0"/>
              <w:autoSpaceDN w:val="0"/>
              <w:adjustRightInd w:val="0"/>
              <w:jc w:val="both"/>
              <w:rPr>
                <w:rFonts w:ascii="Arial" w:hAnsi="Arial" w:cs="Arial"/>
              </w:rPr>
            </w:pPr>
          </w:p>
        </w:tc>
      </w:tr>
      <w:tr w:rsidR="00B93C09" w:rsidRPr="007214D1" w14:paraId="45F17A13" w14:textId="77777777" w:rsidTr="00ED749B">
        <w:tc>
          <w:tcPr>
            <w:tcW w:w="817" w:type="dxa"/>
          </w:tcPr>
          <w:p w14:paraId="3559D558" w14:textId="0E939837" w:rsidR="00B93C09" w:rsidRDefault="005A3770" w:rsidP="008903B4">
            <w:pPr>
              <w:autoSpaceDE w:val="0"/>
              <w:autoSpaceDN w:val="0"/>
              <w:adjustRightInd w:val="0"/>
              <w:rPr>
                <w:rFonts w:ascii="Arial" w:hAnsi="Arial" w:cs="Arial"/>
              </w:rPr>
            </w:pPr>
            <w:r>
              <w:rPr>
                <w:rFonts w:ascii="Arial" w:hAnsi="Arial" w:cs="Arial"/>
              </w:rPr>
              <w:t>6</w:t>
            </w:r>
            <w:r w:rsidR="00B93C09">
              <w:rPr>
                <w:rFonts w:ascii="Arial" w:hAnsi="Arial" w:cs="Arial"/>
              </w:rPr>
              <w:t>.2</w:t>
            </w:r>
          </w:p>
        </w:tc>
        <w:tc>
          <w:tcPr>
            <w:tcW w:w="8647" w:type="dxa"/>
          </w:tcPr>
          <w:p w14:paraId="525A6B08" w14:textId="77777777" w:rsidR="00B93C09" w:rsidRDefault="00B93C09" w:rsidP="008903B4">
            <w:pPr>
              <w:autoSpaceDE w:val="0"/>
              <w:autoSpaceDN w:val="0"/>
              <w:adjustRightInd w:val="0"/>
              <w:jc w:val="both"/>
              <w:rPr>
                <w:rFonts w:ascii="Arial" w:hAnsi="Arial" w:cs="Arial"/>
              </w:rPr>
            </w:pPr>
            <w:r>
              <w:rPr>
                <w:rFonts w:ascii="Arial" w:hAnsi="Arial" w:cs="Arial"/>
              </w:rPr>
              <w:t xml:space="preserve">Legal Implications - there are no additional legal implications arising from this report. </w:t>
            </w:r>
          </w:p>
          <w:p w14:paraId="71C8F87B" w14:textId="77777777" w:rsidR="00B93C09" w:rsidRDefault="00B93C09" w:rsidP="008903B4">
            <w:pPr>
              <w:autoSpaceDE w:val="0"/>
              <w:autoSpaceDN w:val="0"/>
              <w:adjustRightInd w:val="0"/>
              <w:jc w:val="both"/>
              <w:rPr>
                <w:rFonts w:ascii="Arial" w:hAnsi="Arial" w:cs="Arial"/>
              </w:rPr>
            </w:pPr>
          </w:p>
        </w:tc>
      </w:tr>
      <w:tr w:rsidR="00B93C09" w:rsidRPr="00C11E50" w14:paraId="1038E700" w14:textId="77777777" w:rsidTr="00ED749B">
        <w:tc>
          <w:tcPr>
            <w:tcW w:w="817" w:type="dxa"/>
          </w:tcPr>
          <w:p w14:paraId="5BE4FA40" w14:textId="5DB169A6" w:rsidR="00B93C09" w:rsidRPr="00A658B1" w:rsidRDefault="005A3770" w:rsidP="008903B4">
            <w:pPr>
              <w:autoSpaceDE w:val="0"/>
              <w:autoSpaceDN w:val="0"/>
              <w:adjustRightInd w:val="0"/>
              <w:rPr>
                <w:rFonts w:ascii="Arial" w:hAnsi="Arial" w:cs="Arial"/>
              </w:rPr>
            </w:pPr>
            <w:r>
              <w:rPr>
                <w:rFonts w:ascii="Arial" w:hAnsi="Arial" w:cs="Arial"/>
              </w:rPr>
              <w:t>6</w:t>
            </w:r>
            <w:r w:rsidR="00B93C09">
              <w:rPr>
                <w:rFonts w:ascii="Arial" w:hAnsi="Arial" w:cs="Arial"/>
              </w:rPr>
              <w:t>.3</w:t>
            </w:r>
          </w:p>
        </w:tc>
        <w:tc>
          <w:tcPr>
            <w:tcW w:w="8647" w:type="dxa"/>
          </w:tcPr>
          <w:p w14:paraId="7A6150CC" w14:textId="77777777" w:rsidR="00B93C09" w:rsidRDefault="00B93C09" w:rsidP="008903B4">
            <w:pPr>
              <w:autoSpaceDE w:val="0"/>
              <w:autoSpaceDN w:val="0"/>
              <w:adjustRightInd w:val="0"/>
              <w:jc w:val="both"/>
              <w:rPr>
                <w:rFonts w:ascii="Arial" w:hAnsi="Arial" w:cs="Arial"/>
              </w:rPr>
            </w:pPr>
            <w:r>
              <w:rPr>
                <w:rFonts w:ascii="Arial" w:hAnsi="Arial" w:cs="Arial"/>
              </w:rPr>
              <w:t xml:space="preserve">Equality Implications – there are no additional equality implications arising from this report. </w:t>
            </w:r>
          </w:p>
          <w:p w14:paraId="0265A35D" w14:textId="77777777" w:rsidR="00B93C09" w:rsidRPr="00A658B1" w:rsidRDefault="00B93C09" w:rsidP="008903B4">
            <w:pPr>
              <w:autoSpaceDE w:val="0"/>
              <w:autoSpaceDN w:val="0"/>
              <w:adjustRightInd w:val="0"/>
              <w:jc w:val="both"/>
              <w:rPr>
                <w:rFonts w:ascii="Arial" w:hAnsi="Arial" w:cs="Arial"/>
              </w:rPr>
            </w:pPr>
          </w:p>
        </w:tc>
      </w:tr>
      <w:tr w:rsidR="00B93C09" w:rsidRPr="007214D1" w14:paraId="15B53561" w14:textId="77777777" w:rsidTr="00ED749B">
        <w:tc>
          <w:tcPr>
            <w:tcW w:w="817" w:type="dxa"/>
          </w:tcPr>
          <w:p w14:paraId="7A469E5D" w14:textId="77777777" w:rsidR="00B93C09" w:rsidRDefault="005A3770" w:rsidP="008903B4">
            <w:pPr>
              <w:autoSpaceDE w:val="0"/>
              <w:autoSpaceDN w:val="0"/>
              <w:adjustRightInd w:val="0"/>
              <w:rPr>
                <w:rFonts w:ascii="Arial" w:hAnsi="Arial" w:cs="Arial"/>
              </w:rPr>
            </w:pPr>
            <w:r>
              <w:rPr>
                <w:rFonts w:ascii="Arial" w:hAnsi="Arial" w:cs="Arial"/>
              </w:rPr>
              <w:t>6</w:t>
            </w:r>
            <w:r w:rsidR="00B93C09">
              <w:rPr>
                <w:rFonts w:ascii="Arial" w:hAnsi="Arial" w:cs="Arial"/>
              </w:rPr>
              <w:t>.4</w:t>
            </w:r>
          </w:p>
          <w:p w14:paraId="7A8A9146" w14:textId="77777777" w:rsidR="00304890" w:rsidRDefault="00304890" w:rsidP="008903B4">
            <w:pPr>
              <w:autoSpaceDE w:val="0"/>
              <w:autoSpaceDN w:val="0"/>
              <w:adjustRightInd w:val="0"/>
              <w:rPr>
                <w:rFonts w:ascii="Arial" w:hAnsi="Arial" w:cs="Arial"/>
              </w:rPr>
            </w:pPr>
          </w:p>
          <w:p w14:paraId="52A73E95" w14:textId="77777777" w:rsidR="00304890" w:rsidRPr="00304890" w:rsidRDefault="00304890" w:rsidP="008903B4">
            <w:pPr>
              <w:autoSpaceDE w:val="0"/>
              <w:autoSpaceDN w:val="0"/>
              <w:adjustRightInd w:val="0"/>
              <w:rPr>
                <w:rFonts w:ascii="Arial" w:hAnsi="Arial" w:cs="Arial"/>
                <w:b/>
                <w:bCs/>
              </w:rPr>
            </w:pPr>
            <w:r w:rsidRPr="00A34896">
              <w:rPr>
                <w:rFonts w:ascii="Arial" w:hAnsi="Arial" w:cs="Arial"/>
                <w:b/>
                <w:bCs/>
              </w:rPr>
              <w:lastRenderedPageBreak/>
              <w:t>7.</w:t>
            </w:r>
          </w:p>
          <w:p w14:paraId="50AB9808" w14:textId="77777777" w:rsidR="00304890" w:rsidRDefault="00304890" w:rsidP="008903B4">
            <w:pPr>
              <w:autoSpaceDE w:val="0"/>
              <w:autoSpaceDN w:val="0"/>
              <w:adjustRightInd w:val="0"/>
              <w:rPr>
                <w:rFonts w:ascii="Arial" w:hAnsi="Arial" w:cs="Arial"/>
              </w:rPr>
            </w:pPr>
          </w:p>
          <w:p w14:paraId="7202B807" w14:textId="795441AE" w:rsidR="00304890" w:rsidRPr="00A658B1" w:rsidRDefault="00304890" w:rsidP="008903B4">
            <w:pPr>
              <w:autoSpaceDE w:val="0"/>
              <w:autoSpaceDN w:val="0"/>
              <w:adjustRightInd w:val="0"/>
              <w:rPr>
                <w:rFonts w:ascii="Arial" w:hAnsi="Arial" w:cs="Arial"/>
              </w:rPr>
            </w:pPr>
            <w:r>
              <w:rPr>
                <w:rFonts w:ascii="Arial" w:hAnsi="Arial" w:cs="Arial"/>
              </w:rPr>
              <w:t>7.1</w:t>
            </w:r>
          </w:p>
        </w:tc>
        <w:tc>
          <w:tcPr>
            <w:tcW w:w="8647" w:type="dxa"/>
          </w:tcPr>
          <w:p w14:paraId="6D5ACAE5" w14:textId="1BE02B8A" w:rsidR="00B93C09" w:rsidRDefault="00B93C09" w:rsidP="00381E7B">
            <w:pPr>
              <w:autoSpaceDE w:val="0"/>
              <w:autoSpaceDN w:val="0"/>
              <w:adjustRightInd w:val="0"/>
              <w:jc w:val="both"/>
              <w:rPr>
                <w:rFonts w:ascii="Arial" w:hAnsi="Arial" w:cs="Arial"/>
              </w:rPr>
            </w:pPr>
            <w:r w:rsidRPr="00A658B1">
              <w:rPr>
                <w:rFonts w:ascii="Arial" w:hAnsi="Arial" w:cs="Arial"/>
              </w:rPr>
              <w:lastRenderedPageBreak/>
              <w:t xml:space="preserve">Risk Implications – there are no new risks which require to be added to the risk register arising from this report. </w:t>
            </w:r>
          </w:p>
          <w:p w14:paraId="01F30F00" w14:textId="3BAC1F99" w:rsidR="00304890" w:rsidRPr="00A34896" w:rsidRDefault="00304890" w:rsidP="00381E7B">
            <w:pPr>
              <w:autoSpaceDE w:val="0"/>
              <w:autoSpaceDN w:val="0"/>
              <w:adjustRightInd w:val="0"/>
              <w:jc w:val="both"/>
              <w:rPr>
                <w:rFonts w:ascii="Arial" w:hAnsi="Arial" w:cs="Arial"/>
                <w:b/>
                <w:bCs/>
              </w:rPr>
            </w:pPr>
            <w:bookmarkStart w:id="0" w:name="_Hlk136333382"/>
            <w:r w:rsidRPr="00A34896">
              <w:rPr>
                <w:rFonts w:ascii="Arial" w:hAnsi="Arial" w:cs="Arial"/>
                <w:b/>
                <w:bCs/>
              </w:rPr>
              <w:lastRenderedPageBreak/>
              <w:t>Conclusion</w:t>
            </w:r>
          </w:p>
          <w:bookmarkEnd w:id="0"/>
          <w:p w14:paraId="27F428C2" w14:textId="5CCC5EA9" w:rsidR="00304890" w:rsidRPr="00A34896" w:rsidRDefault="00304890" w:rsidP="00381E7B">
            <w:pPr>
              <w:autoSpaceDE w:val="0"/>
              <w:autoSpaceDN w:val="0"/>
              <w:adjustRightInd w:val="0"/>
              <w:jc w:val="both"/>
              <w:rPr>
                <w:rFonts w:ascii="Arial" w:hAnsi="Arial" w:cs="Arial"/>
              </w:rPr>
            </w:pPr>
          </w:p>
          <w:p w14:paraId="27585E7A" w14:textId="008D8D53" w:rsidR="00304890" w:rsidRDefault="008F4380" w:rsidP="00381E7B">
            <w:pPr>
              <w:autoSpaceDE w:val="0"/>
              <w:autoSpaceDN w:val="0"/>
              <w:adjustRightInd w:val="0"/>
              <w:jc w:val="both"/>
              <w:rPr>
                <w:rFonts w:ascii="Arial" w:hAnsi="Arial" w:cs="Arial"/>
              </w:rPr>
            </w:pPr>
            <w:r w:rsidRPr="00A34896">
              <w:rPr>
                <w:rFonts w:ascii="Arial" w:hAnsi="Arial" w:cs="Arial"/>
              </w:rPr>
              <w:t>Having considered the report the members of the Health and Safety and Environmental Compliance Committee agreed to report to the Charity Board that it is satisfied all monitoring and management controls are in place; the Committee has scrutinised and challenged where appropriate, and that overall the High Life  Highland is demonstrating and delivering the standards the Committee would expect.</w:t>
            </w:r>
            <w:r>
              <w:rPr>
                <w:rFonts w:ascii="Arial" w:hAnsi="Arial" w:cs="Arial"/>
              </w:rPr>
              <w:t xml:space="preserve"> </w:t>
            </w:r>
          </w:p>
          <w:p w14:paraId="4F2691D3" w14:textId="77777777" w:rsidR="00381E7B" w:rsidRPr="00A658B1" w:rsidRDefault="00381E7B" w:rsidP="00381E7B">
            <w:pPr>
              <w:autoSpaceDE w:val="0"/>
              <w:autoSpaceDN w:val="0"/>
              <w:adjustRightInd w:val="0"/>
              <w:jc w:val="both"/>
              <w:rPr>
                <w:rFonts w:ascii="Arial" w:hAnsi="Arial" w:cs="Arial"/>
              </w:rPr>
            </w:pPr>
          </w:p>
        </w:tc>
      </w:tr>
      <w:tr w:rsidR="0039450A" w:rsidRPr="0089449E" w14:paraId="17284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14:paraId="63CD8907" w14:textId="77777777" w:rsidR="006B356E" w:rsidRDefault="006B356E" w:rsidP="006B356E">
            <w:pPr>
              <w:jc w:val="both"/>
              <w:rPr>
                <w:rFonts w:ascii="Arial" w:hAnsi="Arial" w:cs="Arial"/>
                <w:b/>
              </w:rPr>
            </w:pPr>
            <w:r>
              <w:rPr>
                <w:rFonts w:ascii="Arial" w:hAnsi="Arial" w:cs="Arial"/>
                <w:b/>
              </w:rPr>
              <w:lastRenderedPageBreak/>
              <w:t>Recommendations</w:t>
            </w:r>
          </w:p>
          <w:p w14:paraId="5F0EB39F" w14:textId="77777777" w:rsidR="006B356E" w:rsidRPr="006B356E" w:rsidRDefault="006B356E" w:rsidP="006B356E">
            <w:pPr>
              <w:jc w:val="both"/>
              <w:rPr>
                <w:rFonts w:ascii="Arial" w:hAnsi="Arial" w:cs="Arial"/>
                <w:b/>
              </w:rPr>
            </w:pPr>
          </w:p>
          <w:p w14:paraId="520DD20C" w14:textId="2389559A" w:rsidR="002E2D2E" w:rsidRDefault="002E2D2E" w:rsidP="002E2D2E">
            <w:pPr>
              <w:jc w:val="both"/>
              <w:rPr>
                <w:rFonts w:ascii="Arial" w:hAnsi="Arial" w:cs="Arial"/>
              </w:rPr>
            </w:pPr>
            <w:r>
              <w:rPr>
                <w:rFonts w:ascii="Arial" w:hAnsi="Arial" w:cs="Arial"/>
              </w:rPr>
              <w:t xml:space="preserve">It is recommended that </w:t>
            </w:r>
            <w:r w:rsidR="00E261C1" w:rsidRPr="00E261C1">
              <w:rPr>
                <w:rFonts w:ascii="Arial" w:hAnsi="Arial" w:cs="Arial"/>
              </w:rPr>
              <w:t xml:space="preserve">Directors </w:t>
            </w:r>
            <w:r>
              <w:rPr>
                <w:rFonts w:ascii="Arial" w:hAnsi="Arial" w:cs="Arial"/>
              </w:rPr>
              <w:t xml:space="preserve">comment on and note: </w:t>
            </w:r>
          </w:p>
          <w:p w14:paraId="773FF6CA" w14:textId="77777777" w:rsidR="002E2D2E" w:rsidRPr="00300B66" w:rsidRDefault="002E2D2E" w:rsidP="002E2D2E">
            <w:pPr>
              <w:jc w:val="both"/>
              <w:rPr>
                <w:rFonts w:ascii="Arial" w:hAnsi="Arial" w:cs="Arial"/>
                <w:szCs w:val="24"/>
              </w:rPr>
            </w:pPr>
          </w:p>
          <w:p w14:paraId="7AC03B22" w14:textId="77777777" w:rsidR="007669A9" w:rsidRPr="007669A9" w:rsidRDefault="007669A9" w:rsidP="007669A9">
            <w:pPr>
              <w:numPr>
                <w:ilvl w:val="0"/>
                <w:numId w:val="27"/>
              </w:numPr>
              <w:jc w:val="both"/>
              <w:rPr>
                <w:rFonts w:ascii="Arial" w:hAnsi="Arial" w:cs="Arial"/>
                <w:szCs w:val="24"/>
              </w:rPr>
            </w:pPr>
            <w:r w:rsidRPr="00300B66">
              <w:rPr>
                <w:rFonts w:ascii="Arial" w:hAnsi="Arial" w:cs="Arial"/>
              </w:rPr>
              <w:t xml:space="preserve">that there </w:t>
            </w:r>
            <w:r w:rsidRPr="007669A9">
              <w:rPr>
                <w:rFonts w:ascii="Arial" w:hAnsi="Arial" w:cs="Arial"/>
              </w:rPr>
              <w:t xml:space="preserve">were no notifications for improvement or enforcement actions during the </w:t>
            </w:r>
            <w:r w:rsidRPr="007669A9">
              <w:rPr>
                <w:rFonts w:ascii="Arial" w:hAnsi="Arial" w:cs="Arial"/>
                <w:szCs w:val="24"/>
              </w:rPr>
              <w:t>reporting period;</w:t>
            </w:r>
          </w:p>
          <w:p w14:paraId="3BA98A8D" w14:textId="77777777" w:rsidR="007669A9" w:rsidRPr="007669A9" w:rsidRDefault="007669A9" w:rsidP="007669A9">
            <w:pPr>
              <w:numPr>
                <w:ilvl w:val="0"/>
                <w:numId w:val="27"/>
              </w:numPr>
              <w:jc w:val="both"/>
              <w:rPr>
                <w:rFonts w:ascii="Arial" w:hAnsi="Arial" w:cs="Arial"/>
                <w:szCs w:val="24"/>
              </w:rPr>
            </w:pPr>
            <w:r w:rsidRPr="007669A9">
              <w:rPr>
                <w:rFonts w:ascii="Arial" w:hAnsi="Arial" w:cs="Arial"/>
                <w:szCs w:val="24"/>
              </w:rPr>
              <w:t xml:space="preserve">that there were </w:t>
            </w:r>
            <w:r w:rsidRPr="007669A9">
              <w:rPr>
                <w:rFonts w:ascii="Arial" w:hAnsi="Arial" w:cs="Arial"/>
              </w:rPr>
              <w:t xml:space="preserve">no </w:t>
            </w:r>
            <w:r w:rsidRPr="007669A9">
              <w:rPr>
                <w:rFonts w:ascii="Arial" w:hAnsi="Arial" w:cs="Arial"/>
                <w:szCs w:val="24"/>
              </w:rPr>
              <w:t>environmental incidents requiring SEPA notification during the reporting period;</w:t>
            </w:r>
          </w:p>
          <w:p w14:paraId="72351F28" w14:textId="77777777" w:rsidR="007669A9" w:rsidRPr="00475BD7" w:rsidRDefault="007669A9" w:rsidP="007669A9">
            <w:pPr>
              <w:numPr>
                <w:ilvl w:val="0"/>
                <w:numId w:val="27"/>
              </w:numPr>
              <w:jc w:val="both"/>
              <w:rPr>
                <w:rFonts w:ascii="Arial" w:hAnsi="Arial" w:cs="Arial"/>
                <w:szCs w:val="24"/>
              </w:rPr>
            </w:pPr>
            <w:r w:rsidRPr="00475BD7">
              <w:rPr>
                <w:rFonts w:ascii="Arial" w:hAnsi="Arial" w:cs="Arial"/>
                <w:szCs w:val="24"/>
              </w:rPr>
              <w:t xml:space="preserve">the low number and low severity of </w:t>
            </w:r>
            <w:r>
              <w:rPr>
                <w:rFonts w:ascii="Arial" w:hAnsi="Arial" w:cs="Arial"/>
                <w:szCs w:val="24"/>
              </w:rPr>
              <w:t xml:space="preserve">accidents or </w:t>
            </w:r>
            <w:r w:rsidRPr="00475BD7">
              <w:rPr>
                <w:rFonts w:ascii="Arial" w:hAnsi="Arial" w:cs="Arial"/>
                <w:szCs w:val="24"/>
              </w:rPr>
              <w:t xml:space="preserve">incidents over the </w:t>
            </w:r>
            <w:r>
              <w:rPr>
                <w:rFonts w:ascii="Arial" w:hAnsi="Arial" w:cs="Arial"/>
                <w:szCs w:val="24"/>
              </w:rPr>
              <w:t xml:space="preserve">reporting </w:t>
            </w:r>
            <w:r w:rsidRPr="00475BD7">
              <w:rPr>
                <w:rFonts w:ascii="Arial" w:hAnsi="Arial" w:cs="Arial"/>
                <w:szCs w:val="24"/>
              </w:rPr>
              <w:t>period</w:t>
            </w:r>
            <w:r>
              <w:rPr>
                <w:rFonts w:ascii="Arial" w:hAnsi="Arial" w:cs="Arial"/>
                <w:szCs w:val="24"/>
              </w:rPr>
              <w:t>,</w:t>
            </w:r>
            <w:r w:rsidRPr="00475BD7">
              <w:rPr>
                <w:rFonts w:ascii="Arial" w:hAnsi="Arial" w:cs="Arial"/>
                <w:szCs w:val="24"/>
              </w:rPr>
              <w:t xml:space="preserve"> reflecting continuing good practice across the c</w:t>
            </w:r>
            <w:r>
              <w:rPr>
                <w:rFonts w:ascii="Arial" w:hAnsi="Arial" w:cs="Arial"/>
                <w:szCs w:val="24"/>
              </w:rPr>
              <w:t>harit</w:t>
            </w:r>
            <w:r w:rsidRPr="00475BD7">
              <w:rPr>
                <w:rFonts w:ascii="Arial" w:hAnsi="Arial" w:cs="Arial"/>
                <w:szCs w:val="24"/>
              </w:rPr>
              <w:t>y</w:t>
            </w:r>
            <w:r>
              <w:rPr>
                <w:rFonts w:ascii="Arial" w:hAnsi="Arial" w:cs="Arial"/>
                <w:szCs w:val="24"/>
              </w:rPr>
              <w:t xml:space="preserve"> and the operational restrictions through the year</w:t>
            </w:r>
            <w:r w:rsidRPr="00475BD7">
              <w:rPr>
                <w:rFonts w:ascii="Arial" w:hAnsi="Arial" w:cs="Arial"/>
                <w:szCs w:val="24"/>
              </w:rPr>
              <w:t xml:space="preserve">; </w:t>
            </w:r>
          </w:p>
          <w:p w14:paraId="7AF93CDC" w14:textId="77777777" w:rsidR="007669A9" w:rsidRPr="00C5387A" w:rsidRDefault="007669A9" w:rsidP="007669A9">
            <w:pPr>
              <w:numPr>
                <w:ilvl w:val="0"/>
                <w:numId w:val="27"/>
              </w:numPr>
              <w:jc w:val="both"/>
              <w:rPr>
                <w:rFonts w:ascii="Arial" w:hAnsi="Arial" w:cs="Arial"/>
                <w:szCs w:val="24"/>
              </w:rPr>
            </w:pPr>
            <w:r w:rsidRPr="00475BD7">
              <w:rPr>
                <w:rFonts w:ascii="Arial" w:hAnsi="Arial" w:cs="Arial"/>
                <w:szCs w:val="24"/>
              </w:rPr>
              <w:t xml:space="preserve">that the Health and Safety </w:t>
            </w:r>
            <w:r>
              <w:rPr>
                <w:rFonts w:ascii="Arial" w:hAnsi="Arial" w:cs="Arial"/>
                <w:szCs w:val="24"/>
              </w:rPr>
              <w:t>and Environmental Compliance Committee c</w:t>
            </w:r>
            <w:r w:rsidRPr="00C5387A">
              <w:rPr>
                <w:rFonts w:ascii="Arial" w:hAnsi="Arial" w:cs="Arial"/>
                <w:szCs w:val="24"/>
              </w:rPr>
              <w:t>ontinues to meet quarterly</w:t>
            </w:r>
            <w:r>
              <w:rPr>
                <w:rFonts w:ascii="Arial" w:hAnsi="Arial" w:cs="Arial"/>
                <w:szCs w:val="24"/>
              </w:rPr>
              <w:t xml:space="preserve"> with officers and the Charity’s external Health and Safety advisers</w:t>
            </w:r>
            <w:r w:rsidRPr="00C5387A">
              <w:rPr>
                <w:rFonts w:ascii="Arial" w:hAnsi="Arial" w:cs="Arial"/>
                <w:szCs w:val="24"/>
              </w:rPr>
              <w:t xml:space="preserve"> to review Health and Safety performance</w:t>
            </w:r>
            <w:r>
              <w:rPr>
                <w:rFonts w:ascii="Arial" w:hAnsi="Arial" w:cs="Arial"/>
                <w:szCs w:val="24"/>
              </w:rPr>
              <w:t>,</w:t>
            </w:r>
            <w:r w:rsidRPr="00C5387A">
              <w:rPr>
                <w:rFonts w:ascii="Arial" w:hAnsi="Arial" w:cs="Arial"/>
                <w:szCs w:val="24"/>
              </w:rPr>
              <w:t xml:space="preserve"> and on reviewing </w:t>
            </w:r>
            <w:r>
              <w:rPr>
                <w:rFonts w:ascii="Arial" w:hAnsi="Arial" w:cs="Arial"/>
                <w:szCs w:val="24"/>
              </w:rPr>
              <w:t xml:space="preserve">the </w:t>
            </w:r>
            <w:r w:rsidRPr="00C5387A">
              <w:rPr>
                <w:rFonts w:ascii="Arial" w:hAnsi="Arial" w:cs="Arial"/>
                <w:szCs w:val="24"/>
              </w:rPr>
              <w:t xml:space="preserve">accident and incident trend data </w:t>
            </w:r>
            <w:r>
              <w:rPr>
                <w:rFonts w:ascii="Arial" w:hAnsi="Arial" w:cs="Arial"/>
                <w:szCs w:val="24"/>
              </w:rPr>
              <w:t xml:space="preserve">it </w:t>
            </w:r>
            <w:r w:rsidRPr="00C5387A">
              <w:rPr>
                <w:rFonts w:ascii="Arial" w:hAnsi="Arial" w:cs="Arial"/>
                <w:szCs w:val="24"/>
              </w:rPr>
              <w:t xml:space="preserve">concluded that there are </w:t>
            </w:r>
            <w:r>
              <w:rPr>
                <w:rFonts w:ascii="Arial" w:hAnsi="Arial" w:cs="Arial"/>
                <w:szCs w:val="24"/>
              </w:rPr>
              <w:t>no</w:t>
            </w:r>
            <w:r w:rsidRPr="00D215CB">
              <w:rPr>
                <w:rFonts w:ascii="Arial" w:hAnsi="Arial" w:cs="Arial"/>
                <w:color w:val="FF0000"/>
              </w:rPr>
              <w:t xml:space="preserve"> </w:t>
            </w:r>
            <w:r w:rsidRPr="00C5387A">
              <w:rPr>
                <w:rFonts w:ascii="Arial" w:hAnsi="Arial" w:cs="Arial"/>
                <w:szCs w:val="24"/>
              </w:rPr>
              <w:t>issues arising from this requir</w:t>
            </w:r>
            <w:r>
              <w:rPr>
                <w:rFonts w:ascii="Arial" w:hAnsi="Arial" w:cs="Arial"/>
                <w:szCs w:val="24"/>
              </w:rPr>
              <w:t>ing</w:t>
            </w:r>
            <w:r w:rsidRPr="00C5387A">
              <w:rPr>
                <w:rFonts w:ascii="Arial" w:hAnsi="Arial" w:cs="Arial"/>
                <w:szCs w:val="24"/>
              </w:rPr>
              <w:t xml:space="preserve"> c</w:t>
            </w:r>
            <w:r>
              <w:rPr>
                <w:rFonts w:ascii="Arial" w:hAnsi="Arial" w:cs="Arial"/>
                <w:szCs w:val="24"/>
              </w:rPr>
              <w:t>harity-</w:t>
            </w:r>
            <w:r w:rsidRPr="00C5387A">
              <w:rPr>
                <w:rFonts w:ascii="Arial" w:hAnsi="Arial" w:cs="Arial"/>
                <w:szCs w:val="24"/>
              </w:rPr>
              <w:t>wide action;</w:t>
            </w:r>
          </w:p>
          <w:p w14:paraId="46A0C386" w14:textId="77777777" w:rsidR="007669A9" w:rsidRDefault="007669A9" w:rsidP="007669A9">
            <w:pPr>
              <w:numPr>
                <w:ilvl w:val="0"/>
                <w:numId w:val="27"/>
              </w:numPr>
              <w:jc w:val="both"/>
              <w:rPr>
                <w:rFonts w:ascii="Arial" w:hAnsi="Arial" w:cs="Arial"/>
                <w:szCs w:val="24"/>
              </w:rPr>
            </w:pPr>
            <w:r>
              <w:rPr>
                <w:rFonts w:ascii="Arial" w:hAnsi="Arial" w:cs="Arial"/>
                <w:szCs w:val="24"/>
              </w:rPr>
              <w:t xml:space="preserve">that the external safety audit was completed by QLM during </w:t>
            </w:r>
            <w:r w:rsidRPr="00AC3D00">
              <w:rPr>
                <w:rFonts w:ascii="Arial" w:hAnsi="Arial" w:cs="Arial"/>
                <w:szCs w:val="24"/>
              </w:rPr>
              <w:t>October</w:t>
            </w:r>
            <w:r>
              <w:rPr>
                <w:rFonts w:ascii="Arial" w:hAnsi="Arial" w:cs="Arial"/>
                <w:szCs w:val="24"/>
              </w:rPr>
              <w:t xml:space="preserve"> 2022 with an action plan created for risk reduction; and</w:t>
            </w:r>
          </w:p>
          <w:p w14:paraId="2079D269" w14:textId="77777777" w:rsidR="007669A9" w:rsidRDefault="007669A9" w:rsidP="007669A9">
            <w:pPr>
              <w:numPr>
                <w:ilvl w:val="0"/>
                <w:numId w:val="27"/>
              </w:numPr>
              <w:jc w:val="both"/>
              <w:rPr>
                <w:rFonts w:ascii="Arial" w:hAnsi="Arial" w:cs="Arial"/>
                <w:szCs w:val="24"/>
              </w:rPr>
            </w:pPr>
            <w:r w:rsidRPr="00357835">
              <w:rPr>
                <w:rFonts w:ascii="Arial" w:hAnsi="Arial" w:cs="Arial"/>
                <w:szCs w:val="24"/>
              </w:rPr>
              <w:t xml:space="preserve">that </w:t>
            </w:r>
            <w:r>
              <w:rPr>
                <w:rFonts w:ascii="Arial" w:hAnsi="Arial" w:cs="Arial"/>
                <w:szCs w:val="24"/>
              </w:rPr>
              <w:t>there were no</w:t>
            </w:r>
            <w:r w:rsidRPr="00357835">
              <w:rPr>
                <w:rFonts w:ascii="Arial" w:hAnsi="Arial" w:cs="Arial"/>
                <w:szCs w:val="24"/>
              </w:rPr>
              <w:t xml:space="preserve"> union safety audit</w:t>
            </w:r>
            <w:r>
              <w:rPr>
                <w:rFonts w:ascii="Arial" w:hAnsi="Arial" w:cs="Arial"/>
                <w:szCs w:val="24"/>
              </w:rPr>
              <w:t xml:space="preserve">s </w:t>
            </w:r>
            <w:r w:rsidRPr="00357835">
              <w:rPr>
                <w:rFonts w:ascii="Arial" w:hAnsi="Arial" w:cs="Arial"/>
                <w:szCs w:val="24"/>
              </w:rPr>
              <w:t xml:space="preserve">completed </w:t>
            </w:r>
            <w:r>
              <w:rPr>
                <w:rFonts w:ascii="Arial" w:hAnsi="Arial" w:cs="Arial"/>
                <w:szCs w:val="24"/>
              </w:rPr>
              <w:t>with</w:t>
            </w:r>
            <w:r w:rsidRPr="00357835">
              <w:rPr>
                <w:rFonts w:ascii="Arial" w:hAnsi="Arial" w:cs="Arial"/>
                <w:szCs w:val="24"/>
              </w:rPr>
              <w:t>in the reporting period</w:t>
            </w:r>
            <w:r>
              <w:rPr>
                <w:rFonts w:ascii="Arial" w:hAnsi="Arial" w:cs="Arial"/>
                <w:szCs w:val="24"/>
              </w:rPr>
              <w:t>.</w:t>
            </w:r>
          </w:p>
          <w:p w14:paraId="2D259DED" w14:textId="77777777" w:rsidR="0039450A" w:rsidRPr="0089449E" w:rsidRDefault="0039450A" w:rsidP="002E2D2E">
            <w:pPr>
              <w:jc w:val="both"/>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r>
    </w:tbl>
    <w:p w14:paraId="7F9549CF" w14:textId="77777777" w:rsidR="0039450A" w:rsidRPr="0089449E" w:rsidRDefault="0039450A" w:rsidP="00416BFF">
      <w:pPr>
        <w:rPr>
          <w:rFonts w:ascii="Arial" w:hAnsi="Arial" w:cs="Arial"/>
          <w:szCs w:val="24"/>
        </w:rPr>
      </w:pPr>
    </w:p>
    <w:p w14:paraId="1D3D9664" w14:textId="77777777" w:rsidR="0039450A" w:rsidRPr="0089449E" w:rsidRDefault="0039450A" w:rsidP="00416BFF">
      <w:pPr>
        <w:rPr>
          <w:rFonts w:ascii="Arial" w:hAnsi="Arial" w:cs="Arial"/>
          <w:szCs w:val="24"/>
        </w:rPr>
      </w:pPr>
    </w:p>
    <w:p w14:paraId="5EBF4E79" w14:textId="77777777" w:rsidR="0039450A" w:rsidRPr="0089449E"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14:paraId="6C32511F" w14:textId="77777777" w:rsidR="0039450A" w:rsidRPr="0089449E" w:rsidRDefault="0039450A" w:rsidP="00416BFF">
      <w:pPr>
        <w:rPr>
          <w:rFonts w:ascii="Arial" w:hAnsi="Arial" w:cs="Arial"/>
          <w:szCs w:val="24"/>
        </w:rPr>
      </w:pPr>
    </w:p>
    <w:p w14:paraId="615EF1F2" w14:textId="071804E8" w:rsidR="002B3B49" w:rsidRDefault="0039450A" w:rsidP="006D74F2">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4E3702">
        <w:rPr>
          <w:rFonts w:ascii="Arial" w:hAnsi="Arial" w:cs="Arial"/>
          <w:szCs w:val="24"/>
        </w:rPr>
        <w:t>30 May 2023</w:t>
      </w:r>
    </w:p>
    <w:p w14:paraId="0ED3CDBC" w14:textId="6E885D0A" w:rsidR="00462A13" w:rsidRDefault="00462A13" w:rsidP="006D74F2">
      <w:pPr>
        <w:rPr>
          <w:rFonts w:ascii="Arial" w:hAnsi="Arial" w:cs="Arial"/>
          <w:szCs w:val="24"/>
        </w:rPr>
      </w:pPr>
    </w:p>
    <w:p w14:paraId="00664E3C" w14:textId="36FCF80A" w:rsidR="00462A13" w:rsidRPr="002E2D2E" w:rsidRDefault="00462A13" w:rsidP="006D74F2">
      <w:pPr>
        <w:rPr>
          <w:rFonts w:ascii="Arial" w:hAnsi="Arial" w:cs="Arial"/>
          <w:szCs w:val="24"/>
        </w:rPr>
      </w:pPr>
      <w:r>
        <w:rPr>
          <w:rFonts w:ascii="Arial" w:hAnsi="Arial" w:cs="Arial"/>
          <w:szCs w:val="24"/>
        </w:rPr>
        <w:t>Author:</w:t>
      </w:r>
      <w:r>
        <w:rPr>
          <w:rFonts w:ascii="Arial" w:hAnsi="Arial" w:cs="Arial"/>
          <w:szCs w:val="24"/>
        </w:rPr>
        <w:tab/>
        <w:t xml:space="preserve">Craig Steedman, </w:t>
      </w:r>
      <w:r w:rsidR="00304890">
        <w:rPr>
          <w:rFonts w:ascii="Arial" w:hAnsi="Arial" w:cs="Arial"/>
          <w:szCs w:val="24"/>
        </w:rPr>
        <w:t>Head of Estates and Environment</w:t>
      </w:r>
    </w:p>
    <w:p w14:paraId="1DB98227" w14:textId="0D63EE90" w:rsidR="00ED1ECD" w:rsidRPr="006862E8" w:rsidRDefault="00ED1ECD" w:rsidP="006D74F2">
      <w:pPr>
        <w:rPr>
          <w:rFonts w:ascii="Arial" w:hAnsi="Arial" w:cs="Arial"/>
          <w:b/>
        </w:rPr>
      </w:pPr>
    </w:p>
    <w:sectPr w:rsidR="00ED1ECD" w:rsidRPr="006862E8" w:rsidSect="00101268">
      <w:headerReference w:type="even" r:id="rId14"/>
      <w:headerReference w:type="default" r:id="rId15"/>
      <w:footerReference w:type="even" r:id="rId16"/>
      <w:footerReference w:type="default" r:id="rId17"/>
      <w:headerReference w:type="first" r:id="rId18"/>
      <w:footerReference w:type="first" r:id="rId19"/>
      <w:pgSz w:w="11906" w:h="16838"/>
      <w:pgMar w:top="709"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4C60" w14:textId="77777777" w:rsidR="00682D89" w:rsidRDefault="00682D89">
      <w:r>
        <w:separator/>
      </w:r>
    </w:p>
  </w:endnote>
  <w:endnote w:type="continuationSeparator" w:id="0">
    <w:p w14:paraId="1FEB4EAD" w14:textId="77777777" w:rsidR="00682D89" w:rsidRDefault="0068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F91" w14:textId="77777777" w:rsidR="00D518F2" w:rsidRDefault="00D5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6416" w14:textId="77777777" w:rsidR="00D518F2" w:rsidRDefault="00D5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F354" w14:textId="77777777" w:rsidR="00D518F2" w:rsidRDefault="00D5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BEEC" w14:textId="77777777" w:rsidR="00682D89" w:rsidRDefault="00682D89">
      <w:r>
        <w:separator/>
      </w:r>
    </w:p>
  </w:footnote>
  <w:footnote w:type="continuationSeparator" w:id="0">
    <w:p w14:paraId="6D2AD367" w14:textId="77777777" w:rsidR="00682D89" w:rsidRDefault="0068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287" w14:textId="0115ED39" w:rsidR="00D518F2" w:rsidRDefault="00D5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56F5" w14:textId="413A4786" w:rsidR="00D518F2" w:rsidRDefault="00D5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36EA" w14:textId="0FFD3CE6" w:rsidR="00D518F2" w:rsidRDefault="00D5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1621B9E"/>
    <w:name w:val="RTF_Num 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DEA71A9"/>
    <w:multiLevelType w:val="hybridMultilevel"/>
    <w:tmpl w:val="488A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14F46"/>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D53C0"/>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6299A"/>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51BFA"/>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F3E12"/>
    <w:multiLevelType w:val="hybridMultilevel"/>
    <w:tmpl w:val="0346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91BB8"/>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F40BC"/>
    <w:multiLevelType w:val="hybridMultilevel"/>
    <w:tmpl w:val="659A5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94DBE"/>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E479B"/>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D796D"/>
    <w:multiLevelType w:val="hybridMultilevel"/>
    <w:tmpl w:val="659A5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B829BA"/>
    <w:multiLevelType w:val="hybridMultilevel"/>
    <w:tmpl w:val="C6CAE0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896586"/>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53518"/>
    <w:multiLevelType w:val="hybridMultilevel"/>
    <w:tmpl w:val="6CDA6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2B2D0C"/>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F35371"/>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D78E6"/>
    <w:multiLevelType w:val="hybridMultilevel"/>
    <w:tmpl w:val="FA8ED6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C042B8"/>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11A4C"/>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FA54E2"/>
    <w:multiLevelType w:val="multilevel"/>
    <w:tmpl w:val="26A617E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63DD5C3F"/>
    <w:multiLevelType w:val="hybridMultilevel"/>
    <w:tmpl w:val="C6CAE0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0A4499"/>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93423"/>
    <w:multiLevelType w:val="hybridMultilevel"/>
    <w:tmpl w:val="C6CAE0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E7D19"/>
    <w:multiLevelType w:val="hybridMultilevel"/>
    <w:tmpl w:val="000AFA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6" w15:restartNumberingAfterBreak="0">
    <w:nsid w:val="7D550381"/>
    <w:multiLevelType w:val="hybridMultilevel"/>
    <w:tmpl w:val="4F0E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836457">
    <w:abstractNumId w:val="25"/>
  </w:num>
  <w:num w:numId="2" w16cid:durableId="1958634215">
    <w:abstractNumId w:val="17"/>
  </w:num>
  <w:num w:numId="3" w16cid:durableId="112095790">
    <w:abstractNumId w:val="14"/>
  </w:num>
  <w:num w:numId="4" w16cid:durableId="1342274252">
    <w:abstractNumId w:val="8"/>
  </w:num>
  <w:num w:numId="5" w16cid:durableId="1295216920">
    <w:abstractNumId w:val="13"/>
  </w:num>
  <w:num w:numId="6" w16cid:durableId="2085493002">
    <w:abstractNumId w:val="26"/>
  </w:num>
  <w:num w:numId="7" w16cid:durableId="322583170">
    <w:abstractNumId w:val="1"/>
  </w:num>
  <w:num w:numId="8" w16cid:durableId="734863920">
    <w:abstractNumId w:val="11"/>
  </w:num>
  <w:num w:numId="9" w16cid:durableId="874927989">
    <w:abstractNumId w:val="0"/>
  </w:num>
  <w:num w:numId="10" w16cid:durableId="2071074661">
    <w:abstractNumId w:val="24"/>
  </w:num>
  <w:num w:numId="11" w16cid:durableId="1194462899">
    <w:abstractNumId w:val="22"/>
  </w:num>
  <w:num w:numId="12" w16cid:durableId="235558239">
    <w:abstractNumId w:val="19"/>
  </w:num>
  <w:num w:numId="13" w16cid:durableId="1607536703">
    <w:abstractNumId w:val="5"/>
  </w:num>
  <w:num w:numId="14" w16cid:durableId="807551031">
    <w:abstractNumId w:val="16"/>
  </w:num>
  <w:num w:numId="15" w16cid:durableId="2113550005">
    <w:abstractNumId w:val="6"/>
  </w:num>
  <w:num w:numId="16" w16cid:durableId="2008434751">
    <w:abstractNumId w:val="4"/>
  </w:num>
  <w:num w:numId="17" w16cid:durableId="548423362">
    <w:abstractNumId w:val="2"/>
  </w:num>
  <w:num w:numId="18" w16cid:durableId="115031269">
    <w:abstractNumId w:val="23"/>
  </w:num>
  <w:num w:numId="19" w16cid:durableId="575897504">
    <w:abstractNumId w:val="7"/>
  </w:num>
  <w:num w:numId="20" w16cid:durableId="386220587">
    <w:abstractNumId w:val="3"/>
  </w:num>
  <w:num w:numId="21" w16cid:durableId="1965381360">
    <w:abstractNumId w:val="15"/>
  </w:num>
  <w:num w:numId="22" w16cid:durableId="1630429560">
    <w:abstractNumId w:val="18"/>
  </w:num>
  <w:num w:numId="23" w16cid:durableId="4365596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5406920">
    <w:abstractNumId w:val="9"/>
  </w:num>
  <w:num w:numId="25" w16cid:durableId="1282230536">
    <w:abstractNumId w:val="10"/>
  </w:num>
  <w:num w:numId="26" w16cid:durableId="1977757691">
    <w:abstractNumId w:val="12"/>
  </w:num>
  <w:num w:numId="27" w16cid:durableId="6517615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029C"/>
    <w:rsid w:val="0001534C"/>
    <w:rsid w:val="0002570B"/>
    <w:rsid w:val="0002588D"/>
    <w:rsid w:val="000261C0"/>
    <w:rsid w:val="00030557"/>
    <w:rsid w:val="00033F48"/>
    <w:rsid w:val="000346FA"/>
    <w:rsid w:val="0003591A"/>
    <w:rsid w:val="000442AA"/>
    <w:rsid w:val="0004595B"/>
    <w:rsid w:val="00045F23"/>
    <w:rsid w:val="00046B7D"/>
    <w:rsid w:val="00051018"/>
    <w:rsid w:val="00054288"/>
    <w:rsid w:val="00054DE1"/>
    <w:rsid w:val="000550CF"/>
    <w:rsid w:val="000619EA"/>
    <w:rsid w:val="00066818"/>
    <w:rsid w:val="00067882"/>
    <w:rsid w:val="00067F47"/>
    <w:rsid w:val="0007258C"/>
    <w:rsid w:val="00082CBB"/>
    <w:rsid w:val="00086255"/>
    <w:rsid w:val="00091876"/>
    <w:rsid w:val="00096EED"/>
    <w:rsid w:val="000A0749"/>
    <w:rsid w:val="000B0353"/>
    <w:rsid w:val="000B0B74"/>
    <w:rsid w:val="000B727B"/>
    <w:rsid w:val="000B7546"/>
    <w:rsid w:val="000C4DC8"/>
    <w:rsid w:val="000C521C"/>
    <w:rsid w:val="000D61AE"/>
    <w:rsid w:val="000D652A"/>
    <w:rsid w:val="000D7B44"/>
    <w:rsid w:val="000E09C4"/>
    <w:rsid w:val="000E70B4"/>
    <w:rsid w:val="000F274B"/>
    <w:rsid w:val="000F6071"/>
    <w:rsid w:val="000F7DE0"/>
    <w:rsid w:val="00101268"/>
    <w:rsid w:val="00102414"/>
    <w:rsid w:val="00102B25"/>
    <w:rsid w:val="00105D40"/>
    <w:rsid w:val="00105E4F"/>
    <w:rsid w:val="001072B4"/>
    <w:rsid w:val="0010759A"/>
    <w:rsid w:val="00107669"/>
    <w:rsid w:val="00130FFD"/>
    <w:rsid w:val="00133D58"/>
    <w:rsid w:val="00136DB9"/>
    <w:rsid w:val="00140206"/>
    <w:rsid w:val="00140228"/>
    <w:rsid w:val="0014342D"/>
    <w:rsid w:val="00147AFB"/>
    <w:rsid w:val="0015726B"/>
    <w:rsid w:val="001671CB"/>
    <w:rsid w:val="001778A3"/>
    <w:rsid w:val="00180E34"/>
    <w:rsid w:val="001A0882"/>
    <w:rsid w:val="001A1E19"/>
    <w:rsid w:val="001A5646"/>
    <w:rsid w:val="001C0226"/>
    <w:rsid w:val="001D1D38"/>
    <w:rsid w:val="001D732D"/>
    <w:rsid w:val="001E38B8"/>
    <w:rsid w:val="001F25DB"/>
    <w:rsid w:val="00200E32"/>
    <w:rsid w:val="00207A21"/>
    <w:rsid w:val="00210527"/>
    <w:rsid w:val="002139D4"/>
    <w:rsid w:val="00213ECA"/>
    <w:rsid w:val="00221FE2"/>
    <w:rsid w:val="0022719C"/>
    <w:rsid w:val="00231012"/>
    <w:rsid w:val="00231747"/>
    <w:rsid w:val="002349CA"/>
    <w:rsid w:val="00235D05"/>
    <w:rsid w:val="00236041"/>
    <w:rsid w:val="00237B35"/>
    <w:rsid w:val="00245BF0"/>
    <w:rsid w:val="00260DFB"/>
    <w:rsid w:val="00263CD8"/>
    <w:rsid w:val="002668D9"/>
    <w:rsid w:val="00276713"/>
    <w:rsid w:val="00280B4C"/>
    <w:rsid w:val="002811A7"/>
    <w:rsid w:val="00283315"/>
    <w:rsid w:val="00287C2F"/>
    <w:rsid w:val="00292D22"/>
    <w:rsid w:val="002962C0"/>
    <w:rsid w:val="002A11C0"/>
    <w:rsid w:val="002A660A"/>
    <w:rsid w:val="002B2011"/>
    <w:rsid w:val="002B3B49"/>
    <w:rsid w:val="002B4551"/>
    <w:rsid w:val="002B5B88"/>
    <w:rsid w:val="002B7DC4"/>
    <w:rsid w:val="002D5357"/>
    <w:rsid w:val="002D5FAC"/>
    <w:rsid w:val="002E2D2E"/>
    <w:rsid w:val="002E6536"/>
    <w:rsid w:val="002E65D4"/>
    <w:rsid w:val="00300B66"/>
    <w:rsid w:val="00304890"/>
    <w:rsid w:val="00314A9F"/>
    <w:rsid w:val="00321A6E"/>
    <w:rsid w:val="003229D3"/>
    <w:rsid w:val="003254EC"/>
    <w:rsid w:val="00327B75"/>
    <w:rsid w:val="0034211D"/>
    <w:rsid w:val="003439D5"/>
    <w:rsid w:val="00345B42"/>
    <w:rsid w:val="00356B53"/>
    <w:rsid w:val="00357835"/>
    <w:rsid w:val="00360107"/>
    <w:rsid w:val="003608A5"/>
    <w:rsid w:val="003616B7"/>
    <w:rsid w:val="00361C86"/>
    <w:rsid w:val="00363DFA"/>
    <w:rsid w:val="003654FA"/>
    <w:rsid w:val="00381D92"/>
    <w:rsid w:val="00381E7B"/>
    <w:rsid w:val="00384F16"/>
    <w:rsid w:val="00386D69"/>
    <w:rsid w:val="003924C9"/>
    <w:rsid w:val="003925BD"/>
    <w:rsid w:val="0039450A"/>
    <w:rsid w:val="00395843"/>
    <w:rsid w:val="003A0353"/>
    <w:rsid w:val="003A4382"/>
    <w:rsid w:val="003A508F"/>
    <w:rsid w:val="003C02BE"/>
    <w:rsid w:val="003C14D0"/>
    <w:rsid w:val="003D0313"/>
    <w:rsid w:val="003D1BCC"/>
    <w:rsid w:val="003E0C97"/>
    <w:rsid w:val="003E1F5E"/>
    <w:rsid w:val="003E46DE"/>
    <w:rsid w:val="003E4A6E"/>
    <w:rsid w:val="003E4D85"/>
    <w:rsid w:val="003F4B82"/>
    <w:rsid w:val="003F7B6F"/>
    <w:rsid w:val="00400E23"/>
    <w:rsid w:val="004117C2"/>
    <w:rsid w:val="00414A95"/>
    <w:rsid w:val="00416BFF"/>
    <w:rsid w:val="00424C0B"/>
    <w:rsid w:val="0043105E"/>
    <w:rsid w:val="00431377"/>
    <w:rsid w:val="00434070"/>
    <w:rsid w:val="004374F4"/>
    <w:rsid w:val="00437ECC"/>
    <w:rsid w:val="00440252"/>
    <w:rsid w:val="00445D1F"/>
    <w:rsid w:val="0044610C"/>
    <w:rsid w:val="004469A7"/>
    <w:rsid w:val="004504E7"/>
    <w:rsid w:val="00457E59"/>
    <w:rsid w:val="00462A13"/>
    <w:rsid w:val="0046503D"/>
    <w:rsid w:val="004660F9"/>
    <w:rsid w:val="00475BD7"/>
    <w:rsid w:val="0048316B"/>
    <w:rsid w:val="004836C6"/>
    <w:rsid w:val="00484645"/>
    <w:rsid w:val="00486143"/>
    <w:rsid w:val="00493CB6"/>
    <w:rsid w:val="004973CD"/>
    <w:rsid w:val="004A189F"/>
    <w:rsid w:val="004C2606"/>
    <w:rsid w:val="004C7649"/>
    <w:rsid w:val="004D3B37"/>
    <w:rsid w:val="004D462C"/>
    <w:rsid w:val="004D55FC"/>
    <w:rsid w:val="004E3702"/>
    <w:rsid w:val="004E3977"/>
    <w:rsid w:val="004E60D2"/>
    <w:rsid w:val="004E71AA"/>
    <w:rsid w:val="004F6740"/>
    <w:rsid w:val="004F6764"/>
    <w:rsid w:val="00504936"/>
    <w:rsid w:val="00510543"/>
    <w:rsid w:val="0051336B"/>
    <w:rsid w:val="005137DB"/>
    <w:rsid w:val="0051591C"/>
    <w:rsid w:val="005269BE"/>
    <w:rsid w:val="00530647"/>
    <w:rsid w:val="00532CF6"/>
    <w:rsid w:val="00536592"/>
    <w:rsid w:val="00540480"/>
    <w:rsid w:val="00543072"/>
    <w:rsid w:val="00546B98"/>
    <w:rsid w:val="0055160D"/>
    <w:rsid w:val="00553269"/>
    <w:rsid w:val="00554A8D"/>
    <w:rsid w:val="00581BA8"/>
    <w:rsid w:val="00582193"/>
    <w:rsid w:val="005832A5"/>
    <w:rsid w:val="00590C36"/>
    <w:rsid w:val="00593253"/>
    <w:rsid w:val="00593BD1"/>
    <w:rsid w:val="0059426B"/>
    <w:rsid w:val="005A10A5"/>
    <w:rsid w:val="005A2DA9"/>
    <w:rsid w:val="005A3770"/>
    <w:rsid w:val="005A6DF4"/>
    <w:rsid w:val="005B7E57"/>
    <w:rsid w:val="005C18E4"/>
    <w:rsid w:val="005C4E5F"/>
    <w:rsid w:val="005C50EE"/>
    <w:rsid w:val="005C78F3"/>
    <w:rsid w:val="005D2865"/>
    <w:rsid w:val="005D6FFE"/>
    <w:rsid w:val="005E023E"/>
    <w:rsid w:val="005E23D5"/>
    <w:rsid w:val="005E4A2E"/>
    <w:rsid w:val="005E4CC7"/>
    <w:rsid w:val="005E7B48"/>
    <w:rsid w:val="005F22BC"/>
    <w:rsid w:val="006067E2"/>
    <w:rsid w:val="0060786A"/>
    <w:rsid w:val="0061518E"/>
    <w:rsid w:val="006277A3"/>
    <w:rsid w:val="00630000"/>
    <w:rsid w:val="00631BBE"/>
    <w:rsid w:val="006321B1"/>
    <w:rsid w:val="00634C88"/>
    <w:rsid w:val="006375C9"/>
    <w:rsid w:val="00637B44"/>
    <w:rsid w:val="00640734"/>
    <w:rsid w:val="00642F80"/>
    <w:rsid w:val="00646CCA"/>
    <w:rsid w:val="00657512"/>
    <w:rsid w:val="00663093"/>
    <w:rsid w:val="00666BEF"/>
    <w:rsid w:val="00671DA9"/>
    <w:rsid w:val="0067538A"/>
    <w:rsid w:val="00682D89"/>
    <w:rsid w:val="006862E8"/>
    <w:rsid w:val="00686880"/>
    <w:rsid w:val="00697EF3"/>
    <w:rsid w:val="006A1C19"/>
    <w:rsid w:val="006A4234"/>
    <w:rsid w:val="006B356E"/>
    <w:rsid w:val="006B75A6"/>
    <w:rsid w:val="006D0028"/>
    <w:rsid w:val="006D0A5A"/>
    <w:rsid w:val="006D1FEC"/>
    <w:rsid w:val="006D2F9F"/>
    <w:rsid w:val="006D3CDD"/>
    <w:rsid w:val="006D4204"/>
    <w:rsid w:val="006D74F2"/>
    <w:rsid w:val="006E1BDE"/>
    <w:rsid w:val="006E47FE"/>
    <w:rsid w:val="006F4DD0"/>
    <w:rsid w:val="0070128D"/>
    <w:rsid w:val="007040F1"/>
    <w:rsid w:val="0070698B"/>
    <w:rsid w:val="007073D4"/>
    <w:rsid w:val="00707C87"/>
    <w:rsid w:val="007161EF"/>
    <w:rsid w:val="007203C0"/>
    <w:rsid w:val="007211EB"/>
    <w:rsid w:val="007214D1"/>
    <w:rsid w:val="0073145A"/>
    <w:rsid w:val="0073288B"/>
    <w:rsid w:val="00732FF7"/>
    <w:rsid w:val="007431F6"/>
    <w:rsid w:val="0074360E"/>
    <w:rsid w:val="00753E3B"/>
    <w:rsid w:val="0075634C"/>
    <w:rsid w:val="007655A0"/>
    <w:rsid w:val="007669A9"/>
    <w:rsid w:val="00770BC4"/>
    <w:rsid w:val="00776278"/>
    <w:rsid w:val="00776884"/>
    <w:rsid w:val="0078186D"/>
    <w:rsid w:val="00783226"/>
    <w:rsid w:val="007834DC"/>
    <w:rsid w:val="007A38C1"/>
    <w:rsid w:val="007A5CC8"/>
    <w:rsid w:val="007C2052"/>
    <w:rsid w:val="007C2F07"/>
    <w:rsid w:val="007C67A1"/>
    <w:rsid w:val="007D5A83"/>
    <w:rsid w:val="007D69A3"/>
    <w:rsid w:val="007D739B"/>
    <w:rsid w:val="007E0D06"/>
    <w:rsid w:val="007E6284"/>
    <w:rsid w:val="007E6905"/>
    <w:rsid w:val="007F1CC2"/>
    <w:rsid w:val="007F31F8"/>
    <w:rsid w:val="00811A6F"/>
    <w:rsid w:val="00812365"/>
    <w:rsid w:val="008134A4"/>
    <w:rsid w:val="00823186"/>
    <w:rsid w:val="00824100"/>
    <w:rsid w:val="00825FD9"/>
    <w:rsid w:val="00831A32"/>
    <w:rsid w:val="008333C0"/>
    <w:rsid w:val="0084763F"/>
    <w:rsid w:val="008479F8"/>
    <w:rsid w:val="0085175E"/>
    <w:rsid w:val="00853ACE"/>
    <w:rsid w:val="00853DE0"/>
    <w:rsid w:val="0086535B"/>
    <w:rsid w:val="0086734C"/>
    <w:rsid w:val="00872691"/>
    <w:rsid w:val="00877E8A"/>
    <w:rsid w:val="00883433"/>
    <w:rsid w:val="008903B4"/>
    <w:rsid w:val="008924BB"/>
    <w:rsid w:val="0089449E"/>
    <w:rsid w:val="008A1F14"/>
    <w:rsid w:val="008A709B"/>
    <w:rsid w:val="008B02B2"/>
    <w:rsid w:val="008B1CCE"/>
    <w:rsid w:val="008B4786"/>
    <w:rsid w:val="008B486C"/>
    <w:rsid w:val="008B4D54"/>
    <w:rsid w:val="008B5ADE"/>
    <w:rsid w:val="008C528E"/>
    <w:rsid w:val="008E7ADF"/>
    <w:rsid w:val="008F4380"/>
    <w:rsid w:val="008F5864"/>
    <w:rsid w:val="008F5A22"/>
    <w:rsid w:val="008F669B"/>
    <w:rsid w:val="00903C14"/>
    <w:rsid w:val="00912713"/>
    <w:rsid w:val="00923B3D"/>
    <w:rsid w:val="0093736A"/>
    <w:rsid w:val="00937A7E"/>
    <w:rsid w:val="00941169"/>
    <w:rsid w:val="0094408E"/>
    <w:rsid w:val="0094412A"/>
    <w:rsid w:val="00945C9D"/>
    <w:rsid w:val="00961217"/>
    <w:rsid w:val="00963A09"/>
    <w:rsid w:val="0097099E"/>
    <w:rsid w:val="00981BEF"/>
    <w:rsid w:val="0098347F"/>
    <w:rsid w:val="0098644A"/>
    <w:rsid w:val="00986730"/>
    <w:rsid w:val="00992BF9"/>
    <w:rsid w:val="009A1902"/>
    <w:rsid w:val="009A71F5"/>
    <w:rsid w:val="009B1B36"/>
    <w:rsid w:val="009B26C4"/>
    <w:rsid w:val="009C128F"/>
    <w:rsid w:val="009C2CA4"/>
    <w:rsid w:val="009C6B84"/>
    <w:rsid w:val="009D4A2B"/>
    <w:rsid w:val="009D605D"/>
    <w:rsid w:val="009E196A"/>
    <w:rsid w:val="009E33ED"/>
    <w:rsid w:val="009E3DCD"/>
    <w:rsid w:val="009E511E"/>
    <w:rsid w:val="009E753F"/>
    <w:rsid w:val="009F0D09"/>
    <w:rsid w:val="009F1054"/>
    <w:rsid w:val="00A01321"/>
    <w:rsid w:val="00A0597F"/>
    <w:rsid w:val="00A34896"/>
    <w:rsid w:val="00A36B22"/>
    <w:rsid w:val="00A47A09"/>
    <w:rsid w:val="00A53534"/>
    <w:rsid w:val="00A60884"/>
    <w:rsid w:val="00A61654"/>
    <w:rsid w:val="00A74315"/>
    <w:rsid w:val="00A7766E"/>
    <w:rsid w:val="00A8159A"/>
    <w:rsid w:val="00AA2BC9"/>
    <w:rsid w:val="00AA72D5"/>
    <w:rsid w:val="00AA73DA"/>
    <w:rsid w:val="00AB12AF"/>
    <w:rsid w:val="00AB4477"/>
    <w:rsid w:val="00AB5AEA"/>
    <w:rsid w:val="00AC006E"/>
    <w:rsid w:val="00AC1B74"/>
    <w:rsid w:val="00AC3D00"/>
    <w:rsid w:val="00AD0502"/>
    <w:rsid w:val="00AD0D67"/>
    <w:rsid w:val="00AD6DF7"/>
    <w:rsid w:val="00AE323A"/>
    <w:rsid w:val="00AE7225"/>
    <w:rsid w:val="00AF02B6"/>
    <w:rsid w:val="00AF4BC2"/>
    <w:rsid w:val="00B02C01"/>
    <w:rsid w:val="00B035CB"/>
    <w:rsid w:val="00B1785E"/>
    <w:rsid w:val="00B22259"/>
    <w:rsid w:val="00B26FE3"/>
    <w:rsid w:val="00B338E1"/>
    <w:rsid w:val="00B357F6"/>
    <w:rsid w:val="00B429E8"/>
    <w:rsid w:val="00B44B1D"/>
    <w:rsid w:val="00B4511E"/>
    <w:rsid w:val="00B471CB"/>
    <w:rsid w:val="00B5129A"/>
    <w:rsid w:val="00B53125"/>
    <w:rsid w:val="00B5618B"/>
    <w:rsid w:val="00B56BBE"/>
    <w:rsid w:val="00B56CDC"/>
    <w:rsid w:val="00B57007"/>
    <w:rsid w:val="00B62991"/>
    <w:rsid w:val="00B677A9"/>
    <w:rsid w:val="00B679FE"/>
    <w:rsid w:val="00B71CEE"/>
    <w:rsid w:val="00B74078"/>
    <w:rsid w:val="00B753B7"/>
    <w:rsid w:val="00B773AF"/>
    <w:rsid w:val="00B84929"/>
    <w:rsid w:val="00B93C09"/>
    <w:rsid w:val="00BA1AC2"/>
    <w:rsid w:val="00BA24C9"/>
    <w:rsid w:val="00BB4A08"/>
    <w:rsid w:val="00BB7798"/>
    <w:rsid w:val="00BC00D3"/>
    <w:rsid w:val="00BC1A2B"/>
    <w:rsid w:val="00BD133D"/>
    <w:rsid w:val="00BE334D"/>
    <w:rsid w:val="00BF1319"/>
    <w:rsid w:val="00BF244B"/>
    <w:rsid w:val="00BF5AF3"/>
    <w:rsid w:val="00C11E50"/>
    <w:rsid w:val="00C14AC6"/>
    <w:rsid w:val="00C14EDF"/>
    <w:rsid w:val="00C21128"/>
    <w:rsid w:val="00C241FD"/>
    <w:rsid w:val="00C31641"/>
    <w:rsid w:val="00C34EBD"/>
    <w:rsid w:val="00C361FA"/>
    <w:rsid w:val="00C36AF2"/>
    <w:rsid w:val="00C405C7"/>
    <w:rsid w:val="00C443BA"/>
    <w:rsid w:val="00C4656C"/>
    <w:rsid w:val="00C5387A"/>
    <w:rsid w:val="00C635F6"/>
    <w:rsid w:val="00C7046D"/>
    <w:rsid w:val="00C74ED3"/>
    <w:rsid w:val="00C76C7E"/>
    <w:rsid w:val="00C8005D"/>
    <w:rsid w:val="00C80F9C"/>
    <w:rsid w:val="00C825CC"/>
    <w:rsid w:val="00C94093"/>
    <w:rsid w:val="00C97A35"/>
    <w:rsid w:val="00CB0AF7"/>
    <w:rsid w:val="00CB0CFB"/>
    <w:rsid w:val="00CC71E2"/>
    <w:rsid w:val="00CD1DD7"/>
    <w:rsid w:val="00CD39E2"/>
    <w:rsid w:val="00CE5AB8"/>
    <w:rsid w:val="00CE7ACB"/>
    <w:rsid w:val="00CF27F5"/>
    <w:rsid w:val="00CF4221"/>
    <w:rsid w:val="00CF4C77"/>
    <w:rsid w:val="00D15130"/>
    <w:rsid w:val="00D15E3E"/>
    <w:rsid w:val="00D215CB"/>
    <w:rsid w:val="00D266E0"/>
    <w:rsid w:val="00D327F9"/>
    <w:rsid w:val="00D374F5"/>
    <w:rsid w:val="00D50E95"/>
    <w:rsid w:val="00D51413"/>
    <w:rsid w:val="00D518F2"/>
    <w:rsid w:val="00D52179"/>
    <w:rsid w:val="00D5521A"/>
    <w:rsid w:val="00D574ED"/>
    <w:rsid w:val="00D57CDF"/>
    <w:rsid w:val="00D658D1"/>
    <w:rsid w:val="00D670F1"/>
    <w:rsid w:val="00D70358"/>
    <w:rsid w:val="00D73CFC"/>
    <w:rsid w:val="00D842DB"/>
    <w:rsid w:val="00D9077B"/>
    <w:rsid w:val="00D91FC7"/>
    <w:rsid w:val="00D950F9"/>
    <w:rsid w:val="00DA573E"/>
    <w:rsid w:val="00DA5EDC"/>
    <w:rsid w:val="00DA78D8"/>
    <w:rsid w:val="00DB3601"/>
    <w:rsid w:val="00DB4FDB"/>
    <w:rsid w:val="00DE1564"/>
    <w:rsid w:val="00DE1B64"/>
    <w:rsid w:val="00DE1E6C"/>
    <w:rsid w:val="00DE203F"/>
    <w:rsid w:val="00DE5534"/>
    <w:rsid w:val="00DE5F32"/>
    <w:rsid w:val="00DF3808"/>
    <w:rsid w:val="00DF3963"/>
    <w:rsid w:val="00DF4173"/>
    <w:rsid w:val="00DF4CE6"/>
    <w:rsid w:val="00DF6027"/>
    <w:rsid w:val="00E00CA8"/>
    <w:rsid w:val="00E03900"/>
    <w:rsid w:val="00E0460F"/>
    <w:rsid w:val="00E13621"/>
    <w:rsid w:val="00E20D55"/>
    <w:rsid w:val="00E25D85"/>
    <w:rsid w:val="00E261C1"/>
    <w:rsid w:val="00E345B1"/>
    <w:rsid w:val="00E47778"/>
    <w:rsid w:val="00E52874"/>
    <w:rsid w:val="00E56314"/>
    <w:rsid w:val="00E60ABA"/>
    <w:rsid w:val="00E66E8E"/>
    <w:rsid w:val="00E71B26"/>
    <w:rsid w:val="00E73275"/>
    <w:rsid w:val="00E77179"/>
    <w:rsid w:val="00E82BE9"/>
    <w:rsid w:val="00E832A8"/>
    <w:rsid w:val="00E84A51"/>
    <w:rsid w:val="00E906F0"/>
    <w:rsid w:val="00EA18FC"/>
    <w:rsid w:val="00EA3179"/>
    <w:rsid w:val="00EA3B72"/>
    <w:rsid w:val="00EA6E69"/>
    <w:rsid w:val="00EA6EB2"/>
    <w:rsid w:val="00EA70C6"/>
    <w:rsid w:val="00EB42AE"/>
    <w:rsid w:val="00EB6D75"/>
    <w:rsid w:val="00EB76F2"/>
    <w:rsid w:val="00EC09D1"/>
    <w:rsid w:val="00EC455A"/>
    <w:rsid w:val="00ED0984"/>
    <w:rsid w:val="00ED1ECD"/>
    <w:rsid w:val="00ED2DF8"/>
    <w:rsid w:val="00ED749B"/>
    <w:rsid w:val="00EE329F"/>
    <w:rsid w:val="00EF0B9D"/>
    <w:rsid w:val="00F067E4"/>
    <w:rsid w:val="00F07CEA"/>
    <w:rsid w:val="00F32670"/>
    <w:rsid w:val="00F458F8"/>
    <w:rsid w:val="00F51877"/>
    <w:rsid w:val="00F57A25"/>
    <w:rsid w:val="00F6019F"/>
    <w:rsid w:val="00F6028D"/>
    <w:rsid w:val="00F67402"/>
    <w:rsid w:val="00F72998"/>
    <w:rsid w:val="00F82C42"/>
    <w:rsid w:val="00F866CC"/>
    <w:rsid w:val="00F962CA"/>
    <w:rsid w:val="00FA053D"/>
    <w:rsid w:val="00FB11B3"/>
    <w:rsid w:val="00FB2ACC"/>
    <w:rsid w:val="00FB460A"/>
    <w:rsid w:val="00FB7874"/>
    <w:rsid w:val="00FC7E10"/>
    <w:rsid w:val="00FD060B"/>
    <w:rsid w:val="00FD3F7E"/>
    <w:rsid w:val="00FE237B"/>
    <w:rsid w:val="00FE4D79"/>
    <w:rsid w:val="00FE4E5E"/>
    <w:rsid w:val="00FF26B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55520"/>
  <w15:chartTrackingRefBased/>
  <w15:docId w15:val="{2E053FAF-AAD8-4709-BB23-ADC44CDB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8D"/>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E84A51"/>
    <w:rPr>
      <w:sz w:val="24"/>
    </w:rPr>
  </w:style>
  <w:style w:type="paragraph" w:customStyle="1" w:styleId="CharCharCharCharChar">
    <w:name w:val="Char Char Char Char Char"/>
    <w:basedOn w:val="Normal"/>
    <w:rsid w:val="003E4A6E"/>
    <w:pPr>
      <w:spacing w:after="160" w:line="240" w:lineRule="exact"/>
    </w:pPr>
    <w:rPr>
      <w:rFonts w:ascii="Verdana" w:hAnsi="Verdana"/>
      <w:b/>
      <w:sz w:val="20"/>
      <w:lang w:val="en-US" w:eastAsia="en-US"/>
    </w:rPr>
  </w:style>
  <w:style w:type="paragraph" w:styleId="NormalWeb">
    <w:name w:val="Normal (Web)"/>
    <w:basedOn w:val="Normal"/>
    <w:uiPriority w:val="99"/>
    <w:unhideWhenUsed/>
    <w:rsid w:val="00DF3808"/>
    <w:pPr>
      <w:spacing w:before="100" w:beforeAutospacing="1" w:after="100" w:afterAutospacing="1"/>
    </w:pPr>
    <w:rPr>
      <w:szCs w:val="24"/>
    </w:rPr>
  </w:style>
  <w:style w:type="character" w:styleId="CommentReference">
    <w:name w:val="annotation reference"/>
    <w:uiPriority w:val="99"/>
    <w:semiHidden/>
    <w:unhideWhenUsed/>
    <w:rsid w:val="00D9077B"/>
    <w:rPr>
      <w:sz w:val="16"/>
      <w:szCs w:val="16"/>
    </w:rPr>
  </w:style>
  <w:style w:type="paragraph" w:styleId="CommentText">
    <w:name w:val="annotation text"/>
    <w:basedOn w:val="Normal"/>
    <w:link w:val="CommentTextChar"/>
    <w:uiPriority w:val="99"/>
    <w:semiHidden/>
    <w:unhideWhenUsed/>
    <w:rsid w:val="00D9077B"/>
    <w:rPr>
      <w:sz w:val="20"/>
    </w:rPr>
  </w:style>
  <w:style w:type="character" w:customStyle="1" w:styleId="CommentTextChar">
    <w:name w:val="Comment Text Char"/>
    <w:basedOn w:val="DefaultParagraphFont"/>
    <w:link w:val="CommentText"/>
    <w:uiPriority w:val="99"/>
    <w:semiHidden/>
    <w:rsid w:val="00D9077B"/>
  </w:style>
  <w:style w:type="paragraph" w:styleId="CommentSubject">
    <w:name w:val="annotation subject"/>
    <w:basedOn w:val="CommentText"/>
    <w:next w:val="CommentText"/>
    <w:link w:val="CommentSubjectChar"/>
    <w:uiPriority w:val="99"/>
    <w:semiHidden/>
    <w:unhideWhenUsed/>
    <w:rsid w:val="00D9077B"/>
    <w:rPr>
      <w:b/>
      <w:bCs/>
    </w:rPr>
  </w:style>
  <w:style w:type="character" w:customStyle="1" w:styleId="CommentSubjectChar">
    <w:name w:val="Comment Subject Char"/>
    <w:link w:val="CommentSubject"/>
    <w:uiPriority w:val="99"/>
    <w:semiHidden/>
    <w:rsid w:val="00D9077B"/>
    <w:rPr>
      <w:b/>
      <w:bCs/>
    </w:rPr>
  </w:style>
  <w:style w:type="paragraph" w:styleId="BalloonText">
    <w:name w:val="Balloon Text"/>
    <w:basedOn w:val="Normal"/>
    <w:link w:val="BalloonTextChar"/>
    <w:uiPriority w:val="99"/>
    <w:semiHidden/>
    <w:unhideWhenUsed/>
    <w:rsid w:val="00D9077B"/>
    <w:rPr>
      <w:rFonts w:ascii="Tahoma" w:hAnsi="Tahoma" w:cs="Tahoma"/>
      <w:sz w:val="16"/>
      <w:szCs w:val="16"/>
    </w:rPr>
  </w:style>
  <w:style w:type="character" w:customStyle="1" w:styleId="BalloonTextChar">
    <w:name w:val="Balloon Text Char"/>
    <w:link w:val="BalloonText"/>
    <w:uiPriority w:val="99"/>
    <w:semiHidden/>
    <w:rsid w:val="00D9077B"/>
    <w:rPr>
      <w:rFonts w:ascii="Tahoma" w:hAnsi="Tahoma" w:cs="Tahoma"/>
      <w:sz w:val="16"/>
      <w:szCs w:val="16"/>
    </w:rPr>
  </w:style>
  <w:style w:type="table" w:styleId="TableGrid">
    <w:name w:val="Table Grid"/>
    <w:basedOn w:val="TableNormal"/>
    <w:uiPriority w:val="59"/>
    <w:rsid w:val="00770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BEF"/>
    <w:rPr>
      <w:sz w:val="24"/>
    </w:rPr>
  </w:style>
  <w:style w:type="character" w:styleId="UnresolvedMention">
    <w:name w:val="Unresolved Mention"/>
    <w:basedOn w:val="DefaultParagraphFont"/>
    <w:uiPriority w:val="99"/>
    <w:semiHidden/>
    <w:unhideWhenUsed/>
    <w:rsid w:val="0058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0154">
      <w:bodyDiv w:val="1"/>
      <w:marLeft w:val="0"/>
      <w:marRight w:val="0"/>
      <w:marTop w:val="0"/>
      <w:marBottom w:val="0"/>
      <w:divBdr>
        <w:top w:val="none" w:sz="0" w:space="0" w:color="auto"/>
        <w:left w:val="none" w:sz="0" w:space="0" w:color="auto"/>
        <w:bottom w:val="none" w:sz="0" w:space="0" w:color="auto"/>
        <w:right w:val="none" w:sz="0" w:space="0" w:color="auto"/>
      </w:divBdr>
    </w:div>
    <w:div w:id="265577193">
      <w:bodyDiv w:val="1"/>
      <w:marLeft w:val="0"/>
      <w:marRight w:val="0"/>
      <w:marTop w:val="0"/>
      <w:marBottom w:val="0"/>
      <w:divBdr>
        <w:top w:val="none" w:sz="0" w:space="0" w:color="auto"/>
        <w:left w:val="none" w:sz="0" w:space="0" w:color="auto"/>
        <w:bottom w:val="none" w:sz="0" w:space="0" w:color="auto"/>
        <w:right w:val="none" w:sz="0" w:space="0" w:color="auto"/>
      </w:divBdr>
    </w:div>
    <w:div w:id="340133846">
      <w:bodyDiv w:val="1"/>
      <w:marLeft w:val="0"/>
      <w:marRight w:val="0"/>
      <w:marTop w:val="0"/>
      <w:marBottom w:val="0"/>
      <w:divBdr>
        <w:top w:val="none" w:sz="0" w:space="0" w:color="auto"/>
        <w:left w:val="none" w:sz="0" w:space="0" w:color="auto"/>
        <w:bottom w:val="none" w:sz="0" w:space="0" w:color="auto"/>
        <w:right w:val="none" w:sz="0" w:space="0" w:color="auto"/>
      </w:divBdr>
    </w:div>
    <w:div w:id="911085913">
      <w:bodyDiv w:val="1"/>
      <w:marLeft w:val="0"/>
      <w:marRight w:val="0"/>
      <w:marTop w:val="0"/>
      <w:marBottom w:val="0"/>
      <w:divBdr>
        <w:top w:val="none" w:sz="0" w:space="0" w:color="auto"/>
        <w:left w:val="none" w:sz="0" w:space="0" w:color="auto"/>
        <w:bottom w:val="none" w:sz="0" w:space="0" w:color="auto"/>
        <w:right w:val="none" w:sz="0" w:space="0" w:color="auto"/>
      </w:divBdr>
    </w:div>
    <w:div w:id="1385331658">
      <w:bodyDiv w:val="1"/>
      <w:marLeft w:val="0"/>
      <w:marRight w:val="0"/>
      <w:marTop w:val="0"/>
      <w:marBottom w:val="0"/>
      <w:divBdr>
        <w:top w:val="none" w:sz="0" w:space="0" w:color="auto"/>
        <w:left w:val="none" w:sz="0" w:space="0" w:color="auto"/>
        <w:bottom w:val="none" w:sz="0" w:space="0" w:color="auto"/>
        <w:right w:val="none" w:sz="0" w:space="0" w:color="auto"/>
      </w:divBdr>
    </w:div>
    <w:div w:id="1525250179">
      <w:bodyDiv w:val="1"/>
      <w:marLeft w:val="0"/>
      <w:marRight w:val="0"/>
      <w:marTop w:val="0"/>
      <w:marBottom w:val="0"/>
      <w:divBdr>
        <w:top w:val="none" w:sz="0" w:space="0" w:color="auto"/>
        <w:left w:val="none" w:sz="0" w:space="0" w:color="auto"/>
        <w:bottom w:val="none" w:sz="0" w:space="0" w:color="auto"/>
        <w:right w:val="none" w:sz="0" w:space="0" w:color="auto"/>
      </w:divBdr>
    </w:div>
    <w:div w:id="1671058913">
      <w:bodyDiv w:val="1"/>
      <w:marLeft w:val="0"/>
      <w:marRight w:val="0"/>
      <w:marTop w:val="0"/>
      <w:marBottom w:val="0"/>
      <w:divBdr>
        <w:top w:val="none" w:sz="0" w:space="0" w:color="auto"/>
        <w:left w:val="none" w:sz="0" w:space="0" w:color="auto"/>
        <w:bottom w:val="none" w:sz="0" w:space="0" w:color="auto"/>
        <w:right w:val="none" w:sz="0" w:space="0" w:color="auto"/>
      </w:divBdr>
    </w:div>
    <w:div w:id="1693988881">
      <w:bodyDiv w:val="1"/>
      <w:marLeft w:val="0"/>
      <w:marRight w:val="0"/>
      <w:marTop w:val="0"/>
      <w:marBottom w:val="0"/>
      <w:divBdr>
        <w:top w:val="none" w:sz="0" w:space="0" w:color="auto"/>
        <w:left w:val="none" w:sz="0" w:space="0" w:color="auto"/>
        <w:bottom w:val="none" w:sz="0" w:space="0" w:color="auto"/>
        <w:right w:val="none" w:sz="0" w:space="0" w:color="auto"/>
      </w:divBdr>
    </w:div>
    <w:div w:id="185684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hinfo.com/userfiles/file/Board/Meetings/Board_Meetings/2023/13_June_2023/F-Item-11c-FIRE-2022-23.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lhinfo.com/userfiles/file/Board/Meetings/Board_Meetings/2023/13_June_2023/F-Item-11b-AI-2022-23.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lhinfo.com/userfiles/file/Board/Meetings/Board_Meetings/2023/13_June_2023/F-Item-11a-RIDDOR-2022-23.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3" ma:contentTypeDescription="Create a new document." ma:contentTypeScope="" ma:versionID="2155653decf191b8ef3d44a71c8c9eec">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db2914087730060ffb550f2ac279dff1"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84761-4D4F-4610-AC28-036A843EB6BD}">
  <ds:schemaRefs>
    <ds:schemaRef ds:uri="http://schemas.microsoft.com/sharepoint/v3/contenttype/forms"/>
  </ds:schemaRefs>
</ds:datastoreItem>
</file>

<file path=customXml/itemProps2.xml><?xml version="1.0" encoding="utf-8"?>
<ds:datastoreItem xmlns:ds="http://schemas.openxmlformats.org/officeDocument/2006/customXml" ds:itemID="{2AB1429D-AE6C-46FA-B477-639E2D563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C5359-1E65-4CCE-91D1-2532B7565D41}">
  <ds:schemaRefs>
    <ds:schemaRef ds:uri="http://schemas.openxmlformats.org/officeDocument/2006/bibliography"/>
  </ds:schemaRefs>
</ds:datastoreItem>
</file>

<file path=customXml/itemProps4.xml><?xml version="1.0" encoding="utf-8"?>
<ds:datastoreItem xmlns:ds="http://schemas.openxmlformats.org/officeDocument/2006/customXml" ds:itemID="{2639C66D-19B5-4558-A70A-DB9BF885FC78}">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1381</Words>
  <Characters>7874</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THE HIGHLAND COUNCIL</vt:lpstr>
      <vt:lpstr>    ANNUAL Health and Safety And EnvironmeNtal Compliance Report   -   Report by Chi</vt:lpstr>
      <vt:lpstr/>
    </vt:vector>
  </TitlesOfParts>
  <Company>.</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simon.swanson@highlifehighland.com</dc:creator>
  <cp:keywords/>
  <cp:lastModifiedBy>Joyce Donaldson (HLH Corporate Services)</cp:lastModifiedBy>
  <cp:revision>10</cp:revision>
  <cp:lastPrinted>2019-04-16T09:27:00Z</cp:lastPrinted>
  <dcterms:created xsi:type="dcterms:W3CDTF">2023-05-30T09:25:00Z</dcterms:created>
  <dcterms:modified xsi:type="dcterms:W3CDTF">2023-06-08T14:03:00Z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0x01010075AB708E42E7E345B8456CCFC18D9783</vt:lpwstr>
  </property>
  <property fmtid="{D5CDD505-2E9C-101B-9397-08002B2CF9AE}" pid="3" name="MediaServiceImageTags">
    <vt:lpwstr/>
  </property>
</Properties>
</file>